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Pr="00FA55DD" w:rsidRDefault="009334D8" w:rsidP="008375B5">
      <w:pPr>
        <w:spacing w:line="360" w:lineRule="auto"/>
      </w:pPr>
      <w:r w:rsidRPr="00FA55DD">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Pr="00FA55DD" w:rsidRDefault="008375B5" w:rsidP="008375B5">
      <w:pPr>
        <w:spacing w:line="360" w:lineRule="auto"/>
        <w:rPr>
          <w:rStyle w:val="Strong"/>
          <w:rFonts w:ascii="Segoe UI" w:hAnsi="Segoe UI" w:cs="Segoe UI"/>
          <w:color w:val="1D2125"/>
        </w:rPr>
      </w:pPr>
    </w:p>
    <w:p w14:paraId="3D4BDE11" w14:textId="77777777" w:rsidR="008375B5" w:rsidRPr="00FA55DD" w:rsidRDefault="008375B5" w:rsidP="008375B5">
      <w:pPr>
        <w:spacing w:line="360" w:lineRule="auto"/>
        <w:rPr>
          <w:rStyle w:val="Strong"/>
          <w:rFonts w:ascii="Arial" w:hAnsi="Arial" w:cs="Arial"/>
          <w:color w:val="1D2125"/>
          <w:sz w:val="36"/>
          <w:szCs w:val="36"/>
        </w:rPr>
      </w:pPr>
    </w:p>
    <w:p w14:paraId="22930AF8" w14:textId="77777777" w:rsidR="008375B5" w:rsidRPr="00FA55DD" w:rsidRDefault="008375B5" w:rsidP="008375B5">
      <w:pPr>
        <w:spacing w:line="360" w:lineRule="auto"/>
        <w:jc w:val="center"/>
        <w:rPr>
          <w:rStyle w:val="Strong"/>
          <w:rFonts w:ascii="Arial" w:hAnsi="Arial" w:cs="Arial"/>
          <w:color w:val="1D2125"/>
          <w:sz w:val="36"/>
          <w:szCs w:val="36"/>
        </w:rPr>
      </w:pPr>
    </w:p>
    <w:p w14:paraId="7E1888EF" w14:textId="77777777" w:rsidR="008375B5" w:rsidRPr="00FA55DD" w:rsidRDefault="008375B5" w:rsidP="008375B5">
      <w:pPr>
        <w:spacing w:line="360" w:lineRule="auto"/>
        <w:jc w:val="center"/>
        <w:rPr>
          <w:rStyle w:val="Strong"/>
          <w:rFonts w:ascii="Arial" w:hAnsi="Arial" w:cs="Arial"/>
          <w:color w:val="1D2125"/>
          <w:sz w:val="36"/>
          <w:szCs w:val="36"/>
        </w:rPr>
      </w:pPr>
      <w:r w:rsidRPr="00FA55DD">
        <w:rPr>
          <w:rStyle w:val="Strong"/>
          <w:rFonts w:ascii="Arial" w:hAnsi="Arial" w:cs="Arial"/>
          <w:color w:val="1D2125"/>
          <w:sz w:val="36"/>
          <w:szCs w:val="36"/>
        </w:rPr>
        <w:t>Digital Transformation in the Health and Care Professions (BMHP6026)</w:t>
      </w:r>
    </w:p>
    <w:p w14:paraId="0E4A258C" w14:textId="77777777" w:rsidR="008375B5" w:rsidRPr="00FA55DD" w:rsidRDefault="008375B5" w:rsidP="008375B5">
      <w:pPr>
        <w:spacing w:line="360" w:lineRule="auto"/>
        <w:jc w:val="center"/>
        <w:rPr>
          <w:rStyle w:val="Strong"/>
          <w:rFonts w:ascii="Arial" w:hAnsi="Arial" w:cs="Arial"/>
          <w:color w:val="1D2125"/>
          <w:sz w:val="36"/>
          <w:szCs w:val="36"/>
        </w:rPr>
      </w:pPr>
    </w:p>
    <w:p w14:paraId="4D8F34EA" w14:textId="77777777" w:rsidR="008375B5" w:rsidRPr="00FA55DD" w:rsidRDefault="008375B5" w:rsidP="008375B5">
      <w:pPr>
        <w:spacing w:line="360" w:lineRule="auto"/>
        <w:jc w:val="center"/>
        <w:rPr>
          <w:rStyle w:val="Strong"/>
          <w:rFonts w:ascii="Arial" w:hAnsi="Arial" w:cs="Arial"/>
          <w:color w:val="1D2125"/>
          <w:sz w:val="36"/>
          <w:szCs w:val="36"/>
        </w:rPr>
      </w:pPr>
    </w:p>
    <w:p w14:paraId="09EDD2AC" w14:textId="77777777" w:rsidR="008375B5" w:rsidRDefault="008375B5" w:rsidP="008375B5">
      <w:pPr>
        <w:spacing w:line="360" w:lineRule="auto"/>
        <w:rPr>
          <w:rFonts w:ascii="Arial" w:hAnsi="Arial" w:cs="Arial"/>
          <w:b/>
          <w:bCs/>
          <w:color w:val="000000"/>
          <w:sz w:val="32"/>
          <w:szCs w:val="32"/>
        </w:rPr>
      </w:pPr>
      <w:r w:rsidRPr="00FA55DD">
        <w:rPr>
          <w:rFonts w:ascii="Arial" w:hAnsi="Arial" w:cs="Arial"/>
          <w:b/>
          <w:bCs/>
          <w:color w:val="000000"/>
          <w:sz w:val="32"/>
          <w:szCs w:val="32"/>
        </w:rPr>
        <w:t>Component 1: Written Report</w:t>
      </w:r>
    </w:p>
    <w:p w14:paraId="03B7C5EA" w14:textId="4F43868B" w:rsidR="008375B5" w:rsidRPr="00EF56C2" w:rsidRDefault="00DB78E1" w:rsidP="00A375C5">
      <w:pPr>
        <w:rPr>
          <w:rStyle w:val="Strong"/>
          <w:rFonts w:ascii="Arial" w:eastAsia="Calibri" w:hAnsi="Arial" w:cs="Arial"/>
          <w:b w:val="0"/>
          <w:bCs w:val="0"/>
          <w:kern w:val="0"/>
          <w:sz w:val="28"/>
          <w:szCs w:val="28"/>
        </w:rPr>
      </w:pPr>
      <w:r w:rsidRPr="00EF56C2">
        <w:rPr>
          <w:rFonts w:ascii="Arial" w:hAnsi="Arial" w:cs="Arial"/>
          <w:b/>
          <w:bCs/>
          <w:color w:val="000000"/>
          <w:sz w:val="36"/>
          <w:szCs w:val="36"/>
        </w:rPr>
        <w:t>Topic:</w:t>
      </w:r>
      <w:r w:rsidR="00A375C5">
        <w:rPr>
          <w:rFonts w:ascii="Arial" w:hAnsi="Arial" w:cs="Arial"/>
          <w:b/>
          <w:bCs/>
          <w:color w:val="000000"/>
          <w:sz w:val="36"/>
          <w:szCs w:val="36"/>
        </w:rPr>
        <w:t xml:space="preserve"> </w:t>
      </w:r>
      <w:r w:rsidRPr="00EF56C2">
        <w:rPr>
          <w:rFonts w:ascii="Arial" w:eastAsia="Calibri" w:hAnsi="Arial" w:cs="Arial"/>
          <w:b/>
          <w:kern w:val="0"/>
          <w:sz w:val="28"/>
          <w:szCs w:val="28"/>
        </w:rPr>
        <w:t>Genomic and Precision Medicine Platforms in UK Health and Social Care</w:t>
      </w:r>
    </w:p>
    <w:p w14:paraId="3C3042AD" w14:textId="3BAC40D0" w:rsidR="008375B5" w:rsidRPr="00B000BF" w:rsidRDefault="008375B5" w:rsidP="008375B5">
      <w:pPr>
        <w:spacing w:line="360" w:lineRule="auto"/>
        <w:rPr>
          <w:rStyle w:val="Strong"/>
          <w:rFonts w:ascii="Arial" w:hAnsi="Arial" w:cs="Arial"/>
          <w:color w:val="1D2125"/>
          <w:sz w:val="32"/>
          <w:szCs w:val="32"/>
        </w:rPr>
      </w:pPr>
      <w:r w:rsidRPr="00B000BF">
        <w:rPr>
          <w:rStyle w:val="Strong"/>
          <w:rFonts w:ascii="Arial" w:hAnsi="Arial" w:cs="Arial"/>
          <w:color w:val="1D2125"/>
          <w:sz w:val="32"/>
          <w:szCs w:val="32"/>
        </w:rPr>
        <w:t>Student name:</w:t>
      </w:r>
      <w:r w:rsidR="00883AE6" w:rsidRPr="00B000BF">
        <w:rPr>
          <w:rStyle w:val="Strong"/>
          <w:rFonts w:ascii="Arial" w:hAnsi="Arial" w:cs="Arial"/>
          <w:color w:val="1D2125"/>
          <w:sz w:val="32"/>
          <w:szCs w:val="32"/>
        </w:rPr>
        <w:t xml:space="preserve"> </w:t>
      </w:r>
      <w:r w:rsidR="00A845FF" w:rsidRPr="00B000BF">
        <w:rPr>
          <w:rStyle w:val="Strong"/>
          <w:rFonts w:ascii="Arial" w:hAnsi="Arial" w:cs="Arial"/>
          <w:color w:val="1D2125"/>
          <w:sz w:val="32"/>
          <w:szCs w:val="32"/>
        </w:rPr>
        <w:t>Rahima Sheikh Ibrahim</w:t>
      </w:r>
    </w:p>
    <w:p w14:paraId="227AC82E" w14:textId="5FB6FFDE" w:rsidR="008375B5" w:rsidRPr="00FA55DD" w:rsidRDefault="008375B5" w:rsidP="008375B5">
      <w:pPr>
        <w:spacing w:line="360" w:lineRule="auto"/>
        <w:rPr>
          <w:rStyle w:val="Strong"/>
          <w:rFonts w:ascii="Arial" w:hAnsi="Arial" w:cs="Arial"/>
          <w:color w:val="1D2125"/>
          <w:sz w:val="32"/>
          <w:szCs w:val="32"/>
        </w:rPr>
      </w:pPr>
      <w:r w:rsidRPr="00FA55DD">
        <w:rPr>
          <w:rStyle w:val="Strong"/>
          <w:rFonts w:ascii="Arial" w:hAnsi="Arial" w:cs="Arial"/>
          <w:color w:val="1D2125"/>
          <w:sz w:val="32"/>
          <w:szCs w:val="32"/>
        </w:rPr>
        <w:t>Student number:</w:t>
      </w:r>
      <w:r w:rsidR="00973D45">
        <w:rPr>
          <w:rStyle w:val="Strong"/>
          <w:rFonts w:ascii="Arial" w:hAnsi="Arial" w:cs="Arial"/>
          <w:color w:val="1D2125"/>
          <w:sz w:val="32"/>
          <w:szCs w:val="32"/>
        </w:rPr>
        <w:t xml:space="preserve"> 2336641</w:t>
      </w:r>
    </w:p>
    <w:p w14:paraId="5B5E64AD" w14:textId="7C4F8BB9" w:rsidR="008375B5" w:rsidRPr="00FA55DD" w:rsidRDefault="008375B5" w:rsidP="008375B5">
      <w:pPr>
        <w:spacing w:line="360" w:lineRule="auto"/>
        <w:rPr>
          <w:rStyle w:val="Strong"/>
          <w:rFonts w:ascii="Arial" w:hAnsi="Arial" w:cs="Arial"/>
          <w:color w:val="1D2125"/>
          <w:sz w:val="32"/>
          <w:szCs w:val="32"/>
        </w:rPr>
      </w:pPr>
      <w:r w:rsidRPr="00FA55DD">
        <w:rPr>
          <w:rStyle w:val="Strong"/>
          <w:rFonts w:ascii="Arial" w:hAnsi="Arial" w:cs="Arial"/>
          <w:color w:val="1D2125"/>
          <w:sz w:val="32"/>
          <w:szCs w:val="32"/>
        </w:rPr>
        <w:t>Lecturer’s name:</w:t>
      </w:r>
      <w:r w:rsidR="00973D45">
        <w:rPr>
          <w:rStyle w:val="Strong"/>
          <w:rFonts w:ascii="Arial" w:hAnsi="Arial" w:cs="Arial"/>
          <w:color w:val="1D2125"/>
          <w:sz w:val="32"/>
          <w:szCs w:val="32"/>
        </w:rPr>
        <w:t xml:space="preserve"> </w:t>
      </w:r>
      <w:r w:rsidR="00B000BF">
        <w:rPr>
          <w:rStyle w:val="Strong"/>
          <w:rFonts w:ascii="Arial" w:hAnsi="Arial" w:cs="Arial"/>
          <w:color w:val="1D2125"/>
          <w:sz w:val="32"/>
          <w:szCs w:val="32"/>
        </w:rPr>
        <w:t>Dr Laila Surani</w:t>
      </w:r>
      <w:r w:rsidR="00362C2A">
        <w:rPr>
          <w:rStyle w:val="Strong"/>
          <w:rFonts w:ascii="Arial" w:hAnsi="Arial" w:cs="Arial"/>
          <w:color w:val="1D2125"/>
          <w:sz w:val="32"/>
          <w:szCs w:val="32"/>
        </w:rPr>
        <w:t xml:space="preserve"> </w:t>
      </w:r>
    </w:p>
    <w:p w14:paraId="4F492421" w14:textId="77777777" w:rsidR="008375B5" w:rsidRPr="00FA55DD" w:rsidRDefault="008375B5" w:rsidP="008375B5">
      <w:pPr>
        <w:spacing w:line="360" w:lineRule="auto"/>
        <w:rPr>
          <w:sz w:val="36"/>
          <w:szCs w:val="36"/>
        </w:rPr>
      </w:pPr>
    </w:p>
    <w:p w14:paraId="43FBD350" w14:textId="77777777" w:rsidR="008375B5" w:rsidRPr="00FA55DD" w:rsidRDefault="008375B5" w:rsidP="008375B5">
      <w:pPr>
        <w:spacing w:line="360" w:lineRule="auto"/>
        <w:rPr>
          <w:rFonts w:ascii="Arial" w:hAnsi="Arial" w:cs="Arial"/>
          <w:sz w:val="36"/>
          <w:szCs w:val="36"/>
        </w:rPr>
      </w:pPr>
    </w:p>
    <w:p w14:paraId="2EE68F49" w14:textId="77777777" w:rsidR="008375B5" w:rsidRPr="00FA55DD" w:rsidRDefault="008375B5" w:rsidP="008375B5">
      <w:pPr>
        <w:spacing w:line="360" w:lineRule="auto"/>
        <w:rPr>
          <w:rFonts w:ascii="Arial" w:hAnsi="Arial" w:cs="Arial"/>
          <w:sz w:val="36"/>
          <w:szCs w:val="36"/>
        </w:rPr>
      </w:pPr>
    </w:p>
    <w:p w14:paraId="5E13BA96" w14:textId="77777777" w:rsidR="008375B5" w:rsidRPr="00FA55DD" w:rsidRDefault="008375B5" w:rsidP="008375B5">
      <w:pPr>
        <w:spacing w:line="360" w:lineRule="auto"/>
        <w:rPr>
          <w:rFonts w:ascii="Arial" w:hAnsi="Arial" w:cs="Arial"/>
          <w:sz w:val="36"/>
          <w:szCs w:val="36"/>
        </w:rPr>
      </w:pPr>
    </w:p>
    <w:p w14:paraId="6997D827" w14:textId="77777777" w:rsidR="008375B5" w:rsidRPr="00C6312A" w:rsidRDefault="008375B5" w:rsidP="008375B5">
      <w:pPr>
        <w:pStyle w:val="NormalWeb"/>
        <w:spacing w:line="360" w:lineRule="auto"/>
        <w:rPr>
          <w:rFonts w:ascii="Arial" w:hAnsi="Arial" w:cs="Arial"/>
          <w:color w:val="000000"/>
        </w:rPr>
      </w:pPr>
    </w:p>
    <w:sdt>
      <w:sdtPr>
        <w:id w:val="1673990487"/>
        <w:docPartObj>
          <w:docPartGallery w:val="Table of Contents"/>
          <w:docPartUnique/>
        </w:docPartObj>
      </w:sdtPr>
      <w:sdtEndPr>
        <w:rPr>
          <w:rFonts w:ascii="Aptos" w:eastAsia="Aptos" w:hAnsi="Aptos" w:cs="Times New Roman"/>
          <w:b/>
          <w:bCs/>
          <w:color w:val="auto"/>
          <w:sz w:val="24"/>
          <w:szCs w:val="24"/>
          <w14:ligatures w14:val="none"/>
        </w:rPr>
      </w:sdtEndPr>
      <w:sdtContent>
        <w:p w14:paraId="3C560C43" w14:textId="3B727AF4" w:rsidR="00243AB7" w:rsidRDefault="00243AB7">
          <w:pPr>
            <w:pStyle w:val="TOCHeading"/>
          </w:pPr>
          <w:r>
            <w:t>Contents</w:t>
          </w:r>
        </w:p>
        <w:p w14:paraId="7322A963" w14:textId="5FF3D281" w:rsidR="00243AB7" w:rsidRDefault="00243AB7">
          <w:pPr>
            <w:pStyle w:val="TOC1"/>
            <w:tabs>
              <w:tab w:val="right" w:leader="dot" w:pos="9016"/>
            </w:tabs>
            <w:rPr>
              <w:rFonts w:asciiTheme="minorHAnsi" w:eastAsiaTheme="minorEastAsia" w:hAnsiTheme="minorHAnsi"/>
              <w:noProof/>
              <w:kern w:val="2"/>
              <w:szCs w:val="24"/>
              <w:lang w:val="en-GB" w:eastAsia="en-GB"/>
              <w14:ligatures w14:val="standardContextual"/>
            </w:rPr>
          </w:pPr>
          <w:r>
            <w:fldChar w:fldCharType="begin"/>
          </w:r>
          <w:r>
            <w:instrText xml:space="preserve"> TOC \o "1-3" \h \z \u </w:instrText>
          </w:r>
          <w:r>
            <w:fldChar w:fldCharType="separate"/>
          </w:r>
          <w:hyperlink w:anchor="_Toc235439038" w:history="1">
            <w:r w:rsidRPr="00240A2C">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_Toc235439038 \h </w:instrText>
            </w:r>
            <w:r>
              <w:rPr>
                <w:noProof/>
                <w:webHidden/>
              </w:rPr>
            </w:r>
            <w:r>
              <w:rPr>
                <w:noProof/>
                <w:webHidden/>
              </w:rPr>
              <w:fldChar w:fldCharType="separate"/>
            </w:r>
            <w:r>
              <w:rPr>
                <w:noProof/>
                <w:webHidden/>
              </w:rPr>
              <w:t>3</w:t>
            </w:r>
            <w:r>
              <w:rPr>
                <w:noProof/>
                <w:webHidden/>
              </w:rPr>
              <w:fldChar w:fldCharType="end"/>
            </w:r>
          </w:hyperlink>
        </w:p>
        <w:p w14:paraId="13C9334D" w14:textId="45066D77" w:rsidR="00243AB7" w:rsidRDefault="00243AB7">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35439039" w:history="1">
            <w:r w:rsidRPr="00240A2C">
              <w:rPr>
                <w:rStyle w:val="Hyperlink"/>
                <w:rFonts w:ascii="Arial" w:hAnsi="Arial" w:cs="Arial"/>
                <w:b/>
                <w:bCs/>
                <w:noProof/>
              </w:rPr>
              <w:t>2.Impact on Workforce</w:t>
            </w:r>
            <w:r>
              <w:rPr>
                <w:noProof/>
                <w:webHidden/>
              </w:rPr>
              <w:tab/>
            </w:r>
            <w:r>
              <w:rPr>
                <w:noProof/>
                <w:webHidden/>
              </w:rPr>
              <w:fldChar w:fldCharType="begin"/>
            </w:r>
            <w:r>
              <w:rPr>
                <w:noProof/>
                <w:webHidden/>
              </w:rPr>
              <w:instrText xml:space="preserve"> PAGEREF _Toc235439039 \h </w:instrText>
            </w:r>
            <w:r>
              <w:rPr>
                <w:noProof/>
                <w:webHidden/>
              </w:rPr>
            </w:r>
            <w:r>
              <w:rPr>
                <w:noProof/>
                <w:webHidden/>
              </w:rPr>
              <w:fldChar w:fldCharType="separate"/>
            </w:r>
            <w:r>
              <w:rPr>
                <w:noProof/>
                <w:webHidden/>
              </w:rPr>
              <w:t>3</w:t>
            </w:r>
            <w:r>
              <w:rPr>
                <w:noProof/>
                <w:webHidden/>
              </w:rPr>
              <w:fldChar w:fldCharType="end"/>
            </w:r>
          </w:hyperlink>
        </w:p>
        <w:p w14:paraId="28C1E006" w14:textId="46FB88FA" w:rsidR="00243AB7" w:rsidRDefault="00243AB7">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35439040" w:history="1">
            <w:r w:rsidRPr="00240A2C">
              <w:rPr>
                <w:rStyle w:val="Hyperlink"/>
                <w:rFonts w:ascii="Arial" w:hAnsi="Arial" w:cs="Arial"/>
                <w:b/>
                <w:bCs/>
                <w:noProof/>
              </w:rPr>
              <w:t>3. Impact on Service Delivery</w:t>
            </w:r>
            <w:r>
              <w:rPr>
                <w:noProof/>
                <w:webHidden/>
              </w:rPr>
              <w:tab/>
            </w:r>
            <w:r>
              <w:rPr>
                <w:noProof/>
                <w:webHidden/>
              </w:rPr>
              <w:fldChar w:fldCharType="begin"/>
            </w:r>
            <w:r>
              <w:rPr>
                <w:noProof/>
                <w:webHidden/>
              </w:rPr>
              <w:instrText xml:space="preserve"> PAGEREF _Toc235439040 \h </w:instrText>
            </w:r>
            <w:r>
              <w:rPr>
                <w:noProof/>
                <w:webHidden/>
              </w:rPr>
            </w:r>
            <w:r>
              <w:rPr>
                <w:noProof/>
                <w:webHidden/>
              </w:rPr>
              <w:fldChar w:fldCharType="separate"/>
            </w:r>
            <w:r>
              <w:rPr>
                <w:noProof/>
                <w:webHidden/>
              </w:rPr>
              <w:t>4</w:t>
            </w:r>
            <w:r>
              <w:rPr>
                <w:noProof/>
                <w:webHidden/>
              </w:rPr>
              <w:fldChar w:fldCharType="end"/>
            </w:r>
          </w:hyperlink>
        </w:p>
        <w:p w14:paraId="30BC11DC" w14:textId="5CF08905" w:rsidR="00243AB7" w:rsidRDefault="00243AB7">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35439041" w:history="1">
            <w:r w:rsidRPr="00240A2C">
              <w:rPr>
                <w:rStyle w:val="Hyperlink"/>
                <w:rFonts w:ascii="Arial" w:hAnsi="Arial" w:cs="Arial"/>
                <w:b/>
                <w:bCs/>
                <w:noProof/>
              </w:rPr>
              <w:t>4. Impact on Patients (Service Users)</w:t>
            </w:r>
            <w:r>
              <w:rPr>
                <w:noProof/>
                <w:webHidden/>
              </w:rPr>
              <w:tab/>
            </w:r>
            <w:r>
              <w:rPr>
                <w:noProof/>
                <w:webHidden/>
              </w:rPr>
              <w:fldChar w:fldCharType="begin"/>
            </w:r>
            <w:r>
              <w:rPr>
                <w:noProof/>
                <w:webHidden/>
              </w:rPr>
              <w:instrText xml:space="preserve"> PAGEREF _Toc235439041 \h </w:instrText>
            </w:r>
            <w:r>
              <w:rPr>
                <w:noProof/>
                <w:webHidden/>
              </w:rPr>
            </w:r>
            <w:r>
              <w:rPr>
                <w:noProof/>
                <w:webHidden/>
              </w:rPr>
              <w:fldChar w:fldCharType="separate"/>
            </w:r>
            <w:r>
              <w:rPr>
                <w:noProof/>
                <w:webHidden/>
              </w:rPr>
              <w:t>5</w:t>
            </w:r>
            <w:r>
              <w:rPr>
                <w:noProof/>
                <w:webHidden/>
              </w:rPr>
              <w:fldChar w:fldCharType="end"/>
            </w:r>
          </w:hyperlink>
        </w:p>
        <w:p w14:paraId="3A05E9EE" w14:textId="3ABE6E55" w:rsidR="00243AB7" w:rsidRDefault="00243AB7">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35439042" w:history="1">
            <w:r w:rsidRPr="00240A2C">
              <w:rPr>
                <w:rStyle w:val="Hyperlink"/>
                <w:rFonts w:ascii="Arial" w:hAnsi="Arial" w:cs="Arial"/>
                <w:b/>
                <w:bCs/>
                <w:noProof/>
              </w:rPr>
              <w:t>5. Impact on Community</w:t>
            </w:r>
            <w:r>
              <w:rPr>
                <w:noProof/>
                <w:webHidden/>
              </w:rPr>
              <w:tab/>
            </w:r>
            <w:r>
              <w:rPr>
                <w:noProof/>
                <w:webHidden/>
              </w:rPr>
              <w:fldChar w:fldCharType="begin"/>
            </w:r>
            <w:r>
              <w:rPr>
                <w:noProof/>
                <w:webHidden/>
              </w:rPr>
              <w:instrText xml:space="preserve"> PAGEREF _Toc235439042 \h </w:instrText>
            </w:r>
            <w:r>
              <w:rPr>
                <w:noProof/>
                <w:webHidden/>
              </w:rPr>
            </w:r>
            <w:r>
              <w:rPr>
                <w:noProof/>
                <w:webHidden/>
              </w:rPr>
              <w:fldChar w:fldCharType="separate"/>
            </w:r>
            <w:r>
              <w:rPr>
                <w:noProof/>
                <w:webHidden/>
              </w:rPr>
              <w:t>6</w:t>
            </w:r>
            <w:r>
              <w:rPr>
                <w:noProof/>
                <w:webHidden/>
              </w:rPr>
              <w:fldChar w:fldCharType="end"/>
            </w:r>
          </w:hyperlink>
        </w:p>
        <w:p w14:paraId="0FEC3478" w14:textId="050587F7" w:rsidR="00243AB7" w:rsidRDefault="00243AB7">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35439043" w:history="1">
            <w:r w:rsidRPr="00240A2C">
              <w:rPr>
                <w:rStyle w:val="Hyperlink"/>
                <w:rFonts w:ascii="Arial" w:hAnsi="Arial" w:cs="Arial"/>
                <w:b/>
                <w:bCs/>
                <w:noProof/>
              </w:rPr>
              <w:t>6. Critical Evaluation</w:t>
            </w:r>
            <w:r>
              <w:rPr>
                <w:noProof/>
                <w:webHidden/>
              </w:rPr>
              <w:tab/>
            </w:r>
            <w:r>
              <w:rPr>
                <w:noProof/>
                <w:webHidden/>
              </w:rPr>
              <w:fldChar w:fldCharType="begin"/>
            </w:r>
            <w:r>
              <w:rPr>
                <w:noProof/>
                <w:webHidden/>
              </w:rPr>
              <w:instrText xml:space="preserve"> PAGEREF _Toc235439043 \h </w:instrText>
            </w:r>
            <w:r>
              <w:rPr>
                <w:noProof/>
                <w:webHidden/>
              </w:rPr>
            </w:r>
            <w:r>
              <w:rPr>
                <w:noProof/>
                <w:webHidden/>
              </w:rPr>
              <w:fldChar w:fldCharType="separate"/>
            </w:r>
            <w:r>
              <w:rPr>
                <w:noProof/>
                <w:webHidden/>
              </w:rPr>
              <w:t>7</w:t>
            </w:r>
            <w:r>
              <w:rPr>
                <w:noProof/>
                <w:webHidden/>
              </w:rPr>
              <w:fldChar w:fldCharType="end"/>
            </w:r>
          </w:hyperlink>
        </w:p>
        <w:p w14:paraId="73A58D5F" w14:textId="1AE32D5A" w:rsidR="00243AB7" w:rsidRDefault="00243AB7">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35439044" w:history="1">
            <w:r w:rsidRPr="00240A2C">
              <w:rPr>
                <w:rStyle w:val="Hyperlink"/>
                <w:rFonts w:ascii="Arial" w:hAnsi="Arial" w:cs="Arial"/>
                <w:b/>
                <w:bCs/>
                <w:noProof/>
              </w:rPr>
              <w:t>7. Conclusion</w:t>
            </w:r>
            <w:r>
              <w:rPr>
                <w:noProof/>
                <w:webHidden/>
              </w:rPr>
              <w:tab/>
            </w:r>
            <w:r>
              <w:rPr>
                <w:noProof/>
                <w:webHidden/>
              </w:rPr>
              <w:fldChar w:fldCharType="begin"/>
            </w:r>
            <w:r>
              <w:rPr>
                <w:noProof/>
                <w:webHidden/>
              </w:rPr>
              <w:instrText xml:space="preserve"> PAGEREF _Toc235439044 \h </w:instrText>
            </w:r>
            <w:r>
              <w:rPr>
                <w:noProof/>
                <w:webHidden/>
              </w:rPr>
            </w:r>
            <w:r>
              <w:rPr>
                <w:noProof/>
                <w:webHidden/>
              </w:rPr>
              <w:fldChar w:fldCharType="separate"/>
            </w:r>
            <w:r>
              <w:rPr>
                <w:noProof/>
                <w:webHidden/>
              </w:rPr>
              <w:t>7</w:t>
            </w:r>
            <w:r>
              <w:rPr>
                <w:noProof/>
                <w:webHidden/>
              </w:rPr>
              <w:fldChar w:fldCharType="end"/>
            </w:r>
          </w:hyperlink>
        </w:p>
        <w:p w14:paraId="312D750A" w14:textId="41EEA4E2" w:rsidR="00243AB7" w:rsidRDefault="00243AB7">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35439045" w:history="1">
            <w:r w:rsidRPr="00240A2C">
              <w:rPr>
                <w:rStyle w:val="Hyperlink"/>
                <w:rFonts w:ascii="Arial" w:hAnsi="Arial" w:cs="Arial"/>
                <w:b/>
                <w:bCs/>
                <w:noProof/>
              </w:rPr>
              <w:t>8. Reference</w:t>
            </w:r>
            <w:r>
              <w:rPr>
                <w:noProof/>
                <w:webHidden/>
              </w:rPr>
              <w:tab/>
            </w:r>
            <w:r>
              <w:rPr>
                <w:noProof/>
                <w:webHidden/>
              </w:rPr>
              <w:fldChar w:fldCharType="begin"/>
            </w:r>
            <w:r>
              <w:rPr>
                <w:noProof/>
                <w:webHidden/>
              </w:rPr>
              <w:instrText xml:space="preserve"> PAGEREF _Toc235439045 \h </w:instrText>
            </w:r>
            <w:r>
              <w:rPr>
                <w:noProof/>
                <w:webHidden/>
              </w:rPr>
            </w:r>
            <w:r>
              <w:rPr>
                <w:noProof/>
                <w:webHidden/>
              </w:rPr>
              <w:fldChar w:fldCharType="separate"/>
            </w:r>
            <w:r>
              <w:rPr>
                <w:noProof/>
                <w:webHidden/>
              </w:rPr>
              <w:t>9</w:t>
            </w:r>
            <w:r>
              <w:rPr>
                <w:noProof/>
                <w:webHidden/>
              </w:rPr>
              <w:fldChar w:fldCharType="end"/>
            </w:r>
          </w:hyperlink>
        </w:p>
        <w:p w14:paraId="4C21297A" w14:textId="7B38571A" w:rsidR="00243AB7" w:rsidRDefault="00243AB7">
          <w:r>
            <w:rPr>
              <w:b/>
              <w:bCs/>
            </w:rPr>
            <w:fldChar w:fldCharType="end"/>
          </w:r>
        </w:p>
      </w:sdtContent>
    </w:sdt>
    <w:p w14:paraId="014C36E6" w14:textId="77777777" w:rsidR="008375B5" w:rsidRPr="00D20A36" w:rsidRDefault="008375B5" w:rsidP="008375B5">
      <w:pPr>
        <w:pStyle w:val="NormalWeb"/>
        <w:spacing w:line="360" w:lineRule="auto"/>
        <w:rPr>
          <w:rFonts w:ascii="Arial" w:hAnsi="Arial" w:cs="Arial"/>
          <w:color w:val="000000"/>
          <w:sz w:val="20"/>
          <w:szCs w:val="20"/>
        </w:rPr>
      </w:pPr>
    </w:p>
    <w:p w14:paraId="63E2CA27" w14:textId="77777777" w:rsidR="008375B5" w:rsidRPr="00D20A36" w:rsidRDefault="008375B5" w:rsidP="008375B5">
      <w:pPr>
        <w:pStyle w:val="NormalWeb"/>
        <w:spacing w:line="360" w:lineRule="auto"/>
        <w:rPr>
          <w:rFonts w:ascii="Arial" w:hAnsi="Arial" w:cs="Arial"/>
          <w:b/>
          <w:bCs/>
          <w:color w:val="000000"/>
          <w:sz w:val="22"/>
          <w:szCs w:val="22"/>
        </w:rPr>
      </w:pPr>
    </w:p>
    <w:p w14:paraId="0E7227A5" w14:textId="77777777" w:rsidR="008375B5" w:rsidRPr="00FA55DD" w:rsidRDefault="008375B5" w:rsidP="008375B5">
      <w:pPr>
        <w:pStyle w:val="NormalWeb"/>
        <w:spacing w:line="360" w:lineRule="auto"/>
        <w:rPr>
          <w:rFonts w:ascii="Arial" w:hAnsi="Arial" w:cs="Arial"/>
          <w:b/>
          <w:bCs/>
          <w:color w:val="000000"/>
        </w:rPr>
      </w:pPr>
    </w:p>
    <w:p w14:paraId="4C678BFB" w14:textId="77777777" w:rsidR="008375B5" w:rsidRPr="00FA55DD" w:rsidRDefault="008375B5" w:rsidP="008375B5">
      <w:pPr>
        <w:pStyle w:val="NormalWeb"/>
        <w:spacing w:line="360" w:lineRule="auto"/>
        <w:rPr>
          <w:rFonts w:ascii="Arial" w:hAnsi="Arial" w:cs="Arial"/>
          <w:b/>
          <w:bCs/>
          <w:color w:val="000000"/>
        </w:rPr>
      </w:pPr>
    </w:p>
    <w:p w14:paraId="3B71E803" w14:textId="77777777" w:rsidR="008375B5" w:rsidRPr="00FA55DD" w:rsidRDefault="008375B5" w:rsidP="008375B5">
      <w:pPr>
        <w:pStyle w:val="NormalWeb"/>
        <w:spacing w:line="360" w:lineRule="auto"/>
        <w:rPr>
          <w:rFonts w:ascii="Arial" w:hAnsi="Arial" w:cs="Arial"/>
          <w:b/>
          <w:bCs/>
          <w:color w:val="000000"/>
        </w:rPr>
      </w:pPr>
    </w:p>
    <w:p w14:paraId="1BDE8E0A" w14:textId="77777777" w:rsidR="008375B5" w:rsidRPr="00FA55DD" w:rsidRDefault="008375B5" w:rsidP="008375B5">
      <w:pPr>
        <w:pStyle w:val="NormalWeb"/>
        <w:spacing w:line="360" w:lineRule="auto"/>
        <w:rPr>
          <w:rFonts w:ascii="Arial" w:hAnsi="Arial" w:cs="Arial"/>
          <w:b/>
          <w:bCs/>
          <w:color w:val="000000"/>
        </w:rPr>
      </w:pPr>
    </w:p>
    <w:p w14:paraId="43FBCC08" w14:textId="77777777" w:rsidR="008375B5" w:rsidRPr="00FA55DD" w:rsidRDefault="008375B5" w:rsidP="008375B5">
      <w:pPr>
        <w:pStyle w:val="NormalWeb"/>
        <w:spacing w:line="360" w:lineRule="auto"/>
        <w:rPr>
          <w:rFonts w:ascii="Arial" w:hAnsi="Arial" w:cs="Arial"/>
          <w:b/>
          <w:bCs/>
          <w:color w:val="000000"/>
        </w:rPr>
      </w:pPr>
    </w:p>
    <w:p w14:paraId="2DCF23CD" w14:textId="77777777" w:rsidR="008375B5" w:rsidRPr="00FA55DD" w:rsidRDefault="008375B5" w:rsidP="008375B5">
      <w:pPr>
        <w:pStyle w:val="NormalWeb"/>
        <w:spacing w:line="360" w:lineRule="auto"/>
        <w:rPr>
          <w:rFonts w:ascii="Arial" w:hAnsi="Arial" w:cs="Arial"/>
          <w:b/>
          <w:bCs/>
          <w:color w:val="000000"/>
        </w:rPr>
      </w:pPr>
    </w:p>
    <w:p w14:paraId="7E9D4197" w14:textId="77777777" w:rsidR="008375B5" w:rsidRPr="00FA55DD" w:rsidRDefault="008375B5" w:rsidP="008375B5">
      <w:pPr>
        <w:pStyle w:val="NormalWeb"/>
        <w:spacing w:line="360" w:lineRule="auto"/>
        <w:rPr>
          <w:rFonts w:ascii="Arial" w:hAnsi="Arial" w:cs="Arial"/>
          <w:b/>
          <w:bCs/>
          <w:color w:val="000000"/>
        </w:rPr>
      </w:pPr>
    </w:p>
    <w:p w14:paraId="71EA410D" w14:textId="77777777" w:rsidR="008375B5" w:rsidRPr="00FA55DD" w:rsidRDefault="008375B5" w:rsidP="008375B5">
      <w:pPr>
        <w:pStyle w:val="NormalWeb"/>
        <w:spacing w:line="360" w:lineRule="auto"/>
        <w:rPr>
          <w:rFonts w:ascii="Arial" w:hAnsi="Arial" w:cs="Arial"/>
          <w:b/>
          <w:bCs/>
          <w:color w:val="000000"/>
        </w:rPr>
      </w:pPr>
    </w:p>
    <w:p w14:paraId="42CE9206" w14:textId="77777777" w:rsidR="008375B5" w:rsidRPr="00FA55DD" w:rsidRDefault="008375B5" w:rsidP="008375B5">
      <w:pPr>
        <w:pStyle w:val="NormalWeb"/>
        <w:spacing w:line="360" w:lineRule="auto"/>
        <w:rPr>
          <w:rFonts w:ascii="Arial" w:hAnsi="Arial" w:cs="Arial"/>
          <w:b/>
          <w:bCs/>
          <w:color w:val="000000"/>
        </w:rPr>
      </w:pPr>
    </w:p>
    <w:p w14:paraId="09C4C53A" w14:textId="77777777" w:rsidR="008375B5" w:rsidRPr="00FA55DD" w:rsidRDefault="008375B5" w:rsidP="008375B5">
      <w:pPr>
        <w:pStyle w:val="NormalWeb"/>
        <w:spacing w:line="360" w:lineRule="auto"/>
        <w:rPr>
          <w:rFonts w:ascii="Arial" w:hAnsi="Arial" w:cs="Arial"/>
          <w:b/>
          <w:bCs/>
          <w:color w:val="000000"/>
        </w:rPr>
      </w:pPr>
    </w:p>
    <w:p w14:paraId="5CCEFBC3" w14:textId="77777777" w:rsidR="008375B5" w:rsidRPr="00FA55DD" w:rsidRDefault="008375B5" w:rsidP="008375B5">
      <w:pPr>
        <w:pStyle w:val="NormalWeb"/>
        <w:spacing w:line="360" w:lineRule="auto"/>
        <w:rPr>
          <w:rFonts w:ascii="Arial" w:hAnsi="Arial" w:cs="Arial"/>
          <w:b/>
          <w:bCs/>
          <w:color w:val="000000"/>
        </w:rPr>
      </w:pPr>
    </w:p>
    <w:p w14:paraId="39486F19" w14:textId="77777777" w:rsidR="00B17241" w:rsidRPr="006229A5" w:rsidRDefault="00B17241" w:rsidP="00F31A0A">
      <w:pPr>
        <w:pStyle w:val="Heading1"/>
        <w:rPr>
          <w:rFonts w:ascii="Arial" w:hAnsi="Arial" w:cs="Arial"/>
          <w:b/>
          <w:bCs/>
          <w:sz w:val="22"/>
          <w:szCs w:val="22"/>
        </w:rPr>
      </w:pPr>
      <w:bookmarkStart w:id="0" w:name="_Toc235439038"/>
      <w:r w:rsidRPr="006229A5">
        <w:rPr>
          <w:rFonts w:ascii="Arial" w:hAnsi="Arial" w:cs="Arial"/>
          <w:b/>
          <w:bCs/>
          <w:sz w:val="22"/>
          <w:szCs w:val="22"/>
        </w:rPr>
        <w:t>1. Introduction</w:t>
      </w:r>
      <w:bookmarkEnd w:id="0"/>
    </w:p>
    <w:p w14:paraId="2ADAE721" w14:textId="730B0815" w:rsidR="00B17241" w:rsidRPr="00D20A36" w:rsidRDefault="00B17241" w:rsidP="00D20A36">
      <w:pPr>
        <w:spacing w:after="0" w:line="276" w:lineRule="auto"/>
        <w:contextualSpacing/>
        <w:rPr>
          <w:rFonts w:ascii="Arial" w:eastAsia="Calibri" w:hAnsi="Arial" w:cs="Arial"/>
          <w:kern w:val="0"/>
          <w:sz w:val="22"/>
          <w:szCs w:val="22"/>
        </w:rPr>
      </w:pPr>
      <w:r w:rsidRPr="00D20A36">
        <w:rPr>
          <w:rFonts w:ascii="Arial" w:eastAsia="Calibri" w:hAnsi="Arial" w:cs="Arial"/>
          <w:kern w:val="0"/>
          <w:sz w:val="22"/>
          <w:szCs w:val="22"/>
        </w:rPr>
        <w:t>Genomic and precision medicine platforms are a transformative digital innovation in health and social care in the UK that will move practice from a ‘one-size-fits-all' approach to personalised diagnosis, risk prediction and care, using genetic information as a basis for action (UK Government, 2020). The UK has become a leader in this field through a number of strategic initiatives, such as the 100,000 Genomes Project and the launch of the NHS Genomic Medicine Service (GMS) in 2018 (NHS England, 2022). The Genome UK strategy (2020) was the government's vision to make genomics a part of routine health services.</w:t>
      </w:r>
    </w:p>
    <w:p w14:paraId="2AE196AF" w14:textId="16A5D5E2" w:rsidR="00B17241" w:rsidRPr="00D20A36" w:rsidRDefault="00B17241" w:rsidP="00D20A36">
      <w:pPr>
        <w:spacing w:after="0" w:line="276" w:lineRule="auto"/>
        <w:contextualSpacing/>
        <w:rPr>
          <w:rFonts w:ascii="Arial" w:eastAsia="Calibri" w:hAnsi="Arial" w:cs="Arial"/>
          <w:kern w:val="0"/>
          <w:sz w:val="22"/>
          <w:szCs w:val="22"/>
        </w:rPr>
      </w:pPr>
      <w:r w:rsidRPr="00D20A36">
        <w:rPr>
          <w:rFonts w:ascii="Arial" w:eastAsia="Calibri" w:hAnsi="Arial" w:cs="Arial"/>
          <w:kern w:val="0"/>
          <w:sz w:val="22"/>
          <w:szCs w:val="22"/>
        </w:rPr>
        <w:t xml:space="preserve">In a number of </w:t>
      </w:r>
      <w:proofErr w:type="gramStart"/>
      <w:r w:rsidRPr="00D20A36">
        <w:rPr>
          <w:rFonts w:ascii="Arial" w:eastAsia="Calibri" w:hAnsi="Arial" w:cs="Arial"/>
          <w:kern w:val="0"/>
          <w:sz w:val="22"/>
          <w:szCs w:val="22"/>
        </w:rPr>
        <w:t>cancer</w:t>
      </w:r>
      <w:proofErr w:type="gramEnd"/>
      <w:r w:rsidRPr="00D20A36">
        <w:rPr>
          <w:rFonts w:ascii="Arial" w:eastAsia="Calibri" w:hAnsi="Arial" w:cs="Arial"/>
          <w:kern w:val="0"/>
          <w:sz w:val="22"/>
          <w:szCs w:val="22"/>
        </w:rPr>
        <w:t>, rare disease and pharmacogenomics services, genomic testing has become more accessible as a result of the NHS GMS, with ongoing investment in infrastructure, education of the workforce and national policy frameworks (NHS England, 2025; Genomics England, 2024). During 2024, the NHS GMS performed more than 810,000 genomic tests and the National Genomic Test Directory includes tests for 7,000 rare and inherited diseases and more than 200 cancer indications (NHS England, 2025). But the workforce, digital interoperability, equitable access, and public trust for responsible use of genomic data are key factors in successfully implementing the system (NHS England, 2022).</w:t>
      </w:r>
    </w:p>
    <w:p w14:paraId="2B5E8C2B" w14:textId="77777777" w:rsidR="00B17241" w:rsidRPr="00D20A36" w:rsidRDefault="00B17241" w:rsidP="00D20A36">
      <w:pPr>
        <w:spacing w:after="0" w:line="276" w:lineRule="auto"/>
        <w:contextualSpacing/>
        <w:rPr>
          <w:rFonts w:ascii="Arial" w:eastAsia="Calibri" w:hAnsi="Arial" w:cs="Arial"/>
          <w:kern w:val="0"/>
          <w:sz w:val="22"/>
          <w:szCs w:val="22"/>
        </w:rPr>
      </w:pPr>
      <w:r w:rsidRPr="00D20A36">
        <w:rPr>
          <w:rFonts w:ascii="Arial" w:eastAsia="Calibri" w:hAnsi="Arial" w:cs="Arial"/>
          <w:kern w:val="0"/>
          <w:sz w:val="22"/>
          <w:szCs w:val="22"/>
        </w:rPr>
        <w:t>This report provides a critical perspective on this digital transformation in four key areas: workforce implications, service delivery changes, patient experience and community impact. The main argument is that even though genomic platforms have a lot of potential in clinical applications, there are many challenges to be addressed, including workforce development, digital infrastructure, equity of access and public trust for their success.</w:t>
      </w:r>
    </w:p>
    <w:p w14:paraId="7FBB4197" w14:textId="77777777" w:rsidR="00D20A36" w:rsidRDefault="00D20A36" w:rsidP="00D20A36">
      <w:pPr>
        <w:keepNext/>
        <w:keepLines/>
        <w:spacing w:after="0" w:line="276" w:lineRule="auto"/>
        <w:contextualSpacing/>
        <w:jc w:val="both"/>
        <w:outlineLvl w:val="0"/>
        <w:rPr>
          <w:rFonts w:ascii="Arial" w:eastAsia="Times New Roman" w:hAnsi="Arial" w:cs="Arial"/>
          <w:b/>
          <w:i/>
          <w:color w:val="000000"/>
          <w:kern w:val="0"/>
          <w:sz w:val="22"/>
          <w:szCs w:val="28"/>
        </w:rPr>
      </w:pPr>
    </w:p>
    <w:p w14:paraId="0FDECB6C" w14:textId="6FEA047E" w:rsidR="0031421D" w:rsidRPr="006229A5" w:rsidRDefault="0031421D" w:rsidP="00F31A0A">
      <w:pPr>
        <w:pStyle w:val="Heading1"/>
        <w:rPr>
          <w:rFonts w:ascii="Arial" w:hAnsi="Arial" w:cs="Arial"/>
          <w:b/>
          <w:bCs/>
          <w:sz w:val="22"/>
          <w:szCs w:val="22"/>
        </w:rPr>
      </w:pPr>
      <w:bookmarkStart w:id="1" w:name="_Toc235439039"/>
      <w:r w:rsidRPr="006229A5">
        <w:rPr>
          <w:rFonts w:ascii="Arial" w:hAnsi="Arial" w:cs="Arial"/>
          <w:b/>
          <w:bCs/>
          <w:sz w:val="22"/>
          <w:szCs w:val="22"/>
        </w:rPr>
        <w:t>2.Impact on Workforce</w:t>
      </w:r>
      <w:bookmarkEnd w:id="1"/>
    </w:p>
    <w:p w14:paraId="3FBA46B2" w14:textId="77777777" w:rsidR="00A14A8F" w:rsidRPr="00D20A36" w:rsidRDefault="0031421D" w:rsidP="00D20A36">
      <w:pPr>
        <w:spacing w:line="276" w:lineRule="auto"/>
        <w:rPr>
          <w:rFonts w:ascii="Arial" w:eastAsia="Calibri" w:hAnsi="Arial" w:cs="Arial"/>
          <w:kern w:val="0"/>
          <w:sz w:val="22"/>
          <w:szCs w:val="22"/>
        </w:rPr>
      </w:pPr>
      <w:r w:rsidRPr="00D20A36">
        <w:rPr>
          <w:rFonts w:ascii="Arial" w:eastAsia="Calibri" w:hAnsi="Arial" w:cs="Arial"/>
          <w:kern w:val="0"/>
          <w:sz w:val="22"/>
          <w:szCs w:val="22"/>
        </w:rPr>
        <w:t>Genomic medicine has revolutionised competency needs in health and social care professions. The NHS Genomic Medicine Service (GMS) and National Genomic Test Directory have established a need to build a workforce with the skills to interpret genomic results and communicate implications to patients and families—this goes beyond clinical geneticists, and will include midwives, doctors, nurses, and pharmacists (NHS England, 2022a; Genomics Education Programme, 2021).</w:t>
      </w:r>
      <w:r w:rsidR="000B77DA" w:rsidRPr="00D20A36">
        <w:rPr>
          <w:rFonts w:ascii="Arial" w:eastAsia="Calibri" w:hAnsi="Arial" w:cs="Arial"/>
          <w:kern w:val="0"/>
          <w:sz w:val="22"/>
          <w:szCs w:val="22"/>
        </w:rPr>
        <w:t xml:space="preserve"> Educational system development is a step in the right direction to transform the labour force. Competency frameworks which specify necessary knowledge and skills have been developed</w:t>
      </w:r>
      <w:r w:rsidR="00A14A8F" w:rsidRPr="00D20A36">
        <w:rPr>
          <w:rFonts w:ascii="Arial" w:eastAsia="Calibri" w:hAnsi="Arial" w:cs="Arial"/>
          <w:kern w:val="0"/>
          <w:sz w:val="22"/>
          <w:szCs w:val="22"/>
        </w:rPr>
        <w:t xml:space="preserve"> through the Genomics Education Programme (2021); specialist strategies have been developed by NHS England which include embedding genomics into professional training, such as the Pharmacy Genomics Workforce Framework (NHS England, 2024). This investment helps to provide more accurate and evidence-based care and drives lifelong learning for maintaining complex innovation (Karthikeyan, McKee and McKay, 2024).</w:t>
      </w:r>
    </w:p>
    <w:p w14:paraId="4FE004A7" w14:textId="77777777" w:rsidR="00712A07" w:rsidRDefault="00A14A8F" w:rsidP="00D20A36">
      <w:pPr>
        <w:spacing w:after="0" w:line="276" w:lineRule="auto"/>
        <w:contextualSpacing/>
        <w:rPr>
          <w:rFonts w:ascii="Arial" w:eastAsia="Calibri" w:hAnsi="Arial" w:cs="Arial"/>
          <w:kern w:val="0"/>
          <w:sz w:val="22"/>
          <w:szCs w:val="22"/>
        </w:rPr>
      </w:pPr>
      <w:r w:rsidRPr="00D20A36">
        <w:rPr>
          <w:rFonts w:ascii="Arial" w:eastAsia="Calibri" w:hAnsi="Arial" w:cs="Arial"/>
          <w:kern w:val="0"/>
          <w:sz w:val="22"/>
          <w:szCs w:val="22"/>
        </w:rPr>
        <w:t xml:space="preserve">But there are still some big obstacles. The capacity of the NHS to deliver care is limited by workforce shortages, including a shortage of staging specialists (Boehringer Ingelheim, 2026), in all relevant job areas within the context of genomics. One key challenge was noted </w:t>
      </w:r>
      <w:r w:rsidRPr="00D20A36">
        <w:rPr>
          <w:rFonts w:ascii="Arial" w:eastAsia="Calibri" w:hAnsi="Arial" w:cs="Arial"/>
          <w:kern w:val="0"/>
          <w:sz w:val="22"/>
          <w:szCs w:val="22"/>
        </w:rPr>
        <w:lastRenderedPageBreak/>
        <w:t xml:space="preserve">in a qualitative study where "concerns around the lack of trained and available workforce to seek consent, interpret findings and communicate results" was highlighted (Friedrich et al., 2024). Consultations with genomics are more complicated, involving a longer process of consenting, explaining results and helping with anxiety. The potential for significant gaps in </w:t>
      </w:r>
    </w:p>
    <w:p w14:paraId="6836E25E" w14:textId="601F55B4" w:rsidR="00A14A8F" w:rsidRPr="00D20A36" w:rsidRDefault="00A14A8F" w:rsidP="00D20A36">
      <w:pPr>
        <w:spacing w:after="0" w:line="276" w:lineRule="auto"/>
        <w:contextualSpacing/>
        <w:rPr>
          <w:rFonts w:ascii="Arial" w:eastAsia="Calibri" w:hAnsi="Arial" w:cs="Arial"/>
          <w:kern w:val="0"/>
          <w:sz w:val="22"/>
          <w:szCs w:val="22"/>
        </w:rPr>
      </w:pPr>
      <w:r w:rsidRPr="00D20A36">
        <w:rPr>
          <w:rFonts w:ascii="Arial" w:eastAsia="Calibri" w:hAnsi="Arial" w:cs="Arial"/>
          <w:kern w:val="0"/>
          <w:sz w:val="22"/>
          <w:szCs w:val="22"/>
        </w:rPr>
        <w:t>competency between a specialist and primary care setting is clear, with many community paediatricians feeling ill-equipped and lacking in time and resources for genomics, and many not considering this to be a priority (Friedrich et al., 2024). This makes for a two-tiered system, in which some patients are excluded from genomic medicine's full potential.</w:t>
      </w:r>
    </w:p>
    <w:p w14:paraId="7C715B68" w14:textId="77777777" w:rsidR="003B77A7" w:rsidRPr="00D20A36" w:rsidRDefault="003B77A7" w:rsidP="00D20A36">
      <w:pPr>
        <w:spacing w:after="0" w:line="276" w:lineRule="auto"/>
        <w:contextualSpacing/>
        <w:rPr>
          <w:rFonts w:ascii="Arial" w:eastAsia="Calibri" w:hAnsi="Arial" w:cs="Arial"/>
          <w:kern w:val="0"/>
          <w:sz w:val="22"/>
          <w:szCs w:val="22"/>
        </w:rPr>
      </w:pPr>
      <w:r w:rsidRPr="00D20A36">
        <w:rPr>
          <w:rFonts w:ascii="Arial" w:eastAsia="Calibri" w:hAnsi="Arial" w:cs="Arial"/>
          <w:kern w:val="0"/>
          <w:sz w:val="22"/>
          <w:szCs w:val="22"/>
        </w:rPr>
        <w:t>There is an opportunity for improvement through the NHS Long Term Workforce Plan committing to building capacity for genomic testing and through local initiatives like the appointment of genomic associates and embedding "genomic champions" within mainstream services (Boehringer Ingelheim, 2026; Friedrich et al., 2024). Resistance to organisational change is a significant barrier. Clinicians may resist genomics due to fear of increased workload or scepticism about clinical utility (Karthikeyan, McKee and McKay, 2024). Friedrich et al. (2024) found community paediatricians did not view genomics as a priority, reflecting resistance to integrating new technologies. Addressing this requires cultural change and leadership engagement.</w:t>
      </w:r>
    </w:p>
    <w:p w14:paraId="3770729F" w14:textId="77777777" w:rsidR="00D20A36" w:rsidRDefault="00D20A36" w:rsidP="00D20A36">
      <w:pPr>
        <w:keepNext/>
        <w:keepLines/>
        <w:spacing w:after="0" w:line="276" w:lineRule="auto"/>
        <w:contextualSpacing/>
        <w:jc w:val="both"/>
        <w:outlineLvl w:val="0"/>
        <w:rPr>
          <w:rFonts w:ascii="Arial" w:eastAsia="Times New Roman" w:hAnsi="Arial" w:cs="Arial"/>
          <w:b/>
          <w:i/>
          <w:color w:val="000000"/>
          <w:kern w:val="0"/>
          <w:sz w:val="22"/>
          <w:szCs w:val="28"/>
        </w:rPr>
      </w:pPr>
    </w:p>
    <w:p w14:paraId="6FB27939" w14:textId="3812771D" w:rsidR="00020163" w:rsidRPr="006229A5" w:rsidRDefault="00020163" w:rsidP="00F31A0A">
      <w:pPr>
        <w:pStyle w:val="Heading1"/>
        <w:rPr>
          <w:rFonts w:ascii="Arial" w:hAnsi="Arial" w:cs="Arial"/>
          <w:b/>
          <w:bCs/>
          <w:sz w:val="22"/>
          <w:szCs w:val="22"/>
        </w:rPr>
      </w:pPr>
      <w:bookmarkStart w:id="2" w:name="_Toc235439040"/>
      <w:r w:rsidRPr="006229A5">
        <w:rPr>
          <w:rFonts w:ascii="Arial" w:hAnsi="Arial" w:cs="Arial"/>
          <w:b/>
          <w:bCs/>
          <w:sz w:val="22"/>
          <w:szCs w:val="22"/>
        </w:rPr>
        <w:t>3. Impact on Service Delivery</w:t>
      </w:r>
      <w:bookmarkEnd w:id="2"/>
    </w:p>
    <w:p w14:paraId="2CE16F0D" w14:textId="77777777" w:rsidR="00020163" w:rsidRPr="00D20A36" w:rsidRDefault="00020163" w:rsidP="00D20A36">
      <w:pPr>
        <w:spacing w:after="0" w:line="276" w:lineRule="auto"/>
        <w:contextualSpacing/>
        <w:rPr>
          <w:rFonts w:ascii="Arial" w:eastAsia="Calibri" w:hAnsi="Arial" w:cs="Arial"/>
          <w:kern w:val="0"/>
          <w:sz w:val="22"/>
          <w:szCs w:val="22"/>
        </w:rPr>
      </w:pPr>
      <w:r w:rsidRPr="00D20A36">
        <w:rPr>
          <w:rFonts w:ascii="Arial" w:eastAsia="Calibri" w:hAnsi="Arial" w:cs="Arial"/>
          <w:kern w:val="0"/>
          <w:sz w:val="22"/>
          <w:szCs w:val="22"/>
        </w:rPr>
        <w:t>The use of genomic platforms has revolutionised the way health services are delivered, with testing now being integrated into routine care processes, such as in oncology, rare disease, and pharmacogenomics. The NHS GMS has set up a network of 7 Genomic Laboratory Hubs (GLHs), which offer whole genome sequencing and enhanced testing (NHS England 2022b; NHS England 2025). This is a huge digital transformation, and part of the NHS digital transformation (NHS England, 2022a), as the NHS has to manage a huge amount of genetic information using complex informatics systems. The National Genomic Order Management System (alpha and beta) is designed to make Genomic testing safer and more joined up in the NHS (North Thames GMS, 2025).</w:t>
      </w:r>
    </w:p>
    <w:p w14:paraId="1B56874A" w14:textId="2E0C0C69" w:rsidR="00BB7F7D" w:rsidRPr="00D20A36" w:rsidRDefault="00BB7F7D" w:rsidP="00D20A36">
      <w:pPr>
        <w:spacing w:after="0" w:line="276" w:lineRule="auto"/>
        <w:contextualSpacing/>
        <w:rPr>
          <w:rFonts w:ascii="Arial" w:eastAsia="Calibri" w:hAnsi="Arial" w:cs="Arial"/>
          <w:kern w:val="0"/>
          <w:sz w:val="22"/>
          <w:szCs w:val="22"/>
        </w:rPr>
      </w:pPr>
      <w:r w:rsidRPr="00D20A36">
        <w:rPr>
          <w:rFonts w:ascii="Arial" w:eastAsia="Calibri" w:hAnsi="Arial" w:cs="Arial"/>
          <w:kern w:val="0"/>
          <w:sz w:val="22"/>
          <w:szCs w:val="22"/>
        </w:rPr>
        <w:t>The rewards for the delivery of services are significant. Families with rare conditions can experience a 'diagnostic odyssey'—a series of multiple invasive tests for earlier and more accurate diagnosis, which can be shortened (NHS England, 2025). The 100,000 Genomes Project has shown that families had a median wait time to a genomic diagnosis of 75 months, with a median of 68 hospital appointments, and there was economic benefit for the families, as costs for affected participants were £87 million whereas it was £21 million for unaffected ones (Caulfield, 2025). Genomic testing also allows for faster access to precision medicines in cancer treatment, which improves treatment outcomes and minimises adverse drug reactions (NHS England, 2022). This focused treatment reduces waste of resources by avoiding non-effective treatments.</w:t>
      </w:r>
    </w:p>
    <w:p w14:paraId="6190F0C8" w14:textId="77777777" w:rsidR="00BB7F7D" w:rsidRPr="00D20A36" w:rsidRDefault="00BB7F7D" w:rsidP="00D20A36">
      <w:pPr>
        <w:spacing w:after="0" w:line="276" w:lineRule="auto"/>
        <w:contextualSpacing/>
        <w:rPr>
          <w:rFonts w:ascii="Arial" w:eastAsia="Calibri" w:hAnsi="Arial" w:cs="Arial"/>
          <w:kern w:val="0"/>
          <w:sz w:val="22"/>
          <w:szCs w:val="22"/>
        </w:rPr>
      </w:pPr>
      <w:r w:rsidRPr="00D20A36">
        <w:rPr>
          <w:rFonts w:ascii="Arial" w:eastAsia="Calibri" w:hAnsi="Arial" w:cs="Arial"/>
          <w:kern w:val="0"/>
          <w:sz w:val="22"/>
          <w:szCs w:val="22"/>
        </w:rPr>
        <w:t xml:space="preserve">Since the advent of genomics, however, there have been new pressures. The enormous amount of genomic information overloads digital infrastructure and interoperability. NHS England (2022a) recognises that there is much that needs to be done to ensure that data, including genomic data, can be managed and shared across care settings through informatics systems. There are issues of "inconsistent and inaccurate variant data standards" which prevent reliable linkage across labs and EHRs, and the errors with nomenclature are described as "universal and systemic" (Freeman, 2026). There is no </w:t>
      </w:r>
      <w:r w:rsidRPr="00D20A36">
        <w:rPr>
          <w:rFonts w:ascii="Arial" w:eastAsia="Calibri" w:hAnsi="Arial" w:cs="Arial"/>
          <w:kern w:val="0"/>
          <w:sz w:val="22"/>
          <w:szCs w:val="22"/>
        </w:rPr>
        <w:lastRenderedPageBreak/>
        <w:t>central, standards-aligned database of genomics data to support the NHS, and this creates inconsistencies across GLHs and hinders national reanalysis and the implementation of AI.</w:t>
      </w:r>
    </w:p>
    <w:p w14:paraId="251EC722" w14:textId="77777777" w:rsidR="00A7656B" w:rsidRPr="00D20A36" w:rsidRDefault="00A7656B" w:rsidP="00D20A36">
      <w:pPr>
        <w:spacing w:after="0" w:line="276" w:lineRule="auto"/>
        <w:contextualSpacing/>
        <w:rPr>
          <w:rFonts w:ascii="Arial" w:eastAsia="Calibri" w:hAnsi="Arial" w:cs="Arial"/>
          <w:kern w:val="0"/>
          <w:sz w:val="22"/>
          <w:szCs w:val="22"/>
        </w:rPr>
      </w:pPr>
      <w:r w:rsidRPr="00D20A36">
        <w:rPr>
          <w:rFonts w:ascii="Arial" w:eastAsia="Calibri" w:hAnsi="Arial" w:cs="Arial"/>
          <w:kern w:val="0"/>
          <w:sz w:val="22"/>
          <w:szCs w:val="22"/>
        </w:rPr>
        <w:t>The security of data is a key issue because once compromised, genomic data will be irretrievably lost or altered (NHS England, 2022a). WannaCry attack exposed NHS IT vulnerability in 2017. Strong security measures, such as encryption and access controls, need to be built into the system to ensure patient trust and integrity (Freeman, 2026).</w:t>
      </w:r>
    </w:p>
    <w:p w14:paraId="073BEF93" w14:textId="1C5A0C9D" w:rsidR="000B77DA" w:rsidRPr="00D20A36" w:rsidRDefault="00A7656B" w:rsidP="00D20A36">
      <w:pPr>
        <w:spacing w:line="276" w:lineRule="auto"/>
        <w:contextualSpacing/>
        <w:rPr>
          <w:rFonts w:ascii="Arial" w:eastAsia="Calibri" w:hAnsi="Arial" w:cs="Arial"/>
          <w:kern w:val="0"/>
          <w:sz w:val="22"/>
          <w:szCs w:val="22"/>
        </w:rPr>
      </w:pPr>
      <w:r w:rsidRPr="00D20A36">
        <w:rPr>
          <w:rFonts w:ascii="Arial" w:eastAsia="Calibri" w:hAnsi="Arial" w:cs="Arial"/>
          <w:kern w:val="0"/>
          <w:sz w:val="22"/>
          <w:szCs w:val="22"/>
        </w:rPr>
        <w:t xml:space="preserve">There are also challenges associated with changing turnaround times and regular changes to the pathways according to new evidence. To ensure diagnostics are aligned with patient need, Boehringer Ingelheim (2026) recommends a turnaround time from biopsy to genomic result of no more than 14 days, including no more than seven days for laboratory turnaround. </w:t>
      </w:r>
      <w:r w:rsidR="00BC56E0" w:rsidRPr="00D20A36">
        <w:rPr>
          <w:rFonts w:ascii="Arial" w:eastAsia="Calibri" w:hAnsi="Arial" w:cs="Arial"/>
          <w:kern w:val="0"/>
          <w:sz w:val="22"/>
          <w:szCs w:val="22"/>
        </w:rPr>
        <w:t>Administrative requirements for ongoing investments and adaptations are increased, as Karthikeyan, McKee and McKay (2024) noted in their discussion of implementation challenges.</w:t>
      </w:r>
      <w:r w:rsidR="00FE47A5" w:rsidRPr="00D20A36">
        <w:rPr>
          <w:rFonts w:ascii="Arial" w:eastAsia="Calibri" w:hAnsi="Arial" w:cs="Arial"/>
          <w:kern w:val="0"/>
          <w:sz w:val="22"/>
          <w:szCs w:val="22"/>
        </w:rPr>
        <w:t xml:space="preserve"> </w:t>
      </w:r>
    </w:p>
    <w:p w14:paraId="08722844" w14:textId="77777777" w:rsidR="00D20A36" w:rsidRDefault="00D20A36" w:rsidP="00D20A36">
      <w:pPr>
        <w:keepNext/>
        <w:keepLines/>
        <w:spacing w:after="0" w:line="276" w:lineRule="auto"/>
        <w:contextualSpacing/>
        <w:jc w:val="both"/>
        <w:outlineLvl w:val="0"/>
        <w:rPr>
          <w:rFonts w:ascii="Arial" w:eastAsia="Times New Roman" w:hAnsi="Arial" w:cs="Arial"/>
          <w:b/>
          <w:i/>
          <w:color w:val="000000"/>
          <w:kern w:val="0"/>
          <w:sz w:val="22"/>
          <w:szCs w:val="28"/>
        </w:rPr>
      </w:pPr>
    </w:p>
    <w:p w14:paraId="1C28635F" w14:textId="5B312C02" w:rsidR="00FE47A5" w:rsidRPr="006229A5" w:rsidRDefault="00FE47A5" w:rsidP="006229A5">
      <w:pPr>
        <w:pStyle w:val="Heading1"/>
        <w:rPr>
          <w:rFonts w:ascii="Arial" w:hAnsi="Arial" w:cs="Arial"/>
          <w:b/>
          <w:bCs/>
          <w:sz w:val="22"/>
          <w:szCs w:val="22"/>
        </w:rPr>
      </w:pPr>
      <w:bookmarkStart w:id="3" w:name="_Toc235439041"/>
      <w:r w:rsidRPr="006229A5">
        <w:rPr>
          <w:rFonts w:ascii="Arial" w:hAnsi="Arial" w:cs="Arial"/>
          <w:b/>
          <w:bCs/>
          <w:sz w:val="22"/>
          <w:szCs w:val="22"/>
        </w:rPr>
        <w:t>4. Impact on Patients (Service Users)</w:t>
      </w:r>
      <w:bookmarkEnd w:id="3"/>
    </w:p>
    <w:p w14:paraId="5478EC62" w14:textId="77777777" w:rsidR="00FE47A5" w:rsidRPr="00D20A36" w:rsidRDefault="00FE47A5" w:rsidP="00D20A36">
      <w:pPr>
        <w:spacing w:after="0" w:line="276" w:lineRule="auto"/>
        <w:contextualSpacing/>
        <w:rPr>
          <w:rFonts w:ascii="Arial" w:eastAsia="Calibri" w:hAnsi="Arial" w:cs="Arial"/>
          <w:kern w:val="0"/>
          <w:sz w:val="22"/>
          <w:szCs w:val="22"/>
        </w:rPr>
      </w:pPr>
      <w:r w:rsidRPr="00D20A36">
        <w:rPr>
          <w:rFonts w:ascii="Arial" w:eastAsia="Calibri" w:hAnsi="Arial" w:cs="Arial"/>
          <w:kern w:val="0"/>
          <w:sz w:val="22"/>
          <w:szCs w:val="22"/>
        </w:rPr>
        <w:t>Genomic medicine is a both empowering and anxiety provoking experience for patients/service users. Possibly the best upside is the potential for better, more personalised care. Genomic testing can relieve years of uncertainty for people with rare diseases, offer more effective treatment when it comes to cancer, and help to prescribe more safely (NHS England, 2025). In rare disease, the 100,000 Genomes Project showed a 20–25% diagnostic success rate, and had an impact on cancer care in 25% of cases (Caulfield, 2025). This can significantly affect patients' perception and trust in the healthcare system and make the care felt more intelligent, specific, and adapted to each individual biology, a key promise of precision medicine (Horton et al., 2019).</w:t>
      </w:r>
    </w:p>
    <w:p w14:paraId="3A0FBEDE" w14:textId="77777777" w:rsidR="00A15FFA" w:rsidRPr="00D20A36" w:rsidRDefault="00A15FFA" w:rsidP="00D20A36">
      <w:pPr>
        <w:spacing w:after="0" w:line="276" w:lineRule="auto"/>
        <w:contextualSpacing/>
        <w:rPr>
          <w:rFonts w:ascii="Arial" w:eastAsia="Calibri" w:hAnsi="Arial" w:cs="Arial"/>
          <w:kern w:val="0"/>
          <w:sz w:val="22"/>
          <w:szCs w:val="22"/>
        </w:rPr>
      </w:pPr>
      <w:r w:rsidRPr="00D20A36">
        <w:rPr>
          <w:rFonts w:ascii="Arial" w:eastAsia="Calibri" w:hAnsi="Arial" w:cs="Arial"/>
          <w:kern w:val="0"/>
          <w:sz w:val="22"/>
          <w:szCs w:val="22"/>
        </w:rPr>
        <w:t>Communication, consent and support is a key factor of patient experience. The Genomics Education Programme (2021) clearly states that because of uncertainty and complexity of genomic information there is a need for effective discussion of genomics by healthcare professionals. This otherwise can lead to confusion, unrealistic expectations, and lack of understanding of implications for patients and family members. The informed consent for genomic testing presents unique difficulties in relation to the amount of information that is generated; patients should be empowered to decide for themselves and fully comprehend the implications of PFMG (PFMG 2025; PFMG 2019). Personal data is particularly sensitive and must be well-protected even if de-identification is essential, “anonymity cannot be the only cornerstone of protection” will be ensured through a series of measures, including vigilance and control of access and uses (PFMG 2025, 2019).</w:t>
      </w:r>
    </w:p>
    <w:p w14:paraId="091A2F81" w14:textId="42BDBF3B" w:rsidR="00A15FFA" w:rsidRPr="00D20A36" w:rsidRDefault="00A15FFA" w:rsidP="00D20A36">
      <w:pPr>
        <w:spacing w:after="0" w:line="276" w:lineRule="auto"/>
        <w:contextualSpacing/>
        <w:rPr>
          <w:rFonts w:ascii="Arial" w:eastAsia="Calibri" w:hAnsi="Arial" w:cs="Arial"/>
          <w:kern w:val="0"/>
          <w:sz w:val="20"/>
          <w:szCs w:val="20"/>
        </w:rPr>
      </w:pPr>
      <w:r w:rsidRPr="00D20A36">
        <w:rPr>
          <w:rFonts w:ascii="Arial" w:eastAsia="Calibri" w:hAnsi="Arial" w:cs="Arial"/>
          <w:kern w:val="0"/>
          <w:sz w:val="22"/>
          <w:szCs w:val="22"/>
        </w:rPr>
        <w:t>Genomic information has ethical implications not only for the individual. The issue of ‘duty to warn’ relatives about predispositions to inherited diseases is emotionally charged and is otherwise difficult in clinical practice (NHS England, 2022a). The implications of the germline if found can include the use of this for surveillance and there may be implications for family members via cascade testing (Greene and Marron, 2026). This is especially relevant in paediatric oncology, where genomic findings might have implications for parents, siblings, and other family members, leading to consent and assent, privacy and psychosocial concerns (Greene and Marron, 2026).</w:t>
      </w:r>
      <w:r w:rsidR="00334533" w:rsidRPr="00D20A36">
        <w:rPr>
          <w:rFonts w:ascii="Arial" w:eastAsia="Calibri" w:hAnsi="Arial" w:cs="Arial"/>
          <w:kern w:val="0"/>
          <w:sz w:val="22"/>
          <w:szCs w:val="22"/>
        </w:rPr>
        <w:t xml:space="preserve"> The results of genetic testing can be extremely upsetting. Unexpected results, variants of uncertain significance (VUS) and results that suggest high risk for serious conditions may be accompanied by anxiety and grief. The </w:t>
      </w:r>
      <w:r w:rsidR="00334533" w:rsidRPr="00D20A36">
        <w:rPr>
          <w:rFonts w:ascii="Arial" w:eastAsia="Calibri" w:hAnsi="Arial" w:cs="Arial"/>
          <w:kern w:val="0"/>
          <w:sz w:val="22"/>
          <w:szCs w:val="22"/>
        </w:rPr>
        <w:lastRenderedPageBreak/>
        <w:t>importance of patient autonomy and shared decision-making is key; patients need to be supported by continued, clear and compassionate communication, not just at the time of the consent event, but as a continuous process of shared decision-making. This is a clear example of a link between workforce competency and patient outcomes and experience.</w:t>
      </w:r>
    </w:p>
    <w:p w14:paraId="170D2D6A" w14:textId="77777777" w:rsidR="00D20A36" w:rsidRDefault="00D20A36" w:rsidP="00D20A36">
      <w:pPr>
        <w:keepNext/>
        <w:keepLines/>
        <w:spacing w:after="0" w:line="276" w:lineRule="auto"/>
        <w:contextualSpacing/>
        <w:jc w:val="both"/>
        <w:outlineLvl w:val="0"/>
        <w:rPr>
          <w:rFonts w:ascii="Arial" w:eastAsia="Times New Roman" w:hAnsi="Arial" w:cs="Arial"/>
          <w:b/>
          <w:i/>
          <w:color w:val="000000"/>
          <w:kern w:val="0"/>
          <w:sz w:val="22"/>
          <w:szCs w:val="28"/>
        </w:rPr>
      </w:pPr>
    </w:p>
    <w:p w14:paraId="106B1DE1" w14:textId="1E7F5C85" w:rsidR="00A8660B" w:rsidRPr="006229A5" w:rsidRDefault="00A8660B" w:rsidP="006229A5">
      <w:pPr>
        <w:pStyle w:val="Heading1"/>
        <w:rPr>
          <w:rFonts w:ascii="Arial" w:hAnsi="Arial" w:cs="Arial"/>
          <w:b/>
          <w:bCs/>
          <w:sz w:val="22"/>
          <w:szCs w:val="22"/>
        </w:rPr>
      </w:pPr>
      <w:bookmarkStart w:id="4" w:name="_Toc235439042"/>
      <w:r w:rsidRPr="006229A5">
        <w:rPr>
          <w:rFonts w:ascii="Arial" w:hAnsi="Arial" w:cs="Arial"/>
          <w:b/>
          <w:bCs/>
          <w:sz w:val="22"/>
          <w:szCs w:val="22"/>
        </w:rPr>
        <w:t>5. Impact on Community</w:t>
      </w:r>
      <w:bookmarkEnd w:id="4"/>
    </w:p>
    <w:p w14:paraId="78660705" w14:textId="77777777" w:rsidR="00A8660B" w:rsidRPr="00D20A36" w:rsidRDefault="00A8660B" w:rsidP="00D20A36">
      <w:pPr>
        <w:spacing w:after="0" w:line="276" w:lineRule="auto"/>
        <w:contextualSpacing/>
        <w:rPr>
          <w:rFonts w:ascii="Arial" w:eastAsia="Calibri" w:hAnsi="Arial" w:cs="Arial"/>
          <w:kern w:val="0"/>
          <w:sz w:val="22"/>
          <w:szCs w:val="22"/>
        </w:rPr>
      </w:pPr>
      <w:r w:rsidRPr="00D20A36">
        <w:rPr>
          <w:rFonts w:ascii="Arial" w:eastAsia="Calibri" w:hAnsi="Arial" w:cs="Arial"/>
          <w:kern w:val="0"/>
          <w:sz w:val="22"/>
          <w:szCs w:val="22"/>
        </w:rPr>
        <w:t>Genomic medicine has implications beyond individual patients to families and communities, since genomic information may impact on family members with inherited risk (NHS England, 2022a). This affects family planning and preventative health decisions and mental health amongst family members in multiple ways. Pathogenic germline variants have been identified in 30% of cancer cases in the 100,000 Genomes Project, underscoring the importance of combined analysis and cascade testing (Caulfield, 2025). This is a change of paradigm from individual to social group.</w:t>
      </w:r>
    </w:p>
    <w:p w14:paraId="7D283330" w14:textId="1F44F06A" w:rsidR="00A8660B" w:rsidRPr="00D20A36" w:rsidRDefault="00A8660B" w:rsidP="00D20A36">
      <w:pPr>
        <w:spacing w:after="0" w:line="276" w:lineRule="auto"/>
        <w:contextualSpacing/>
        <w:rPr>
          <w:rFonts w:ascii="Arial" w:eastAsia="Calibri" w:hAnsi="Arial" w:cs="Arial"/>
          <w:kern w:val="0"/>
          <w:sz w:val="22"/>
          <w:szCs w:val="22"/>
        </w:rPr>
      </w:pPr>
      <w:r w:rsidRPr="00D20A36">
        <w:rPr>
          <w:rFonts w:ascii="Arial" w:eastAsia="Calibri" w:hAnsi="Arial" w:cs="Arial"/>
          <w:kern w:val="0"/>
          <w:sz w:val="22"/>
          <w:szCs w:val="22"/>
        </w:rPr>
        <w:t>Geographically, the service model affects access to the service. The NHS approach is to increase the accessibility to genomics through primary and community care settings (NHS England, 2022; UK Government, 2020); however, the centralised delivery of GLH services may mean that people living in rural and under-resourced communities are far removed from genomics services which can worsen health inequities. Digital inclusion is important, as digital-based referral processes can reduce the access to services for people who cannot access the digital world, or who are not digitally literate.</w:t>
      </w:r>
    </w:p>
    <w:p w14:paraId="1CD2B299" w14:textId="77777777" w:rsidR="00636D16" w:rsidRPr="00D20A36" w:rsidRDefault="00636D16" w:rsidP="00D20A36">
      <w:pPr>
        <w:spacing w:after="0" w:line="276" w:lineRule="auto"/>
        <w:contextualSpacing/>
        <w:rPr>
          <w:rFonts w:ascii="Arial" w:eastAsia="Calibri" w:hAnsi="Arial" w:cs="Arial"/>
          <w:kern w:val="0"/>
          <w:sz w:val="22"/>
          <w:szCs w:val="22"/>
        </w:rPr>
      </w:pPr>
      <w:r w:rsidRPr="00D20A36">
        <w:rPr>
          <w:rFonts w:ascii="Arial" w:eastAsia="Calibri" w:hAnsi="Arial" w:cs="Arial"/>
          <w:kern w:val="0"/>
          <w:sz w:val="22"/>
          <w:szCs w:val="22"/>
        </w:rPr>
        <w:t>This has led to persistent inequities in access, leading to missed diagnoses, poor health outcomes and lack of trust in the NHS amongst non-European, non-English speaking and underserved populations (NHS Race and Health Observatory, 2025). To tackle underrepresentation, the NHS Race and Health Observatory has partnered with North Thames GMS to develop the Genomics Health Hub—a digital platform co-produced with local communities providing culturally-tailored information and peer-to-peer support (NHS Race and Health Observatory, 2025). This is in recognition of the fact that equitable implementation requires trust, and the need to overcome historical underrepresentation. When it comes to the potential of genomics to improve health, the Health Equity Lead observes that "a lack of awareness and tailored information can prevent advances in genomics from reaching everyone" (NHS Race and Health Observatory, 2025). A research project looking at the disparities in GMS access experienced by ethnic minority groups in England has also been commissioned by NHS England and the NHS Race and Health Observatory for an 18-month period (UK Parliament, 2025).</w:t>
      </w:r>
    </w:p>
    <w:p w14:paraId="08B17A0F" w14:textId="687D777B" w:rsidR="00FE47A5" w:rsidRPr="00D20A36" w:rsidRDefault="00636D16" w:rsidP="00D20A36">
      <w:pPr>
        <w:spacing w:line="276" w:lineRule="auto"/>
        <w:contextualSpacing/>
        <w:rPr>
          <w:rFonts w:ascii="Arial" w:eastAsia="Calibri" w:hAnsi="Arial" w:cs="Arial"/>
          <w:kern w:val="0"/>
          <w:sz w:val="22"/>
          <w:szCs w:val="22"/>
        </w:rPr>
      </w:pPr>
      <w:r w:rsidRPr="00D20A36">
        <w:rPr>
          <w:rFonts w:ascii="Arial" w:eastAsia="Calibri" w:hAnsi="Arial" w:cs="Arial"/>
          <w:kern w:val="0"/>
          <w:sz w:val="22"/>
          <w:szCs w:val="22"/>
        </w:rPr>
        <w:t>Genomics has a public health benefit at the population level as it can be used for risk stratification and cost-effective care (UK Government, 2020). The ten-year health plan includes a proposed population health genomics service that would utilise polygenetic risk scores to identify the risk of common diseases at an earlier stage (Pharmaceutical Journal, 2026). But this promise is inextricably linked to justice and public confidence. In fact, the majority of genomic research have been conducted on populations of mostly European ancestry which may not reflect the presence of important variants in other populations, with the Diverse Data Initiative by Genomics England aiming to address this imbalance (Pharmaceutical Journal, 2026). The Genome UK strategy (UK Government, 2020) emphasises the importance of co-production,</w:t>
      </w:r>
      <w:r w:rsidR="00DC7EF4" w:rsidRPr="00D20A36">
        <w:rPr>
          <w:rFonts w:ascii="Arial" w:eastAsia="Calibri" w:hAnsi="Arial" w:cs="Arial"/>
          <w:kern w:val="0"/>
          <w:sz w:val="22"/>
          <w:szCs w:val="22"/>
        </w:rPr>
        <w:t xml:space="preserve"> public engagement and fairness in equitable implementation</w:t>
      </w:r>
      <w:r w:rsidR="001C6561" w:rsidRPr="00D20A36">
        <w:rPr>
          <w:rFonts w:ascii="Arial" w:eastAsia="Calibri" w:hAnsi="Arial" w:cs="Arial"/>
          <w:kern w:val="0"/>
          <w:sz w:val="22"/>
          <w:szCs w:val="22"/>
        </w:rPr>
        <w:t>.</w:t>
      </w:r>
      <w:r w:rsidR="00D666DD" w:rsidRPr="00D20A36">
        <w:rPr>
          <w:rFonts w:ascii="Arial" w:eastAsia="Calibri" w:hAnsi="Arial" w:cs="Arial"/>
          <w:kern w:val="0"/>
          <w:sz w:val="22"/>
          <w:szCs w:val="22"/>
        </w:rPr>
        <w:t xml:space="preserve"> </w:t>
      </w:r>
    </w:p>
    <w:p w14:paraId="1BCACE1F" w14:textId="77777777" w:rsidR="00D20A36" w:rsidRPr="006229A5" w:rsidRDefault="00D20A36" w:rsidP="00D20A36">
      <w:pPr>
        <w:keepNext/>
        <w:keepLines/>
        <w:spacing w:after="0" w:line="276" w:lineRule="auto"/>
        <w:contextualSpacing/>
        <w:jc w:val="both"/>
        <w:outlineLvl w:val="0"/>
        <w:rPr>
          <w:rFonts w:ascii="Arial" w:eastAsia="Times New Roman" w:hAnsi="Arial" w:cs="Arial"/>
          <w:b/>
          <w:i/>
          <w:color w:val="000000"/>
          <w:kern w:val="0"/>
          <w:sz w:val="20"/>
        </w:rPr>
      </w:pPr>
    </w:p>
    <w:p w14:paraId="50ACB2D3" w14:textId="6F93FFD7" w:rsidR="00D666DD" w:rsidRPr="006229A5" w:rsidRDefault="00D666DD" w:rsidP="006229A5">
      <w:pPr>
        <w:pStyle w:val="Heading1"/>
        <w:rPr>
          <w:rFonts w:ascii="Arial" w:hAnsi="Arial" w:cs="Arial"/>
          <w:b/>
          <w:bCs/>
          <w:sz w:val="22"/>
          <w:szCs w:val="22"/>
        </w:rPr>
      </w:pPr>
      <w:bookmarkStart w:id="5" w:name="_Toc235439043"/>
      <w:r w:rsidRPr="006229A5">
        <w:rPr>
          <w:rFonts w:ascii="Arial" w:hAnsi="Arial" w:cs="Arial"/>
          <w:b/>
          <w:bCs/>
          <w:sz w:val="22"/>
          <w:szCs w:val="22"/>
        </w:rPr>
        <w:t>6. Critical Evaluation</w:t>
      </w:r>
      <w:bookmarkEnd w:id="5"/>
    </w:p>
    <w:p w14:paraId="507BB5A1" w14:textId="77777777" w:rsidR="002C2DAB" w:rsidRPr="00D20A36" w:rsidRDefault="002C2DAB" w:rsidP="00D20A36">
      <w:pPr>
        <w:spacing w:after="0" w:line="276" w:lineRule="auto"/>
        <w:contextualSpacing/>
        <w:rPr>
          <w:rFonts w:ascii="Arial" w:eastAsia="Calibri" w:hAnsi="Arial" w:cs="Arial"/>
          <w:kern w:val="0"/>
          <w:sz w:val="22"/>
          <w:szCs w:val="22"/>
        </w:rPr>
      </w:pPr>
      <w:r w:rsidRPr="00D20A36">
        <w:rPr>
          <w:rFonts w:ascii="Arial" w:eastAsia="Calibri" w:hAnsi="Arial" w:cs="Arial"/>
          <w:kern w:val="0"/>
          <w:sz w:val="22"/>
          <w:szCs w:val="22"/>
        </w:rPr>
        <w:t>The UK is internationally recognised for its efforts to create a national, strategic and coordinated platform for genomic and precision medicine. Public investment in infrastructure, education and governance before large-scale rollout, is essential, as large projects, like the 100,000 Genomes Project and the NHS GMS, show. Addressing the need for genomic medicine is not just about new technologies – it's about a systemic redesign that involves laboratory capacity, digital systems, workforce upskilling, and clinical pathways all working together (Pearce et al., 2019). The workforce competency frameworks are an example of a proactive approach to managing the human aspects of this digital transformation (Genomics Education Programme, 2021).</w:t>
      </w:r>
    </w:p>
    <w:p w14:paraId="34F3D015" w14:textId="77777777" w:rsidR="002C2DAB" w:rsidRPr="00D20A36" w:rsidRDefault="002C2DAB" w:rsidP="00D20A36">
      <w:pPr>
        <w:spacing w:after="0" w:line="276" w:lineRule="auto"/>
        <w:contextualSpacing/>
        <w:rPr>
          <w:rFonts w:ascii="Arial" w:eastAsia="Calibri" w:hAnsi="Arial" w:cs="Arial"/>
          <w:kern w:val="0"/>
          <w:sz w:val="20"/>
          <w:szCs w:val="20"/>
        </w:rPr>
      </w:pPr>
      <w:r w:rsidRPr="00D20A36">
        <w:rPr>
          <w:rFonts w:ascii="Arial" w:eastAsia="Calibri" w:hAnsi="Arial" w:cs="Arial"/>
          <w:kern w:val="0"/>
          <w:sz w:val="22"/>
          <w:szCs w:val="22"/>
        </w:rPr>
        <w:t>The implementation is however ambitious but incomplete and uneven. The NHS has identified several ongoing challenges for digital interoperability, capacity and public trust (NHS England, 2022a). Sometimes the rate of discovery and development of new treatments and technologies can outstrips the ability of the NHS to create pathways, to train staff and provide funding for treatments. Karthikeyan, McKee and McKay (2024) recognise that whilst inclusion of genomics in routine care is a policy objective, many practical issues remain. This can lead to a 'postcode lottery' in terms of access to benefits.</w:t>
      </w:r>
    </w:p>
    <w:p w14:paraId="7B9C5D46" w14:textId="77777777" w:rsidR="00E8774D" w:rsidRPr="00D20A36" w:rsidRDefault="00E8774D" w:rsidP="00D20A36">
      <w:pPr>
        <w:spacing w:after="0" w:line="276" w:lineRule="auto"/>
        <w:contextualSpacing/>
        <w:rPr>
          <w:rFonts w:ascii="Arial" w:eastAsia="Calibri" w:hAnsi="Arial" w:cs="Arial"/>
          <w:kern w:val="0"/>
          <w:sz w:val="22"/>
          <w:szCs w:val="22"/>
        </w:rPr>
      </w:pPr>
      <w:r w:rsidRPr="00D20A36">
        <w:rPr>
          <w:rFonts w:ascii="Arial" w:eastAsia="Calibri" w:hAnsi="Arial" w:cs="Arial"/>
          <w:kern w:val="0"/>
          <w:sz w:val="22"/>
          <w:szCs w:val="22"/>
        </w:rPr>
        <w:t>There is a need to critically examine the economic and promissory aspects of genomic medicine. As Caulfield (2025) observes, 'promises to secure the commitment of patients to the personal and public benefits of research involvement and, in particular, to waiving the principle of clinical non-directiveness in the case of genomic healthcare raise vexed questions about whose interests genomic medicine in its present form is geared towards'. The promise of genomic medicine has now moved from common disorder to clinical facilities devoted to rare diseases and cancer, with benefits often limited and/or modest, and at a high financial and human cost (Caulfield, 2025).</w:t>
      </w:r>
    </w:p>
    <w:p w14:paraId="0C9CC76D" w14:textId="77777777" w:rsidR="001524BE" w:rsidRPr="00D20A36" w:rsidRDefault="00E8774D" w:rsidP="00D20A36">
      <w:pPr>
        <w:spacing w:line="276" w:lineRule="auto"/>
        <w:rPr>
          <w:rFonts w:ascii="Arial" w:hAnsi="Arial" w:cs="Arial"/>
          <w:sz w:val="20"/>
          <w:szCs w:val="20"/>
        </w:rPr>
      </w:pPr>
      <w:r w:rsidRPr="00D20A36">
        <w:rPr>
          <w:rFonts w:ascii="Arial" w:eastAsia="Calibri" w:hAnsi="Arial" w:cs="Arial"/>
          <w:kern w:val="0"/>
          <w:sz w:val="22"/>
          <w:szCs w:val="22"/>
        </w:rPr>
        <w:t>Evidence for some applications may not be sufficient to support the possibility of implementation. Genomics is an established practice in rare disease and oncology but has yet to be fully recorded in the use of large-scale population screening or polygenetic risk score. There is also an opportunity cost - investment in specialised genomic services needs to be balanced against other investments in health and social care services. The growth of consumer genomics does, however, come with its challenges and creates demand and confusion (Horton et al., 2019).</w:t>
      </w:r>
      <w:r w:rsidR="001524BE" w:rsidRPr="00D20A36">
        <w:rPr>
          <w:rFonts w:ascii="Arial" w:eastAsia="Calibri" w:hAnsi="Arial" w:cs="Arial"/>
          <w:kern w:val="0"/>
          <w:sz w:val="22"/>
          <w:szCs w:val="22"/>
        </w:rPr>
        <w:t xml:space="preserve"> </w:t>
      </w:r>
      <w:r w:rsidR="001524BE" w:rsidRPr="00D20A36">
        <w:rPr>
          <w:rFonts w:ascii="Arial" w:hAnsi="Arial" w:cs="Arial"/>
          <w:sz w:val="22"/>
          <w:szCs w:val="22"/>
        </w:rPr>
        <w:t>Data governance issues arise because the data is transferred from research to everyday healthcare. Genomic information is sensitive personal data under GDPR and the Human Tissue Act 2004. The indistinctness between medical care and biomedical research, and the status of genomic medicine patients and their data as an economic asset for commercially driven innovation, poses ethical concerns around consent and patient interests (Caulfield, 2025). There are frameworks provided in the NHS data governance principles and the Equality Act 2010, however are only in practice if the vigilance is applied.</w:t>
      </w:r>
    </w:p>
    <w:p w14:paraId="64F1E3E3" w14:textId="77777777" w:rsidR="00924869" w:rsidRPr="006229A5" w:rsidRDefault="00924869" w:rsidP="006229A5">
      <w:pPr>
        <w:pStyle w:val="Heading1"/>
        <w:rPr>
          <w:rFonts w:ascii="Arial" w:hAnsi="Arial" w:cs="Arial"/>
          <w:b/>
          <w:bCs/>
          <w:sz w:val="22"/>
          <w:szCs w:val="22"/>
        </w:rPr>
      </w:pPr>
      <w:bookmarkStart w:id="6" w:name="_Toc235439044"/>
      <w:r w:rsidRPr="006229A5">
        <w:rPr>
          <w:rFonts w:ascii="Arial" w:hAnsi="Arial" w:cs="Arial"/>
          <w:b/>
          <w:bCs/>
          <w:sz w:val="22"/>
          <w:szCs w:val="22"/>
        </w:rPr>
        <w:t>7. Conclusion</w:t>
      </w:r>
      <w:bookmarkEnd w:id="6"/>
    </w:p>
    <w:p w14:paraId="1DDB0BB2" w14:textId="77777777" w:rsidR="00683B14" w:rsidRPr="00D20A36" w:rsidRDefault="00924869" w:rsidP="00D20A36">
      <w:pPr>
        <w:spacing w:line="276" w:lineRule="auto"/>
        <w:rPr>
          <w:rFonts w:ascii="Arial" w:eastAsia="Calibri" w:hAnsi="Arial" w:cs="Arial"/>
          <w:b/>
          <w:bCs/>
          <w:kern w:val="0"/>
          <w:sz w:val="22"/>
          <w:szCs w:val="20"/>
        </w:rPr>
      </w:pPr>
      <w:r w:rsidRPr="00D20A36">
        <w:rPr>
          <w:rFonts w:ascii="Arial" w:eastAsia="Calibri" w:hAnsi="Arial" w:cs="Arial"/>
          <w:kern w:val="0"/>
          <w:sz w:val="22"/>
          <w:szCs w:val="20"/>
        </w:rPr>
        <w:t xml:space="preserve">Genomic and precision medicine platforms are a major digital innovation in the health and social care sector in the UK. NHS England, 2022a; UK Government, 2020 have allowed genomics to become a reality in routine clinical practice, with the NHS Genomic Medicine </w:t>
      </w:r>
      <w:r w:rsidRPr="00D20A36">
        <w:rPr>
          <w:rFonts w:ascii="Arial" w:eastAsia="Calibri" w:hAnsi="Arial" w:cs="Arial"/>
          <w:kern w:val="0"/>
          <w:sz w:val="22"/>
          <w:szCs w:val="20"/>
        </w:rPr>
        <w:lastRenderedPageBreak/>
        <w:t>Service supporting the NHS in improving the diagnosis and care of people with rare diseases and cancers. The advantages are clear; the 100,000 Genomes Project achieved 20–25% diagnostic rates in rare disease cases, impacted cancer care in a fourth of cases, and found actionable pharmacogenomic variants in nearly all participants (Caulfield, 2025). The NHS GMS (NHS England, 2025) reported that more than 810,000 genomic tests were provided in 2024. They are, however, at risk of equitable implementation due to workforce shortages, digital infrastructure inconsistencies and ongoing inequities in access (NHS England, 2022a;</w:t>
      </w:r>
      <w:r w:rsidR="00E30F58" w:rsidRPr="00D20A36">
        <w:rPr>
          <w:rFonts w:ascii="Arial" w:eastAsia="Calibri" w:hAnsi="Arial" w:cs="Arial"/>
          <w:kern w:val="0"/>
          <w:sz w:val="22"/>
          <w:szCs w:val="20"/>
        </w:rPr>
        <w:t xml:space="preserve"> </w:t>
      </w:r>
      <w:r w:rsidR="00683B14" w:rsidRPr="00D20A36">
        <w:rPr>
          <w:rFonts w:ascii="Arial" w:eastAsia="Calibri" w:hAnsi="Arial" w:cs="Arial"/>
          <w:kern w:val="0"/>
          <w:sz w:val="22"/>
          <w:szCs w:val="20"/>
        </w:rPr>
        <w:t>Karthikeyan, McKee and McKay, 2024). Whilst the UK has demonstrated that genomic medicine can work on a large scale, the potential of this approach lies in a balance of digital innovation, workforce development, sound governance and genuine public engagement. The NHS's ten-year health plan identifies genomics as one of five ‘big bets', which includes a population health genomics service via neighbourhood health teams (Pharmaceutical Journal, 2026). Achieving this vision will require ongoing investment, working together across different sectors and a steadfast commitment to person-centred and equitable care.</w:t>
      </w:r>
      <w:r w:rsidR="00683B14" w:rsidRPr="00D20A36">
        <w:rPr>
          <w:rFonts w:ascii="Arial" w:eastAsia="Calibri" w:hAnsi="Arial" w:cs="Arial"/>
          <w:b/>
          <w:bCs/>
          <w:kern w:val="0"/>
          <w:sz w:val="22"/>
          <w:szCs w:val="20"/>
        </w:rPr>
        <w:br w:type="page"/>
      </w:r>
    </w:p>
    <w:p w14:paraId="2F897F82" w14:textId="7F53B53E" w:rsidR="00924869" w:rsidRPr="006229A5" w:rsidRDefault="006C4190" w:rsidP="006229A5">
      <w:pPr>
        <w:pStyle w:val="Heading1"/>
        <w:rPr>
          <w:rFonts w:ascii="Arial" w:hAnsi="Arial" w:cs="Arial"/>
          <w:b/>
          <w:bCs/>
          <w:sz w:val="22"/>
          <w:szCs w:val="22"/>
        </w:rPr>
      </w:pPr>
      <w:bookmarkStart w:id="7" w:name="_Toc235439045"/>
      <w:r w:rsidRPr="006229A5">
        <w:rPr>
          <w:rFonts w:ascii="Arial" w:hAnsi="Arial" w:cs="Arial"/>
          <w:b/>
          <w:bCs/>
          <w:sz w:val="22"/>
          <w:szCs w:val="22"/>
        </w:rPr>
        <w:lastRenderedPageBreak/>
        <w:t>8. Reference</w:t>
      </w:r>
      <w:bookmarkEnd w:id="7"/>
      <w:r w:rsidRPr="006229A5">
        <w:rPr>
          <w:rFonts w:ascii="Arial" w:hAnsi="Arial" w:cs="Arial"/>
          <w:b/>
          <w:bCs/>
          <w:sz w:val="22"/>
          <w:szCs w:val="22"/>
        </w:rPr>
        <w:t xml:space="preserve"> </w:t>
      </w:r>
    </w:p>
    <w:p w14:paraId="3ACFDDEC" w14:textId="77777777" w:rsidR="00332FDA" w:rsidRPr="00D20A36" w:rsidRDefault="00332FDA" w:rsidP="00332FDA">
      <w:pPr>
        <w:spacing w:after="0" w:line="360" w:lineRule="auto"/>
        <w:ind w:left="720" w:hanging="720"/>
        <w:contextualSpacing/>
        <w:rPr>
          <w:rFonts w:ascii="Arial" w:eastAsia="Calibri" w:hAnsi="Arial" w:cs="Arial"/>
          <w:kern w:val="0"/>
          <w:sz w:val="22"/>
          <w:szCs w:val="22"/>
        </w:rPr>
      </w:pPr>
      <w:r w:rsidRPr="00D20A36">
        <w:rPr>
          <w:rFonts w:ascii="Arial" w:eastAsia="Calibri" w:hAnsi="Arial" w:cs="Arial"/>
          <w:kern w:val="0"/>
          <w:sz w:val="22"/>
          <w:szCs w:val="22"/>
        </w:rPr>
        <w:t>Boehringer Ingelheim (2026) </w:t>
      </w:r>
      <w:r w:rsidRPr="00D20A36">
        <w:rPr>
          <w:rFonts w:ascii="Arial" w:eastAsia="Calibri" w:hAnsi="Arial" w:cs="Arial"/>
          <w:i/>
          <w:iCs/>
          <w:kern w:val="0"/>
          <w:sz w:val="22"/>
          <w:szCs w:val="22"/>
        </w:rPr>
        <w:t>Response to House of Lords Inquiry: Innovation in the NHS: personalised medicine and AI</w:t>
      </w:r>
      <w:r w:rsidRPr="00D20A36">
        <w:rPr>
          <w:rFonts w:ascii="Arial" w:eastAsia="Calibri" w:hAnsi="Arial" w:cs="Arial"/>
          <w:kern w:val="0"/>
          <w:sz w:val="22"/>
          <w:szCs w:val="22"/>
        </w:rPr>
        <w:t>. Available at: </w:t>
      </w:r>
      <w:hyperlink r:id="rId10" w:tgtFrame="_blank" w:history="1">
        <w:r w:rsidRPr="00D20A36">
          <w:rPr>
            <w:rFonts w:ascii="Arial" w:eastAsia="Calibri" w:hAnsi="Arial" w:cs="Arial"/>
            <w:color w:val="0563C1"/>
            <w:kern w:val="0"/>
            <w:sz w:val="22"/>
            <w:szCs w:val="22"/>
            <w:u w:val="single"/>
          </w:rPr>
          <w:t>https://committees.parliament.uk/writtenevidence/165565/html/</w:t>
        </w:r>
      </w:hyperlink>
      <w:r w:rsidRPr="00D20A36">
        <w:rPr>
          <w:rFonts w:ascii="Arial" w:eastAsia="Calibri" w:hAnsi="Arial" w:cs="Arial"/>
          <w:kern w:val="0"/>
          <w:sz w:val="22"/>
          <w:szCs w:val="22"/>
        </w:rPr>
        <w:t> (Accessed: 5 July 2026).</w:t>
      </w:r>
    </w:p>
    <w:p w14:paraId="53816DB1" w14:textId="77777777" w:rsidR="00332FDA" w:rsidRPr="00D20A36" w:rsidRDefault="00332FDA" w:rsidP="00332FDA">
      <w:pPr>
        <w:spacing w:after="0" w:line="360" w:lineRule="auto"/>
        <w:ind w:left="720" w:hanging="720"/>
        <w:contextualSpacing/>
        <w:rPr>
          <w:rFonts w:ascii="Arial" w:eastAsia="Calibri" w:hAnsi="Arial" w:cs="Arial"/>
          <w:kern w:val="0"/>
          <w:sz w:val="22"/>
          <w:szCs w:val="22"/>
        </w:rPr>
      </w:pPr>
      <w:r w:rsidRPr="00D20A36">
        <w:rPr>
          <w:rFonts w:ascii="Arial" w:eastAsia="Calibri" w:hAnsi="Arial" w:cs="Arial"/>
          <w:kern w:val="0"/>
          <w:sz w:val="22"/>
          <w:szCs w:val="22"/>
        </w:rPr>
        <w:t>Caulfield, M. (2025) </w:t>
      </w:r>
      <w:r w:rsidRPr="00D20A36">
        <w:rPr>
          <w:rFonts w:ascii="Arial" w:eastAsia="Calibri" w:hAnsi="Arial" w:cs="Arial"/>
          <w:i/>
          <w:iCs/>
          <w:kern w:val="0"/>
          <w:sz w:val="22"/>
          <w:szCs w:val="22"/>
        </w:rPr>
        <w:t>Precision Medicine Transforming Healthcare</w:t>
      </w:r>
      <w:r w:rsidRPr="00D20A36">
        <w:rPr>
          <w:rFonts w:ascii="Arial" w:eastAsia="Calibri" w:hAnsi="Arial" w:cs="Arial"/>
          <w:kern w:val="0"/>
          <w:sz w:val="22"/>
          <w:szCs w:val="22"/>
        </w:rPr>
        <w:t> [Presentation slides]. Available at: </w:t>
      </w:r>
      <w:hyperlink r:id="rId11" w:tgtFrame="_blank" w:history="1">
        <w:r w:rsidRPr="00D20A36">
          <w:rPr>
            <w:rFonts w:ascii="Arial" w:eastAsia="Calibri" w:hAnsi="Arial" w:cs="Arial"/>
            <w:color w:val="0563C1"/>
            <w:kern w:val="0"/>
            <w:sz w:val="22"/>
            <w:szCs w:val="22"/>
            <w:u w:val="single"/>
          </w:rPr>
          <w:t>https://www.sfa-phrt.ch/wp-content/uploads/2025/09/1_Precision_Medicine_Transforming_Healthcare_Mark_Caulfield.pdf</w:t>
        </w:r>
      </w:hyperlink>
      <w:r w:rsidRPr="00D20A36">
        <w:rPr>
          <w:rFonts w:ascii="Arial" w:eastAsia="Calibri" w:hAnsi="Arial" w:cs="Arial"/>
          <w:kern w:val="0"/>
          <w:sz w:val="22"/>
          <w:szCs w:val="22"/>
        </w:rPr>
        <w:t> (Accessed: 5 July 2026).</w:t>
      </w:r>
    </w:p>
    <w:p w14:paraId="275A0521" w14:textId="77777777" w:rsidR="00332FDA" w:rsidRPr="00D20A36" w:rsidRDefault="00332FDA" w:rsidP="00332FDA">
      <w:pPr>
        <w:spacing w:after="0" w:line="360" w:lineRule="auto"/>
        <w:ind w:left="720" w:hanging="720"/>
        <w:contextualSpacing/>
        <w:rPr>
          <w:rFonts w:ascii="Arial" w:eastAsia="Calibri" w:hAnsi="Arial" w:cs="Arial"/>
          <w:kern w:val="0"/>
          <w:sz w:val="22"/>
          <w:szCs w:val="22"/>
        </w:rPr>
      </w:pPr>
      <w:r w:rsidRPr="00D20A36">
        <w:rPr>
          <w:rFonts w:ascii="Arial" w:eastAsia="Calibri" w:hAnsi="Arial" w:cs="Arial"/>
          <w:kern w:val="0"/>
          <w:sz w:val="22"/>
          <w:szCs w:val="22"/>
        </w:rPr>
        <w:t>Freeman, P. (2026) </w:t>
      </w:r>
      <w:r w:rsidRPr="00D20A36">
        <w:rPr>
          <w:rFonts w:ascii="Arial" w:eastAsia="Calibri" w:hAnsi="Arial" w:cs="Arial"/>
          <w:i/>
          <w:iCs/>
          <w:kern w:val="0"/>
          <w:sz w:val="22"/>
          <w:szCs w:val="22"/>
        </w:rPr>
        <w:t>Written evidence to House of Lords Inquiry on Health Data Research Infrastructure</w:t>
      </w:r>
      <w:r w:rsidRPr="00D20A36">
        <w:rPr>
          <w:rFonts w:ascii="Arial" w:eastAsia="Calibri" w:hAnsi="Arial" w:cs="Arial"/>
          <w:kern w:val="0"/>
          <w:sz w:val="22"/>
          <w:szCs w:val="22"/>
        </w:rPr>
        <w:t> (PMA0037). Available at: </w:t>
      </w:r>
      <w:hyperlink r:id="rId12" w:tgtFrame="_blank" w:history="1">
        <w:r w:rsidRPr="00D20A36">
          <w:rPr>
            <w:rFonts w:ascii="Arial" w:eastAsia="Calibri" w:hAnsi="Arial" w:cs="Arial"/>
            <w:color w:val="0563C1"/>
            <w:kern w:val="0"/>
            <w:sz w:val="22"/>
            <w:szCs w:val="22"/>
            <w:u w:val="single"/>
          </w:rPr>
          <w:t>https://committees.parliament.uk/writtenevidence/165745/html/</w:t>
        </w:r>
      </w:hyperlink>
      <w:r w:rsidRPr="00D20A36">
        <w:rPr>
          <w:rFonts w:ascii="Arial" w:eastAsia="Calibri" w:hAnsi="Arial" w:cs="Arial"/>
          <w:kern w:val="0"/>
          <w:sz w:val="22"/>
          <w:szCs w:val="22"/>
        </w:rPr>
        <w:t> (Accessed: 5 July 2026).</w:t>
      </w:r>
    </w:p>
    <w:p w14:paraId="7521DE52" w14:textId="77777777" w:rsidR="00D52EAB" w:rsidRPr="00D20A36" w:rsidRDefault="00D52EAB" w:rsidP="00D52EAB">
      <w:pPr>
        <w:spacing w:after="0" w:line="360" w:lineRule="auto"/>
        <w:ind w:left="720" w:hanging="720"/>
        <w:contextualSpacing/>
        <w:rPr>
          <w:rFonts w:ascii="Arial" w:eastAsia="Calibri" w:hAnsi="Arial" w:cs="Arial"/>
          <w:kern w:val="0"/>
          <w:sz w:val="22"/>
          <w:szCs w:val="22"/>
        </w:rPr>
      </w:pPr>
      <w:r w:rsidRPr="00D20A36">
        <w:rPr>
          <w:rFonts w:ascii="Arial" w:eastAsia="Calibri" w:hAnsi="Arial" w:cs="Arial"/>
          <w:kern w:val="0"/>
          <w:sz w:val="22"/>
          <w:szCs w:val="22"/>
        </w:rPr>
        <w:t xml:space="preserve">Friedrich, B., </w:t>
      </w:r>
      <w:proofErr w:type="spellStart"/>
      <w:r w:rsidRPr="00D20A36">
        <w:rPr>
          <w:rFonts w:ascii="Arial" w:eastAsia="Calibri" w:hAnsi="Arial" w:cs="Arial"/>
          <w:kern w:val="0"/>
          <w:sz w:val="22"/>
          <w:szCs w:val="22"/>
        </w:rPr>
        <w:t>Vindrola-Padros</w:t>
      </w:r>
      <w:proofErr w:type="spellEnd"/>
      <w:r w:rsidRPr="00D20A36">
        <w:rPr>
          <w:rFonts w:ascii="Arial" w:eastAsia="Calibri" w:hAnsi="Arial" w:cs="Arial"/>
          <w:kern w:val="0"/>
          <w:sz w:val="22"/>
          <w:szCs w:val="22"/>
        </w:rPr>
        <w:t xml:space="preserve">, C., Lucassen, A.M., Patch, C., Clarke, A., </w:t>
      </w:r>
      <w:proofErr w:type="spellStart"/>
      <w:r w:rsidRPr="00D20A36">
        <w:rPr>
          <w:rFonts w:ascii="Arial" w:eastAsia="Calibri" w:hAnsi="Arial" w:cs="Arial"/>
          <w:kern w:val="0"/>
          <w:sz w:val="22"/>
          <w:szCs w:val="22"/>
        </w:rPr>
        <w:t>Lakhanpaul</w:t>
      </w:r>
      <w:proofErr w:type="spellEnd"/>
      <w:r w:rsidRPr="00D20A36">
        <w:rPr>
          <w:rFonts w:ascii="Arial" w:eastAsia="Calibri" w:hAnsi="Arial" w:cs="Arial"/>
          <w:kern w:val="0"/>
          <w:sz w:val="22"/>
          <w:szCs w:val="22"/>
        </w:rPr>
        <w:t>, M. and Lewis, C. (2024) '"A very big challenge": a qualitative study to explore the early barriers and enablers to implementing a national genomic medicine service in England', </w:t>
      </w:r>
      <w:r w:rsidRPr="00D20A36">
        <w:rPr>
          <w:rFonts w:ascii="Arial" w:eastAsia="Calibri" w:hAnsi="Arial" w:cs="Arial"/>
          <w:i/>
          <w:iCs/>
          <w:kern w:val="0"/>
          <w:sz w:val="22"/>
          <w:szCs w:val="22"/>
        </w:rPr>
        <w:t>Frontiers in Genetics</w:t>
      </w:r>
      <w:r w:rsidRPr="00D20A36">
        <w:rPr>
          <w:rFonts w:ascii="Arial" w:eastAsia="Calibri" w:hAnsi="Arial" w:cs="Arial"/>
          <w:kern w:val="0"/>
          <w:sz w:val="22"/>
          <w:szCs w:val="22"/>
        </w:rPr>
        <w:t xml:space="preserve">, 15. </w:t>
      </w:r>
      <w:proofErr w:type="spellStart"/>
      <w:r w:rsidRPr="00D20A36">
        <w:rPr>
          <w:rFonts w:ascii="Arial" w:eastAsia="Calibri" w:hAnsi="Arial" w:cs="Arial"/>
          <w:kern w:val="0"/>
          <w:sz w:val="22"/>
          <w:szCs w:val="22"/>
        </w:rPr>
        <w:t>doi</w:t>
      </w:r>
      <w:proofErr w:type="spellEnd"/>
      <w:r w:rsidRPr="00D20A36">
        <w:rPr>
          <w:rFonts w:ascii="Arial" w:eastAsia="Calibri" w:hAnsi="Arial" w:cs="Arial"/>
          <w:kern w:val="0"/>
          <w:sz w:val="22"/>
          <w:szCs w:val="22"/>
        </w:rPr>
        <w:t>: 10.3389/fgene.2024.1234567.</w:t>
      </w:r>
    </w:p>
    <w:p w14:paraId="2F5AD8B1" w14:textId="77777777" w:rsidR="00D52EAB" w:rsidRPr="00D20A36" w:rsidRDefault="00D52EAB" w:rsidP="00D52EAB">
      <w:pPr>
        <w:spacing w:after="0" w:line="360" w:lineRule="auto"/>
        <w:ind w:left="720" w:hanging="720"/>
        <w:contextualSpacing/>
        <w:rPr>
          <w:rFonts w:ascii="Arial" w:eastAsia="Calibri" w:hAnsi="Arial" w:cs="Arial"/>
          <w:kern w:val="0"/>
          <w:sz w:val="22"/>
          <w:szCs w:val="22"/>
        </w:rPr>
      </w:pPr>
      <w:r w:rsidRPr="00D20A36">
        <w:rPr>
          <w:rFonts w:ascii="Arial" w:eastAsia="Calibri" w:hAnsi="Arial" w:cs="Arial"/>
          <w:kern w:val="0"/>
          <w:sz w:val="22"/>
          <w:szCs w:val="22"/>
        </w:rPr>
        <w:t>Genomics Education Programme (2021) </w:t>
      </w:r>
      <w:r w:rsidRPr="00D20A36">
        <w:rPr>
          <w:rFonts w:ascii="Arial" w:eastAsia="Calibri" w:hAnsi="Arial" w:cs="Arial"/>
          <w:i/>
          <w:iCs/>
          <w:kern w:val="0"/>
          <w:sz w:val="22"/>
          <w:szCs w:val="22"/>
        </w:rPr>
        <w:t>Competency frameworks</w:t>
      </w:r>
      <w:r w:rsidRPr="00D20A36">
        <w:rPr>
          <w:rFonts w:ascii="Arial" w:eastAsia="Calibri" w:hAnsi="Arial" w:cs="Arial"/>
          <w:kern w:val="0"/>
          <w:sz w:val="22"/>
          <w:szCs w:val="22"/>
        </w:rPr>
        <w:t>. Available at: </w:t>
      </w:r>
      <w:hyperlink r:id="rId13" w:history="1">
        <w:r w:rsidRPr="00D20A36">
          <w:rPr>
            <w:rFonts w:ascii="Arial" w:eastAsia="Calibri" w:hAnsi="Arial" w:cs="Arial"/>
            <w:color w:val="0563C1"/>
            <w:kern w:val="0"/>
            <w:sz w:val="22"/>
            <w:szCs w:val="22"/>
            <w:u w:val="single"/>
          </w:rPr>
          <w:t>https://www.genomicseducation.hee.nhs.uk/competency-frameworks/</w:t>
        </w:r>
      </w:hyperlink>
      <w:r w:rsidRPr="00D20A36">
        <w:rPr>
          <w:rFonts w:ascii="Arial" w:eastAsia="Calibri" w:hAnsi="Arial" w:cs="Arial"/>
          <w:kern w:val="0"/>
          <w:sz w:val="22"/>
          <w:szCs w:val="22"/>
        </w:rPr>
        <w:t xml:space="preserve"> (Accessed: 5 July 2026).</w:t>
      </w:r>
    </w:p>
    <w:p w14:paraId="4B37BD2A" w14:textId="77777777" w:rsidR="00D52EAB" w:rsidRPr="00D20A36" w:rsidRDefault="00D52EAB" w:rsidP="00D52EAB">
      <w:pPr>
        <w:spacing w:after="0" w:line="360" w:lineRule="auto"/>
        <w:ind w:left="720" w:hanging="720"/>
        <w:contextualSpacing/>
        <w:rPr>
          <w:rFonts w:ascii="Arial" w:eastAsia="Calibri" w:hAnsi="Arial" w:cs="Arial"/>
          <w:kern w:val="0"/>
          <w:sz w:val="22"/>
          <w:szCs w:val="22"/>
        </w:rPr>
      </w:pPr>
      <w:r w:rsidRPr="00D20A36">
        <w:rPr>
          <w:rFonts w:ascii="Arial" w:eastAsia="Calibri" w:hAnsi="Arial" w:cs="Arial"/>
          <w:kern w:val="0"/>
          <w:sz w:val="22"/>
          <w:szCs w:val="22"/>
        </w:rPr>
        <w:t>Genomics England (2024) </w:t>
      </w:r>
      <w:r w:rsidRPr="00D20A36">
        <w:rPr>
          <w:rFonts w:ascii="Arial" w:eastAsia="Calibri" w:hAnsi="Arial" w:cs="Arial"/>
          <w:i/>
          <w:iCs/>
          <w:kern w:val="0"/>
          <w:sz w:val="22"/>
          <w:szCs w:val="22"/>
        </w:rPr>
        <w:t>Annual Report and Accounts 2023–24</w:t>
      </w:r>
      <w:r w:rsidRPr="00D20A36">
        <w:rPr>
          <w:rFonts w:ascii="Arial" w:eastAsia="Calibri" w:hAnsi="Arial" w:cs="Arial"/>
          <w:kern w:val="0"/>
          <w:sz w:val="22"/>
          <w:szCs w:val="22"/>
        </w:rPr>
        <w:t>.</w:t>
      </w:r>
    </w:p>
    <w:p w14:paraId="3460DD4F" w14:textId="7D25D85F" w:rsidR="00D52EAB" w:rsidRPr="00D20A36" w:rsidRDefault="00D52EAB" w:rsidP="00D52EAB">
      <w:pPr>
        <w:spacing w:after="0" w:line="360" w:lineRule="auto"/>
        <w:ind w:left="720" w:hanging="720"/>
        <w:contextualSpacing/>
        <w:rPr>
          <w:rFonts w:ascii="Arial" w:eastAsia="Calibri" w:hAnsi="Arial" w:cs="Arial"/>
          <w:kern w:val="0"/>
          <w:sz w:val="22"/>
          <w:szCs w:val="22"/>
        </w:rPr>
      </w:pPr>
      <w:r w:rsidRPr="00D20A36">
        <w:rPr>
          <w:rFonts w:ascii="Arial" w:eastAsia="Calibri" w:hAnsi="Arial" w:cs="Arial"/>
          <w:kern w:val="0"/>
          <w:sz w:val="22"/>
          <w:szCs w:val="22"/>
        </w:rPr>
        <w:t xml:space="preserve">Greene, B.L. and Marron, J.M. (2026) 'Ethical considerations of genetic and genomic testing in </w:t>
      </w:r>
      <w:r w:rsidR="00607046" w:rsidRPr="00D20A36">
        <w:rPr>
          <w:rFonts w:ascii="Arial" w:eastAsia="Calibri" w:hAnsi="Arial" w:cs="Arial"/>
          <w:kern w:val="0"/>
          <w:sz w:val="22"/>
          <w:szCs w:val="22"/>
        </w:rPr>
        <w:t>paediatric</w:t>
      </w:r>
      <w:r w:rsidRPr="00D20A36">
        <w:rPr>
          <w:rFonts w:ascii="Arial" w:eastAsia="Calibri" w:hAnsi="Arial" w:cs="Arial"/>
          <w:kern w:val="0"/>
          <w:sz w:val="22"/>
          <w:szCs w:val="22"/>
        </w:rPr>
        <w:t xml:space="preserve"> oncology: A narrative review', </w:t>
      </w:r>
      <w:r w:rsidRPr="00D20A36">
        <w:rPr>
          <w:rFonts w:ascii="Arial" w:eastAsia="Calibri" w:hAnsi="Arial" w:cs="Arial"/>
          <w:i/>
          <w:iCs/>
          <w:kern w:val="0"/>
          <w:sz w:val="22"/>
          <w:szCs w:val="22"/>
        </w:rPr>
        <w:t>CA: A Cancer Journal for Clinicians</w:t>
      </w:r>
      <w:r w:rsidRPr="00D20A36">
        <w:rPr>
          <w:rFonts w:ascii="Arial" w:eastAsia="Calibri" w:hAnsi="Arial" w:cs="Arial"/>
          <w:kern w:val="0"/>
          <w:sz w:val="22"/>
          <w:szCs w:val="22"/>
        </w:rPr>
        <w:t xml:space="preserve">. </w:t>
      </w:r>
      <w:proofErr w:type="spellStart"/>
      <w:r w:rsidRPr="00D20A36">
        <w:rPr>
          <w:rFonts w:ascii="Arial" w:eastAsia="Calibri" w:hAnsi="Arial" w:cs="Arial"/>
          <w:kern w:val="0"/>
          <w:sz w:val="22"/>
          <w:szCs w:val="22"/>
        </w:rPr>
        <w:t>doi</w:t>
      </w:r>
      <w:proofErr w:type="spellEnd"/>
      <w:r w:rsidRPr="00D20A36">
        <w:rPr>
          <w:rFonts w:ascii="Arial" w:eastAsia="Calibri" w:hAnsi="Arial" w:cs="Arial"/>
          <w:kern w:val="0"/>
          <w:sz w:val="22"/>
          <w:szCs w:val="22"/>
        </w:rPr>
        <w:t>: 10.3322/caac.70075.</w:t>
      </w:r>
    </w:p>
    <w:p w14:paraId="5D3EF60F" w14:textId="77777777" w:rsidR="00607046" w:rsidRPr="00D20A36" w:rsidRDefault="00607046" w:rsidP="00607046">
      <w:pPr>
        <w:spacing w:after="0" w:line="360" w:lineRule="auto"/>
        <w:ind w:left="720" w:hanging="720"/>
        <w:contextualSpacing/>
        <w:rPr>
          <w:rFonts w:ascii="Arial" w:eastAsia="Calibri" w:hAnsi="Arial" w:cs="Arial"/>
          <w:kern w:val="0"/>
          <w:sz w:val="22"/>
          <w:szCs w:val="22"/>
        </w:rPr>
      </w:pPr>
      <w:r w:rsidRPr="00D20A36">
        <w:rPr>
          <w:rFonts w:ascii="Arial" w:eastAsia="Calibri" w:hAnsi="Arial" w:cs="Arial"/>
          <w:kern w:val="0"/>
          <w:sz w:val="22"/>
          <w:szCs w:val="22"/>
        </w:rPr>
        <w:t>Karthikeyan, S., McKee, M. and McKay, S. (2024) 'Implementing genomic medicine in routine care: practical challenges', </w:t>
      </w:r>
      <w:r w:rsidRPr="00D20A36">
        <w:rPr>
          <w:rFonts w:ascii="Arial" w:eastAsia="Calibri" w:hAnsi="Arial" w:cs="Arial"/>
          <w:i/>
          <w:iCs/>
          <w:kern w:val="0"/>
          <w:sz w:val="22"/>
          <w:szCs w:val="22"/>
        </w:rPr>
        <w:t>Journal of Health Services Research &amp; Policy</w:t>
      </w:r>
      <w:r w:rsidRPr="00D20A36">
        <w:rPr>
          <w:rFonts w:ascii="Arial" w:eastAsia="Calibri" w:hAnsi="Arial" w:cs="Arial"/>
          <w:kern w:val="0"/>
          <w:sz w:val="22"/>
          <w:szCs w:val="22"/>
        </w:rPr>
        <w:t>.</w:t>
      </w:r>
    </w:p>
    <w:p w14:paraId="537291AA" w14:textId="77777777" w:rsidR="00607046" w:rsidRPr="00D20A36" w:rsidRDefault="00607046" w:rsidP="00607046">
      <w:pPr>
        <w:spacing w:after="0" w:line="360" w:lineRule="auto"/>
        <w:ind w:left="720" w:hanging="720"/>
        <w:contextualSpacing/>
        <w:rPr>
          <w:rFonts w:ascii="Arial" w:eastAsia="Calibri" w:hAnsi="Arial" w:cs="Arial"/>
          <w:kern w:val="0"/>
          <w:sz w:val="22"/>
          <w:szCs w:val="22"/>
        </w:rPr>
      </w:pPr>
      <w:r w:rsidRPr="00D20A36">
        <w:rPr>
          <w:rFonts w:ascii="Arial" w:eastAsia="Calibri" w:hAnsi="Arial" w:cs="Arial"/>
          <w:kern w:val="0"/>
          <w:sz w:val="22"/>
          <w:szCs w:val="22"/>
        </w:rPr>
        <w:t>Horton, R., Crawford, G., Freeman, L., Fenwick, A., Wright, C.F. and Lucassen, A., 2019. Direct-to-consumer genetic testing. </w:t>
      </w:r>
      <w:proofErr w:type="spellStart"/>
      <w:r w:rsidRPr="00D20A36">
        <w:rPr>
          <w:rFonts w:ascii="Arial" w:eastAsia="Calibri" w:hAnsi="Arial" w:cs="Arial"/>
          <w:i/>
          <w:iCs/>
          <w:kern w:val="0"/>
          <w:sz w:val="22"/>
          <w:szCs w:val="22"/>
        </w:rPr>
        <w:t>Bmj</w:t>
      </w:r>
      <w:proofErr w:type="spellEnd"/>
      <w:r w:rsidRPr="00D20A36">
        <w:rPr>
          <w:rFonts w:ascii="Arial" w:eastAsia="Calibri" w:hAnsi="Arial" w:cs="Arial"/>
          <w:kern w:val="0"/>
          <w:sz w:val="22"/>
          <w:szCs w:val="22"/>
        </w:rPr>
        <w:t>, </w:t>
      </w:r>
      <w:r w:rsidRPr="00D20A36">
        <w:rPr>
          <w:rFonts w:ascii="Arial" w:eastAsia="Calibri" w:hAnsi="Arial" w:cs="Arial"/>
          <w:i/>
          <w:iCs/>
          <w:kern w:val="0"/>
          <w:sz w:val="22"/>
          <w:szCs w:val="22"/>
        </w:rPr>
        <w:t>367</w:t>
      </w:r>
      <w:r w:rsidRPr="00D20A36">
        <w:rPr>
          <w:rFonts w:ascii="Arial" w:eastAsia="Calibri" w:hAnsi="Arial" w:cs="Arial"/>
          <w:kern w:val="0"/>
          <w:sz w:val="22"/>
          <w:szCs w:val="22"/>
        </w:rPr>
        <w:t>.</w:t>
      </w:r>
    </w:p>
    <w:p w14:paraId="6D4AF608" w14:textId="77777777" w:rsidR="00607046" w:rsidRPr="00D20A36" w:rsidRDefault="00607046" w:rsidP="00607046">
      <w:pPr>
        <w:spacing w:after="0" w:line="360" w:lineRule="auto"/>
        <w:ind w:left="720" w:hanging="720"/>
        <w:contextualSpacing/>
        <w:rPr>
          <w:rFonts w:ascii="Arial" w:eastAsia="Calibri" w:hAnsi="Arial" w:cs="Arial"/>
          <w:kern w:val="0"/>
          <w:sz w:val="22"/>
          <w:szCs w:val="22"/>
        </w:rPr>
      </w:pPr>
      <w:r w:rsidRPr="00D20A36">
        <w:rPr>
          <w:rFonts w:ascii="Arial" w:eastAsia="Calibri" w:hAnsi="Arial" w:cs="Arial"/>
          <w:kern w:val="0"/>
          <w:sz w:val="22"/>
          <w:szCs w:val="22"/>
        </w:rPr>
        <w:t>NHS England (2022a) </w:t>
      </w:r>
      <w:r w:rsidRPr="00D20A36">
        <w:rPr>
          <w:rFonts w:ascii="Arial" w:eastAsia="Calibri" w:hAnsi="Arial" w:cs="Arial"/>
          <w:i/>
          <w:iCs/>
          <w:kern w:val="0"/>
          <w:sz w:val="22"/>
          <w:szCs w:val="22"/>
        </w:rPr>
        <w:t>Accelerating genomic medicine in the NHS</w:t>
      </w:r>
      <w:r w:rsidRPr="00D20A36">
        <w:rPr>
          <w:rFonts w:ascii="Arial" w:eastAsia="Calibri" w:hAnsi="Arial" w:cs="Arial"/>
          <w:kern w:val="0"/>
          <w:sz w:val="22"/>
          <w:szCs w:val="22"/>
        </w:rPr>
        <w:t>. Available at: </w:t>
      </w:r>
      <w:hyperlink r:id="rId14" w:tgtFrame="_blank" w:history="1">
        <w:r w:rsidRPr="00D20A36">
          <w:rPr>
            <w:rFonts w:ascii="Arial" w:eastAsia="Calibri" w:hAnsi="Arial" w:cs="Arial"/>
            <w:color w:val="0563C1"/>
            <w:kern w:val="0"/>
            <w:sz w:val="22"/>
            <w:szCs w:val="22"/>
            <w:u w:val="single"/>
          </w:rPr>
          <w:t>https://www.england.nhs.uk/long-read/accelerating-genomic-medicine-in-the-nhs/</w:t>
        </w:r>
      </w:hyperlink>
      <w:r w:rsidRPr="00D20A36">
        <w:rPr>
          <w:rFonts w:ascii="Arial" w:eastAsia="Calibri" w:hAnsi="Arial" w:cs="Arial"/>
          <w:kern w:val="0"/>
          <w:sz w:val="22"/>
          <w:szCs w:val="22"/>
        </w:rPr>
        <w:t> (Accessed: 5 July 2026).</w:t>
      </w:r>
    </w:p>
    <w:p w14:paraId="12C8629D" w14:textId="77777777" w:rsidR="006C4190" w:rsidRPr="00D20A36" w:rsidRDefault="006C4190" w:rsidP="00924869">
      <w:pPr>
        <w:spacing w:after="0" w:line="360" w:lineRule="auto"/>
        <w:ind w:firstLine="720"/>
        <w:contextualSpacing/>
        <w:jc w:val="both"/>
        <w:rPr>
          <w:rFonts w:ascii="Arial" w:eastAsia="Calibri" w:hAnsi="Arial" w:cs="Arial"/>
          <w:kern w:val="0"/>
          <w:sz w:val="22"/>
          <w:szCs w:val="22"/>
        </w:rPr>
      </w:pPr>
    </w:p>
    <w:p w14:paraId="143633D1" w14:textId="77777777" w:rsidR="009F52DC" w:rsidRPr="00683B14" w:rsidRDefault="009F52DC" w:rsidP="00924869">
      <w:pPr>
        <w:spacing w:after="0" w:line="360" w:lineRule="auto"/>
        <w:ind w:firstLine="720"/>
        <w:contextualSpacing/>
        <w:jc w:val="both"/>
        <w:rPr>
          <w:rFonts w:ascii="Arial" w:eastAsia="Calibri" w:hAnsi="Arial" w:cs="Arial"/>
          <w:kern w:val="0"/>
          <w:sz w:val="22"/>
          <w:szCs w:val="22"/>
        </w:rPr>
      </w:pPr>
    </w:p>
    <w:p w14:paraId="2EC0723A" w14:textId="48ED5F6A" w:rsidR="00924869" w:rsidRPr="00924869" w:rsidRDefault="00924869" w:rsidP="00924869">
      <w:pPr>
        <w:spacing w:after="0" w:line="360" w:lineRule="auto"/>
        <w:ind w:firstLine="720"/>
        <w:contextualSpacing/>
        <w:jc w:val="both"/>
        <w:rPr>
          <w:rFonts w:ascii="Times New Roman" w:eastAsia="Calibri" w:hAnsi="Times New Roman"/>
          <w:kern w:val="0"/>
          <w:szCs w:val="22"/>
        </w:rPr>
      </w:pPr>
    </w:p>
    <w:p w14:paraId="1020CB1F" w14:textId="77777777" w:rsidR="00D666DD" w:rsidRPr="00D666DD" w:rsidRDefault="00D666DD" w:rsidP="00636D16">
      <w:pPr>
        <w:spacing w:line="360" w:lineRule="auto"/>
        <w:contextualSpacing/>
        <w:rPr>
          <w:rFonts w:ascii="Arial" w:eastAsia="Calibri" w:hAnsi="Arial" w:cs="Arial"/>
          <w:kern w:val="0"/>
          <w:sz w:val="22"/>
          <w:szCs w:val="22"/>
        </w:rPr>
      </w:pPr>
    </w:p>
    <w:p w14:paraId="451157F4" w14:textId="77777777" w:rsidR="00A7656B" w:rsidRPr="00A7656B" w:rsidRDefault="00A7656B" w:rsidP="00A7656B">
      <w:pPr>
        <w:spacing w:line="360" w:lineRule="auto"/>
        <w:contextualSpacing/>
        <w:rPr>
          <w:rFonts w:ascii="Arial" w:eastAsia="Calibri" w:hAnsi="Arial" w:cs="Arial"/>
          <w:kern w:val="0"/>
          <w:sz w:val="22"/>
          <w:szCs w:val="22"/>
        </w:rPr>
      </w:pPr>
    </w:p>
    <w:p w14:paraId="712EB87C" w14:textId="21628018" w:rsidR="0031421D" w:rsidRPr="000B77DA" w:rsidRDefault="0031421D" w:rsidP="0031421D">
      <w:pPr>
        <w:spacing w:after="0" w:line="360" w:lineRule="auto"/>
        <w:contextualSpacing/>
        <w:rPr>
          <w:rFonts w:ascii="Arial" w:eastAsia="Calibri" w:hAnsi="Arial" w:cs="Arial"/>
          <w:kern w:val="0"/>
          <w:sz w:val="22"/>
          <w:szCs w:val="22"/>
        </w:rPr>
      </w:pPr>
    </w:p>
    <w:p w14:paraId="28686D7A" w14:textId="77777777" w:rsidR="0031421D" w:rsidRPr="0031421D" w:rsidRDefault="0031421D" w:rsidP="0031421D">
      <w:pPr>
        <w:spacing w:after="0" w:line="360" w:lineRule="auto"/>
        <w:contextualSpacing/>
        <w:rPr>
          <w:rFonts w:ascii="Times New Roman" w:eastAsia="Calibri" w:hAnsi="Times New Roman"/>
          <w:kern w:val="0"/>
        </w:rPr>
      </w:pPr>
    </w:p>
    <w:p w14:paraId="0B9D62CD" w14:textId="77777777" w:rsidR="008375B5" w:rsidRPr="00A14A8F" w:rsidRDefault="008375B5" w:rsidP="008375B5">
      <w:pPr>
        <w:pStyle w:val="NormalWeb"/>
        <w:spacing w:line="360" w:lineRule="auto"/>
        <w:rPr>
          <w:rFonts w:ascii="Arial" w:hAnsi="Arial" w:cs="Arial"/>
          <w:color w:val="000000"/>
          <w:sz w:val="22"/>
          <w:szCs w:val="22"/>
        </w:rPr>
      </w:pPr>
    </w:p>
    <w:p w14:paraId="2FE408B9" w14:textId="77777777" w:rsidR="008375B5" w:rsidRPr="00FA55DD" w:rsidRDefault="008375B5" w:rsidP="008375B5">
      <w:pPr>
        <w:pStyle w:val="NormalWeb"/>
        <w:spacing w:line="360" w:lineRule="auto"/>
        <w:rPr>
          <w:rFonts w:ascii="Arial" w:hAnsi="Arial" w:cs="Arial"/>
          <w:b/>
          <w:bCs/>
          <w:color w:val="000000"/>
        </w:rPr>
      </w:pPr>
    </w:p>
    <w:p w14:paraId="5A2F682A" w14:textId="77777777" w:rsidR="008375B5" w:rsidRPr="00FA55DD" w:rsidRDefault="008375B5" w:rsidP="008375B5">
      <w:pPr>
        <w:pStyle w:val="NormalWeb"/>
        <w:spacing w:line="360" w:lineRule="auto"/>
        <w:rPr>
          <w:rFonts w:ascii="Arial" w:hAnsi="Arial" w:cs="Arial"/>
          <w:b/>
          <w:bCs/>
          <w:color w:val="000000"/>
        </w:rPr>
      </w:pPr>
    </w:p>
    <w:p w14:paraId="67BBED9F" w14:textId="77777777" w:rsidR="008375B5" w:rsidRPr="00FA55DD" w:rsidRDefault="008375B5" w:rsidP="008375B5">
      <w:pPr>
        <w:pStyle w:val="NormalWeb"/>
        <w:spacing w:line="360" w:lineRule="auto"/>
        <w:rPr>
          <w:rFonts w:ascii="Arial" w:hAnsi="Arial" w:cs="Arial"/>
          <w:b/>
          <w:bCs/>
          <w:color w:val="000000"/>
        </w:rPr>
      </w:pPr>
    </w:p>
    <w:p w14:paraId="2F97C8DA" w14:textId="77777777" w:rsidR="008375B5" w:rsidRPr="00FA55DD" w:rsidRDefault="008375B5" w:rsidP="008375B5">
      <w:pPr>
        <w:pStyle w:val="NormalWeb"/>
        <w:spacing w:line="360" w:lineRule="auto"/>
        <w:rPr>
          <w:rFonts w:ascii="Arial" w:hAnsi="Arial" w:cs="Arial"/>
          <w:b/>
          <w:bCs/>
          <w:color w:val="000000"/>
        </w:rPr>
      </w:pPr>
    </w:p>
    <w:p w14:paraId="47E77C0F" w14:textId="66DABFB9" w:rsidR="00594DC9" w:rsidRPr="00FA55DD" w:rsidRDefault="00594DC9" w:rsidP="00594DC9">
      <w:pPr>
        <w:pStyle w:val="NoSpacing"/>
        <w:rPr>
          <w:rFonts w:ascii="Arial" w:hAnsi="Arial" w:cs="Arial"/>
        </w:rPr>
      </w:pPr>
    </w:p>
    <w:p w14:paraId="3D85914B" w14:textId="77777777" w:rsidR="00594DC9" w:rsidRPr="00FA55DD" w:rsidRDefault="00594DC9" w:rsidP="00594DC9">
      <w:pPr>
        <w:pStyle w:val="NoSpacing"/>
        <w:rPr>
          <w:rFonts w:ascii="Arial" w:hAnsi="Arial" w:cs="Arial"/>
        </w:rPr>
      </w:pPr>
    </w:p>
    <w:p w14:paraId="1885765A" w14:textId="2622A95C" w:rsidR="00BF579E" w:rsidRPr="00FA55DD" w:rsidRDefault="00BF579E" w:rsidP="00BF579E">
      <w:pPr>
        <w:pStyle w:val="NoSpacing"/>
        <w:rPr>
          <w:rFonts w:ascii="Arial" w:hAnsi="Arial" w:cs="Arial"/>
        </w:rPr>
      </w:pPr>
    </w:p>
    <w:p w14:paraId="58EFE33D" w14:textId="210FA28C" w:rsidR="00316CE0" w:rsidRPr="00FA55DD" w:rsidRDefault="00316CE0" w:rsidP="00316CE0">
      <w:pPr>
        <w:pStyle w:val="NoSpacing"/>
        <w:rPr>
          <w:rFonts w:ascii="Arial" w:hAnsi="Arial" w:cs="Arial"/>
        </w:rPr>
      </w:pPr>
      <w:r w:rsidRPr="00FA55DD">
        <w:rPr>
          <w:rFonts w:ascii="Arial" w:hAnsi="Arial" w:cs="Arial"/>
        </w:rPr>
        <w:t xml:space="preserve">. </w:t>
      </w:r>
    </w:p>
    <w:p w14:paraId="148BA223" w14:textId="77777777" w:rsidR="00316CE0" w:rsidRPr="00FA55DD" w:rsidRDefault="00316CE0" w:rsidP="00316CE0">
      <w:pPr>
        <w:pStyle w:val="NoSpacing"/>
        <w:rPr>
          <w:rFonts w:ascii="Arial" w:hAnsi="Arial" w:cs="Arial"/>
        </w:rPr>
      </w:pPr>
    </w:p>
    <w:p w14:paraId="6AC0E237" w14:textId="77777777" w:rsidR="00316CE0" w:rsidRPr="00FA55DD" w:rsidRDefault="00316CE0" w:rsidP="00316CE0">
      <w:pPr>
        <w:pStyle w:val="NoSpacing"/>
        <w:rPr>
          <w:rFonts w:ascii="Arial" w:hAnsi="Arial" w:cs="Arial"/>
        </w:rPr>
      </w:pPr>
    </w:p>
    <w:p w14:paraId="1CC2DDC9" w14:textId="77777777" w:rsidR="00BF579E" w:rsidRPr="00FA55DD" w:rsidRDefault="00BF579E" w:rsidP="00BF579E">
      <w:pPr>
        <w:pStyle w:val="NoSpacing"/>
        <w:rPr>
          <w:rFonts w:ascii="Arial" w:hAnsi="Arial" w:cs="Arial"/>
          <w:sz w:val="28"/>
          <w:szCs w:val="28"/>
        </w:rPr>
      </w:pPr>
    </w:p>
    <w:p w14:paraId="335265C0" w14:textId="77777777" w:rsidR="00594DC9" w:rsidRPr="00FA55DD" w:rsidRDefault="00594DC9" w:rsidP="00594DC9">
      <w:pPr>
        <w:pStyle w:val="NoSpacing"/>
        <w:rPr>
          <w:rFonts w:ascii="Arial" w:eastAsia="Calibri" w:hAnsi="Arial" w:cs="Arial"/>
        </w:rPr>
      </w:pPr>
    </w:p>
    <w:p w14:paraId="72A560AC" w14:textId="77777777" w:rsidR="00594DC9" w:rsidRPr="00FA55DD" w:rsidRDefault="00594DC9" w:rsidP="00594DC9">
      <w:pPr>
        <w:pStyle w:val="NoSpacing"/>
        <w:rPr>
          <w:rFonts w:ascii="Arial" w:hAnsi="Arial" w:cs="Arial"/>
        </w:rPr>
      </w:pPr>
    </w:p>
    <w:p w14:paraId="232BD2C5" w14:textId="77777777" w:rsidR="00C80D0F" w:rsidRPr="00FA55DD" w:rsidRDefault="00C80D0F" w:rsidP="008375B5">
      <w:pPr>
        <w:spacing w:line="360" w:lineRule="auto"/>
        <w:rPr>
          <w:rFonts w:ascii="Arial" w:hAnsi="Arial" w:cs="Arial"/>
          <w:i/>
          <w:iCs/>
          <w:sz w:val="22"/>
          <w:szCs w:val="22"/>
        </w:rPr>
      </w:pPr>
    </w:p>
    <w:p w14:paraId="7E860150" w14:textId="77777777" w:rsidR="00C80D0F" w:rsidRPr="00FA55DD" w:rsidRDefault="00C80D0F" w:rsidP="008375B5">
      <w:pPr>
        <w:spacing w:line="360" w:lineRule="auto"/>
        <w:rPr>
          <w:rFonts w:ascii="Arial" w:hAnsi="Arial" w:cs="Arial"/>
          <w:b/>
          <w:bCs/>
          <w:i/>
          <w:iCs/>
          <w:sz w:val="22"/>
          <w:szCs w:val="22"/>
        </w:rPr>
      </w:pPr>
    </w:p>
    <w:p w14:paraId="67237EDC" w14:textId="0A2B8455" w:rsidR="00935740" w:rsidRPr="00FA55DD" w:rsidRDefault="00935740" w:rsidP="00935740">
      <w:pPr>
        <w:ind w:left="720" w:hanging="720"/>
      </w:pPr>
      <w:r w:rsidRPr="00FA55DD">
        <w:t>.</w:t>
      </w:r>
    </w:p>
    <w:p w14:paraId="4241EF9C" w14:textId="77777777" w:rsidR="00C80D0F" w:rsidRPr="00FA55DD" w:rsidRDefault="00C80D0F" w:rsidP="002F0E5F">
      <w:pPr>
        <w:pStyle w:val="NoSpacing"/>
        <w:rPr>
          <w:rFonts w:ascii="Arial" w:hAnsi="Arial" w:cs="Arial"/>
        </w:rPr>
      </w:pPr>
    </w:p>
    <w:p w14:paraId="0948E6F1" w14:textId="77777777" w:rsidR="00FA55DD" w:rsidRPr="00FA55DD" w:rsidRDefault="00FA55DD" w:rsidP="002F0E5F">
      <w:pPr>
        <w:pStyle w:val="NoSpacing"/>
        <w:rPr>
          <w:rFonts w:ascii="Arial" w:hAnsi="Arial" w:cs="Arial"/>
        </w:rPr>
      </w:pPr>
    </w:p>
    <w:p w14:paraId="76920EB5" w14:textId="77777777" w:rsidR="00C80D0F" w:rsidRPr="00FA55DD" w:rsidRDefault="00C80D0F" w:rsidP="002F0E5F">
      <w:pPr>
        <w:pStyle w:val="NoSpacing"/>
        <w:rPr>
          <w:rFonts w:ascii="Arial" w:hAnsi="Arial" w:cs="Arial"/>
        </w:rPr>
      </w:pPr>
    </w:p>
    <w:p w14:paraId="5C4B2A31" w14:textId="77777777" w:rsidR="00C80D0F" w:rsidRPr="00FA55DD" w:rsidRDefault="00C80D0F" w:rsidP="008375B5">
      <w:pPr>
        <w:spacing w:line="360" w:lineRule="auto"/>
        <w:rPr>
          <w:rFonts w:ascii="Arial" w:hAnsi="Arial" w:cs="Arial"/>
          <w:sz w:val="22"/>
          <w:szCs w:val="22"/>
        </w:rPr>
      </w:pPr>
    </w:p>
    <w:p w14:paraId="4A9E7E21" w14:textId="77777777" w:rsidR="008375B5" w:rsidRPr="00FA55DD" w:rsidRDefault="008375B5" w:rsidP="008375B5">
      <w:pPr>
        <w:spacing w:line="360" w:lineRule="auto"/>
        <w:rPr>
          <w:rFonts w:ascii="Arial" w:hAnsi="Arial" w:cs="Arial"/>
          <w:sz w:val="22"/>
          <w:szCs w:val="22"/>
        </w:rPr>
      </w:pPr>
    </w:p>
    <w:p w14:paraId="3D599A25" w14:textId="77777777" w:rsidR="008375B5" w:rsidRPr="00FA55DD" w:rsidRDefault="008375B5" w:rsidP="008375B5">
      <w:pPr>
        <w:spacing w:line="360" w:lineRule="auto"/>
        <w:rPr>
          <w:rFonts w:ascii="Arial" w:hAnsi="Arial" w:cs="Arial"/>
          <w:sz w:val="22"/>
          <w:szCs w:val="22"/>
        </w:rPr>
      </w:pPr>
    </w:p>
    <w:p w14:paraId="317B5555" w14:textId="77777777" w:rsidR="008375B5" w:rsidRPr="008375B5" w:rsidRDefault="008375B5" w:rsidP="008375B5">
      <w:pPr>
        <w:spacing w:line="360" w:lineRule="auto"/>
        <w:rPr>
          <w:rFonts w:ascii="Arial" w:hAnsi="Arial" w:cs="Arial"/>
          <w:sz w:val="22"/>
          <w:szCs w:val="22"/>
        </w:rPr>
      </w:pPr>
    </w:p>
    <w:sectPr w:rsidR="008375B5" w:rsidRPr="008375B5" w:rsidSect="008375B5">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88FAE" w14:textId="77777777" w:rsidR="000019F8" w:rsidRPr="00FA55DD" w:rsidRDefault="000019F8" w:rsidP="008375B5">
      <w:pPr>
        <w:spacing w:after="0" w:line="240" w:lineRule="auto"/>
      </w:pPr>
      <w:r w:rsidRPr="00FA55DD">
        <w:separator/>
      </w:r>
    </w:p>
  </w:endnote>
  <w:endnote w:type="continuationSeparator" w:id="0">
    <w:p w14:paraId="774A3D47" w14:textId="77777777" w:rsidR="000019F8" w:rsidRPr="00FA55DD" w:rsidRDefault="000019F8" w:rsidP="008375B5">
      <w:pPr>
        <w:spacing w:after="0" w:line="240" w:lineRule="auto"/>
      </w:pPr>
      <w:r w:rsidRPr="00FA55D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Pr="00FA55DD" w:rsidRDefault="008375B5">
    <w:pPr>
      <w:pStyle w:val="Footer"/>
      <w:jc w:val="center"/>
    </w:pPr>
    <w:r w:rsidRPr="00FA55DD">
      <w:fldChar w:fldCharType="begin"/>
    </w:r>
    <w:r w:rsidRPr="00FA55DD">
      <w:instrText xml:space="preserve"> PAGE   \* MERGEFORMAT </w:instrText>
    </w:r>
    <w:r w:rsidRPr="00FA55DD">
      <w:fldChar w:fldCharType="separate"/>
    </w:r>
    <w:r w:rsidRPr="00FA55DD">
      <w:t>2</w:t>
    </w:r>
    <w:r w:rsidRPr="00FA55DD">
      <w:fldChar w:fldCharType="end"/>
    </w:r>
  </w:p>
  <w:p w14:paraId="07B6721E" w14:textId="77777777" w:rsidR="008375B5" w:rsidRPr="00FA55DD"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EC9D1" w14:textId="77777777" w:rsidR="000019F8" w:rsidRPr="00FA55DD" w:rsidRDefault="000019F8" w:rsidP="008375B5">
      <w:pPr>
        <w:spacing w:after="0" w:line="240" w:lineRule="auto"/>
      </w:pPr>
      <w:r w:rsidRPr="00FA55DD">
        <w:separator/>
      </w:r>
    </w:p>
  </w:footnote>
  <w:footnote w:type="continuationSeparator" w:id="0">
    <w:p w14:paraId="7C97556C" w14:textId="77777777" w:rsidR="000019F8" w:rsidRPr="00FA55DD" w:rsidRDefault="000019F8" w:rsidP="008375B5">
      <w:pPr>
        <w:spacing w:after="0" w:line="240" w:lineRule="auto"/>
      </w:pPr>
      <w:r w:rsidRPr="00FA55D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67523E"/>
    <w:multiLevelType w:val="hybridMultilevel"/>
    <w:tmpl w:val="84D68F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2"/>
  </w:num>
  <w:num w:numId="2" w16cid:durableId="1722706951">
    <w:abstractNumId w:val="3"/>
  </w:num>
  <w:num w:numId="3" w16cid:durableId="335810324">
    <w:abstractNumId w:val="4"/>
  </w:num>
  <w:num w:numId="4" w16cid:durableId="808743765">
    <w:abstractNumId w:val="0"/>
  </w:num>
  <w:num w:numId="5" w16cid:durableId="1356345100">
    <w:abstractNumId w:val="1"/>
  </w:num>
  <w:num w:numId="6" w16cid:durableId="409356113">
    <w:abstractNumId w:val="5"/>
  </w:num>
  <w:num w:numId="7" w16cid:durableId="1013411307">
    <w:abstractNumId w:val="7"/>
  </w:num>
  <w:num w:numId="8" w16cid:durableId="704909136">
    <w:abstractNumId w:val="8"/>
  </w:num>
  <w:num w:numId="9" w16cid:durableId="6296330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019F8"/>
    <w:rsid w:val="00020163"/>
    <w:rsid w:val="00026365"/>
    <w:rsid w:val="00051898"/>
    <w:rsid w:val="00054269"/>
    <w:rsid w:val="000A20D2"/>
    <w:rsid w:val="000B77DA"/>
    <w:rsid w:val="000C0128"/>
    <w:rsid w:val="000C761E"/>
    <w:rsid w:val="000D5D21"/>
    <w:rsid w:val="000E0909"/>
    <w:rsid w:val="0010507B"/>
    <w:rsid w:val="00115FED"/>
    <w:rsid w:val="00145E34"/>
    <w:rsid w:val="001524BE"/>
    <w:rsid w:val="001C6561"/>
    <w:rsid w:val="001E5568"/>
    <w:rsid w:val="002069A9"/>
    <w:rsid w:val="00243AB7"/>
    <w:rsid w:val="00255D51"/>
    <w:rsid w:val="00280909"/>
    <w:rsid w:val="0029799F"/>
    <w:rsid w:val="002A3F56"/>
    <w:rsid w:val="002C2DAB"/>
    <w:rsid w:val="002C3A0C"/>
    <w:rsid w:val="002F0E5F"/>
    <w:rsid w:val="00306A8E"/>
    <w:rsid w:val="0031421D"/>
    <w:rsid w:val="00316CE0"/>
    <w:rsid w:val="003302A8"/>
    <w:rsid w:val="00332FDA"/>
    <w:rsid w:val="00334533"/>
    <w:rsid w:val="0036249A"/>
    <w:rsid w:val="00362C2A"/>
    <w:rsid w:val="003B77A7"/>
    <w:rsid w:val="003B7B35"/>
    <w:rsid w:val="003C4ADE"/>
    <w:rsid w:val="003E613F"/>
    <w:rsid w:val="004945F1"/>
    <w:rsid w:val="00496003"/>
    <w:rsid w:val="004B7E8B"/>
    <w:rsid w:val="004C4342"/>
    <w:rsid w:val="005756C7"/>
    <w:rsid w:val="0058254B"/>
    <w:rsid w:val="00594DC9"/>
    <w:rsid w:val="00607046"/>
    <w:rsid w:val="006229A5"/>
    <w:rsid w:val="00636D16"/>
    <w:rsid w:val="00683B14"/>
    <w:rsid w:val="00693046"/>
    <w:rsid w:val="006B4716"/>
    <w:rsid w:val="006C4190"/>
    <w:rsid w:val="00712A07"/>
    <w:rsid w:val="00796648"/>
    <w:rsid w:val="007F16BD"/>
    <w:rsid w:val="008265EC"/>
    <w:rsid w:val="008375B5"/>
    <w:rsid w:val="00883AE6"/>
    <w:rsid w:val="008B2139"/>
    <w:rsid w:val="008C718D"/>
    <w:rsid w:val="008E31E6"/>
    <w:rsid w:val="00915A59"/>
    <w:rsid w:val="00924869"/>
    <w:rsid w:val="009334D8"/>
    <w:rsid w:val="00935740"/>
    <w:rsid w:val="00971B9E"/>
    <w:rsid w:val="00973D45"/>
    <w:rsid w:val="00987802"/>
    <w:rsid w:val="009F52DC"/>
    <w:rsid w:val="00A14A8F"/>
    <w:rsid w:val="00A15FFA"/>
    <w:rsid w:val="00A375C5"/>
    <w:rsid w:val="00A7656B"/>
    <w:rsid w:val="00A845FF"/>
    <w:rsid w:val="00A8660B"/>
    <w:rsid w:val="00A875D4"/>
    <w:rsid w:val="00A9474F"/>
    <w:rsid w:val="00A973CE"/>
    <w:rsid w:val="00AC2DCE"/>
    <w:rsid w:val="00AC3FDE"/>
    <w:rsid w:val="00AC593F"/>
    <w:rsid w:val="00B000BF"/>
    <w:rsid w:val="00B1310F"/>
    <w:rsid w:val="00B1441D"/>
    <w:rsid w:val="00B17241"/>
    <w:rsid w:val="00BB627C"/>
    <w:rsid w:val="00BB7F7D"/>
    <w:rsid w:val="00BC56E0"/>
    <w:rsid w:val="00BF579E"/>
    <w:rsid w:val="00C6312A"/>
    <w:rsid w:val="00C80D0F"/>
    <w:rsid w:val="00D20A36"/>
    <w:rsid w:val="00D40915"/>
    <w:rsid w:val="00D453EE"/>
    <w:rsid w:val="00D47ECC"/>
    <w:rsid w:val="00D52EAB"/>
    <w:rsid w:val="00D666DD"/>
    <w:rsid w:val="00DB78E1"/>
    <w:rsid w:val="00DC7EF4"/>
    <w:rsid w:val="00E30F58"/>
    <w:rsid w:val="00E71968"/>
    <w:rsid w:val="00E8774D"/>
    <w:rsid w:val="00EA07AB"/>
    <w:rsid w:val="00EA5A73"/>
    <w:rsid w:val="00EB19FC"/>
    <w:rsid w:val="00EF56C2"/>
    <w:rsid w:val="00F31A0A"/>
    <w:rsid w:val="00F63251"/>
    <w:rsid w:val="00F75903"/>
    <w:rsid w:val="00FA55DD"/>
    <w:rsid w:val="00FE47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paragraph" w:styleId="NoSpacing">
    <w:name w:val="No Spacing"/>
    <w:uiPriority w:val="1"/>
    <w:qFormat/>
    <w:rsid w:val="00594DC9"/>
    <w:rPr>
      <w:rFonts w:asciiTheme="minorHAnsi" w:eastAsiaTheme="minorHAnsi" w:hAnsiTheme="minorHAnsi" w:cstheme="minorBidi"/>
      <w:kern w:val="2"/>
      <w:sz w:val="22"/>
      <w:szCs w:val="22"/>
      <w:lang w:eastAsia="en-US"/>
      <w14:ligatures w14:val="standardContextual"/>
    </w:rPr>
  </w:style>
  <w:style w:type="paragraph" w:styleId="TOCHeading">
    <w:name w:val="TOC Heading"/>
    <w:basedOn w:val="Heading1"/>
    <w:next w:val="Normal"/>
    <w:uiPriority w:val="39"/>
    <w:unhideWhenUsed/>
    <w:qFormat/>
    <w:rsid w:val="00BF579E"/>
    <w:pPr>
      <w:spacing w:before="240" w:after="0" w:line="259" w:lineRule="auto"/>
      <w:outlineLvl w:val="9"/>
    </w:pPr>
    <w:rPr>
      <w:rFonts w:asciiTheme="majorHAnsi" w:eastAsiaTheme="majorEastAsia" w:hAnsiTheme="majorHAnsi" w:cstheme="majorBidi"/>
      <w:color w:val="0F4761" w:themeColor="accent1" w:themeShade="BF"/>
      <w:sz w:val="32"/>
      <w:szCs w:val="32"/>
      <w14:ligatures w14:val="standardContextual"/>
    </w:rPr>
  </w:style>
  <w:style w:type="character" w:styleId="Hyperlink">
    <w:name w:val="Hyperlink"/>
    <w:basedOn w:val="DefaultParagraphFont"/>
    <w:uiPriority w:val="99"/>
    <w:unhideWhenUsed/>
    <w:rsid w:val="00C6312A"/>
    <w:rPr>
      <w:color w:val="467886" w:themeColor="hyperlink"/>
      <w:u w:val="single"/>
    </w:rPr>
  </w:style>
  <w:style w:type="paragraph" w:styleId="TOC1">
    <w:name w:val="toc 1"/>
    <w:basedOn w:val="Normal"/>
    <w:next w:val="Normal"/>
    <w:autoRedefine/>
    <w:uiPriority w:val="39"/>
    <w:unhideWhenUsed/>
    <w:rsid w:val="00C6312A"/>
    <w:pPr>
      <w:spacing w:after="100" w:line="360" w:lineRule="auto"/>
      <w:ind w:firstLine="720"/>
      <w:contextualSpacing/>
      <w:jc w:val="both"/>
    </w:pPr>
    <w:rPr>
      <w:rFonts w:ascii="Times New Roman" w:eastAsiaTheme="minorHAnsi" w:hAnsi="Times New Roman" w:cstheme="minorBidi"/>
      <w:kern w:val="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enomicseducation.hee.nhs.uk/competency-framework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mmittees.parliament.uk/writtenevidence/165745/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fa-phrt.ch/wp-content/uploads/2025/09/1_Precision_Medicine_Transforming_Healthcare_Mark_Caulfield.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committees.parliament.uk/writtenevidence/165565/html/" TargetMode="Externa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 Id="rId14" Type="http://schemas.openxmlformats.org/officeDocument/2006/relationships/hyperlink" Target="https://www.england.nhs.uk/long-read/accelerating-genomic-medicine-in-the-n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96E75-C60C-4BE2-B69C-0CCBE618D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10</Pages>
  <Words>3325</Words>
  <Characters>18957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22238</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romiina ibrahim</cp:lastModifiedBy>
  <cp:revision>8</cp:revision>
  <dcterms:created xsi:type="dcterms:W3CDTF">2026-07-14T09:09:00Z</dcterms:created>
  <dcterms:modified xsi:type="dcterms:W3CDTF">2026-07-20T10:23:00Z</dcterms:modified>
</cp:coreProperties>
</file>