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E0F9B0" w14:textId="77777777" w:rsidR="00E3632F" w:rsidRDefault="00594DB4">
      <w:pPr>
        <w:spacing w:before="240" w:after="240" w:line="360" w:lineRule="auto"/>
      </w:pPr>
      <w:r>
        <w:rPr>
          <w:noProof/>
        </w:rPr>
        <w:drawing>
          <wp:inline distT="114300" distB="114300" distL="114300" distR="114300" wp14:anchorId="0E552C1A" wp14:editId="7489A674">
            <wp:extent cx="3340100" cy="1346200"/>
            <wp:effectExtent l="0" t="0" r="0" b="0"/>
            <wp:docPr id="1"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7"/>
                    <a:srcRect/>
                    <a:stretch>
                      <a:fillRect/>
                    </a:stretch>
                  </pic:blipFill>
                  <pic:spPr>
                    <a:xfrm>
                      <a:off x="0" y="0"/>
                      <a:ext cx="3340100" cy="1346200"/>
                    </a:xfrm>
                    <a:prstGeom prst="rect">
                      <a:avLst/>
                    </a:prstGeom>
                    <a:ln/>
                  </pic:spPr>
                </pic:pic>
              </a:graphicData>
            </a:graphic>
          </wp:inline>
        </w:drawing>
      </w:r>
    </w:p>
    <w:p w14:paraId="2CD79A19" w14:textId="77777777" w:rsidR="00E3632F" w:rsidRDefault="00594DB4">
      <w:pPr>
        <w:spacing w:before="240" w:after="240" w:line="360" w:lineRule="auto"/>
        <w:rPr>
          <w:b/>
          <w:bCs/>
          <w:color w:val="1D2125"/>
        </w:rPr>
      </w:pPr>
      <w:r>
        <w:rPr>
          <w:b/>
          <w:bCs/>
          <w:color w:val="1D2125"/>
        </w:rPr>
        <w:t xml:space="preserve"> </w:t>
      </w:r>
    </w:p>
    <w:p w14:paraId="663F7DA8" w14:textId="77777777" w:rsidR="00E3632F" w:rsidRDefault="00594DB4">
      <w:pPr>
        <w:spacing w:before="240" w:after="240" w:line="360" w:lineRule="auto"/>
        <w:rPr>
          <w:b/>
          <w:bCs/>
          <w:color w:val="1D2125"/>
        </w:rPr>
      </w:pPr>
      <w:r>
        <w:rPr>
          <w:b/>
          <w:bCs/>
          <w:color w:val="1D2125"/>
        </w:rPr>
        <w:t xml:space="preserve"> </w:t>
      </w:r>
    </w:p>
    <w:p w14:paraId="2CC4884C" w14:textId="77777777" w:rsidR="00E3632F" w:rsidRDefault="00594DB4">
      <w:pPr>
        <w:spacing w:before="240" w:after="240" w:line="360" w:lineRule="auto"/>
        <w:jc w:val="center"/>
        <w:rPr>
          <w:b/>
          <w:bCs/>
          <w:color w:val="1D2125"/>
        </w:rPr>
      </w:pPr>
      <w:r>
        <w:rPr>
          <w:b/>
          <w:bCs/>
          <w:color w:val="1D2125"/>
        </w:rPr>
        <w:t xml:space="preserve"> </w:t>
      </w:r>
    </w:p>
    <w:p w14:paraId="0AADA587" w14:textId="77777777" w:rsidR="00E3632F" w:rsidRDefault="00594DB4">
      <w:pPr>
        <w:spacing w:before="240" w:after="240" w:line="360" w:lineRule="auto"/>
        <w:rPr>
          <w:b/>
          <w:bCs/>
          <w:color w:val="1D2125"/>
        </w:rPr>
      </w:pPr>
      <w:r>
        <w:rPr>
          <w:b/>
          <w:bCs/>
          <w:color w:val="1D2125"/>
        </w:rPr>
        <w:t>Module: Psychological Classifications and Provisions</w:t>
      </w:r>
    </w:p>
    <w:p w14:paraId="42B3DE52" w14:textId="77777777" w:rsidR="00E3632F" w:rsidRDefault="00594DB4">
      <w:pPr>
        <w:spacing w:before="240" w:after="240" w:line="360" w:lineRule="auto"/>
        <w:rPr>
          <w:b/>
          <w:bCs/>
          <w:color w:val="1D2125"/>
        </w:rPr>
      </w:pPr>
      <w:r>
        <w:rPr>
          <w:b/>
          <w:bCs/>
          <w:color w:val="1D2125"/>
        </w:rPr>
        <w:t>Module code: BMHP6029</w:t>
      </w:r>
    </w:p>
    <w:p w14:paraId="0964C510" w14:textId="77777777" w:rsidR="00E3632F" w:rsidRDefault="00594DB4">
      <w:pPr>
        <w:spacing w:before="240" w:after="240" w:line="360" w:lineRule="auto"/>
        <w:jc w:val="center"/>
        <w:rPr>
          <w:b/>
          <w:bCs/>
          <w:color w:val="1D2125"/>
        </w:rPr>
      </w:pPr>
      <w:r>
        <w:rPr>
          <w:b/>
          <w:bCs/>
          <w:color w:val="1D2125"/>
        </w:rPr>
        <w:t xml:space="preserve"> </w:t>
      </w:r>
    </w:p>
    <w:p w14:paraId="79E89F0C" w14:textId="77777777" w:rsidR="00E3632F" w:rsidRDefault="00E3632F">
      <w:pPr>
        <w:spacing w:before="240" w:after="240" w:line="360" w:lineRule="auto"/>
        <w:rPr>
          <w:b/>
          <w:bCs/>
          <w:color w:val="1D2125"/>
        </w:rPr>
      </w:pPr>
    </w:p>
    <w:p w14:paraId="6C2A7DF3" w14:textId="77777777" w:rsidR="00E3632F" w:rsidRDefault="00594DB4">
      <w:pPr>
        <w:spacing w:before="240" w:after="240" w:line="360" w:lineRule="auto"/>
        <w:rPr>
          <w:b/>
          <w:bCs/>
          <w:color w:val="1D2125"/>
        </w:rPr>
      </w:pPr>
      <w:r>
        <w:rPr>
          <w:b/>
          <w:bCs/>
        </w:rPr>
        <w:t>Component 2: Written Assignment (Report)</w:t>
      </w:r>
    </w:p>
    <w:p w14:paraId="352ED760" w14:textId="77777777" w:rsidR="00E3632F" w:rsidRDefault="00594DB4">
      <w:pPr>
        <w:spacing w:before="240" w:after="240" w:line="360" w:lineRule="auto"/>
        <w:rPr>
          <w:b/>
          <w:bCs/>
          <w:color w:val="1D2125"/>
        </w:rPr>
      </w:pPr>
      <w:r>
        <w:rPr>
          <w:b/>
          <w:bCs/>
          <w:color w:val="1D2125"/>
        </w:rPr>
        <w:t>Student name: Mohammad Nurul Islam</w:t>
      </w:r>
    </w:p>
    <w:p w14:paraId="610960B4" w14:textId="77777777" w:rsidR="00E3632F" w:rsidRDefault="00594DB4">
      <w:pPr>
        <w:spacing w:before="240" w:after="240" w:line="360" w:lineRule="auto"/>
        <w:rPr>
          <w:b/>
          <w:bCs/>
          <w:color w:val="1D2125"/>
        </w:rPr>
      </w:pPr>
      <w:r>
        <w:rPr>
          <w:b/>
          <w:bCs/>
          <w:color w:val="1D2125"/>
        </w:rPr>
        <w:t>Student number: 2327900</w:t>
      </w:r>
    </w:p>
    <w:p w14:paraId="3FCFC9A2" w14:textId="77777777" w:rsidR="00E3632F" w:rsidRDefault="00594DB4">
      <w:pPr>
        <w:spacing w:line="360" w:lineRule="auto"/>
        <w:rPr>
          <w:b/>
          <w:bCs/>
          <w:color w:val="1D2125"/>
        </w:rPr>
      </w:pPr>
      <w:r>
        <w:rPr>
          <w:b/>
          <w:bCs/>
          <w:color w:val="1D2125"/>
        </w:rPr>
        <w:t>Lecturer’s name:  Bianca Sanfilippo</w:t>
      </w:r>
      <w:r>
        <w:br w:type="page"/>
      </w:r>
    </w:p>
    <w:sdt>
      <w:sdtPr>
        <w:id w:val="1165014014"/>
        <w:docPartObj>
          <w:docPartGallery w:val="Table of Contents"/>
          <w:docPartUnique/>
        </w:docPartObj>
      </w:sdtPr>
      <w:sdtEndPr/>
      <w:sdtContent>
        <w:p w14:paraId="21772970" w14:textId="77777777" w:rsidR="00E3632F" w:rsidRDefault="00E3632F">
          <w:pPr>
            <w:widowControl w:val="0"/>
            <w:tabs>
              <w:tab w:val="right" w:leader="dot" w:pos="12000"/>
            </w:tabs>
            <w:spacing w:before="60" w:line="240" w:lineRule="auto"/>
            <w:rPr>
              <w:b/>
              <w:bCs/>
            </w:rPr>
          </w:pPr>
          <w:r>
            <w:fldChar w:fldCharType="begin"/>
          </w:r>
          <w:r w:rsidR="00594DB4">
            <w:instrText xml:space="preserve"> TOC \h \u \z \t "Heading 1,1,Heading 2,2,Heading 3,3,Heading 4,4,Heading 5,5,Heading 6,6,"</w:instrText>
          </w:r>
          <w:r>
            <w:fldChar w:fldCharType="separate"/>
          </w:r>
          <w:r w:rsidR="00594DB4">
            <w:rPr>
              <w:b/>
              <w:bCs/>
            </w:rPr>
            <w:t>Table of Contents:</w:t>
          </w:r>
        </w:p>
        <w:p w14:paraId="737D8281" w14:textId="77777777" w:rsidR="00E3632F" w:rsidRDefault="00E3632F">
          <w:pPr>
            <w:widowControl w:val="0"/>
            <w:tabs>
              <w:tab w:val="right" w:leader="dot" w:pos="12000"/>
            </w:tabs>
            <w:spacing w:before="60" w:line="240" w:lineRule="auto"/>
            <w:rPr>
              <w:b/>
              <w:bCs/>
            </w:rPr>
          </w:pPr>
        </w:p>
        <w:p w14:paraId="31048062" w14:textId="77777777" w:rsidR="00E3632F" w:rsidRDefault="00E3632F">
          <w:pPr>
            <w:widowControl w:val="0"/>
            <w:tabs>
              <w:tab w:val="right" w:leader="dot" w:pos="12000"/>
            </w:tabs>
            <w:spacing w:before="60" w:line="240" w:lineRule="auto"/>
            <w:rPr>
              <w:b/>
              <w:bCs/>
              <w:color w:val="000000"/>
            </w:rPr>
          </w:pPr>
          <w:hyperlink w:anchor="_smr789302ee6">
            <w:r>
              <w:rPr>
                <w:b/>
                <w:bCs/>
                <w:color w:val="000000"/>
              </w:rPr>
              <w:t>1. Introduction:</w:t>
            </w:r>
            <w:r>
              <w:rPr>
                <w:b/>
                <w:bCs/>
                <w:color w:val="000000"/>
              </w:rPr>
              <w:tab/>
              <w:t>3</w:t>
            </w:r>
          </w:hyperlink>
        </w:p>
        <w:p w14:paraId="14BDEA46" w14:textId="77777777" w:rsidR="00E3632F" w:rsidRDefault="00E3632F">
          <w:pPr>
            <w:widowControl w:val="0"/>
            <w:tabs>
              <w:tab w:val="right" w:leader="dot" w:pos="12000"/>
            </w:tabs>
            <w:spacing w:before="60" w:line="240" w:lineRule="auto"/>
            <w:rPr>
              <w:b/>
              <w:bCs/>
              <w:color w:val="000000"/>
            </w:rPr>
          </w:pPr>
          <w:hyperlink w:anchor="_280r0rdv7hfr">
            <w:r>
              <w:rPr>
                <w:b/>
                <w:bCs/>
                <w:color w:val="000000"/>
              </w:rPr>
              <w:t>2. Classification and Diagnosis:</w:t>
            </w:r>
            <w:r>
              <w:rPr>
                <w:b/>
                <w:bCs/>
                <w:color w:val="000000"/>
              </w:rPr>
              <w:tab/>
              <w:t>3</w:t>
            </w:r>
          </w:hyperlink>
        </w:p>
        <w:p w14:paraId="54D13B85" w14:textId="77777777" w:rsidR="00E3632F" w:rsidRDefault="00E3632F">
          <w:pPr>
            <w:widowControl w:val="0"/>
            <w:tabs>
              <w:tab w:val="right" w:leader="dot" w:pos="12000"/>
            </w:tabs>
            <w:spacing w:before="60" w:line="240" w:lineRule="auto"/>
            <w:rPr>
              <w:b/>
              <w:bCs/>
              <w:color w:val="000000"/>
            </w:rPr>
          </w:pPr>
          <w:hyperlink w:anchor="_73f45oo9ffqm">
            <w:r>
              <w:rPr>
                <w:b/>
                <w:bCs/>
                <w:color w:val="000000"/>
              </w:rPr>
              <w:t>3. Treatment and Rehabilitation:</w:t>
            </w:r>
            <w:r>
              <w:rPr>
                <w:b/>
                <w:bCs/>
                <w:color w:val="000000"/>
              </w:rPr>
              <w:tab/>
              <w:t>5</w:t>
            </w:r>
          </w:hyperlink>
        </w:p>
        <w:p w14:paraId="79E55114" w14:textId="77777777" w:rsidR="00E3632F" w:rsidRDefault="00E3632F">
          <w:pPr>
            <w:widowControl w:val="0"/>
            <w:tabs>
              <w:tab w:val="right" w:leader="dot" w:pos="12000"/>
            </w:tabs>
            <w:spacing w:before="60" w:line="240" w:lineRule="auto"/>
            <w:rPr>
              <w:b/>
              <w:bCs/>
              <w:color w:val="000000"/>
            </w:rPr>
          </w:pPr>
          <w:hyperlink w:anchor="_l92zzz3uq792">
            <w:r>
              <w:rPr>
                <w:b/>
                <w:bCs/>
                <w:color w:val="000000"/>
              </w:rPr>
              <w:t>4. Current Debates and Emerging Issues:</w:t>
            </w:r>
            <w:r>
              <w:rPr>
                <w:b/>
                <w:bCs/>
                <w:color w:val="000000"/>
              </w:rPr>
              <w:tab/>
              <w:t>6</w:t>
            </w:r>
          </w:hyperlink>
        </w:p>
        <w:p w14:paraId="6D645E74" w14:textId="77777777" w:rsidR="00E3632F" w:rsidRDefault="00E3632F">
          <w:pPr>
            <w:widowControl w:val="0"/>
            <w:tabs>
              <w:tab w:val="right" w:leader="dot" w:pos="12000"/>
            </w:tabs>
            <w:spacing w:before="60" w:line="240" w:lineRule="auto"/>
            <w:rPr>
              <w:b/>
              <w:bCs/>
              <w:color w:val="000000"/>
            </w:rPr>
          </w:pPr>
          <w:hyperlink w:anchor="_dhqn44imuuh3">
            <w:r>
              <w:rPr>
                <w:b/>
                <w:bCs/>
                <w:color w:val="000000"/>
              </w:rPr>
              <w:t>5. Recommendations:</w:t>
            </w:r>
            <w:r>
              <w:rPr>
                <w:b/>
                <w:bCs/>
                <w:color w:val="000000"/>
              </w:rPr>
              <w:tab/>
              <w:t>8</w:t>
            </w:r>
          </w:hyperlink>
        </w:p>
        <w:p w14:paraId="3E888173" w14:textId="77777777" w:rsidR="00E3632F" w:rsidRDefault="00E3632F">
          <w:pPr>
            <w:widowControl w:val="0"/>
            <w:tabs>
              <w:tab w:val="right" w:leader="dot" w:pos="12000"/>
            </w:tabs>
            <w:spacing w:before="60" w:line="240" w:lineRule="auto"/>
            <w:rPr>
              <w:b/>
              <w:bCs/>
              <w:color w:val="000000"/>
            </w:rPr>
          </w:pPr>
          <w:hyperlink w:anchor="_uyuz1y41p5jw">
            <w:r>
              <w:rPr>
                <w:b/>
                <w:bCs/>
                <w:color w:val="000000"/>
              </w:rPr>
              <w:t>6. Conclusion:</w:t>
            </w:r>
            <w:r>
              <w:rPr>
                <w:b/>
                <w:bCs/>
                <w:color w:val="000000"/>
              </w:rPr>
              <w:tab/>
              <w:t>9</w:t>
            </w:r>
          </w:hyperlink>
        </w:p>
        <w:p w14:paraId="15DAF59E" w14:textId="77777777" w:rsidR="00E3632F" w:rsidRDefault="00E3632F">
          <w:pPr>
            <w:widowControl w:val="0"/>
            <w:tabs>
              <w:tab w:val="right" w:leader="dot" w:pos="12000"/>
            </w:tabs>
            <w:spacing w:before="60" w:line="240" w:lineRule="auto"/>
            <w:rPr>
              <w:b/>
              <w:bCs/>
              <w:color w:val="000000"/>
            </w:rPr>
          </w:pPr>
          <w:hyperlink w:anchor="_wzfufxx5kbl8">
            <w:r>
              <w:rPr>
                <w:b/>
                <w:bCs/>
                <w:color w:val="000000"/>
              </w:rPr>
              <w:t>7. References:</w:t>
            </w:r>
            <w:r>
              <w:rPr>
                <w:b/>
                <w:bCs/>
                <w:color w:val="000000"/>
              </w:rPr>
              <w:tab/>
              <w:t>10</w:t>
            </w:r>
          </w:hyperlink>
          <w:r>
            <w:fldChar w:fldCharType="end"/>
          </w:r>
        </w:p>
      </w:sdtContent>
    </w:sdt>
    <w:p w14:paraId="0C0D63E7" w14:textId="77777777" w:rsidR="00E3632F" w:rsidRDefault="00594DB4">
      <w:pPr>
        <w:spacing w:line="360" w:lineRule="auto"/>
      </w:pPr>
      <w:r>
        <w:br w:type="page"/>
      </w:r>
    </w:p>
    <w:p w14:paraId="78BE3C8D" w14:textId="6073D328" w:rsidR="00E3632F" w:rsidRDefault="005D08BE">
      <w:pPr>
        <w:spacing w:line="360" w:lineRule="auto"/>
        <w:jc w:val="center"/>
        <w:rPr>
          <w:b/>
          <w:bCs/>
        </w:rPr>
      </w:pPr>
      <w:r w:rsidRPr="005D08BE">
        <w:rPr>
          <w:b/>
          <w:bCs/>
        </w:rPr>
        <w:t xml:space="preserve">Feeding or </w:t>
      </w:r>
      <w:r>
        <w:rPr>
          <w:b/>
          <w:bCs/>
        </w:rPr>
        <w:t>E</w:t>
      </w:r>
      <w:r w:rsidRPr="005D08BE">
        <w:rPr>
          <w:b/>
          <w:bCs/>
        </w:rPr>
        <w:t xml:space="preserve">ating </w:t>
      </w:r>
      <w:r>
        <w:rPr>
          <w:b/>
          <w:bCs/>
        </w:rPr>
        <w:t>D</w:t>
      </w:r>
      <w:r w:rsidRPr="005D08BE">
        <w:rPr>
          <w:b/>
          <w:bCs/>
        </w:rPr>
        <w:t>isorders</w:t>
      </w:r>
      <w:r>
        <w:rPr>
          <w:b/>
          <w:bCs/>
        </w:rPr>
        <w:t>: A Critical Examination of Anorexia Nervosa (ICD-11 6B80) Classification, Diagnosis, Treatment, and Contemporary Debates.</w:t>
      </w:r>
    </w:p>
    <w:p w14:paraId="3525F0CC" w14:textId="77777777" w:rsidR="00E3632F" w:rsidRDefault="00E3632F">
      <w:pPr>
        <w:spacing w:line="360" w:lineRule="auto"/>
        <w:jc w:val="center"/>
      </w:pPr>
    </w:p>
    <w:p w14:paraId="0B939A74" w14:textId="77777777" w:rsidR="00E3632F" w:rsidRDefault="00594DB4">
      <w:pPr>
        <w:pStyle w:val="Heading1"/>
        <w:spacing w:line="360" w:lineRule="auto"/>
        <w:rPr>
          <w:sz w:val="22"/>
          <w:szCs w:val="22"/>
        </w:rPr>
      </w:pPr>
      <w:bookmarkStart w:id="0" w:name="_smr789302ee6" w:colFirst="0" w:colLast="0"/>
      <w:bookmarkEnd w:id="0"/>
      <w:r>
        <w:rPr>
          <w:b/>
          <w:bCs/>
          <w:sz w:val="22"/>
          <w:szCs w:val="22"/>
        </w:rPr>
        <w:t>1. Introduction:</w:t>
      </w:r>
    </w:p>
    <w:p w14:paraId="38990D89" w14:textId="77777777" w:rsidR="00E3632F" w:rsidRDefault="00594DB4">
      <w:pPr>
        <w:spacing w:line="360" w:lineRule="auto"/>
        <w:jc w:val="both"/>
      </w:pPr>
      <w:r>
        <w:t>Anorexia Nervosa is a complex mental health condition marked by very low body weight and ongoing behaviours and thoughts that keep this state going. It is one of the most severe eating disorders, with high risks of physical problems and early death, making it important in today's mental health discussions (Treasure, Duarte, and Schmidt, 2020). Besides its clinical signs, anorexia nervosa poses challenges in classification, diagnosis, and treatment due to its many causes, including biological, psychological,</w:t>
      </w:r>
      <w:r>
        <w:t xml:space="preserve"> and social factors.</w:t>
      </w:r>
    </w:p>
    <w:p w14:paraId="62A91FDA" w14:textId="77777777" w:rsidR="00E3632F" w:rsidRDefault="00E3632F">
      <w:pPr>
        <w:spacing w:line="360" w:lineRule="auto"/>
        <w:jc w:val="both"/>
      </w:pPr>
    </w:p>
    <w:p w14:paraId="0D37DB4B" w14:textId="7D207336" w:rsidR="00E3632F" w:rsidRDefault="00594DB4">
      <w:pPr>
        <w:spacing w:line="360" w:lineRule="auto"/>
        <w:jc w:val="both"/>
      </w:pPr>
      <w:r>
        <w:t>The ICD-11 classification (6B80) provides a clear way to identify and categorise anorexia nervosa using specific diagnostic criteria and behavioural signs (World Health Organization, 2024). However, these frameworks are not neutral; they show underlying beliefs about what is considered illness and health. This raises questions about how well diagnostic systems reflect the real experiences of individuals, especially since symptoms can appear differently in various cultural and developmental settings. Additio</w:t>
      </w:r>
      <w:r>
        <w:t>nally, relying on measurable criteria like body mass index (BMI) can limit the identification of unusual or early</w:t>
      </w:r>
      <w:r w:rsidR="00407EDC">
        <w:t xml:space="preserve"> </w:t>
      </w:r>
      <w:r>
        <w:t>stage cases (Hay, 2020).</w:t>
      </w:r>
    </w:p>
    <w:p w14:paraId="32E491B5" w14:textId="77777777" w:rsidR="00E3632F" w:rsidRDefault="00E3632F">
      <w:pPr>
        <w:spacing w:line="360" w:lineRule="auto"/>
        <w:jc w:val="both"/>
      </w:pPr>
    </w:p>
    <w:p w14:paraId="05B68ED8" w14:textId="77777777" w:rsidR="00E3632F" w:rsidRDefault="00594DB4">
      <w:pPr>
        <w:spacing w:line="360" w:lineRule="auto"/>
        <w:jc w:val="both"/>
      </w:pPr>
      <w:r>
        <w:t>This report critically examines anorexia nervosa as classified under ICD-11 6B80, focusing on its diagnostic framework, treatment methods, and broader debates. It will assess the strengths and weaknesses of current clinical practices while examining new issues such as neurodivergence and cultural differences, ultimately providing recommendations for improved classification and care.</w:t>
      </w:r>
    </w:p>
    <w:p w14:paraId="4792AFE3" w14:textId="77777777" w:rsidR="00E3632F" w:rsidRDefault="00E3632F">
      <w:pPr>
        <w:spacing w:line="360" w:lineRule="auto"/>
      </w:pPr>
    </w:p>
    <w:p w14:paraId="617272E0" w14:textId="77777777" w:rsidR="00E3632F" w:rsidRDefault="00594DB4">
      <w:pPr>
        <w:pStyle w:val="Heading1"/>
        <w:spacing w:line="360" w:lineRule="auto"/>
        <w:rPr>
          <w:b/>
          <w:bCs/>
          <w:sz w:val="22"/>
          <w:szCs w:val="22"/>
        </w:rPr>
      </w:pPr>
      <w:bookmarkStart w:id="1" w:name="_280r0rdv7hfr" w:colFirst="0" w:colLast="0"/>
      <w:bookmarkEnd w:id="1"/>
      <w:r>
        <w:rPr>
          <w:b/>
          <w:bCs/>
          <w:sz w:val="22"/>
          <w:szCs w:val="22"/>
        </w:rPr>
        <w:t>2. Classification and Diagnosis:</w:t>
      </w:r>
    </w:p>
    <w:p w14:paraId="7EADEC4A" w14:textId="77777777" w:rsidR="00E3632F" w:rsidRDefault="00E3632F">
      <w:pPr>
        <w:spacing w:line="360" w:lineRule="auto"/>
      </w:pPr>
    </w:p>
    <w:p w14:paraId="714EC8D1" w14:textId="77777777" w:rsidR="00E3632F" w:rsidRDefault="00594DB4">
      <w:pPr>
        <w:spacing w:line="360" w:lineRule="auto"/>
        <w:jc w:val="both"/>
        <w:rPr>
          <w:b/>
          <w:bCs/>
          <w:highlight w:val="white"/>
        </w:rPr>
      </w:pPr>
      <w:r>
        <w:rPr>
          <w:b/>
          <w:bCs/>
          <w:highlight w:val="white"/>
        </w:rPr>
        <w:t>ICD-11 Classification Framework</w:t>
      </w:r>
    </w:p>
    <w:p w14:paraId="767AF687" w14:textId="77777777" w:rsidR="00E3632F" w:rsidRDefault="00594DB4">
      <w:pPr>
        <w:spacing w:line="360" w:lineRule="auto"/>
        <w:jc w:val="both"/>
      </w:pPr>
      <w:r>
        <w:t>In ICD-11, anorexia nervosa is classified under feeding and eating disorders (code 6B80). This standardises diagnostic practices across global healthcare systems (World Health Organization, 2024). The term “disorder” suggests a biomedical view, framing the condition as a deviation from normal functioning rather than just a variation in behaviour or experience. This wording affects how individuals are seen and treated in clinical settings.</w:t>
      </w:r>
    </w:p>
    <w:p w14:paraId="66509BF1" w14:textId="77777777" w:rsidR="00E3632F" w:rsidRDefault="00E3632F">
      <w:pPr>
        <w:spacing w:line="360" w:lineRule="auto"/>
        <w:jc w:val="both"/>
      </w:pPr>
    </w:p>
    <w:p w14:paraId="3D7B52FA" w14:textId="77777777" w:rsidR="00E3632F" w:rsidRDefault="00594DB4">
      <w:pPr>
        <w:spacing w:line="360" w:lineRule="auto"/>
        <w:jc w:val="both"/>
      </w:pPr>
      <w:r>
        <w:t>ICD-11 also differentiates anorexia nervosa through subcategories based on the severity of underweight and behaviour patterns, including restricting and binge-purge types. While this structured approach is useful, it may oversimplify the condition. The focus on weight, especially BMI, has been criticised for prioritising physical signs over psychological distress, possibly leaving out individuals with severe cognitive symptoms who do not meet strict weight criteria (Jansen, 2016). This suggests that classif</w:t>
      </w:r>
      <w:r>
        <w:t>ication may favour measurable factors over personal experience.</w:t>
      </w:r>
    </w:p>
    <w:p w14:paraId="3F2B2646" w14:textId="77777777" w:rsidR="00E3632F" w:rsidRDefault="00E3632F">
      <w:pPr>
        <w:spacing w:line="360" w:lineRule="auto"/>
        <w:jc w:val="both"/>
      </w:pPr>
    </w:p>
    <w:p w14:paraId="75682305" w14:textId="77777777" w:rsidR="00E3632F" w:rsidRDefault="00594DB4">
      <w:pPr>
        <w:spacing w:line="360" w:lineRule="auto"/>
        <w:jc w:val="both"/>
        <w:rPr>
          <w:b/>
          <w:bCs/>
        </w:rPr>
      </w:pPr>
      <w:r>
        <w:rPr>
          <w:b/>
          <w:bCs/>
        </w:rPr>
        <w:t>Diagnostic Criteria and Processes</w:t>
      </w:r>
    </w:p>
    <w:p w14:paraId="37145D9E" w14:textId="77777777" w:rsidR="00E3632F" w:rsidRDefault="00594DB4">
      <w:pPr>
        <w:spacing w:line="360" w:lineRule="auto"/>
        <w:jc w:val="both"/>
      </w:pPr>
      <w:r>
        <w:t>The diagnostic criteria for anorexia nervosa in ICD-11 focus on three main components: significantly low body weight, persistent behaviours to maintain this state, and an excessive concern with body weight or shape. These criteria take a multidimensional approach, combining behavioural and cognitive aspects. However, applying these criteria can be complex. People often deny or lack insight into their condition, which can make accurate diagnosis difficult and delay treatment (Herpertz-Dahlmann, 2015).</w:t>
      </w:r>
    </w:p>
    <w:p w14:paraId="23585855" w14:textId="77777777" w:rsidR="00E3632F" w:rsidRDefault="00E3632F">
      <w:pPr>
        <w:spacing w:line="360" w:lineRule="auto"/>
        <w:jc w:val="both"/>
      </w:pPr>
    </w:p>
    <w:p w14:paraId="0F4177DE" w14:textId="77777777" w:rsidR="00E3632F" w:rsidRDefault="00594DB4">
      <w:pPr>
        <w:spacing w:line="360" w:lineRule="auto"/>
        <w:jc w:val="both"/>
      </w:pPr>
      <w:r>
        <w:t>Diagnostic processes depend heavily on clinical interpretation, especially when evaluating behaviours like restrictive eating or distorted body image. This introduces subjectivity, which may lead to inconsistencies among practitioners and settings. The lines between anorexia nervosa and related conditions, such as avoidant-restrictive food intake disorder, complicate diagnosis further, showing the limits of categorical systems in capturing overlapping symptoms (American Psychiatric Association, 2022).</w:t>
      </w:r>
    </w:p>
    <w:p w14:paraId="5DA041F5" w14:textId="77777777" w:rsidR="00E3632F" w:rsidRDefault="00E3632F">
      <w:pPr>
        <w:spacing w:line="360" w:lineRule="auto"/>
        <w:jc w:val="both"/>
      </w:pPr>
    </w:p>
    <w:p w14:paraId="680F4AB0" w14:textId="77777777" w:rsidR="00E3632F" w:rsidRDefault="00594DB4">
      <w:pPr>
        <w:spacing w:line="360" w:lineRule="auto"/>
        <w:jc w:val="both"/>
        <w:rPr>
          <w:rFonts w:ascii="Roboto" w:eastAsia="Roboto" w:hAnsi="Roboto" w:cs="Roboto"/>
          <w:b/>
          <w:bCs/>
          <w:sz w:val="24"/>
          <w:szCs w:val="24"/>
          <w:highlight w:val="white"/>
        </w:rPr>
      </w:pPr>
      <w:r>
        <w:rPr>
          <w:rFonts w:ascii="Roboto" w:eastAsia="Roboto" w:hAnsi="Roboto" w:cs="Roboto"/>
          <w:b/>
          <w:bCs/>
          <w:sz w:val="24"/>
          <w:szCs w:val="24"/>
          <w:highlight w:val="white"/>
        </w:rPr>
        <w:t>Language and Conceptual Framing</w:t>
      </w:r>
    </w:p>
    <w:p w14:paraId="2DB1375A" w14:textId="77777777" w:rsidR="00E3632F" w:rsidRDefault="00594DB4">
      <w:pPr>
        <w:spacing w:line="360" w:lineRule="auto"/>
        <w:jc w:val="both"/>
      </w:pPr>
      <w:r>
        <w:t>The language used in ICD-11 classification reflects broader views on pathology, especially with terms like “abnormal,” “fear of weight gain,” and “distorted perception”. While these terms standardise diagnosis, they may unintentionally reinforce stigma by presenting individuals’ experiences as inherently dysfunctional. Moreover, the focus on fear of weight gain may not apply universally, as cultural differences in symptom expression show that reasons for restrictive eating can vary widely across populations</w:t>
      </w:r>
      <w:r>
        <w:t xml:space="preserve"> (Treasure, Duarte and Schmidt, 2020).</w:t>
      </w:r>
    </w:p>
    <w:p w14:paraId="02A54361" w14:textId="77777777" w:rsidR="00E3632F" w:rsidRDefault="00E3632F">
      <w:pPr>
        <w:spacing w:line="360" w:lineRule="auto"/>
        <w:jc w:val="both"/>
      </w:pPr>
    </w:p>
    <w:p w14:paraId="19167EE3" w14:textId="77777777" w:rsidR="00E3632F" w:rsidRDefault="00594DB4">
      <w:pPr>
        <w:spacing w:line="360" w:lineRule="auto"/>
        <w:jc w:val="both"/>
      </w:pPr>
      <w:r>
        <w:t>This raises concerns about the cultural validity of ICD-11 criteria. Although the system is for global use, its foundations are still influenced by Western psychiatric models. As a result, diagnostic frameworks may not fully consider diverse experiences, limiting their effectiveness in non-Western contexts. These limitations suggest a need for more flexible and culturally sensitive approaches to classification and diagnosis.</w:t>
      </w:r>
    </w:p>
    <w:p w14:paraId="0F0E891C" w14:textId="77777777" w:rsidR="00E3632F" w:rsidRDefault="00E3632F">
      <w:pPr>
        <w:spacing w:line="360" w:lineRule="auto"/>
      </w:pPr>
    </w:p>
    <w:p w14:paraId="3BAEBBF5" w14:textId="77777777" w:rsidR="00E3632F" w:rsidRDefault="00594DB4">
      <w:pPr>
        <w:pStyle w:val="Heading1"/>
        <w:spacing w:line="360" w:lineRule="auto"/>
        <w:rPr>
          <w:b/>
          <w:bCs/>
          <w:sz w:val="22"/>
          <w:szCs w:val="22"/>
        </w:rPr>
      </w:pPr>
      <w:bookmarkStart w:id="2" w:name="_73f45oo9ffqm" w:colFirst="0" w:colLast="0"/>
      <w:bookmarkEnd w:id="2"/>
      <w:r>
        <w:rPr>
          <w:b/>
          <w:bCs/>
          <w:sz w:val="22"/>
          <w:szCs w:val="22"/>
        </w:rPr>
        <w:t>3. Treatment and Rehabilitation:</w:t>
      </w:r>
    </w:p>
    <w:p w14:paraId="396D761A" w14:textId="77777777" w:rsidR="00E3632F" w:rsidRDefault="00E3632F">
      <w:pPr>
        <w:spacing w:line="360" w:lineRule="auto"/>
      </w:pPr>
    </w:p>
    <w:p w14:paraId="3758A3F4" w14:textId="77777777" w:rsidR="00E3632F" w:rsidRDefault="00594DB4">
      <w:pPr>
        <w:spacing w:line="360" w:lineRule="auto"/>
        <w:jc w:val="both"/>
        <w:rPr>
          <w:b/>
          <w:bCs/>
        </w:rPr>
      </w:pPr>
      <w:r>
        <w:rPr>
          <w:b/>
          <w:bCs/>
        </w:rPr>
        <w:t>Standard Treatment Approaches</w:t>
      </w:r>
    </w:p>
    <w:p w14:paraId="5E969FAE" w14:textId="77777777" w:rsidR="00E3632F" w:rsidRDefault="00594DB4">
      <w:pPr>
        <w:spacing w:line="360" w:lineRule="auto"/>
        <w:jc w:val="both"/>
      </w:pPr>
      <w:r>
        <w:t>The treatment of Anorexia Nervosa is usually multidisciplinary, combining psychological, medical, and nutritional care. Clinical guidelines from the National Institute for Health and Care Excellence (NICE) emphasise evidence-based therapies, such as cognitive behavioural therapy (CBT) and family-based treatment, especially for adolescents (NICE, 2017). These methods address harmful thoughts about body image and behaviours that keep body weight low. At the same time, medical management focuses on restoring w</w:t>
      </w:r>
      <w:r>
        <w:t>eight and monitoring serious complications like heart problems and metabolic issues (Westmoreland, Krantz, and Mehler, 2016).</w:t>
      </w:r>
    </w:p>
    <w:p w14:paraId="5378C075" w14:textId="77777777" w:rsidR="00E3632F" w:rsidRDefault="00E3632F">
      <w:pPr>
        <w:spacing w:line="360" w:lineRule="auto"/>
        <w:jc w:val="both"/>
      </w:pPr>
    </w:p>
    <w:p w14:paraId="5A7C3812" w14:textId="77777777" w:rsidR="00E3632F" w:rsidRDefault="00594DB4">
      <w:pPr>
        <w:spacing w:line="360" w:lineRule="auto"/>
        <w:jc w:val="both"/>
      </w:pPr>
      <w:r>
        <w:t>Despite these structured approaches, the treatment outcomes may vary. Adolescents often respond better to family-based interventions, while adults often face more chronic and hard-to-treat forms of the disorder. This difference suggests that current treatment models may not fully address the complexity of long-term anorexia nervosa, especially when deep-rooted thought patterns and other conditions are involved.</w:t>
      </w:r>
    </w:p>
    <w:p w14:paraId="6A7FF622" w14:textId="77777777" w:rsidR="00E3632F" w:rsidRDefault="00E3632F">
      <w:pPr>
        <w:spacing w:line="360" w:lineRule="auto"/>
        <w:jc w:val="both"/>
      </w:pPr>
    </w:p>
    <w:p w14:paraId="4A127042" w14:textId="77777777" w:rsidR="00E3632F" w:rsidRDefault="00594DB4">
      <w:pPr>
        <w:spacing w:line="360" w:lineRule="auto"/>
        <w:jc w:val="both"/>
        <w:rPr>
          <w:b/>
          <w:bCs/>
        </w:rPr>
      </w:pPr>
      <w:r>
        <w:rPr>
          <w:b/>
          <w:bCs/>
        </w:rPr>
        <w:t>Rehabilitation Processes</w:t>
      </w:r>
    </w:p>
    <w:p w14:paraId="4069821F" w14:textId="77777777" w:rsidR="00E3632F" w:rsidRDefault="00594DB4">
      <w:pPr>
        <w:spacing w:line="360" w:lineRule="auto"/>
        <w:jc w:val="both"/>
      </w:pPr>
      <w:r>
        <w:t>Rehabilitation involves the long-term recovery of both physical health and social functioning. The ICD-11 framework sees recovery as a separate phase, keeping the diagnosis until lasting behavioural and cognitive improvement is seen over time (World Health Organization, 2024). This shows an understanding of anorexia nervosa as a condition that can last a long time and may relapse.</w:t>
      </w:r>
    </w:p>
    <w:p w14:paraId="2AB1B98D" w14:textId="77777777" w:rsidR="00E3632F" w:rsidRDefault="00E3632F">
      <w:pPr>
        <w:spacing w:line="360" w:lineRule="auto"/>
        <w:jc w:val="both"/>
      </w:pPr>
    </w:p>
    <w:p w14:paraId="7F282B56" w14:textId="77777777" w:rsidR="00E3632F" w:rsidRDefault="00594DB4">
      <w:pPr>
        <w:spacing w:line="360" w:lineRule="auto"/>
        <w:jc w:val="both"/>
      </w:pPr>
      <w:r>
        <w:t xml:space="preserve">In practice, rehabilitation includes ongoing psychological support, nutritional stability, and efforts to rebuild identity and social skills. However, the focus on weight restoration as a sign of recovery has been widely discussed. While reaching a healthy weight is important for reducing immediate health risks, it does not always mean that the underlying psychological issues are resolved (Kazdin, Fitzsimmons-Craft, and Wilfley, 2017). As a result, people may meet physical recovery goals while still facing </w:t>
      </w:r>
      <w:r>
        <w:t>significant mental and emotional distress.</w:t>
      </w:r>
    </w:p>
    <w:p w14:paraId="43138FA2" w14:textId="77777777" w:rsidR="00E3632F" w:rsidRDefault="00E3632F">
      <w:pPr>
        <w:spacing w:line="360" w:lineRule="auto"/>
        <w:jc w:val="both"/>
      </w:pPr>
    </w:p>
    <w:p w14:paraId="607A0A66" w14:textId="77777777" w:rsidR="00E3632F" w:rsidRDefault="00594DB4">
      <w:pPr>
        <w:spacing w:line="360" w:lineRule="auto"/>
        <w:jc w:val="both"/>
        <w:rPr>
          <w:b/>
          <w:bCs/>
        </w:rPr>
      </w:pPr>
      <w:r>
        <w:rPr>
          <w:b/>
          <w:bCs/>
        </w:rPr>
        <w:t>Effectiveness and Limitations</w:t>
      </w:r>
    </w:p>
    <w:p w14:paraId="44EDCF02" w14:textId="77777777" w:rsidR="00E3632F" w:rsidRDefault="00594DB4">
      <w:pPr>
        <w:spacing w:line="360" w:lineRule="auto"/>
        <w:jc w:val="both"/>
      </w:pPr>
      <w:r>
        <w:t>Although current treatment methods are based on research, their overall effectiveness is limited by several factors. High relapse rates are often reported, showing that many people find it hard to maintain recovery over time. Also, access to specialised services varies greatly, leading to differences in treatment availability and quality.</w:t>
      </w:r>
    </w:p>
    <w:p w14:paraId="722B6567" w14:textId="77777777" w:rsidR="00E3632F" w:rsidRDefault="00E3632F">
      <w:pPr>
        <w:spacing w:line="360" w:lineRule="auto"/>
        <w:jc w:val="both"/>
      </w:pPr>
    </w:p>
    <w:p w14:paraId="05DE0CEB" w14:textId="77777777" w:rsidR="00E3632F" w:rsidRDefault="00594DB4">
      <w:pPr>
        <w:spacing w:line="360" w:lineRule="auto"/>
        <w:jc w:val="both"/>
      </w:pPr>
      <w:r>
        <w:t>Another limitation is the focus on standardised treatment models, which may not consider individual differences in causes and symptoms. For example, trauma-informed views suggest that restrictive eating may be a way to cope with negative experiences; sometimes, only symptom-focused treatments may not be enough (Brewerton, 2019). This highlights the need for more personalised and integrated approaches that address both psychological and contextual factors behind the disorder.</w:t>
      </w:r>
    </w:p>
    <w:p w14:paraId="32A24773" w14:textId="77777777" w:rsidR="00E3632F" w:rsidRDefault="00E3632F">
      <w:pPr>
        <w:spacing w:line="360" w:lineRule="auto"/>
        <w:jc w:val="both"/>
      </w:pPr>
    </w:p>
    <w:p w14:paraId="169BC379" w14:textId="77777777" w:rsidR="00E3632F" w:rsidRDefault="00594DB4">
      <w:pPr>
        <w:spacing w:line="360" w:lineRule="auto"/>
        <w:jc w:val="both"/>
      </w:pPr>
      <w:r>
        <w:t>Overall, while current treatments offer a structured way to intervene, their limitations show the ongoing challenge of achieving lasting and complete recovery in anorexia nervosa.</w:t>
      </w:r>
    </w:p>
    <w:p w14:paraId="70A6B160" w14:textId="77777777" w:rsidR="00E3632F" w:rsidRDefault="00E3632F">
      <w:pPr>
        <w:spacing w:line="360" w:lineRule="auto"/>
      </w:pPr>
    </w:p>
    <w:p w14:paraId="45EFA776" w14:textId="77777777" w:rsidR="00E3632F" w:rsidRDefault="00594DB4">
      <w:pPr>
        <w:pStyle w:val="Heading1"/>
        <w:spacing w:line="360" w:lineRule="auto"/>
        <w:rPr>
          <w:b/>
          <w:bCs/>
          <w:sz w:val="22"/>
          <w:szCs w:val="22"/>
        </w:rPr>
      </w:pPr>
      <w:bookmarkStart w:id="3" w:name="_l92zzz3uq792" w:colFirst="0" w:colLast="0"/>
      <w:bookmarkEnd w:id="3"/>
      <w:r>
        <w:rPr>
          <w:b/>
          <w:bCs/>
          <w:sz w:val="22"/>
          <w:szCs w:val="22"/>
        </w:rPr>
        <w:t>4. Current Debates and Emerging Issues:</w:t>
      </w:r>
    </w:p>
    <w:p w14:paraId="15F82FD0" w14:textId="77777777" w:rsidR="00E3632F" w:rsidRDefault="00E3632F">
      <w:pPr>
        <w:spacing w:line="360" w:lineRule="auto"/>
      </w:pPr>
    </w:p>
    <w:p w14:paraId="6D4EFF26" w14:textId="77777777" w:rsidR="00E3632F" w:rsidRDefault="00594DB4">
      <w:pPr>
        <w:spacing w:line="360" w:lineRule="auto"/>
        <w:rPr>
          <w:b/>
          <w:bCs/>
        </w:rPr>
      </w:pPr>
      <w:r>
        <w:rPr>
          <w:b/>
          <w:bCs/>
        </w:rPr>
        <w:t>Debates in Classification and Diagnosis</w:t>
      </w:r>
    </w:p>
    <w:p w14:paraId="0A9F44AD" w14:textId="77777777" w:rsidR="00E3632F" w:rsidRDefault="00594DB4">
      <w:pPr>
        <w:spacing w:line="360" w:lineRule="auto"/>
        <w:jc w:val="both"/>
      </w:pPr>
      <w:r>
        <w:t>Contemporary Current debates about Anorexia Nervosa question the effectiveness of existing diagnostic frameworks. An issue is the reliance on body mass index (BMI) as a main diagnostic tool in ICD-11. While BMI offers a measurable indicator, it may not reflect the severity of psychological symptoms, especially in those who do not have significantly low body weight. This raises concerns that serious cases may be underdiagnosed or misclassified.</w:t>
      </w:r>
    </w:p>
    <w:p w14:paraId="1B1A5BAB" w14:textId="77777777" w:rsidR="00E3632F" w:rsidRDefault="00E3632F">
      <w:pPr>
        <w:spacing w:line="360" w:lineRule="auto"/>
        <w:jc w:val="both"/>
      </w:pPr>
    </w:p>
    <w:p w14:paraId="5D3B7926" w14:textId="77777777" w:rsidR="00E3632F" w:rsidRDefault="00594DB4">
      <w:pPr>
        <w:spacing w:line="360" w:lineRule="auto"/>
        <w:jc w:val="both"/>
      </w:pPr>
      <w:r>
        <w:t>Evidence shows differences in diagnosis across gender and cultural groups. Anorexia nervosa is generally linked to young females in Western societies; however, new research indicates a rising prevalence among males and diverse populations (Galmiche et al., 2019). This raises questions about whether current diagnostic criteria capture the full range of presentations or are influenced by cultural assumptions.</w:t>
      </w:r>
    </w:p>
    <w:p w14:paraId="4DA39254" w14:textId="77777777" w:rsidR="00E3632F" w:rsidRDefault="00E3632F">
      <w:pPr>
        <w:spacing w:line="360" w:lineRule="auto"/>
        <w:jc w:val="both"/>
      </w:pPr>
    </w:p>
    <w:p w14:paraId="17316D18" w14:textId="77777777" w:rsidR="00E3632F" w:rsidRDefault="00594DB4">
      <w:pPr>
        <w:spacing w:line="360" w:lineRule="auto"/>
        <w:jc w:val="both"/>
        <w:rPr>
          <w:b/>
          <w:bCs/>
        </w:rPr>
      </w:pPr>
      <w:r>
        <w:rPr>
          <w:b/>
          <w:bCs/>
        </w:rPr>
        <w:t>Neurodivergence and Reclassification</w:t>
      </w:r>
    </w:p>
    <w:p w14:paraId="5E32FD9F" w14:textId="77777777" w:rsidR="00E3632F" w:rsidRDefault="00594DB4">
      <w:pPr>
        <w:spacing w:line="360" w:lineRule="auto"/>
        <w:jc w:val="both"/>
      </w:pPr>
      <w:r>
        <w:t>A new area of debate is the link between anorexia nervosa and neurodivergence, especially traits related to autism spectrum conditions. Research indicates that some individuals with anorexia nervosa show cognitive rigidity, attention to detail, and emotional processing difficulties, which may affect their restrictive behaviours (Tury, Szabó and Szumska, 2021). From a neurodiversity viewpoint, these traits are not necessarily disorders but variations in cognitive functioning.</w:t>
      </w:r>
    </w:p>
    <w:p w14:paraId="653896AC" w14:textId="77777777" w:rsidR="00E3632F" w:rsidRDefault="00E3632F">
      <w:pPr>
        <w:spacing w:line="360" w:lineRule="auto"/>
        <w:jc w:val="both"/>
      </w:pPr>
    </w:p>
    <w:p w14:paraId="46F9437D" w14:textId="77777777" w:rsidR="00E3632F" w:rsidRDefault="00594DB4">
      <w:pPr>
        <w:spacing w:line="360" w:lineRule="auto"/>
        <w:jc w:val="both"/>
      </w:pPr>
      <w:r>
        <w:t>This challenges the usual psychiatric view that treats anorexia nervosa only as a problem to be fixed. It suggests a more balanced approach that considers how people think and behave differently. However, seeing anorexia only as a form of neurodivergence can be too simple, as it may ignore many factors, including biological, psychological, and social influences.</w:t>
      </w:r>
    </w:p>
    <w:p w14:paraId="639EE7AD" w14:textId="77777777" w:rsidR="00E3632F" w:rsidRDefault="00E3632F">
      <w:pPr>
        <w:spacing w:line="360" w:lineRule="auto"/>
        <w:jc w:val="both"/>
      </w:pPr>
    </w:p>
    <w:p w14:paraId="622ACCCF" w14:textId="77777777" w:rsidR="00E3632F" w:rsidRDefault="00594DB4">
      <w:pPr>
        <w:spacing w:line="360" w:lineRule="auto"/>
        <w:jc w:val="both"/>
        <w:rPr>
          <w:b/>
          <w:bCs/>
        </w:rPr>
      </w:pPr>
      <w:r>
        <w:rPr>
          <w:b/>
          <w:bCs/>
        </w:rPr>
        <w:t>Sociocultural and Global Considerations</w:t>
      </w:r>
    </w:p>
    <w:p w14:paraId="1F000FCC" w14:textId="77777777" w:rsidR="00E3632F" w:rsidRDefault="00594DB4">
      <w:pPr>
        <w:spacing w:line="360" w:lineRule="auto"/>
        <w:jc w:val="both"/>
      </w:pPr>
      <w:r>
        <w:t>Globalisation and the spread of Western beauty ideals have been linked to rising eating disorder rates in areas where they were previously rare (Galmiche et al., 2019). Additionally, cross-cultural research shows that symptom expression can vary greatly, with some individuals not fearing weight gain despite restrictive behaviours (Treasure, Duarte and Schmidt, 2020).</w:t>
      </w:r>
    </w:p>
    <w:p w14:paraId="606ABC7B" w14:textId="77777777" w:rsidR="00E3632F" w:rsidRDefault="00E3632F">
      <w:pPr>
        <w:spacing w:line="360" w:lineRule="auto"/>
        <w:jc w:val="both"/>
      </w:pPr>
    </w:p>
    <w:p w14:paraId="79CD9D70" w14:textId="77777777" w:rsidR="00E3632F" w:rsidRDefault="00594DB4">
      <w:pPr>
        <w:spacing w:line="360" w:lineRule="auto"/>
        <w:jc w:val="both"/>
      </w:pPr>
      <w:r>
        <w:t>These differences challenge the universality of ICD-11 criteria and show the limits of using a standardised diagnostic framework across various cultural contexts. Furthermore, age-related patterns of onset indicate that anorexia nervosa often appears during adolescence, a time of increased vulnerability to social and environmental influences (Solmi et al., 2022). This highlights the need to consider developmental and cultural factors in diagnosis and treatment.</w:t>
      </w:r>
    </w:p>
    <w:p w14:paraId="601DBAF6" w14:textId="77777777" w:rsidR="00E3632F" w:rsidRDefault="00E3632F">
      <w:pPr>
        <w:spacing w:line="360" w:lineRule="auto"/>
        <w:jc w:val="both"/>
      </w:pPr>
    </w:p>
    <w:p w14:paraId="6F9A5125" w14:textId="77777777" w:rsidR="00E3632F" w:rsidRDefault="00594DB4">
      <w:pPr>
        <w:spacing w:line="360" w:lineRule="auto"/>
        <w:jc w:val="both"/>
        <w:rPr>
          <w:b/>
          <w:bCs/>
        </w:rPr>
      </w:pPr>
      <w:r>
        <w:rPr>
          <w:b/>
          <w:bCs/>
        </w:rPr>
        <w:t>Impact on Practice and Policy</w:t>
      </w:r>
    </w:p>
    <w:p w14:paraId="0E27FA38" w14:textId="77777777" w:rsidR="00E3632F" w:rsidRDefault="00594DB4">
      <w:pPr>
        <w:spacing w:line="360" w:lineRule="auto"/>
        <w:jc w:val="both"/>
      </w:pPr>
      <w:r>
        <w:t>Debates about classification and understanding have important effects on clinical practice and policy. Diagnostic criteria affect how conditions are identified, how resources are allocated, and who gets treatment. If diagnostic thresholds are too strict, people with significant issues may be left without care, worsening health inequalities.</w:t>
      </w:r>
    </w:p>
    <w:p w14:paraId="2EB700E6" w14:textId="77777777" w:rsidR="00E3632F" w:rsidRDefault="00E3632F">
      <w:pPr>
        <w:spacing w:line="360" w:lineRule="auto"/>
        <w:jc w:val="both"/>
      </w:pPr>
    </w:p>
    <w:p w14:paraId="3DAA4721" w14:textId="77777777" w:rsidR="00E3632F" w:rsidRDefault="00594DB4">
      <w:pPr>
        <w:spacing w:line="360" w:lineRule="auto"/>
        <w:jc w:val="both"/>
      </w:pPr>
      <w:r>
        <w:t>Moreover, the focus on a mainly biomedical model may limit the inclusion of broader psychosocial approaches in healthcare systems. As our understanding of anorexia nervosa grows, there is a greater recognition that effective intervention needs flexibility, cultural sensitivity, and responsiveness to new evidence. This emphasises the need for ongoing updates to diagnostic frameworks to keep them relevant and inclusive.</w:t>
      </w:r>
    </w:p>
    <w:p w14:paraId="48779315" w14:textId="77777777" w:rsidR="00E3632F" w:rsidRDefault="00E3632F">
      <w:pPr>
        <w:spacing w:line="360" w:lineRule="auto"/>
      </w:pPr>
    </w:p>
    <w:p w14:paraId="2E525B28" w14:textId="77777777" w:rsidR="00E3632F" w:rsidRDefault="00594DB4">
      <w:pPr>
        <w:pStyle w:val="Heading1"/>
        <w:spacing w:line="360" w:lineRule="auto"/>
        <w:rPr>
          <w:b/>
          <w:bCs/>
          <w:sz w:val="22"/>
          <w:szCs w:val="22"/>
        </w:rPr>
      </w:pPr>
      <w:bookmarkStart w:id="4" w:name="_dhqn44imuuh3" w:colFirst="0" w:colLast="0"/>
      <w:bookmarkEnd w:id="4"/>
      <w:r>
        <w:rPr>
          <w:b/>
          <w:bCs/>
          <w:sz w:val="22"/>
          <w:szCs w:val="22"/>
        </w:rPr>
        <w:t>5. Recommendations:</w:t>
      </w:r>
    </w:p>
    <w:p w14:paraId="287FCECC" w14:textId="77777777" w:rsidR="00E3632F" w:rsidRDefault="00E3632F">
      <w:pPr>
        <w:spacing w:line="360" w:lineRule="auto"/>
      </w:pPr>
    </w:p>
    <w:p w14:paraId="4A2D239A" w14:textId="77777777" w:rsidR="00E3632F" w:rsidRDefault="00594DB4">
      <w:pPr>
        <w:spacing w:line="360" w:lineRule="auto"/>
        <w:rPr>
          <w:b/>
          <w:bCs/>
        </w:rPr>
      </w:pPr>
      <w:r>
        <w:rPr>
          <w:b/>
          <w:bCs/>
        </w:rPr>
        <w:t>Improving Classification and Diagnosis</w:t>
      </w:r>
    </w:p>
    <w:p w14:paraId="40BBAD54" w14:textId="77777777" w:rsidR="00E3632F" w:rsidRDefault="00594DB4">
      <w:pPr>
        <w:spacing w:line="360" w:lineRule="auto"/>
        <w:jc w:val="both"/>
      </w:pPr>
      <w:r>
        <w:t>Current diagnostic frameworks for Anorexia Nervosa in ICD-11 should rely less on body mass index (BMI) as a main diagnostic measure. While BMI is useful, its focus can overlook individuals with serious psychological symptoms who do not meet weight criteria (World Health Organization, 2024). Including broader signs of psychological severity, like cognitive preoccupation and functional impairment, would create a more inclusive diagnostic approach (Jansen, 2016). Additionally, diagnostic guidelines should be m</w:t>
      </w:r>
      <w:r>
        <w:t>ore culturally sensitive to account for different ways symptoms are expressed in various populations.</w:t>
      </w:r>
    </w:p>
    <w:p w14:paraId="7AF535F2" w14:textId="77777777" w:rsidR="00E3632F" w:rsidRDefault="00E3632F">
      <w:pPr>
        <w:spacing w:line="360" w:lineRule="auto"/>
        <w:jc w:val="both"/>
      </w:pPr>
    </w:p>
    <w:p w14:paraId="2C237B3A" w14:textId="77777777" w:rsidR="00E3632F" w:rsidRDefault="00594DB4">
      <w:pPr>
        <w:spacing w:line="360" w:lineRule="auto"/>
        <w:jc w:val="both"/>
        <w:rPr>
          <w:b/>
          <w:bCs/>
        </w:rPr>
      </w:pPr>
      <w:r>
        <w:rPr>
          <w:b/>
          <w:bCs/>
        </w:rPr>
        <w:t>Enhancing Treatment and Rehabilitation</w:t>
      </w:r>
    </w:p>
    <w:p w14:paraId="683B32B7" w14:textId="77777777" w:rsidR="00E3632F" w:rsidRDefault="00594DB4">
      <w:pPr>
        <w:spacing w:line="360" w:lineRule="auto"/>
        <w:jc w:val="both"/>
      </w:pPr>
      <w:r>
        <w:t>Treatment should shift towards more personalised and integrated care models. Current interventions, though evidence-based, often use standard protocols that may not address individual differences in causes and experiences. Using trauma-informed care frameworks could improve outcomes for those whose eating behaviours are linked to negative experiences (Brewerton, 2019). Rehabilitation should focus on psychological recovery along with physical stabilisation, ensuring that weight improvements come with meaning</w:t>
      </w:r>
      <w:r>
        <w:t>ful cognitive and emotional changes (Hay, 2020). Early intervention strategies should also be strengthened, especially during adolescence, to lower the risk of chronic illness.</w:t>
      </w:r>
    </w:p>
    <w:p w14:paraId="42157DBB" w14:textId="77777777" w:rsidR="00E3632F" w:rsidRDefault="00E3632F">
      <w:pPr>
        <w:spacing w:line="360" w:lineRule="auto"/>
        <w:jc w:val="both"/>
      </w:pPr>
    </w:p>
    <w:p w14:paraId="4D855450" w14:textId="77777777" w:rsidR="00E3632F" w:rsidRDefault="00594DB4">
      <w:pPr>
        <w:spacing w:line="360" w:lineRule="auto"/>
        <w:jc w:val="both"/>
        <w:rPr>
          <w:b/>
          <w:bCs/>
        </w:rPr>
      </w:pPr>
      <w:r>
        <w:rPr>
          <w:b/>
          <w:bCs/>
        </w:rPr>
        <w:t>Policy and Research Implications</w:t>
      </w:r>
    </w:p>
    <w:p w14:paraId="79F697AC" w14:textId="77777777" w:rsidR="00407EDC" w:rsidRDefault="00594DB4">
      <w:pPr>
        <w:spacing w:line="360" w:lineRule="auto"/>
        <w:jc w:val="both"/>
      </w:pPr>
      <w:r>
        <w:t>Improving access to specialised eating disorder services is crucial, especially for underrepresented groups like males and individuals from non-Western backgrounds (Galmiche et al., 2019). Funding should focus on long-term support rather than short</w:t>
      </w:r>
      <w:r w:rsidR="00407EDC">
        <w:t xml:space="preserve"> </w:t>
      </w:r>
    </w:p>
    <w:p w14:paraId="2FE16F7B" w14:textId="77777777" w:rsidR="00407EDC" w:rsidRDefault="00407EDC">
      <w:pPr>
        <w:spacing w:line="360" w:lineRule="auto"/>
        <w:jc w:val="both"/>
      </w:pPr>
    </w:p>
    <w:p w14:paraId="6F6C7484" w14:textId="77777777" w:rsidR="00407EDC" w:rsidRDefault="00407EDC">
      <w:pPr>
        <w:spacing w:line="360" w:lineRule="auto"/>
        <w:jc w:val="both"/>
      </w:pPr>
    </w:p>
    <w:p w14:paraId="6CC4544B" w14:textId="77777777" w:rsidR="00407EDC" w:rsidRDefault="00407EDC">
      <w:pPr>
        <w:spacing w:line="360" w:lineRule="auto"/>
        <w:jc w:val="both"/>
      </w:pPr>
    </w:p>
    <w:p w14:paraId="0F2A15B4" w14:textId="77777777" w:rsidR="00407EDC" w:rsidRDefault="00407EDC">
      <w:pPr>
        <w:spacing w:line="360" w:lineRule="auto"/>
        <w:jc w:val="both"/>
      </w:pPr>
    </w:p>
    <w:p w14:paraId="02969936" w14:textId="77777777" w:rsidR="00407EDC" w:rsidRDefault="00407EDC">
      <w:pPr>
        <w:spacing w:line="360" w:lineRule="auto"/>
        <w:jc w:val="both"/>
      </w:pPr>
    </w:p>
    <w:p w14:paraId="63C2C39C" w14:textId="77777777" w:rsidR="00407EDC" w:rsidRDefault="00407EDC">
      <w:pPr>
        <w:spacing w:line="360" w:lineRule="auto"/>
        <w:jc w:val="both"/>
      </w:pPr>
    </w:p>
    <w:p w14:paraId="75DB3CD3" w14:textId="77777777" w:rsidR="00407EDC" w:rsidRDefault="00407EDC">
      <w:pPr>
        <w:spacing w:line="360" w:lineRule="auto"/>
        <w:jc w:val="both"/>
      </w:pPr>
    </w:p>
    <w:p w14:paraId="3FB5C2CB" w14:textId="77777777" w:rsidR="00407EDC" w:rsidRDefault="00407EDC">
      <w:pPr>
        <w:spacing w:line="360" w:lineRule="auto"/>
        <w:jc w:val="both"/>
      </w:pPr>
    </w:p>
    <w:p w14:paraId="581A4568" w14:textId="77777777" w:rsidR="00407EDC" w:rsidRDefault="00407EDC">
      <w:pPr>
        <w:spacing w:line="360" w:lineRule="auto"/>
        <w:jc w:val="both"/>
      </w:pPr>
    </w:p>
    <w:p w14:paraId="3C3046A8" w14:textId="77777777" w:rsidR="00407EDC" w:rsidRDefault="00407EDC">
      <w:pPr>
        <w:spacing w:line="360" w:lineRule="auto"/>
        <w:jc w:val="both"/>
      </w:pPr>
    </w:p>
    <w:p w14:paraId="39249DF8" w14:textId="77777777" w:rsidR="00407EDC" w:rsidRDefault="00407EDC">
      <w:pPr>
        <w:spacing w:line="360" w:lineRule="auto"/>
        <w:jc w:val="both"/>
      </w:pPr>
    </w:p>
    <w:p w14:paraId="6EDDFC5E" w14:textId="77777777" w:rsidR="00407EDC" w:rsidRDefault="00407EDC">
      <w:pPr>
        <w:spacing w:line="360" w:lineRule="auto"/>
        <w:jc w:val="both"/>
      </w:pPr>
    </w:p>
    <w:p w14:paraId="6B69D594" w14:textId="77777777" w:rsidR="00407EDC" w:rsidRDefault="00407EDC">
      <w:pPr>
        <w:spacing w:line="360" w:lineRule="auto"/>
        <w:jc w:val="both"/>
      </w:pPr>
    </w:p>
    <w:p w14:paraId="0E68E6D0" w14:textId="77777777" w:rsidR="00407EDC" w:rsidRDefault="00407EDC">
      <w:pPr>
        <w:spacing w:line="360" w:lineRule="auto"/>
        <w:jc w:val="both"/>
      </w:pPr>
    </w:p>
    <w:p w14:paraId="5AE9774B" w14:textId="77777777" w:rsidR="00407EDC" w:rsidRDefault="00407EDC">
      <w:pPr>
        <w:spacing w:line="360" w:lineRule="auto"/>
        <w:jc w:val="both"/>
      </w:pPr>
    </w:p>
    <w:p w14:paraId="0E863A9B" w14:textId="77777777" w:rsidR="00407EDC" w:rsidRDefault="00407EDC">
      <w:pPr>
        <w:spacing w:line="360" w:lineRule="auto"/>
        <w:jc w:val="both"/>
      </w:pPr>
    </w:p>
    <w:p w14:paraId="1367AA83" w14:textId="77777777" w:rsidR="00407EDC" w:rsidRDefault="00407EDC">
      <w:pPr>
        <w:spacing w:line="360" w:lineRule="auto"/>
        <w:jc w:val="both"/>
      </w:pPr>
    </w:p>
    <w:p w14:paraId="5F6680EC" w14:textId="77777777" w:rsidR="00407EDC" w:rsidRDefault="00407EDC">
      <w:pPr>
        <w:spacing w:line="360" w:lineRule="auto"/>
        <w:jc w:val="both"/>
      </w:pPr>
    </w:p>
    <w:p w14:paraId="3874EC72" w14:textId="77777777" w:rsidR="00407EDC" w:rsidRDefault="00407EDC">
      <w:pPr>
        <w:spacing w:line="360" w:lineRule="auto"/>
        <w:jc w:val="both"/>
      </w:pPr>
    </w:p>
    <w:p w14:paraId="1E7A054F" w14:textId="77777777" w:rsidR="00407EDC" w:rsidRDefault="00407EDC">
      <w:pPr>
        <w:spacing w:line="360" w:lineRule="auto"/>
        <w:jc w:val="both"/>
      </w:pPr>
    </w:p>
    <w:p w14:paraId="569997C7" w14:textId="77777777" w:rsidR="00407EDC" w:rsidRDefault="00407EDC">
      <w:pPr>
        <w:spacing w:line="360" w:lineRule="auto"/>
        <w:jc w:val="both"/>
      </w:pPr>
    </w:p>
    <w:p w14:paraId="5B04B6D5" w14:textId="77777777" w:rsidR="00407EDC" w:rsidRDefault="00407EDC">
      <w:pPr>
        <w:spacing w:line="360" w:lineRule="auto"/>
        <w:jc w:val="both"/>
      </w:pPr>
    </w:p>
    <w:p w14:paraId="5D7C0C6D" w14:textId="77777777" w:rsidR="00407EDC" w:rsidRDefault="00407EDC">
      <w:pPr>
        <w:spacing w:line="360" w:lineRule="auto"/>
        <w:jc w:val="both"/>
      </w:pPr>
    </w:p>
    <w:p w14:paraId="387A5ECB" w14:textId="77777777" w:rsidR="00407EDC" w:rsidRDefault="00407EDC">
      <w:pPr>
        <w:spacing w:line="360" w:lineRule="auto"/>
        <w:jc w:val="both"/>
      </w:pPr>
    </w:p>
    <w:p w14:paraId="34B34C46" w14:textId="77777777" w:rsidR="00407EDC" w:rsidRDefault="00407EDC">
      <w:pPr>
        <w:spacing w:line="360" w:lineRule="auto"/>
        <w:jc w:val="both"/>
      </w:pPr>
    </w:p>
    <w:p w14:paraId="5A6D519F" w14:textId="77777777" w:rsidR="00407EDC" w:rsidRDefault="00407EDC">
      <w:pPr>
        <w:spacing w:line="360" w:lineRule="auto"/>
        <w:jc w:val="both"/>
      </w:pPr>
    </w:p>
    <w:p w14:paraId="0D89CED4" w14:textId="77777777" w:rsidR="00407EDC" w:rsidRDefault="00407EDC">
      <w:pPr>
        <w:spacing w:line="360" w:lineRule="auto"/>
        <w:jc w:val="both"/>
      </w:pPr>
    </w:p>
    <w:p w14:paraId="228E5E66" w14:textId="77777777" w:rsidR="00407EDC" w:rsidRDefault="00407EDC">
      <w:pPr>
        <w:spacing w:line="360" w:lineRule="auto"/>
        <w:jc w:val="both"/>
      </w:pPr>
    </w:p>
    <w:p w14:paraId="0F0051B0" w14:textId="7AD0425A" w:rsidR="00E3632F" w:rsidRDefault="00594DB4">
      <w:pPr>
        <w:spacing w:line="360" w:lineRule="auto"/>
        <w:jc w:val="both"/>
      </w:pPr>
      <w:r>
        <w:t>term treatments, reflecting the often chronic nature of anorexia nervosa. Future research should explore underexamined areas, including the role of neurodivergence and the creation of more flexible, culturally responsive diagnostic frameworks (Tury, Szabó, and Szumska, 2021). Together, these changes would support a more comprehensive and fair approach to classification, diagnosis, and treatment.</w:t>
      </w:r>
    </w:p>
    <w:p w14:paraId="1A4A9180" w14:textId="77777777" w:rsidR="00E3632F" w:rsidRDefault="00E3632F">
      <w:pPr>
        <w:spacing w:line="360" w:lineRule="auto"/>
        <w:jc w:val="both"/>
      </w:pPr>
    </w:p>
    <w:p w14:paraId="39BC96B2" w14:textId="77777777" w:rsidR="00E3632F" w:rsidRDefault="00594DB4">
      <w:pPr>
        <w:pStyle w:val="Heading1"/>
        <w:spacing w:line="360" w:lineRule="auto"/>
        <w:jc w:val="both"/>
        <w:rPr>
          <w:b/>
          <w:bCs/>
          <w:sz w:val="22"/>
          <w:szCs w:val="22"/>
        </w:rPr>
      </w:pPr>
      <w:bookmarkStart w:id="5" w:name="_uyuz1y41p5jw" w:colFirst="0" w:colLast="0"/>
      <w:bookmarkEnd w:id="5"/>
      <w:r>
        <w:rPr>
          <w:b/>
          <w:bCs/>
          <w:sz w:val="22"/>
          <w:szCs w:val="22"/>
        </w:rPr>
        <w:t>6. Conclusion:</w:t>
      </w:r>
    </w:p>
    <w:p w14:paraId="12EDF12D" w14:textId="77777777" w:rsidR="00E3632F" w:rsidRDefault="00594DB4">
      <w:pPr>
        <w:spacing w:line="360" w:lineRule="auto"/>
        <w:jc w:val="both"/>
      </w:pPr>
      <w:r>
        <w:t>Anorexia Nervosa, classified under ICD-11 (6B80), is a complex condition that challenges traditional psychiatric frameworks. While the ICD-11 offers a structured system for classification and diagnosis, this report shows that these frameworks have limitations. Specifically, relying on weight-based criteria and standard diagnostic categories may not capture the full range of clinical presentations and experiences.</w:t>
      </w:r>
    </w:p>
    <w:p w14:paraId="4D49FBE7" w14:textId="77777777" w:rsidR="00E3632F" w:rsidRDefault="00E3632F">
      <w:pPr>
        <w:spacing w:line="360" w:lineRule="auto"/>
        <w:jc w:val="both"/>
      </w:pPr>
    </w:p>
    <w:p w14:paraId="2A519B5F" w14:textId="77777777" w:rsidR="00E3632F" w:rsidRDefault="00594DB4">
      <w:pPr>
        <w:spacing w:line="360" w:lineRule="auto"/>
        <w:jc w:val="both"/>
      </w:pPr>
      <w:r>
        <w:t>Evaluating treatment and rehabilitation approaches highlights the challenges in achieving lasting recovery. Although evidence-based interventions provide useful tools for practice, their effectiveness is limited by high relapse rates, accessibility issues, and the ongoing conflict between physical and psychological recovery. Current debates about neurodivergence and cultural differences emphasize the need for more flexible and inclusive approaches to understanding and treating anorexia nervosa.</w:t>
      </w:r>
    </w:p>
    <w:p w14:paraId="17C245CF" w14:textId="77777777" w:rsidR="00E3632F" w:rsidRDefault="00E3632F">
      <w:pPr>
        <w:spacing w:line="360" w:lineRule="auto"/>
        <w:jc w:val="both"/>
      </w:pPr>
    </w:p>
    <w:p w14:paraId="12FCD5D1" w14:textId="77777777" w:rsidR="00E3632F" w:rsidRDefault="00594DB4">
      <w:pPr>
        <w:spacing w:line="360" w:lineRule="auto"/>
        <w:jc w:val="both"/>
      </w:pPr>
      <w:r>
        <w:t>Ultimately, anorexia nervosa cannot be fully understood through a purely biomedical view. Its complexity requires a perspective that considers biological, psychological, and sociocultural factors. Ongoing improvements in diagnostic systems and innovations in treatment and policy will improve outcomes for those affected by this condition.</w:t>
      </w:r>
    </w:p>
    <w:p w14:paraId="08A36E93" w14:textId="77777777" w:rsidR="00E3632F" w:rsidRDefault="00594DB4">
      <w:pPr>
        <w:spacing w:line="360" w:lineRule="auto"/>
      </w:pPr>
      <w:r>
        <w:br w:type="page"/>
      </w:r>
    </w:p>
    <w:p w14:paraId="00D5A0FF" w14:textId="77777777" w:rsidR="00E3632F" w:rsidRDefault="00594DB4">
      <w:pPr>
        <w:pStyle w:val="Heading1"/>
        <w:spacing w:line="360" w:lineRule="auto"/>
        <w:rPr>
          <w:b/>
          <w:bCs/>
          <w:sz w:val="22"/>
          <w:szCs w:val="22"/>
        </w:rPr>
      </w:pPr>
      <w:bookmarkStart w:id="6" w:name="_wzfufxx5kbl8" w:colFirst="0" w:colLast="0"/>
      <w:bookmarkEnd w:id="6"/>
      <w:r>
        <w:rPr>
          <w:b/>
          <w:bCs/>
          <w:sz w:val="22"/>
          <w:szCs w:val="22"/>
        </w:rPr>
        <w:t>7. References:</w:t>
      </w:r>
    </w:p>
    <w:p w14:paraId="1E8E14D4" w14:textId="77777777" w:rsidR="00E3632F" w:rsidRDefault="00E3632F">
      <w:pPr>
        <w:spacing w:line="360" w:lineRule="auto"/>
      </w:pPr>
    </w:p>
    <w:p w14:paraId="4BC1D9B7" w14:textId="77777777" w:rsidR="00E3632F" w:rsidRDefault="00594DB4">
      <w:pPr>
        <w:numPr>
          <w:ilvl w:val="0"/>
          <w:numId w:val="1"/>
        </w:numPr>
        <w:spacing w:line="360" w:lineRule="auto"/>
      </w:pPr>
      <w:r>
        <w:rPr>
          <w:color w:val="222222"/>
        </w:rPr>
        <w:t xml:space="preserve">American Psychiatric Association, 2022. </w:t>
      </w:r>
      <w:r>
        <w:rPr>
          <w:i/>
          <w:iCs/>
          <w:color w:val="222222"/>
        </w:rPr>
        <w:t>Diagnostic and statistical manual of mental disorders</w:t>
      </w:r>
      <w:r>
        <w:rPr>
          <w:color w:val="222222"/>
        </w:rPr>
        <w:t>. American Psychiatric Association Publishing.</w:t>
      </w:r>
    </w:p>
    <w:p w14:paraId="66CA1882" w14:textId="77777777" w:rsidR="00E3632F" w:rsidRDefault="00594DB4">
      <w:pPr>
        <w:numPr>
          <w:ilvl w:val="0"/>
          <w:numId w:val="1"/>
        </w:numPr>
        <w:spacing w:line="360" w:lineRule="auto"/>
        <w:rPr>
          <w:color w:val="222222"/>
        </w:rPr>
      </w:pPr>
      <w:r>
        <w:rPr>
          <w:color w:val="222222"/>
        </w:rPr>
        <w:t xml:space="preserve">Brewerton, T.D., 2019. An overview of trauma-informed care and practice for eating disorders. </w:t>
      </w:r>
      <w:r>
        <w:rPr>
          <w:i/>
          <w:iCs/>
          <w:color w:val="222222"/>
        </w:rPr>
        <w:t>Journal of Aggression, Maltreatment &amp; Trauma</w:t>
      </w:r>
      <w:r>
        <w:rPr>
          <w:color w:val="222222"/>
        </w:rPr>
        <w:t xml:space="preserve">, </w:t>
      </w:r>
      <w:r>
        <w:rPr>
          <w:i/>
          <w:iCs/>
          <w:color w:val="222222"/>
        </w:rPr>
        <w:t>28</w:t>
      </w:r>
      <w:r>
        <w:rPr>
          <w:color w:val="222222"/>
        </w:rPr>
        <w:t>(4), pp.445-462.</w:t>
      </w:r>
    </w:p>
    <w:p w14:paraId="721B1F45" w14:textId="77777777" w:rsidR="00E3632F" w:rsidRDefault="00594DB4">
      <w:pPr>
        <w:numPr>
          <w:ilvl w:val="0"/>
          <w:numId w:val="1"/>
        </w:numPr>
        <w:spacing w:line="360" w:lineRule="auto"/>
        <w:rPr>
          <w:color w:val="222222"/>
        </w:rPr>
      </w:pPr>
      <w:r>
        <w:rPr>
          <w:color w:val="222222"/>
        </w:rPr>
        <w:t xml:space="preserve">Galmiche, M., Déchelotte, P., Lambert, G. and Tavolacci, M.P., 2019. Prevalence of eating disorders over the 2000–2018 period: a systematic literature review. </w:t>
      </w:r>
      <w:r>
        <w:rPr>
          <w:i/>
          <w:iCs/>
          <w:color w:val="222222"/>
        </w:rPr>
        <w:t>The American journal of clinical nutrition</w:t>
      </w:r>
      <w:r>
        <w:rPr>
          <w:color w:val="222222"/>
        </w:rPr>
        <w:t xml:space="preserve">, </w:t>
      </w:r>
      <w:r>
        <w:rPr>
          <w:i/>
          <w:iCs/>
          <w:color w:val="222222"/>
        </w:rPr>
        <w:t>109</w:t>
      </w:r>
      <w:r>
        <w:rPr>
          <w:color w:val="222222"/>
        </w:rPr>
        <w:t>(5), pp.1402-1413.</w:t>
      </w:r>
    </w:p>
    <w:p w14:paraId="158B976D" w14:textId="77777777" w:rsidR="00E3632F" w:rsidRDefault="00594DB4">
      <w:pPr>
        <w:numPr>
          <w:ilvl w:val="0"/>
          <w:numId w:val="1"/>
        </w:numPr>
        <w:spacing w:line="360" w:lineRule="auto"/>
        <w:rPr>
          <w:color w:val="222222"/>
        </w:rPr>
      </w:pPr>
      <w:r>
        <w:rPr>
          <w:color w:val="222222"/>
        </w:rPr>
        <w:t xml:space="preserve">Hay, P., 2020. Current approach to eating disorders: a clinical update. </w:t>
      </w:r>
      <w:r>
        <w:rPr>
          <w:i/>
          <w:iCs/>
          <w:color w:val="222222"/>
        </w:rPr>
        <w:t>Internal medicine journal</w:t>
      </w:r>
      <w:r>
        <w:rPr>
          <w:color w:val="222222"/>
        </w:rPr>
        <w:t xml:space="preserve">, </w:t>
      </w:r>
      <w:r>
        <w:rPr>
          <w:i/>
          <w:iCs/>
          <w:color w:val="222222"/>
        </w:rPr>
        <w:t>50</w:t>
      </w:r>
      <w:r>
        <w:rPr>
          <w:color w:val="222222"/>
        </w:rPr>
        <w:t>(1), pp.24-29.</w:t>
      </w:r>
    </w:p>
    <w:p w14:paraId="273CDFBB" w14:textId="77777777" w:rsidR="00E3632F" w:rsidRDefault="00594DB4">
      <w:pPr>
        <w:numPr>
          <w:ilvl w:val="0"/>
          <w:numId w:val="1"/>
        </w:numPr>
        <w:spacing w:line="360" w:lineRule="auto"/>
        <w:rPr>
          <w:color w:val="222222"/>
        </w:rPr>
      </w:pPr>
      <w:r>
        <w:rPr>
          <w:color w:val="222222"/>
        </w:rPr>
        <w:t xml:space="preserve">Herpertz-Dahlmann, B., 2015. Adolescent eating disorders: update on definitions, symptomatology, epidemiology, and comorbidity. </w:t>
      </w:r>
      <w:r>
        <w:rPr>
          <w:i/>
          <w:iCs/>
          <w:color w:val="222222"/>
        </w:rPr>
        <w:t>Child and Adolescent Psychiatric Clinics</w:t>
      </w:r>
      <w:r>
        <w:rPr>
          <w:color w:val="222222"/>
        </w:rPr>
        <w:t xml:space="preserve">, </w:t>
      </w:r>
      <w:r>
        <w:rPr>
          <w:i/>
          <w:iCs/>
          <w:color w:val="222222"/>
        </w:rPr>
        <w:t>24</w:t>
      </w:r>
      <w:r>
        <w:rPr>
          <w:color w:val="222222"/>
        </w:rPr>
        <w:t>(1), pp.177-196.</w:t>
      </w:r>
    </w:p>
    <w:p w14:paraId="655FC613" w14:textId="77777777" w:rsidR="00E3632F" w:rsidRDefault="00594DB4">
      <w:pPr>
        <w:numPr>
          <w:ilvl w:val="0"/>
          <w:numId w:val="1"/>
        </w:numPr>
        <w:spacing w:line="360" w:lineRule="auto"/>
        <w:rPr>
          <w:color w:val="222222"/>
        </w:rPr>
      </w:pPr>
      <w:r>
        <w:rPr>
          <w:color w:val="222222"/>
        </w:rPr>
        <w:t xml:space="preserve">Jansen, A., 2016. Eating disorders need more experimental psychopathology. </w:t>
      </w:r>
      <w:r>
        <w:rPr>
          <w:i/>
          <w:iCs/>
          <w:color w:val="222222"/>
        </w:rPr>
        <w:t>Behaviour research and therapy</w:t>
      </w:r>
      <w:r>
        <w:rPr>
          <w:color w:val="222222"/>
        </w:rPr>
        <w:t xml:space="preserve">, </w:t>
      </w:r>
      <w:r>
        <w:rPr>
          <w:i/>
          <w:iCs/>
          <w:color w:val="222222"/>
        </w:rPr>
        <w:t>86</w:t>
      </w:r>
      <w:r>
        <w:rPr>
          <w:color w:val="222222"/>
        </w:rPr>
        <w:t>, pp.2-10.</w:t>
      </w:r>
    </w:p>
    <w:p w14:paraId="263EA923" w14:textId="77777777" w:rsidR="00E3632F" w:rsidRDefault="00594DB4">
      <w:pPr>
        <w:numPr>
          <w:ilvl w:val="0"/>
          <w:numId w:val="1"/>
        </w:numPr>
        <w:spacing w:line="360" w:lineRule="auto"/>
        <w:rPr>
          <w:color w:val="222222"/>
        </w:rPr>
      </w:pPr>
      <w:r>
        <w:rPr>
          <w:color w:val="222222"/>
        </w:rPr>
        <w:t xml:space="preserve">Kazdin, A.E., Fitzsimmons‐Craft, E.E. and Wilfley, D.E., 2017. Addressing critical gaps in the treatment of eating disorders. </w:t>
      </w:r>
      <w:r>
        <w:rPr>
          <w:i/>
          <w:iCs/>
          <w:color w:val="222222"/>
        </w:rPr>
        <w:t>International Journal of Eating Disorders</w:t>
      </w:r>
      <w:r>
        <w:rPr>
          <w:color w:val="222222"/>
        </w:rPr>
        <w:t xml:space="preserve">, </w:t>
      </w:r>
      <w:r>
        <w:rPr>
          <w:i/>
          <w:iCs/>
          <w:color w:val="222222"/>
        </w:rPr>
        <w:t>50</w:t>
      </w:r>
      <w:r>
        <w:rPr>
          <w:color w:val="222222"/>
        </w:rPr>
        <w:t>(3), pp.170-189.</w:t>
      </w:r>
    </w:p>
    <w:p w14:paraId="4CEB5C36" w14:textId="7248A81F" w:rsidR="00E3632F" w:rsidRDefault="00594DB4">
      <w:pPr>
        <w:numPr>
          <w:ilvl w:val="0"/>
          <w:numId w:val="1"/>
        </w:numPr>
        <w:spacing w:line="360" w:lineRule="auto"/>
        <w:rPr>
          <w:color w:val="222222"/>
        </w:rPr>
      </w:pPr>
      <w:r>
        <w:rPr>
          <w:color w:val="222222"/>
        </w:rPr>
        <w:t xml:space="preserve">NICE (2017) </w:t>
      </w:r>
      <w:r>
        <w:rPr>
          <w:i/>
          <w:iCs/>
          <w:color w:val="222222"/>
        </w:rPr>
        <w:t>Eating disorders: recognition and treatment (NG69)</w:t>
      </w:r>
      <w:r>
        <w:rPr>
          <w:color w:val="222222"/>
        </w:rPr>
        <w:t xml:space="preserve">. Available at: ttps://www.nice.org.uk/guidance/ng69 (Accessed: </w:t>
      </w:r>
      <w:r w:rsidR="00407EDC">
        <w:rPr>
          <w:color w:val="222222"/>
        </w:rPr>
        <w:t>16</w:t>
      </w:r>
      <w:r>
        <w:rPr>
          <w:color w:val="222222"/>
        </w:rPr>
        <w:t xml:space="preserve"> April 2026).</w:t>
      </w:r>
    </w:p>
    <w:p w14:paraId="7C3D5BCE" w14:textId="77777777" w:rsidR="00E3632F" w:rsidRDefault="00594DB4">
      <w:pPr>
        <w:numPr>
          <w:ilvl w:val="0"/>
          <w:numId w:val="1"/>
        </w:numPr>
        <w:spacing w:line="360" w:lineRule="auto"/>
        <w:rPr>
          <w:color w:val="222222"/>
        </w:rPr>
      </w:pPr>
      <w:r>
        <w:rPr>
          <w:color w:val="222222"/>
        </w:rPr>
        <w:t xml:space="preserve">Solmi, M., Radua, J., Olivola, M., Croce, E., Soardo, L., Salazar de Pablo, G., Il Shin, J., Kirkbride, J.B., Jones, P., Kim, J.H. and Kim, J.Y., 2022. Age at onset of mental disorders worldwide: large-scale meta-analysis of 192 epidemiological studies. </w:t>
      </w:r>
      <w:r>
        <w:rPr>
          <w:i/>
          <w:iCs/>
          <w:color w:val="222222"/>
        </w:rPr>
        <w:t>Molecular psychiatry</w:t>
      </w:r>
      <w:r>
        <w:rPr>
          <w:color w:val="222222"/>
        </w:rPr>
        <w:t xml:space="preserve">, </w:t>
      </w:r>
      <w:r>
        <w:rPr>
          <w:i/>
          <w:iCs/>
          <w:color w:val="222222"/>
        </w:rPr>
        <w:t>27</w:t>
      </w:r>
      <w:r>
        <w:rPr>
          <w:color w:val="222222"/>
        </w:rPr>
        <w:t>(1), pp.281-295.</w:t>
      </w:r>
    </w:p>
    <w:p w14:paraId="58F7E605" w14:textId="77777777" w:rsidR="00E3632F" w:rsidRDefault="00594DB4">
      <w:pPr>
        <w:numPr>
          <w:ilvl w:val="0"/>
          <w:numId w:val="1"/>
        </w:numPr>
        <w:spacing w:line="360" w:lineRule="auto"/>
        <w:rPr>
          <w:color w:val="222222"/>
        </w:rPr>
      </w:pPr>
      <w:r>
        <w:rPr>
          <w:color w:val="222222"/>
        </w:rPr>
        <w:t xml:space="preserve">Treasure, J., Duarte, T.A. and Schmidt, U. (2020) ‘Eating disorders’, </w:t>
      </w:r>
      <w:r>
        <w:rPr>
          <w:i/>
          <w:iCs/>
          <w:color w:val="222222"/>
        </w:rPr>
        <w:t>The Lancet</w:t>
      </w:r>
      <w:r>
        <w:rPr>
          <w:color w:val="222222"/>
        </w:rPr>
        <w:t>, 395(10227), pp. 899–911.</w:t>
      </w:r>
    </w:p>
    <w:p w14:paraId="39403525" w14:textId="77777777" w:rsidR="00E3632F" w:rsidRDefault="00594DB4">
      <w:pPr>
        <w:numPr>
          <w:ilvl w:val="0"/>
          <w:numId w:val="1"/>
        </w:numPr>
        <w:spacing w:line="360" w:lineRule="auto"/>
        <w:rPr>
          <w:color w:val="222222"/>
        </w:rPr>
      </w:pPr>
      <w:r>
        <w:rPr>
          <w:color w:val="222222"/>
        </w:rPr>
        <w:t xml:space="preserve">Westmoreland, P., Krantz, M.J. and Mehler, P.S., 2016. Medical complications of anorexia nervosa and bulimia. </w:t>
      </w:r>
      <w:r>
        <w:rPr>
          <w:i/>
          <w:iCs/>
          <w:color w:val="222222"/>
        </w:rPr>
        <w:t>The American journal of medicine</w:t>
      </w:r>
      <w:r>
        <w:rPr>
          <w:color w:val="222222"/>
        </w:rPr>
        <w:t xml:space="preserve">, </w:t>
      </w:r>
      <w:r>
        <w:rPr>
          <w:i/>
          <w:iCs/>
          <w:color w:val="222222"/>
        </w:rPr>
        <w:t>129</w:t>
      </w:r>
      <w:r>
        <w:rPr>
          <w:color w:val="222222"/>
        </w:rPr>
        <w:t>(1), pp.30-37.</w:t>
      </w:r>
    </w:p>
    <w:p w14:paraId="6F43926C" w14:textId="109A7C18" w:rsidR="00E3632F" w:rsidRDefault="00594DB4">
      <w:pPr>
        <w:numPr>
          <w:ilvl w:val="0"/>
          <w:numId w:val="1"/>
        </w:numPr>
        <w:spacing w:line="360" w:lineRule="auto"/>
        <w:rPr>
          <w:color w:val="222222"/>
        </w:rPr>
      </w:pPr>
      <w:r>
        <w:rPr>
          <w:color w:val="222222"/>
        </w:rPr>
        <w:t xml:space="preserve">World Health Organization (2024) </w:t>
      </w:r>
      <w:r>
        <w:rPr>
          <w:i/>
          <w:iCs/>
          <w:color w:val="222222"/>
        </w:rPr>
        <w:t>International classification of diseases 11th revision (ICD-11): Anorexia nervosa (6B80)</w:t>
      </w:r>
      <w:r>
        <w:rPr>
          <w:color w:val="222222"/>
        </w:rPr>
        <w:t>. Available at:</w:t>
      </w:r>
      <w:hyperlink r:id="rId8" w:anchor="263852475">
        <w:r w:rsidR="00E3632F">
          <w:rPr>
            <w:color w:val="222222"/>
          </w:rPr>
          <w:t xml:space="preserve"> </w:t>
        </w:r>
      </w:hyperlink>
      <w:hyperlink r:id="rId9" w:anchor="263852475">
        <w:r w:rsidR="00E3632F">
          <w:rPr>
            <w:color w:val="1155CC"/>
            <w:u w:val="single"/>
          </w:rPr>
          <w:t>https://icd.who.int/browse/2024-01/mms/en#263852475</w:t>
        </w:r>
      </w:hyperlink>
      <w:r>
        <w:rPr>
          <w:color w:val="222222"/>
        </w:rPr>
        <w:t xml:space="preserve"> (Accessed: </w:t>
      </w:r>
      <w:r w:rsidR="00407EDC">
        <w:rPr>
          <w:color w:val="222222"/>
        </w:rPr>
        <w:t>17</w:t>
      </w:r>
      <w:r>
        <w:rPr>
          <w:color w:val="222222"/>
        </w:rPr>
        <w:t xml:space="preserve"> April 2026).</w:t>
      </w:r>
    </w:p>
    <w:sectPr w:rsidR="00E3632F">
      <w:head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E35E2" w14:textId="77777777" w:rsidR="00FA4622" w:rsidRDefault="00FA4622">
      <w:pPr>
        <w:spacing w:line="240" w:lineRule="auto"/>
      </w:pPr>
      <w:r>
        <w:separator/>
      </w:r>
    </w:p>
  </w:endnote>
  <w:endnote w:type="continuationSeparator" w:id="0">
    <w:p w14:paraId="0F00071D" w14:textId="77777777" w:rsidR="00FA4622" w:rsidRDefault="00FA46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ACFF" w:usb2="00000009" w:usb3="00000000" w:csb0="000001FF" w:csb1="00000000"/>
    <w:embedRegular r:id="rId2" w:fontKey="{F62D5281-3C05-4319-8B7E-DF916EF91734}"/>
  </w:font>
  <w:font w:name="Cambria">
    <w:panose1 w:val="02040503050406030204"/>
    <w:charset w:val="00"/>
    <w:family w:val="roman"/>
    <w:pitch w:val="variable"/>
    <w:sig w:usb0="E00006FF" w:usb1="420024FF" w:usb2="02000000" w:usb3="00000000" w:csb0="0000019F" w:csb1="00000000"/>
    <w:embedRegular r:id="rId3" w:fontKey="{91B0CB58-7F7B-9142-9685-8951904A30C8}"/>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48392" w14:textId="77777777" w:rsidR="00FA4622" w:rsidRDefault="00FA4622">
      <w:pPr>
        <w:spacing w:line="240" w:lineRule="auto"/>
      </w:pPr>
      <w:r>
        <w:separator/>
      </w:r>
    </w:p>
  </w:footnote>
  <w:footnote w:type="continuationSeparator" w:id="0">
    <w:p w14:paraId="5D5E665F" w14:textId="77777777" w:rsidR="00FA4622" w:rsidRDefault="00FA46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C825C" w14:textId="77777777" w:rsidR="00E3632F" w:rsidRDefault="00594DB4">
    <w:pPr>
      <w:jc w:val="right"/>
    </w:pPr>
    <w:r>
      <w:fldChar w:fldCharType="begin"/>
    </w:r>
    <w:r>
      <w:instrText>PAGE</w:instrText>
    </w:r>
    <w:r>
      <w:fldChar w:fldCharType="separate"/>
    </w:r>
    <w:r w:rsidR="00407EDC">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968B4"/>
    <w:multiLevelType w:val="multilevel"/>
    <w:tmpl w:val="047681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07769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32F"/>
    <w:rsid w:val="00407EDC"/>
    <w:rsid w:val="00524772"/>
    <w:rsid w:val="00526F76"/>
    <w:rsid w:val="00594DB4"/>
    <w:rsid w:val="005D08BE"/>
    <w:rsid w:val="00DC7072"/>
    <w:rsid w:val="00E3632F"/>
    <w:rsid w:val="00FA4622"/>
    <w:rsid w:val="00FF7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B704B"/>
  <w15:docId w15:val="{F5E9434C-8004-45EE-B5C3-427061181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cd.who.int/browse/2024-01/mms/en"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icd.who.int/browse/2024-01/mms/e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1.odttf"/><Relationship Id="rId2" Type="http://schemas.openxmlformats.org/officeDocument/2006/relationships/font" Target="fonts/font2.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2671</Words>
  <Characters>15230</Characters>
  <Application>Microsoft Office Word</Application>
  <DocSecurity>0</DocSecurity>
  <Lines>126</Lines>
  <Paragraphs>35</Paragraphs>
  <ScaleCrop>false</ScaleCrop>
  <Company/>
  <LinksUpToDate>false</LinksUpToDate>
  <CharactersWithSpaces>17866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Nurul Islam Mohammad Nurul Islam (2327900)</cp:lastModifiedBy>
  <cp:revision>2</cp:revision>
  <dcterms:created xsi:type="dcterms:W3CDTF">2026-04-24T11:30:00Z</dcterms:created>
  <dcterms:modified xsi:type="dcterms:W3CDTF">2026-04-24T11:30:00Z</dcterms:modified>
</cp:coreProperties>
</file>