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E5D6C1" w14:textId="77777777" w:rsidR="00391453" w:rsidRDefault="00E5203A" w:rsidP="00F8171D">
      <w:r>
        <w:t>Dietary reference values (</w:t>
      </w:r>
      <w:proofErr w:type="spellStart"/>
      <w:r>
        <w:t>drvs</w:t>
      </w:r>
      <w:proofErr w:type="spellEnd"/>
      <w:r>
        <w:t xml:space="preserve">) provide essential guidelines for the intake of </w:t>
      </w:r>
      <w:proofErr w:type="spellStart"/>
      <w:r>
        <w:t>nurtatians</w:t>
      </w:r>
      <w:proofErr w:type="spellEnd"/>
      <w:r>
        <w:t xml:space="preserve"> to promote health prevent deficiencies and reduce the risk of chronic diseases these values are designed for individuals based on ages and gender also the activity level also makes </w:t>
      </w:r>
      <w:proofErr w:type="gramStart"/>
      <w:r>
        <w:t>a</w:t>
      </w:r>
      <w:proofErr w:type="gramEnd"/>
      <w:r>
        <w:t xml:space="preserve"> impact Aswell as the physiological conditions such as pregnancy or </w:t>
      </w:r>
      <w:r w:rsidR="00391453">
        <w:t>lactation</w:t>
      </w:r>
      <w:r>
        <w:t xml:space="preserve"> for adults </w:t>
      </w:r>
      <w:proofErr w:type="spellStart"/>
      <w:r>
        <w:t>drvs</w:t>
      </w:r>
      <w:proofErr w:type="spellEnd"/>
      <w:r>
        <w:t xml:space="preserve"> help in </w:t>
      </w:r>
      <w:proofErr w:type="spellStart"/>
      <w:r>
        <w:t>matianing</w:t>
      </w:r>
      <w:proofErr w:type="spellEnd"/>
      <w:r>
        <w:t xml:space="preserve"> </w:t>
      </w:r>
      <w:r w:rsidR="00391453">
        <w:t>balanced</w:t>
      </w:r>
      <w:r>
        <w:t xml:space="preserve"> </w:t>
      </w:r>
      <w:r w:rsidR="00391453">
        <w:t>nutrition</w:t>
      </w:r>
      <w:r>
        <w:t xml:space="preserve"> by outlining the optimal intake for energy </w:t>
      </w:r>
      <w:r w:rsidR="00391453">
        <w:t xml:space="preserve">macronutrients and micronutrients </w:t>
      </w:r>
    </w:p>
    <w:p w14:paraId="25B440FE" w14:textId="77777777" w:rsidR="00391453" w:rsidRDefault="00391453" w:rsidP="00F8171D">
      <w:r>
        <w:t xml:space="preserve">ENERGY REQUIREMENTS </w:t>
      </w:r>
    </w:p>
    <w:p w14:paraId="1175A37E" w14:textId="7C4EC52B" w:rsidR="00D07799" w:rsidRDefault="00391453" w:rsidP="00F8171D">
      <w:r>
        <w:t xml:space="preserve">For </w:t>
      </w:r>
      <w:proofErr w:type="gramStart"/>
      <w:r>
        <w:t>adults</w:t>
      </w:r>
      <w:proofErr w:type="gramEnd"/>
      <w:r>
        <w:t xml:space="preserve"> energy needs typically range from 2,000 to 2,500 kcal per day men generally require 2,500 kcal while women need about 2.000 kcal with adjustments based on active levels sedentary adults may require fewer calories while highly active individuals may need significantly more energy intake is influenced by BASEL METABOLIC RATE (BMR) which varies based on muscle mass age and other factors and physically activity levels (institute of medicine 2002)  </w:t>
      </w:r>
    </w:p>
    <w:p w14:paraId="79EF82FC" w14:textId="77777777" w:rsidR="00F8171D" w:rsidRDefault="00F8171D" w:rsidP="00F8171D">
      <w:pPr>
        <w:rPr>
          <w:b/>
          <w:bCs/>
        </w:rPr>
      </w:pPr>
      <w:r w:rsidRPr="00F8171D">
        <w:rPr>
          <w:b/>
          <w:bCs/>
        </w:rPr>
        <w:t>Macronutrient Recommendations</w:t>
      </w:r>
    </w:p>
    <w:p w14:paraId="750FD25C" w14:textId="77777777" w:rsidR="00AF630B" w:rsidRDefault="00AF630B" w:rsidP="00F8171D">
      <w:pPr>
        <w:rPr>
          <w:b/>
          <w:bCs/>
        </w:rPr>
      </w:pPr>
    </w:p>
    <w:p w14:paraId="5F6528CE" w14:textId="4838278D" w:rsidR="00AF630B" w:rsidRPr="00AF630B" w:rsidRDefault="00AF630B" w:rsidP="00AF630B">
      <w:pPr>
        <w:rPr>
          <w:b/>
          <w:bCs/>
        </w:rPr>
      </w:pPr>
      <w:r w:rsidRPr="00AF630B">
        <w:rPr>
          <w:b/>
          <w:bCs/>
        </w:rPr>
        <w:t xml:space="preserve">Micronutrient </w:t>
      </w:r>
      <w:proofErr w:type="gramStart"/>
      <w:r w:rsidRPr="00AF630B">
        <w:rPr>
          <w:b/>
          <w:bCs/>
        </w:rPr>
        <w:t>Recommendations</w:t>
      </w:r>
      <w:r>
        <w:rPr>
          <w:b/>
          <w:bCs/>
        </w:rPr>
        <w:t xml:space="preserve">  fig</w:t>
      </w:r>
      <w:proofErr w:type="gramEnd"/>
      <w:r>
        <w:rPr>
          <w:b/>
          <w:bCs/>
        </w:rPr>
        <w:t xml:space="preserve"> one </w:t>
      </w:r>
    </w:p>
    <w:tbl>
      <w:tblPr>
        <w:tblStyle w:val="TableGrid"/>
        <w:tblW w:w="0" w:type="auto"/>
        <w:tblLook w:val="04A0" w:firstRow="1" w:lastRow="0" w:firstColumn="1" w:lastColumn="0" w:noHBand="0" w:noVBand="1"/>
      </w:tblPr>
      <w:tblGrid>
        <w:gridCol w:w="9016"/>
      </w:tblGrid>
      <w:tr w:rsidR="00AF630B" w:rsidRPr="00AF630B" w14:paraId="5312E3AC" w14:textId="77777777" w:rsidTr="00AF630B">
        <w:tc>
          <w:tcPr>
            <w:tcW w:w="9016" w:type="dxa"/>
          </w:tcPr>
          <w:p w14:paraId="24F12B32" w14:textId="77777777" w:rsidR="00AF630B" w:rsidRPr="00AF630B" w:rsidRDefault="00AF630B" w:rsidP="00211EE3">
            <w:pPr>
              <w:rPr>
                <w:b/>
                <w:bCs/>
              </w:rPr>
            </w:pPr>
            <w:r w:rsidRPr="00AF630B">
              <w:rPr>
                <w:b/>
                <w:bCs/>
              </w:rPr>
              <w:t>Vitamins</w:t>
            </w:r>
          </w:p>
        </w:tc>
      </w:tr>
      <w:tr w:rsidR="00AF630B" w:rsidRPr="00AF630B" w14:paraId="60FBF8E6" w14:textId="77777777" w:rsidTr="00AF630B">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7"/>
              <w:gridCol w:w="1295"/>
              <w:gridCol w:w="1652"/>
              <w:gridCol w:w="4496"/>
            </w:tblGrid>
            <w:tr w:rsidR="00AF630B" w:rsidRPr="00AF630B" w14:paraId="5FEDEF11" w14:textId="77777777" w:rsidTr="00211EE3">
              <w:trPr>
                <w:tblHeader/>
                <w:tblCellSpacing w:w="15" w:type="dxa"/>
              </w:trPr>
              <w:tc>
                <w:tcPr>
                  <w:tcW w:w="0" w:type="auto"/>
                  <w:vAlign w:val="center"/>
                  <w:hideMark/>
                </w:tcPr>
                <w:p w14:paraId="16B51467" w14:textId="77777777" w:rsidR="00AF630B" w:rsidRPr="00AF630B" w:rsidRDefault="00AF630B" w:rsidP="00211EE3">
                  <w:pPr>
                    <w:rPr>
                      <w:b/>
                      <w:bCs/>
                    </w:rPr>
                  </w:pPr>
                  <w:r w:rsidRPr="00AF630B">
                    <w:rPr>
                      <w:b/>
                      <w:bCs/>
                    </w:rPr>
                    <w:t>Vitamin</w:t>
                  </w:r>
                </w:p>
              </w:tc>
              <w:tc>
                <w:tcPr>
                  <w:tcW w:w="0" w:type="auto"/>
                  <w:vAlign w:val="center"/>
                  <w:hideMark/>
                </w:tcPr>
                <w:p w14:paraId="3BDC81DE" w14:textId="77777777" w:rsidR="00AF630B" w:rsidRPr="00AF630B" w:rsidRDefault="00AF630B" w:rsidP="00211EE3">
                  <w:pPr>
                    <w:rPr>
                      <w:b/>
                      <w:bCs/>
                    </w:rPr>
                  </w:pPr>
                  <w:r w:rsidRPr="00AF630B">
                    <w:rPr>
                      <w:b/>
                      <w:bCs/>
                    </w:rPr>
                    <w:t>Men (19-50)</w:t>
                  </w:r>
                </w:p>
              </w:tc>
              <w:tc>
                <w:tcPr>
                  <w:tcW w:w="0" w:type="auto"/>
                  <w:vAlign w:val="center"/>
                  <w:hideMark/>
                </w:tcPr>
                <w:p w14:paraId="156F024F" w14:textId="77777777" w:rsidR="00AF630B" w:rsidRPr="00AF630B" w:rsidRDefault="00AF630B" w:rsidP="00211EE3">
                  <w:pPr>
                    <w:rPr>
                      <w:b/>
                      <w:bCs/>
                    </w:rPr>
                  </w:pPr>
                  <w:r w:rsidRPr="00AF630B">
                    <w:rPr>
                      <w:b/>
                      <w:bCs/>
                    </w:rPr>
                    <w:t>Women (19-50)</w:t>
                  </w:r>
                </w:p>
              </w:tc>
              <w:tc>
                <w:tcPr>
                  <w:tcW w:w="0" w:type="auto"/>
                  <w:vAlign w:val="center"/>
                  <w:hideMark/>
                </w:tcPr>
                <w:p w14:paraId="5EB85050" w14:textId="77777777" w:rsidR="00AF630B" w:rsidRPr="00AF630B" w:rsidRDefault="00AF630B" w:rsidP="00211EE3">
                  <w:pPr>
                    <w:rPr>
                      <w:b/>
                      <w:bCs/>
                    </w:rPr>
                  </w:pPr>
                  <w:r w:rsidRPr="00AF630B">
                    <w:rPr>
                      <w:b/>
                      <w:bCs/>
                    </w:rPr>
                    <w:t>Role</w:t>
                  </w:r>
                </w:p>
              </w:tc>
            </w:tr>
            <w:tr w:rsidR="00AF630B" w:rsidRPr="00AF630B" w14:paraId="4DB8D9A9" w14:textId="77777777" w:rsidTr="00211EE3">
              <w:trPr>
                <w:tblCellSpacing w:w="15" w:type="dxa"/>
              </w:trPr>
              <w:tc>
                <w:tcPr>
                  <w:tcW w:w="0" w:type="auto"/>
                  <w:vAlign w:val="center"/>
                  <w:hideMark/>
                </w:tcPr>
                <w:p w14:paraId="45F94F7E" w14:textId="77777777" w:rsidR="00AF630B" w:rsidRPr="00AF630B" w:rsidRDefault="00AF630B" w:rsidP="00211EE3">
                  <w:pPr>
                    <w:rPr>
                      <w:b/>
                      <w:bCs/>
                    </w:rPr>
                  </w:pPr>
                  <w:r w:rsidRPr="00AF630B">
                    <w:rPr>
                      <w:b/>
                      <w:bCs/>
                    </w:rPr>
                    <w:t>Vitamin A</w:t>
                  </w:r>
                </w:p>
              </w:tc>
              <w:tc>
                <w:tcPr>
                  <w:tcW w:w="0" w:type="auto"/>
                  <w:vAlign w:val="center"/>
                  <w:hideMark/>
                </w:tcPr>
                <w:p w14:paraId="086B7955" w14:textId="77777777" w:rsidR="00AF630B" w:rsidRPr="00AF630B" w:rsidRDefault="00AF630B" w:rsidP="00211EE3">
                  <w:pPr>
                    <w:rPr>
                      <w:b/>
                      <w:bCs/>
                    </w:rPr>
                  </w:pPr>
                  <w:r w:rsidRPr="00AF630B">
                    <w:rPr>
                      <w:b/>
                      <w:bCs/>
                    </w:rPr>
                    <w:t>900 µg/day</w:t>
                  </w:r>
                </w:p>
              </w:tc>
              <w:tc>
                <w:tcPr>
                  <w:tcW w:w="0" w:type="auto"/>
                  <w:vAlign w:val="center"/>
                  <w:hideMark/>
                </w:tcPr>
                <w:p w14:paraId="1E1A5C37" w14:textId="77777777" w:rsidR="00AF630B" w:rsidRPr="00AF630B" w:rsidRDefault="00AF630B" w:rsidP="00211EE3">
                  <w:pPr>
                    <w:rPr>
                      <w:b/>
                      <w:bCs/>
                    </w:rPr>
                  </w:pPr>
                  <w:r w:rsidRPr="00AF630B">
                    <w:rPr>
                      <w:b/>
                      <w:bCs/>
                    </w:rPr>
                    <w:t>700 µg/day</w:t>
                  </w:r>
                </w:p>
              </w:tc>
              <w:tc>
                <w:tcPr>
                  <w:tcW w:w="0" w:type="auto"/>
                  <w:vAlign w:val="center"/>
                  <w:hideMark/>
                </w:tcPr>
                <w:p w14:paraId="74507581" w14:textId="77777777" w:rsidR="00AF630B" w:rsidRPr="00AF630B" w:rsidRDefault="00AF630B" w:rsidP="00211EE3">
                  <w:pPr>
                    <w:rPr>
                      <w:b/>
                      <w:bCs/>
                    </w:rPr>
                  </w:pPr>
                  <w:r w:rsidRPr="00AF630B">
                    <w:rPr>
                      <w:b/>
                      <w:bCs/>
                    </w:rPr>
                    <w:t>Vision, immunity, reproduction.</w:t>
                  </w:r>
                </w:p>
              </w:tc>
            </w:tr>
            <w:tr w:rsidR="00AF630B" w:rsidRPr="00AF630B" w14:paraId="790A019E" w14:textId="77777777" w:rsidTr="00211EE3">
              <w:trPr>
                <w:tblCellSpacing w:w="15" w:type="dxa"/>
              </w:trPr>
              <w:tc>
                <w:tcPr>
                  <w:tcW w:w="0" w:type="auto"/>
                  <w:vAlign w:val="center"/>
                  <w:hideMark/>
                </w:tcPr>
                <w:p w14:paraId="478315B7" w14:textId="77777777" w:rsidR="00AF630B" w:rsidRPr="00AF630B" w:rsidRDefault="00AF630B" w:rsidP="00211EE3">
                  <w:pPr>
                    <w:rPr>
                      <w:b/>
                      <w:bCs/>
                    </w:rPr>
                  </w:pPr>
                  <w:r w:rsidRPr="00AF630B">
                    <w:rPr>
                      <w:b/>
                      <w:bCs/>
                    </w:rPr>
                    <w:t>Vitamin D</w:t>
                  </w:r>
                </w:p>
              </w:tc>
              <w:tc>
                <w:tcPr>
                  <w:tcW w:w="0" w:type="auto"/>
                  <w:vAlign w:val="center"/>
                  <w:hideMark/>
                </w:tcPr>
                <w:p w14:paraId="0AE4E7D9" w14:textId="77777777" w:rsidR="00AF630B" w:rsidRPr="00AF630B" w:rsidRDefault="00AF630B" w:rsidP="00211EE3">
                  <w:pPr>
                    <w:rPr>
                      <w:b/>
                      <w:bCs/>
                    </w:rPr>
                  </w:pPr>
                  <w:r w:rsidRPr="00AF630B">
                    <w:rPr>
                      <w:b/>
                      <w:bCs/>
                    </w:rPr>
                    <w:t>15 µg/day</w:t>
                  </w:r>
                </w:p>
              </w:tc>
              <w:tc>
                <w:tcPr>
                  <w:tcW w:w="0" w:type="auto"/>
                  <w:vAlign w:val="center"/>
                  <w:hideMark/>
                </w:tcPr>
                <w:p w14:paraId="0A9F258F" w14:textId="77777777" w:rsidR="00AF630B" w:rsidRPr="00AF630B" w:rsidRDefault="00AF630B" w:rsidP="00211EE3">
                  <w:pPr>
                    <w:rPr>
                      <w:b/>
                      <w:bCs/>
                    </w:rPr>
                  </w:pPr>
                  <w:r w:rsidRPr="00AF630B">
                    <w:rPr>
                      <w:b/>
                      <w:bCs/>
                    </w:rPr>
                    <w:t>15 µg/day</w:t>
                  </w:r>
                </w:p>
              </w:tc>
              <w:tc>
                <w:tcPr>
                  <w:tcW w:w="0" w:type="auto"/>
                  <w:vAlign w:val="center"/>
                  <w:hideMark/>
                </w:tcPr>
                <w:p w14:paraId="16709B7F" w14:textId="77777777" w:rsidR="00AF630B" w:rsidRPr="00AF630B" w:rsidRDefault="00AF630B" w:rsidP="00211EE3">
                  <w:pPr>
                    <w:rPr>
                      <w:b/>
                      <w:bCs/>
                    </w:rPr>
                  </w:pPr>
                  <w:r w:rsidRPr="00AF630B">
                    <w:rPr>
                      <w:b/>
                      <w:bCs/>
                    </w:rPr>
                    <w:t>Bone health, calcium absorption.</w:t>
                  </w:r>
                </w:p>
              </w:tc>
            </w:tr>
            <w:tr w:rsidR="00AF630B" w:rsidRPr="00AF630B" w14:paraId="75D257FB" w14:textId="77777777" w:rsidTr="00211EE3">
              <w:trPr>
                <w:tblCellSpacing w:w="15" w:type="dxa"/>
              </w:trPr>
              <w:tc>
                <w:tcPr>
                  <w:tcW w:w="0" w:type="auto"/>
                  <w:vAlign w:val="center"/>
                  <w:hideMark/>
                </w:tcPr>
                <w:p w14:paraId="0FED0A3B" w14:textId="77777777" w:rsidR="00AF630B" w:rsidRPr="00AF630B" w:rsidRDefault="00AF630B" w:rsidP="00211EE3">
                  <w:pPr>
                    <w:rPr>
                      <w:b/>
                      <w:bCs/>
                    </w:rPr>
                  </w:pPr>
                  <w:r w:rsidRPr="00AF630B">
                    <w:rPr>
                      <w:b/>
                      <w:bCs/>
                    </w:rPr>
                    <w:t>Vitamin C</w:t>
                  </w:r>
                </w:p>
              </w:tc>
              <w:tc>
                <w:tcPr>
                  <w:tcW w:w="0" w:type="auto"/>
                  <w:vAlign w:val="center"/>
                  <w:hideMark/>
                </w:tcPr>
                <w:p w14:paraId="13AE286B" w14:textId="77777777" w:rsidR="00AF630B" w:rsidRPr="00AF630B" w:rsidRDefault="00AF630B" w:rsidP="00211EE3">
                  <w:pPr>
                    <w:rPr>
                      <w:b/>
                      <w:bCs/>
                    </w:rPr>
                  </w:pPr>
                  <w:r w:rsidRPr="00AF630B">
                    <w:rPr>
                      <w:b/>
                      <w:bCs/>
                    </w:rPr>
                    <w:t>90 mg/day</w:t>
                  </w:r>
                </w:p>
              </w:tc>
              <w:tc>
                <w:tcPr>
                  <w:tcW w:w="0" w:type="auto"/>
                  <w:vAlign w:val="center"/>
                  <w:hideMark/>
                </w:tcPr>
                <w:p w14:paraId="1B514014" w14:textId="77777777" w:rsidR="00AF630B" w:rsidRPr="00AF630B" w:rsidRDefault="00AF630B" w:rsidP="00211EE3">
                  <w:pPr>
                    <w:rPr>
                      <w:b/>
                      <w:bCs/>
                    </w:rPr>
                  </w:pPr>
                  <w:r w:rsidRPr="00AF630B">
                    <w:rPr>
                      <w:b/>
                      <w:bCs/>
                    </w:rPr>
                    <w:t>75 mg/day</w:t>
                  </w:r>
                </w:p>
              </w:tc>
              <w:tc>
                <w:tcPr>
                  <w:tcW w:w="0" w:type="auto"/>
                  <w:vAlign w:val="center"/>
                  <w:hideMark/>
                </w:tcPr>
                <w:p w14:paraId="17140361" w14:textId="77777777" w:rsidR="00AF630B" w:rsidRPr="00AF630B" w:rsidRDefault="00AF630B" w:rsidP="00211EE3">
                  <w:pPr>
                    <w:rPr>
                      <w:b/>
                      <w:bCs/>
                    </w:rPr>
                  </w:pPr>
                  <w:r w:rsidRPr="00AF630B">
                    <w:rPr>
                      <w:b/>
                      <w:bCs/>
                    </w:rPr>
                    <w:t>Antioxidant, immune function.</w:t>
                  </w:r>
                </w:p>
              </w:tc>
            </w:tr>
            <w:tr w:rsidR="00AF630B" w:rsidRPr="00AF630B" w14:paraId="66010F4A" w14:textId="77777777" w:rsidTr="00211EE3">
              <w:trPr>
                <w:tblCellSpacing w:w="15" w:type="dxa"/>
              </w:trPr>
              <w:tc>
                <w:tcPr>
                  <w:tcW w:w="0" w:type="auto"/>
                  <w:vAlign w:val="center"/>
                  <w:hideMark/>
                </w:tcPr>
                <w:p w14:paraId="21863DC8" w14:textId="77777777" w:rsidR="00AF630B" w:rsidRPr="00AF630B" w:rsidRDefault="00AF630B" w:rsidP="00211EE3">
                  <w:pPr>
                    <w:rPr>
                      <w:b/>
                      <w:bCs/>
                    </w:rPr>
                  </w:pPr>
                  <w:r w:rsidRPr="00AF630B">
                    <w:rPr>
                      <w:b/>
                      <w:bCs/>
                    </w:rPr>
                    <w:t>Vitamin E</w:t>
                  </w:r>
                </w:p>
              </w:tc>
              <w:tc>
                <w:tcPr>
                  <w:tcW w:w="0" w:type="auto"/>
                  <w:vAlign w:val="center"/>
                  <w:hideMark/>
                </w:tcPr>
                <w:p w14:paraId="35FCF667" w14:textId="77777777" w:rsidR="00AF630B" w:rsidRPr="00AF630B" w:rsidRDefault="00AF630B" w:rsidP="00211EE3">
                  <w:pPr>
                    <w:rPr>
                      <w:b/>
                      <w:bCs/>
                    </w:rPr>
                  </w:pPr>
                  <w:r w:rsidRPr="00AF630B">
                    <w:rPr>
                      <w:b/>
                      <w:bCs/>
                    </w:rPr>
                    <w:t>15 mg/day</w:t>
                  </w:r>
                </w:p>
              </w:tc>
              <w:tc>
                <w:tcPr>
                  <w:tcW w:w="0" w:type="auto"/>
                  <w:vAlign w:val="center"/>
                  <w:hideMark/>
                </w:tcPr>
                <w:p w14:paraId="4485919A" w14:textId="77777777" w:rsidR="00AF630B" w:rsidRPr="00AF630B" w:rsidRDefault="00AF630B" w:rsidP="00211EE3">
                  <w:pPr>
                    <w:rPr>
                      <w:b/>
                      <w:bCs/>
                    </w:rPr>
                  </w:pPr>
                  <w:r w:rsidRPr="00AF630B">
                    <w:rPr>
                      <w:b/>
                      <w:bCs/>
                    </w:rPr>
                    <w:t>15 mg/day</w:t>
                  </w:r>
                </w:p>
              </w:tc>
              <w:tc>
                <w:tcPr>
                  <w:tcW w:w="0" w:type="auto"/>
                  <w:vAlign w:val="center"/>
                  <w:hideMark/>
                </w:tcPr>
                <w:p w14:paraId="532FA606" w14:textId="77777777" w:rsidR="00AF630B" w:rsidRPr="00AF630B" w:rsidRDefault="00AF630B" w:rsidP="00211EE3">
                  <w:pPr>
                    <w:rPr>
                      <w:b/>
                      <w:bCs/>
                    </w:rPr>
                  </w:pPr>
                  <w:r w:rsidRPr="00AF630B">
                    <w:rPr>
                      <w:b/>
                      <w:bCs/>
                    </w:rPr>
                    <w:t>Protects cells from oxidative damage.</w:t>
                  </w:r>
                </w:p>
              </w:tc>
            </w:tr>
            <w:tr w:rsidR="00AF630B" w:rsidRPr="00AF630B" w14:paraId="2DD20D0B" w14:textId="77777777" w:rsidTr="00211EE3">
              <w:trPr>
                <w:tblCellSpacing w:w="15" w:type="dxa"/>
              </w:trPr>
              <w:tc>
                <w:tcPr>
                  <w:tcW w:w="0" w:type="auto"/>
                  <w:vAlign w:val="center"/>
                  <w:hideMark/>
                </w:tcPr>
                <w:p w14:paraId="51B4854A" w14:textId="77777777" w:rsidR="00AF630B" w:rsidRPr="00AF630B" w:rsidRDefault="00AF630B" w:rsidP="00211EE3">
                  <w:pPr>
                    <w:rPr>
                      <w:b/>
                      <w:bCs/>
                    </w:rPr>
                  </w:pPr>
                  <w:r w:rsidRPr="00AF630B">
                    <w:rPr>
                      <w:b/>
                      <w:bCs/>
                    </w:rPr>
                    <w:t>Folate (B9)</w:t>
                  </w:r>
                </w:p>
              </w:tc>
              <w:tc>
                <w:tcPr>
                  <w:tcW w:w="0" w:type="auto"/>
                  <w:vAlign w:val="center"/>
                  <w:hideMark/>
                </w:tcPr>
                <w:p w14:paraId="156A47F2" w14:textId="77777777" w:rsidR="00AF630B" w:rsidRPr="00AF630B" w:rsidRDefault="00AF630B" w:rsidP="00211EE3">
                  <w:pPr>
                    <w:rPr>
                      <w:b/>
                      <w:bCs/>
                    </w:rPr>
                  </w:pPr>
                  <w:r w:rsidRPr="00AF630B">
                    <w:rPr>
                      <w:b/>
                      <w:bCs/>
                    </w:rPr>
                    <w:t>400 µg/day</w:t>
                  </w:r>
                </w:p>
              </w:tc>
              <w:tc>
                <w:tcPr>
                  <w:tcW w:w="0" w:type="auto"/>
                  <w:vAlign w:val="center"/>
                  <w:hideMark/>
                </w:tcPr>
                <w:p w14:paraId="2956BD26" w14:textId="77777777" w:rsidR="00AF630B" w:rsidRPr="00AF630B" w:rsidRDefault="00AF630B" w:rsidP="00211EE3">
                  <w:pPr>
                    <w:rPr>
                      <w:b/>
                      <w:bCs/>
                    </w:rPr>
                  </w:pPr>
                  <w:r w:rsidRPr="00AF630B">
                    <w:rPr>
                      <w:b/>
                      <w:bCs/>
                    </w:rPr>
                    <w:t>400 µg/day</w:t>
                  </w:r>
                </w:p>
              </w:tc>
              <w:tc>
                <w:tcPr>
                  <w:tcW w:w="0" w:type="auto"/>
                  <w:vAlign w:val="center"/>
                  <w:hideMark/>
                </w:tcPr>
                <w:p w14:paraId="7FA3110D" w14:textId="77777777" w:rsidR="00AF630B" w:rsidRPr="00AF630B" w:rsidRDefault="00AF630B" w:rsidP="00211EE3">
                  <w:pPr>
                    <w:rPr>
                      <w:b/>
                      <w:bCs/>
                    </w:rPr>
                  </w:pPr>
                  <w:r w:rsidRPr="00AF630B">
                    <w:rPr>
                      <w:b/>
                      <w:bCs/>
                    </w:rPr>
                    <w:t>DNA synthesis, red blood cell formation.</w:t>
                  </w:r>
                </w:p>
              </w:tc>
            </w:tr>
            <w:tr w:rsidR="00AF630B" w:rsidRPr="00AF630B" w14:paraId="16EF5E4B" w14:textId="77777777" w:rsidTr="00211EE3">
              <w:trPr>
                <w:tblCellSpacing w:w="15" w:type="dxa"/>
              </w:trPr>
              <w:tc>
                <w:tcPr>
                  <w:tcW w:w="0" w:type="auto"/>
                  <w:vAlign w:val="center"/>
                  <w:hideMark/>
                </w:tcPr>
                <w:p w14:paraId="6E4B396F" w14:textId="77777777" w:rsidR="00AF630B" w:rsidRPr="00AF630B" w:rsidRDefault="00AF630B" w:rsidP="00211EE3">
                  <w:pPr>
                    <w:rPr>
                      <w:b/>
                      <w:bCs/>
                    </w:rPr>
                  </w:pPr>
                  <w:r w:rsidRPr="00AF630B">
                    <w:rPr>
                      <w:b/>
                      <w:bCs/>
                    </w:rPr>
                    <w:t>Vitamin B12</w:t>
                  </w:r>
                </w:p>
              </w:tc>
              <w:tc>
                <w:tcPr>
                  <w:tcW w:w="0" w:type="auto"/>
                  <w:vAlign w:val="center"/>
                  <w:hideMark/>
                </w:tcPr>
                <w:p w14:paraId="56E73A61" w14:textId="77777777" w:rsidR="00AF630B" w:rsidRPr="00AF630B" w:rsidRDefault="00AF630B" w:rsidP="00211EE3">
                  <w:pPr>
                    <w:rPr>
                      <w:b/>
                      <w:bCs/>
                    </w:rPr>
                  </w:pPr>
                  <w:r w:rsidRPr="00AF630B">
                    <w:rPr>
                      <w:b/>
                      <w:bCs/>
                    </w:rPr>
                    <w:t>2.4 µg/day</w:t>
                  </w:r>
                </w:p>
              </w:tc>
              <w:tc>
                <w:tcPr>
                  <w:tcW w:w="0" w:type="auto"/>
                  <w:vAlign w:val="center"/>
                  <w:hideMark/>
                </w:tcPr>
                <w:p w14:paraId="7FB77A2B" w14:textId="77777777" w:rsidR="00AF630B" w:rsidRPr="00AF630B" w:rsidRDefault="00AF630B" w:rsidP="00211EE3">
                  <w:pPr>
                    <w:rPr>
                      <w:b/>
                      <w:bCs/>
                    </w:rPr>
                  </w:pPr>
                  <w:r w:rsidRPr="00AF630B">
                    <w:rPr>
                      <w:b/>
                      <w:bCs/>
                    </w:rPr>
                    <w:t>2.4 µg/day</w:t>
                  </w:r>
                </w:p>
              </w:tc>
              <w:tc>
                <w:tcPr>
                  <w:tcW w:w="0" w:type="auto"/>
                  <w:vAlign w:val="center"/>
                  <w:hideMark/>
                </w:tcPr>
                <w:p w14:paraId="3CD6C925" w14:textId="77777777" w:rsidR="00AF630B" w:rsidRPr="00AF630B" w:rsidRDefault="00AF630B" w:rsidP="00211EE3">
                  <w:pPr>
                    <w:rPr>
                      <w:b/>
                      <w:bCs/>
                    </w:rPr>
                  </w:pPr>
                  <w:r w:rsidRPr="00AF630B">
                    <w:rPr>
                      <w:b/>
                      <w:bCs/>
                    </w:rPr>
                    <w:t>Nerve function, red blood cell production.</w:t>
                  </w:r>
                </w:p>
              </w:tc>
            </w:tr>
          </w:tbl>
          <w:p w14:paraId="78013284" w14:textId="77777777" w:rsidR="00AF630B" w:rsidRPr="00AF630B" w:rsidRDefault="00AF630B" w:rsidP="00211EE3">
            <w:pPr>
              <w:rPr>
                <w:b/>
                <w:bCs/>
              </w:rPr>
            </w:pPr>
            <w:r w:rsidRPr="00AF630B">
              <w:rPr>
                <w:b/>
                <w:bCs/>
              </w:rPr>
              <w:pict w14:anchorId="305CF4BA">
                <v:rect id="_x0000_i1061" style="width:0;height:1.5pt" o:hralign="center" o:hrstd="t" o:hr="t" fillcolor="#a0a0a0" stroked="f"/>
              </w:pict>
            </w:r>
          </w:p>
        </w:tc>
      </w:tr>
      <w:tr w:rsidR="00AF630B" w:rsidRPr="00AF630B" w14:paraId="36095050" w14:textId="77777777" w:rsidTr="00AF630B">
        <w:tc>
          <w:tcPr>
            <w:tcW w:w="9016" w:type="dxa"/>
          </w:tcPr>
          <w:p w14:paraId="3D886EA4" w14:textId="77777777" w:rsidR="00AF630B" w:rsidRPr="00AF630B" w:rsidRDefault="00AF630B" w:rsidP="00211EE3">
            <w:pPr>
              <w:rPr>
                <w:b/>
                <w:bCs/>
              </w:rPr>
            </w:pPr>
            <w:r w:rsidRPr="00AF630B">
              <w:rPr>
                <w:b/>
                <w:bCs/>
              </w:rPr>
              <w:t>Minerals</w:t>
            </w:r>
          </w:p>
        </w:tc>
      </w:tr>
      <w:tr w:rsidR="00AF630B" w:rsidRPr="00AF630B" w14:paraId="54BA0979" w14:textId="77777777" w:rsidTr="00AF630B">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0"/>
              <w:gridCol w:w="1560"/>
              <w:gridCol w:w="1568"/>
              <w:gridCol w:w="4332"/>
            </w:tblGrid>
            <w:tr w:rsidR="00AF630B" w:rsidRPr="00AF630B" w14:paraId="68ECEDEB" w14:textId="77777777" w:rsidTr="00211EE3">
              <w:trPr>
                <w:tblHeader/>
                <w:tblCellSpacing w:w="15" w:type="dxa"/>
              </w:trPr>
              <w:tc>
                <w:tcPr>
                  <w:tcW w:w="0" w:type="auto"/>
                  <w:vAlign w:val="center"/>
                  <w:hideMark/>
                </w:tcPr>
                <w:p w14:paraId="1E5AD286" w14:textId="77777777" w:rsidR="00AF630B" w:rsidRPr="00AF630B" w:rsidRDefault="00AF630B" w:rsidP="00211EE3">
                  <w:pPr>
                    <w:rPr>
                      <w:b/>
                      <w:bCs/>
                    </w:rPr>
                  </w:pPr>
                  <w:r w:rsidRPr="00AF630B">
                    <w:rPr>
                      <w:b/>
                      <w:bCs/>
                    </w:rPr>
                    <w:t>Mineral</w:t>
                  </w:r>
                </w:p>
              </w:tc>
              <w:tc>
                <w:tcPr>
                  <w:tcW w:w="0" w:type="auto"/>
                  <w:vAlign w:val="center"/>
                  <w:hideMark/>
                </w:tcPr>
                <w:p w14:paraId="1D4B20C5" w14:textId="77777777" w:rsidR="00AF630B" w:rsidRPr="00AF630B" w:rsidRDefault="00AF630B" w:rsidP="00211EE3">
                  <w:pPr>
                    <w:rPr>
                      <w:b/>
                      <w:bCs/>
                    </w:rPr>
                  </w:pPr>
                  <w:r w:rsidRPr="00AF630B">
                    <w:rPr>
                      <w:b/>
                      <w:bCs/>
                    </w:rPr>
                    <w:t>Men (19-50)</w:t>
                  </w:r>
                </w:p>
              </w:tc>
              <w:tc>
                <w:tcPr>
                  <w:tcW w:w="0" w:type="auto"/>
                  <w:vAlign w:val="center"/>
                  <w:hideMark/>
                </w:tcPr>
                <w:p w14:paraId="6634E0FC" w14:textId="77777777" w:rsidR="00AF630B" w:rsidRPr="00AF630B" w:rsidRDefault="00AF630B" w:rsidP="00211EE3">
                  <w:pPr>
                    <w:rPr>
                      <w:b/>
                      <w:bCs/>
                    </w:rPr>
                  </w:pPr>
                  <w:r w:rsidRPr="00AF630B">
                    <w:rPr>
                      <w:b/>
                      <w:bCs/>
                    </w:rPr>
                    <w:t>Women (19-50)</w:t>
                  </w:r>
                </w:p>
              </w:tc>
              <w:tc>
                <w:tcPr>
                  <w:tcW w:w="0" w:type="auto"/>
                  <w:vAlign w:val="center"/>
                  <w:hideMark/>
                </w:tcPr>
                <w:p w14:paraId="15A7FEF6" w14:textId="77777777" w:rsidR="00AF630B" w:rsidRPr="00AF630B" w:rsidRDefault="00AF630B" w:rsidP="00211EE3">
                  <w:pPr>
                    <w:rPr>
                      <w:b/>
                      <w:bCs/>
                    </w:rPr>
                  </w:pPr>
                  <w:r w:rsidRPr="00AF630B">
                    <w:rPr>
                      <w:b/>
                      <w:bCs/>
                    </w:rPr>
                    <w:t>Role</w:t>
                  </w:r>
                </w:p>
              </w:tc>
            </w:tr>
            <w:tr w:rsidR="00AF630B" w:rsidRPr="00AF630B" w14:paraId="683DFA28" w14:textId="77777777" w:rsidTr="00211EE3">
              <w:trPr>
                <w:tblCellSpacing w:w="15" w:type="dxa"/>
              </w:trPr>
              <w:tc>
                <w:tcPr>
                  <w:tcW w:w="0" w:type="auto"/>
                  <w:vAlign w:val="center"/>
                  <w:hideMark/>
                </w:tcPr>
                <w:p w14:paraId="6470464E" w14:textId="77777777" w:rsidR="00AF630B" w:rsidRPr="00AF630B" w:rsidRDefault="00AF630B" w:rsidP="00211EE3">
                  <w:pPr>
                    <w:rPr>
                      <w:b/>
                      <w:bCs/>
                    </w:rPr>
                  </w:pPr>
                  <w:r w:rsidRPr="00AF630B">
                    <w:rPr>
                      <w:b/>
                      <w:bCs/>
                    </w:rPr>
                    <w:t>Calcium</w:t>
                  </w:r>
                </w:p>
              </w:tc>
              <w:tc>
                <w:tcPr>
                  <w:tcW w:w="0" w:type="auto"/>
                  <w:vAlign w:val="center"/>
                  <w:hideMark/>
                </w:tcPr>
                <w:p w14:paraId="42461ACB" w14:textId="77777777" w:rsidR="00AF630B" w:rsidRPr="00AF630B" w:rsidRDefault="00AF630B" w:rsidP="00211EE3">
                  <w:pPr>
                    <w:rPr>
                      <w:b/>
                      <w:bCs/>
                    </w:rPr>
                  </w:pPr>
                  <w:r w:rsidRPr="00AF630B">
                    <w:rPr>
                      <w:b/>
                      <w:bCs/>
                    </w:rPr>
                    <w:t>1,000 mg/day</w:t>
                  </w:r>
                </w:p>
              </w:tc>
              <w:tc>
                <w:tcPr>
                  <w:tcW w:w="0" w:type="auto"/>
                  <w:vAlign w:val="center"/>
                  <w:hideMark/>
                </w:tcPr>
                <w:p w14:paraId="167EAC46" w14:textId="77777777" w:rsidR="00AF630B" w:rsidRPr="00AF630B" w:rsidRDefault="00AF630B" w:rsidP="00211EE3">
                  <w:pPr>
                    <w:rPr>
                      <w:b/>
                      <w:bCs/>
                    </w:rPr>
                  </w:pPr>
                  <w:r w:rsidRPr="00AF630B">
                    <w:rPr>
                      <w:b/>
                      <w:bCs/>
                    </w:rPr>
                    <w:t>1,000 mg/day</w:t>
                  </w:r>
                </w:p>
              </w:tc>
              <w:tc>
                <w:tcPr>
                  <w:tcW w:w="0" w:type="auto"/>
                  <w:vAlign w:val="center"/>
                  <w:hideMark/>
                </w:tcPr>
                <w:p w14:paraId="14A3BAB2" w14:textId="77777777" w:rsidR="00AF630B" w:rsidRPr="00AF630B" w:rsidRDefault="00AF630B" w:rsidP="00211EE3">
                  <w:pPr>
                    <w:rPr>
                      <w:b/>
                      <w:bCs/>
                    </w:rPr>
                  </w:pPr>
                  <w:r w:rsidRPr="00AF630B">
                    <w:rPr>
                      <w:b/>
                      <w:bCs/>
                    </w:rPr>
                    <w:t>Bone and teeth health, muscle function.</w:t>
                  </w:r>
                </w:p>
              </w:tc>
            </w:tr>
            <w:tr w:rsidR="00AF630B" w:rsidRPr="00AF630B" w14:paraId="57BD8752" w14:textId="77777777" w:rsidTr="00211EE3">
              <w:trPr>
                <w:tblCellSpacing w:w="15" w:type="dxa"/>
              </w:trPr>
              <w:tc>
                <w:tcPr>
                  <w:tcW w:w="0" w:type="auto"/>
                  <w:vAlign w:val="center"/>
                  <w:hideMark/>
                </w:tcPr>
                <w:p w14:paraId="2CB2B2EA" w14:textId="77777777" w:rsidR="00AF630B" w:rsidRPr="00AF630B" w:rsidRDefault="00AF630B" w:rsidP="00211EE3">
                  <w:pPr>
                    <w:rPr>
                      <w:b/>
                      <w:bCs/>
                    </w:rPr>
                  </w:pPr>
                  <w:r w:rsidRPr="00AF630B">
                    <w:rPr>
                      <w:b/>
                      <w:bCs/>
                    </w:rPr>
                    <w:t>Iron</w:t>
                  </w:r>
                </w:p>
              </w:tc>
              <w:tc>
                <w:tcPr>
                  <w:tcW w:w="0" w:type="auto"/>
                  <w:vAlign w:val="center"/>
                  <w:hideMark/>
                </w:tcPr>
                <w:p w14:paraId="5E868170" w14:textId="77777777" w:rsidR="00AF630B" w:rsidRPr="00AF630B" w:rsidRDefault="00AF630B" w:rsidP="00211EE3">
                  <w:pPr>
                    <w:rPr>
                      <w:b/>
                      <w:bCs/>
                    </w:rPr>
                  </w:pPr>
                  <w:r w:rsidRPr="00AF630B">
                    <w:rPr>
                      <w:b/>
                      <w:bCs/>
                    </w:rPr>
                    <w:t>8 mg/day</w:t>
                  </w:r>
                </w:p>
              </w:tc>
              <w:tc>
                <w:tcPr>
                  <w:tcW w:w="0" w:type="auto"/>
                  <w:vAlign w:val="center"/>
                  <w:hideMark/>
                </w:tcPr>
                <w:p w14:paraId="69209BFF" w14:textId="77777777" w:rsidR="00AF630B" w:rsidRPr="00AF630B" w:rsidRDefault="00AF630B" w:rsidP="00211EE3">
                  <w:pPr>
                    <w:rPr>
                      <w:b/>
                      <w:bCs/>
                    </w:rPr>
                  </w:pPr>
                  <w:r w:rsidRPr="00AF630B">
                    <w:rPr>
                      <w:b/>
                      <w:bCs/>
                    </w:rPr>
                    <w:t>18 mg/day</w:t>
                  </w:r>
                </w:p>
              </w:tc>
              <w:tc>
                <w:tcPr>
                  <w:tcW w:w="0" w:type="auto"/>
                  <w:vAlign w:val="center"/>
                  <w:hideMark/>
                </w:tcPr>
                <w:p w14:paraId="230D7E93" w14:textId="77777777" w:rsidR="00AF630B" w:rsidRPr="00AF630B" w:rsidRDefault="00AF630B" w:rsidP="00211EE3">
                  <w:pPr>
                    <w:rPr>
                      <w:b/>
                      <w:bCs/>
                    </w:rPr>
                  </w:pPr>
                  <w:r w:rsidRPr="00AF630B">
                    <w:rPr>
                      <w:b/>
                      <w:bCs/>
                    </w:rPr>
                    <w:t>Oxygen transport, red blood cells.</w:t>
                  </w:r>
                </w:p>
              </w:tc>
            </w:tr>
            <w:tr w:rsidR="00AF630B" w:rsidRPr="00AF630B" w14:paraId="4EB9FB55" w14:textId="77777777" w:rsidTr="00211EE3">
              <w:trPr>
                <w:tblCellSpacing w:w="15" w:type="dxa"/>
              </w:trPr>
              <w:tc>
                <w:tcPr>
                  <w:tcW w:w="0" w:type="auto"/>
                  <w:vAlign w:val="center"/>
                  <w:hideMark/>
                </w:tcPr>
                <w:p w14:paraId="1CFD3E4A" w14:textId="77777777" w:rsidR="00AF630B" w:rsidRPr="00AF630B" w:rsidRDefault="00AF630B" w:rsidP="00211EE3">
                  <w:pPr>
                    <w:rPr>
                      <w:b/>
                      <w:bCs/>
                    </w:rPr>
                  </w:pPr>
                  <w:r w:rsidRPr="00AF630B">
                    <w:rPr>
                      <w:b/>
                      <w:bCs/>
                    </w:rPr>
                    <w:t>Magnesium</w:t>
                  </w:r>
                </w:p>
              </w:tc>
              <w:tc>
                <w:tcPr>
                  <w:tcW w:w="0" w:type="auto"/>
                  <w:vAlign w:val="center"/>
                  <w:hideMark/>
                </w:tcPr>
                <w:p w14:paraId="3A4B6D22" w14:textId="77777777" w:rsidR="00AF630B" w:rsidRPr="00AF630B" w:rsidRDefault="00AF630B" w:rsidP="00211EE3">
                  <w:pPr>
                    <w:rPr>
                      <w:b/>
                      <w:bCs/>
                    </w:rPr>
                  </w:pPr>
                  <w:r w:rsidRPr="00AF630B">
                    <w:rPr>
                      <w:b/>
                      <w:bCs/>
                    </w:rPr>
                    <w:t>400-420 mg/day</w:t>
                  </w:r>
                </w:p>
              </w:tc>
              <w:tc>
                <w:tcPr>
                  <w:tcW w:w="0" w:type="auto"/>
                  <w:vAlign w:val="center"/>
                  <w:hideMark/>
                </w:tcPr>
                <w:p w14:paraId="7AA6796E" w14:textId="77777777" w:rsidR="00AF630B" w:rsidRPr="00AF630B" w:rsidRDefault="00AF630B" w:rsidP="00211EE3">
                  <w:pPr>
                    <w:rPr>
                      <w:b/>
                      <w:bCs/>
                    </w:rPr>
                  </w:pPr>
                  <w:r w:rsidRPr="00AF630B">
                    <w:rPr>
                      <w:b/>
                      <w:bCs/>
                    </w:rPr>
                    <w:t>310-320 mg/day</w:t>
                  </w:r>
                </w:p>
              </w:tc>
              <w:tc>
                <w:tcPr>
                  <w:tcW w:w="0" w:type="auto"/>
                  <w:vAlign w:val="center"/>
                  <w:hideMark/>
                </w:tcPr>
                <w:p w14:paraId="5F8D671F" w14:textId="77777777" w:rsidR="00AF630B" w:rsidRPr="00AF630B" w:rsidRDefault="00AF630B" w:rsidP="00211EE3">
                  <w:pPr>
                    <w:rPr>
                      <w:b/>
                      <w:bCs/>
                    </w:rPr>
                  </w:pPr>
                  <w:r w:rsidRPr="00AF630B">
                    <w:rPr>
                      <w:b/>
                      <w:bCs/>
                    </w:rPr>
                    <w:t>Muscle and nerve function, bone health.</w:t>
                  </w:r>
                </w:p>
              </w:tc>
            </w:tr>
            <w:tr w:rsidR="00AF630B" w:rsidRPr="00AF630B" w14:paraId="0AF0E38F" w14:textId="77777777" w:rsidTr="00211EE3">
              <w:trPr>
                <w:tblCellSpacing w:w="15" w:type="dxa"/>
              </w:trPr>
              <w:tc>
                <w:tcPr>
                  <w:tcW w:w="0" w:type="auto"/>
                  <w:vAlign w:val="center"/>
                  <w:hideMark/>
                </w:tcPr>
                <w:p w14:paraId="4FEBDB5F" w14:textId="77777777" w:rsidR="00AF630B" w:rsidRPr="00AF630B" w:rsidRDefault="00AF630B" w:rsidP="00211EE3">
                  <w:pPr>
                    <w:rPr>
                      <w:b/>
                      <w:bCs/>
                    </w:rPr>
                  </w:pPr>
                  <w:r w:rsidRPr="00AF630B">
                    <w:rPr>
                      <w:b/>
                      <w:bCs/>
                    </w:rPr>
                    <w:t>Potassium</w:t>
                  </w:r>
                </w:p>
              </w:tc>
              <w:tc>
                <w:tcPr>
                  <w:tcW w:w="0" w:type="auto"/>
                  <w:vAlign w:val="center"/>
                  <w:hideMark/>
                </w:tcPr>
                <w:p w14:paraId="264BB024" w14:textId="77777777" w:rsidR="00AF630B" w:rsidRPr="00AF630B" w:rsidRDefault="00AF630B" w:rsidP="00211EE3">
                  <w:pPr>
                    <w:rPr>
                      <w:b/>
                      <w:bCs/>
                    </w:rPr>
                  </w:pPr>
                  <w:r w:rsidRPr="00AF630B">
                    <w:rPr>
                      <w:b/>
                      <w:bCs/>
                    </w:rPr>
                    <w:t>3,400 mg/day</w:t>
                  </w:r>
                </w:p>
              </w:tc>
              <w:tc>
                <w:tcPr>
                  <w:tcW w:w="0" w:type="auto"/>
                  <w:vAlign w:val="center"/>
                  <w:hideMark/>
                </w:tcPr>
                <w:p w14:paraId="40B12CBF" w14:textId="77777777" w:rsidR="00AF630B" w:rsidRPr="00AF630B" w:rsidRDefault="00AF630B" w:rsidP="00211EE3">
                  <w:pPr>
                    <w:rPr>
                      <w:b/>
                      <w:bCs/>
                    </w:rPr>
                  </w:pPr>
                  <w:r w:rsidRPr="00AF630B">
                    <w:rPr>
                      <w:b/>
                      <w:bCs/>
                    </w:rPr>
                    <w:t>2,600 mg/day</w:t>
                  </w:r>
                </w:p>
              </w:tc>
              <w:tc>
                <w:tcPr>
                  <w:tcW w:w="0" w:type="auto"/>
                  <w:vAlign w:val="center"/>
                  <w:hideMark/>
                </w:tcPr>
                <w:p w14:paraId="680E62CB" w14:textId="77777777" w:rsidR="00AF630B" w:rsidRPr="00AF630B" w:rsidRDefault="00AF630B" w:rsidP="00211EE3">
                  <w:pPr>
                    <w:rPr>
                      <w:b/>
                      <w:bCs/>
                    </w:rPr>
                  </w:pPr>
                  <w:r w:rsidRPr="00AF630B">
                    <w:rPr>
                      <w:b/>
                      <w:bCs/>
                    </w:rPr>
                    <w:t>Blood pressure regulation, muscle contraction.</w:t>
                  </w:r>
                </w:p>
              </w:tc>
            </w:tr>
            <w:tr w:rsidR="00AF630B" w:rsidRPr="00AF630B" w14:paraId="6DACF4E9" w14:textId="77777777" w:rsidTr="00211EE3">
              <w:trPr>
                <w:tblCellSpacing w:w="15" w:type="dxa"/>
              </w:trPr>
              <w:tc>
                <w:tcPr>
                  <w:tcW w:w="0" w:type="auto"/>
                  <w:vAlign w:val="center"/>
                  <w:hideMark/>
                </w:tcPr>
                <w:p w14:paraId="5656A84F" w14:textId="77777777" w:rsidR="00AF630B" w:rsidRPr="00AF630B" w:rsidRDefault="00AF630B" w:rsidP="00211EE3">
                  <w:pPr>
                    <w:rPr>
                      <w:b/>
                      <w:bCs/>
                    </w:rPr>
                  </w:pPr>
                  <w:r w:rsidRPr="00AF630B">
                    <w:rPr>
                      <w:b/>
                      <w:bCs/>
                    </w:rPr>
                    <w:t>Sodium</w:t>
                  </w:r>
                </w:p>
              </w:tc>
              <w:tc>
                <w:tcPr>
                  <w:tcW w:w="0" w:type="auto"/>
                  <w:vAlign w:val="center"/>
                  <w:hideMark/>
                </w:tcPr>
                <w:p w14:paraId="5583C3DA" w14:textId="77777777" w:rsidR="00AF630B" w:rsidRPr="00AF630B" w:rsidRDefault="00AF630B" w:rsidP="00211EE3">
                  <w:pPr>
                    <w:rPr>
                      <w:b/>
                      <w:bCs/>
                    </w:rPr>
                  </w:pPr>
                  <w:r w:rsidRPr="00AF630B">
                    <w:rPr>
                      <w:b/>
                      <w:bCs/>
                    </w:rPr>
                    <w:t>&lt;2,300 mg/day</w:t>
                  </w:r>
                </w:p>
              </w:tc>
              <w:tc>
                <w:tcPr>
                  <w:tcW w:w="0" w:type="auto"/>
                  <w:vAlign w:val="center"/>
                  <w:hideMark/>
                </w:tcPr>
                <w:p w14:paraId="3AFD6447" w14:textId="77777777" w:rsidR="00AF630B" w:rsidRPr="00AF630B" w:rsidRDefault="00AF630B" w:rsidP="00211EE3">
                  <w:pPr>
                    <w:rPr>
                      <w:b/>
                      <w:bCs/>
                    </w:rPr>
                  </w:pPr>
                  <w:r w:rsidRPr="00AF630B">
                    <w:rPr>
                      <w:b/>
                      <w:bCs/>
                    </w:rPr>
                    <w:t>&lt;2,300 mg/day</w:t>
                  </w:r>
                </w:p>
              </w:tc>
              <w:tc>
                <w:tcPr>
                  <w:tcW w:w="0" w:type="auto"/>
                  <w:vAlign w:val="center"/>
                  <w:hideMark/>
                </w:tcPr>
                <w:p w14:paraId="25FCC8B8" w14:textId="77777777" w:rsidR="00AF630B" w:rsidRPr="00AF630B" w:rsidRDefault="00AF630B" w:rsidP="00211EE3">
                  <w:pPr>
                    <w:rPr>
                      <w:b/>
                      <w:bCs/>
                    </w:rPr>
                  </w:pPr>
                  <w:r w:rsidRPr="00AF630B">
                    <w:rPr>
                      <w:b/>
                      <w:bCs/>
                    </w:rPr>
                    <w:t>Blood pressure regulation (limit).</w:t>
                  </w:r>
                </w:p>
              </w:tc>
            </w:tr>
            <w:tr w:rsidR="00AF630B" w:rsidRPr="00AF630B" w14:paraId="1CFA2EE9" w14:textId="77777777" w:rsidTr="00211EE3">
              <w:trPr>
                <w:tblCellSpacing w:w="15" w:type="dxa"/>
              </w:trPr>
              <w:tc>
                <w:tcPr>
                  <w:tcW w:w="0" w:type="auto"/>
                  <w:vAlign w:val="center"/>
                  <w:hideMark/>
                </w:tcPr>
                <w:p w14:paraId="1F3C8615" w14:textId="77777777" w:rsidR="00AF630B" w:rsidRPr="00AF630B" w:rsidRDefault="00AF630B" w:rsidP="00211EE3">
                  <w:pPr>
                    <w:rPr>
                      <w:b/>
                      <w:bCs/>
                    </w:rPr>
                  </w:pPr>
                  <w:r w:rsidRPr="00AF630B">
                    <w:rPr>
                      <w:b/>
                      <w:bCs/>
                    </w:rPr>
                    <w:t>Zinc</w:t>
                  </w:r>
                </w:p>
              </w:tc>
              <w:tc>
                <w:tcPr>
                  <w:tcW w:w="0" w:type="auto"/>
                  <w:vAlign w:val="center"/>
                  <w:hideMark/>
                </w:tcPr>
                <w:p w14:paraId="6FF09BC8" w14:textId="77777777" w:rsidR="00AF630B" w:rsidRPr="00AF630B" w:rsidRDefault="00AF630B" w:rsidP="00211EE3">
                  <w:pPr>
                    <w:rPr>
                      <w:b/>
                      <w:bCs/>
                    </w:rPr>
                  </w:pPr>
                  <w:r w:rsidRPr="00AF630B">
                    <w:rPr>
                      <w:b/>
                      <w:bCs/>
                    </w:rPr>
                    <w:t>11 mg/day</w:t>
                  </w:r>
                </w:p>
              </w:tc>
              <w:tc>
                <w:tcPr>
                  <w:tcW w:w="0" w:type="auto"/>
                  <w:vAlign w:val="center"/>
                  <w:hideMark/>
                </w:tcPr>
                <w:p w14:paraId="7C9544C8" w14:textId="77777777" w:rsidR="00AF630B" w:rsidRPr="00AF630B" w:rsidRDefault="00AF630B" w:rsidP="00211EE3">
                  <w:pPr>
                    <w:rPr>
                      <w:b/>
                      <w:bCs/>
                    </w:rPr>
                  </w:pPr>
                  <w:r w:rsidRPr="00AF630B">
                    <w:rPr>
                      <w:b/>
                      <w:bCs/>
                    </w:rPr>
                    <w:t>8 mg/day</w:t>
                  </w:r>
                </w:p>
              </w:tc>
              <w:tc>
                <w:tcPr>
                  <w:tcW w:w="0" w:type="auto"/>
                  <w:vAlign w:val="center"/>
                  <w:hideMark/>
                </w:tcPr>
                <w:p w14:paraId="057CBA0D" w14:textId="77777777" w:rsidR="00AF630B" w:rsidRPr="00AF630B" w:rsidRDefault="00AF630B" w:rsidP="00211EE3">
                  <w:pPr>
                    <w:rPr>
                      <w:b/>
                      <w:bCs/>
                    </w:rPr>
                  </w:pPr>
                  <w:r w:rsidRPr="00AF630B">
                    <w:rPr>
                      <w:b/>
                      <w:bCs/>
                    </w:rPr>
                    <w:t>Immune system, cell division.</w:t>
                  </w:r>
                </w:p>
              </w:tc>
            </w:tr>
          </w:tbl>
          <w:p w14:paraId="44E65E3C" w14:textId="77777777" w:rsidR="00AF630B" w:rsidRPr="00AF630B" w:rsidRDefault="00AF630B" w:rsidP="00211EE3">
            <w:pPr>
              <w:rPr>
                <w:b/>
                <w:bCs/>
              </w:rPr>
            </w:pPr>
            <w:r w:rsidRPr="00AF630B">
              <w:rPr>
                <w:b/>
                <w:bCs/>
              </w:rPr>
              <w:pict w14:anchorId="79253F0F">
                <v:rect id="_x0000_i1062" style="width:0;height:1.5pt" o:hralign="center" o:hrstd="t" o:hr="t" fillcolor="#a0a0a0" stroked="f"/>
              </w:pict>
            </w:r>
          </w:p>
        </w:tc>
      </w:tr>
      <w:tr w:rsidR="00AF630B" w:rsidRPr="00AF630B" w14:paraId="27306395" w14:textId="77777777" w:rsidTr="00AF630B">
        <w:tc>
          <w:tcPr>
            <w:tcW w:w="9016" w:type="dxa"/>
          </w:tcPr>
          <w:p w14:paraId="000A5375" w14:textId="77777777" w:rsidR="00AF630B" w:rsidRPr="00AF630B" w:rsidRDefault="00AF630B" w:rsidP="00211EE3">
            <w:pPr>
              <w:rPr>
                <w:b/>
                <w:bCs/>
              </w:rPr>
            </w:pPr>
            <w:r w:rsidRPr="00AF630B">
              <w:rPr>
                <w:b/>
                <w:bCs/>
              </w:rPr>
              <w:t>Tolerable Upper Intake Levels (ULs)</w:t>
            </w:r>
          </w:p>
        </w:tc>
      </w:tr>
      <w:tr w:rsidR="00AF630B" w:rsidRPr="00AF630B" w14:paraId="065DEFB7" w14:textId="77777777" w:rsidTr="00AF630B">
        <w:tc>
          <w:tcPr>
            <w:tcW w:w="9016" w:type="dxa"/>
          </w:tcPr>
          <w:p w14:paraId="066907D3" w14:textId="77777777" w:rsidR="00AF630B" w:rsidRPr="00AF630B" w:rsidRDefault="00AF630B" w:rsidP="00211EE3">
            <w:pPr>
              <w:rPr>
                <w:b/>
                <w:bCs/>
              </w:rPr>
            </w:pPr>
            <w:r w:rsidRPr="00AF630B">
              <w:rPr>
                <w:b/>
                <w:bCs/>
              </w:rPr>
              <w:t>While essential, excessive nutrient intake can be harmful. Adults should avoid exceeding the following ULs:</w:t>
            </w:r>
          </w:p>
        </w:tc>
      </w:tr>
      <w:tr w:rsidR="00AF630B" w14:paraId="405A60C2" w14:textId="77777777" w:rsidTr="00AF630B">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41"/>
              <w:gridCol w:w="1499"/>
              <w:gridCol w:w="4686"/>
            </w:tblGrid>
            <w:tr w:rsidR="00AF630B" w:rsidRPr="00AF630B" w14:paraId="4F5EC126" w14:textId="77777777" w:rsidTr="00211EE3">
              <w:trPr>
                <w:tblHeader/>
                <w:tblCellSpacing w:w="15" w:type="dxa"/>
              </w:trPr>
              <w:tc>
                <w:tcPr>
                  <w:tcW w:w="0" w:type="auto"/>
                  <w:vAlign w:val="center"/>
                  <w:hideMark/>
                </w:tcPr>
                <w:p w14:paraId="5CC1EC96" w14:textId="77777777" w:rsidR="00AF630B" w:rsidRPr="00AF630B" w:rsidRDefault="00AF630B" w:rsidP="00211EE3">
                  <w:pPr>
                    <w:rPr>
                      <w:b/>
                      <w:bCs/>
                    </w:rPr>
                  </w:pPr>
                  <w:r w:rsidRPr="00AF630B">
                    <w:rPr>
                      <w:b/>
                      <w:bCs/>
                    </w:rPr>
                    <w:t>Nutrient</w:t>
                  </w:r>
                </w:p>
              </w:tc>
              <w:tc>
                <w:tcPr>
                  <w:tcW w:w="0" w:type="auto"/>
                  <w:vAlign w:val="center"/>
                  <w:hideMark/>
                </w:tcPr>
                <w:p w14:paraId="169E1DAC" w14:textId="77777777" w:rsidR="00AF630B" w:rsidRPr="00AF630B" w:rsidRDefault="00AF630B" w:rsidP="00211EE3">
                  <w:pPr>
                    <w:rPr>
                      <w:b/>
                      <w:bCs/>
                    </w:rPr>
                  </w:pPr>
                  <w:r w:rsidRPr="00AF630B">
                    <w:rPr>
                      <w:b/>
                      <w:bCs/>
                    </w:rPr>
                    <w:t>UL</w:t>
                  </w:r>
                </w:p>
              </w:tc>
              <w:tc>
                <w:tcPr>
                  <w:tcW w:w="0" w:type="auto"/>
                  <w:vAlign w:val="center"/>
                  <w:hideMark/>
                </w:tcPr>
                <w:p w14:paraId="4AE50788" w14:textId="77777777" w:rsidR="00AF630B" w:rsidRPr="00AF630B" w:rsidRDefault="00AF630B" w:rsidP="00211EE3">
                  <w:pPr>
                    <w:rPr>
                      <w:b/>
                      <w:bCs/>
                    </w:rPr>
                  </w:pPr>
                  <w:r w:rsidRPr="00AF630B">
                    <w:rPr>
                      <w:b/>
                      <w:bCs/>
                    </w:rPr>
                    <w:t>Possible Effects of Excess</w:t>
                  </w:r>
                </w:p>
              </w:tc>
            </w:tr>
            <w:tr w:rsidR="00AF630B" w:rsidRPr="00AF630B" w14:paraId="1B1E5795" w14:textId="77777777" w:rsidTr="00211EE3">
              <w:trPr>
                <w:tblCellSpacing w:w="15" w:type="dxa"/>
              </w:trPr>
              <w:tc>
                <w:tcPr>
                  <w:tcW w:w="0" w:type="auto"/>
                  <w:vAlign w:val="center"/>
                  <w:hideMark/>
                </w:tcPr>
                <w:p w14:paraId="0124B95B" w14:textId="77777777" w:rsidR="00AF630B" w:rsidRPr="00AF630B" w:rsidRDefault="00AF630B" w:rsidP="00211EE3">
                  <w:pPr>
                    <w:rPr>
                      <w:b/>
                      <w:bCs/>
                    </w:rPr>
                  </w:pPr>
                  <w:r w:rsidRPr="00AF630B">
                    <w:rPr>
                      <w:b/>
                      <w:bCs/>
                    </w:rPr>
                    <w:t>Vitamin A</w:t>
                  </w:r>
                </w:p>
              </w:tc>
              <w:tc>
                <w:tcPr>
                  <w:tcW w:w="0" w:type="auto"/>
                  <w:vAlign w:val="center"/>
                  <w:hideMark/>
                </w:tcPr>
                <w:p w14:paraId="78E796C5" w14:textId="77777777" w:rsidR="00AF630B" w:rsidRPr="00AF630B" w:rsidRDefault="00AF630B" w:rsidP="00211EE3">
                  <w:pPr>
                    <w:rPr>
                      <w:b/>
                      <w:bCs/>
                    </w:rPr>
                  </w:pPr>
                  <w:r w:rsidRPr="00AF630B">
                    <w:rPr>
                      <w:b/>
                      <w:bCs/>
                    </w:rPr>
                    <w:t>3,000 µg/day</w:t>
                  </w:r>
                </w:p>
              </w:tc>
              <w:tc>
                <w:tcPr>
                  <w:tcW w:w="0" w:type="auto"/>
                  <w:vAlign w:val="center"/>
                  <w:hideMark/>
                </w:tcPr>
                <w:p w14:paraId="6790050B" w14:textId="77777777" w:rsidR="00AF630B" w:rsidRPr="00AF630B" w:rsidRDefault="00AF630B" w:rsidP="00211EE3">
                  <w:pPr>
                    <w:rPr>
                      <w:b/>
                      <w:bCs/>
                    </w:rPr>
                  </w:pPr>
                  <w:r w:rsidRPr="00AF630B">
                    <w:rPr>
                      <w:b/>
                      <w:bCs/>
                    </w:rPr>
                    <w:t>Liver damage, birth defects (in pregnancy).</w:t>
                  </w:r>
                </w:p>
              </w:tc>
            </w:tr>
            <w:tr w:rsidR="00AF630B" w:rsidRPr="00AF630B" w14:paraId="60E8FE7D" w14:textId="77777777" w:rsidTr="00211EE3">
              <w:trPr>
                <w:tblCellSpacing w:w="15" w:type="dxa"/>
              </w:trPr>
              <w:tc>
                <w:tcPr>
                  <w:tcW w:w="0" w:type="auto"/>
                  <w:vAlign w:val="center"/>
                  <w:hideMark/>
                </w:tcPr>
                <w:p w14:paraId="7612A7C6" w14:textId="77777777" w:rsidR="00AF630B" w:rsidRPr="00AF630B" w:rsidRDefault="00AF630B" w:rsidP="00211EE3">
                  <w:pPr>
                    <w:rPr>
                      <w:b/>
                      <w:bCs/>
                    </w:rPr>
                  </w:pPr>
                  <w:r w:rsidRPr="00AF630B">
                    <w:rPr>
                      <w:b/>
                      <w:bCs/>
                    </w:rPr>
                    <w:t>Vitamin D</w:t>
                  </w:r>
                </w:p>
              </w:tc>
              <w:tc>
                <w:tcPr>
                  <w:tcW w:w="0" w:type="auto"/>
                  <w:vAlign w:val="center"/>
                  <w:hideMark/>
                </w:tcPr>
                <w:p w14:paraId="44BB3D0F" w14:textId="77777777" w:rsidR="00AF630B" w:rsidRPr="00AF630B" w:rsidRDefault="00AF630B" w:rsidP="00211EE3">
                  <w:pPr>
                    <w:rPr>
                      <w:b/>
                      <w:bCs/>
                    </w:rPr>
                  </w:pPr>
                  <w:r w:rsidRPr="00AF630B">
                    <w:rPr>
                      <w:b/>
                      <w:bCs/>
                    </w:rPr>
                    <w:t>100 µg/day</w:t>
                  </w:r>
                </w:p>
              </w:tc>
              <w:tc>
                <w:tcPr>
                  <w:tcW w:w="0" w:type="auto"/>
                  <w:vAlign w:val="center"/>
                  <w:hideMark/>
                </w:tcPr>
                <w:p w14:paraId="5E22321A" w14:textId="77777777" w:rsidR="00AF630B" w:rsidRPr="00AF630B" w:rsidRDefault="00AF630B" w:rsidP="00211EE3">
                  <w:pPr>
                    <w:rPr>
                      <w:b/>
                      <w:bCs/>
                    </w:rPr>
                  </w:pPr>
                  <w:r w:rsidRPr="00AF630B">
                    <w:rPr>
                      <w:b/>
                      <w:bCs/>
                    </w:rPr>
                    <w:t>Hypercalcemia, kidney damage.</w:t>
                  </w:r>
                </w:p>
              </w:tc>
            </w:tr>
            <w:tr w:rsidR="00AF630B" w:rsidRPr="00AF630B" w14:paraId="6DC537B8" w14:textId="77777777" w:rsidTr="00211EE3">
              <w:trPr>
                <w:tblCellSpacing w:w="15" w:type="dxa"/>
              </w:trPr>
              <w:tc>
                <w:tcPr>
                  <w:tcW w:w="0" w:type="auto"/>
                  <w:vAlign w:val="center"/>
                  <w:hideMark/>
                </w:tcPr>
                <w:p w14:paraId="6577E297" w14:textId="77777777" w:rsidR="00AF630B" w:rsidRPr="00AF630B" w:rsidRDefault="00AF630B" w:rsidP="00211EE3">
                  <w:pPr>
                    <w:rPr>
                      <w:b/>
                      <w:bCs/>
                    </w:rPr>
                  </w:pPr>
                  <w:r w:rsidRPr="00AF630B">
                    <w:rPr>
                      <w:b/>
                      <w:bCs/>
                    </w:rPr>
                    <w:t>Iron</w:t>
                  </w:r>
                </w:p>
              </w:tc>
              <w:tc>
                <w:tcPr>
                  <w:tcW w:w="0" w:type="auto"/>
                  <w:vAlign w:val="center"/>
                  <w:hideMark/>
                </w:tcPr>
                <w:p w14:paraId="433CAB3F" w14:textId="77777777" w:rsidR="00AF630B" w:rsidRPr="00AF630B" w:rsidRDefault="00AF630B" w:rsidP="00211EE3">
                  <w:pPr>
                    <w:rPr>
                      <w:b/>
                      <w:bCs/>
                    </w:rPr>
                  </w:pPr>
                  <w:r w:rsidRPr="00AF630B">
                    <w:rPr>
                      <w:b/>
                      <w:bCs/>
                    </w:rPr>
                    <w:t>45 mg/day</w:t>
                  </w:r>
                </w:p>
              </w:tc>
              <w:tc>
                <w:tcPr>
                  <w:tcW w:w="0" w:type="auto"/>
                  <w:vAlign w:val="center"/>
                  <w:hideMark/>
                </w:tcPr>
                <w:p w14:paraId="09827B6A" w14:textId="77777777" w:rsidR="00AF630B" w:rsidRPr="00AF630B" w:rsidRDefault="00AF630B" w:rsidP="00211EE3">
                  <w:pPr>
                    <w:rPr>
                      <w:b/>
                      <w:bCs/>
                    </w:rPr>
                  </w:pPr>
                  <w:r w:rsidRPr="00AF630B">
                    <w:rPr>
                      <w:b/>
                      <w:bCs/>
                    </w:rPr>
                    <w:t>Gastrointestinal distress, organ damage.</w:t>
                  </w:r>
                </w:p>
              </w:tc>
            </w:tr>
            <w:tr w:rsidR="00AF630B" w:rsidRPr="00AF630B" w14:paraId="33B48603" w14:textId="77777777" w:rsidTr="00211EE3">
              <w:trPr>
                <w:tblCellSpacing w:w="15" w:type="dxa"/>
              </w:trPr>
              <w:tc>
                <w:tcPr>
                  <w:tcW w:w="0" w:type="auto"/>
                  <w:vAlign w:val="center"/>
                  <w:hideMark/>
                </w:tcPr>
                <w:p w14:paraId="41F7801C" w14:textId="77777777" w:rsidR="00AF630B" w:rsidRPr="00AF630B" w:rsidRDefault="00AF630B" w:rsidP="00211EE3">
                  <w:pPr>
                    <w:rPr>
                      <w:b/>
                      <w:bCs/>
                    </w:rPr>
                  </w:pPr>
                  <w:r w:rsidRPr="00AF630B">
                    <w:rPr>
                      <w:b/>
                      <w:bCs/>
                    </w:rPr>
                    <w:t>Calcium</w:t>
                  </w:r>
                </w:p>
              </w:tc>
              <w:tc>
                <w:tcPr>
                  <w:tcW w:w="0" w:type="auto"/>
                  <w:vAlign w:val="center"/>
                  <w:hideMark/>
                </w:tcPr>
                <w:p w14:paraId="4EFA8C29" w14:textId="77777777" w:rsidR="00AF630B" w:rsidRPr="00AF630B" w:rsidRDefault="00AF630B" w:rsidP="00211EE3">
                  <w:pPr>
                    <w:rPr>
                      <w:b/>
                      <w:bCs/>
                    </w:rPr>
                  </w:pPr>
                  <w:r w:rsidRPr="00AF630B">
                    <w:rPr>
                      <w:b/>
                      <w:bCs/>
                    </w:rPr>
                    <w:t>2,500 mg/day</w:t>
                  </w:r>
                </w:p>
              </w:tc>
              <w:tc>
                <w:tcPr>
                  <w:tcW w:w="0" w:type="auto"/>
                  <w:vAlign w:val="center"/>
                  <w:hideMark/>
                </w:tcPr>
                <w:p w14:paraId="7CDFE080" w14:textId="77777777" w:rsidR="00AF630B" w:rsidRPr="00AF630B" w:rsidRDefault="00AF630B" w:rsidP="00211EE3">
                  <w:pPr>
                    <w:rPr>
                      <w:b/>
                      <w:bCs/>
                    </w:rPr>
                  </w:pPr>
                  <w:r w:rsidRPr="00AF630B">
                    <w:rPr>
                      <w:b/>
                      <w:bCs/>
                    </w:rPr>
                    <w:t>Kidney stones, impaired kidney function.</w:t>
                  </w:r>
                </w:p>
              </w:tc>
            </w:tr>
          </w:tbl>
          <w:p w14:paraId="2F85F024" w14:textId="77777777" w:rsidR="00AF630B" w:rsidRDefault="00AF630B"/>
        </w:tc>
      </w:tr>
    </w:tbl>
    <w:p w14:paraId="30575377" w14:textId="77777777" w:rsidR="00AF630B" w:rsidRPr="00F8171D" w:rsidRDefault="00AF630B" w:rsidP="00F8171D">
      <w:pPr>
        <w:rPr>
          <w:b/>
          <w:bCs/>
        </w:rPr>
      </w:pPr>
    </w:p>
    <w:p w14:paraId="7480E848" w14:textId="77777777" w:rsidR="00F8171D" w:rsidRPr="00F8171D" w:rsidRDefault="00F8171D" w:rsidP="00F8171D">
      <w:r w:rsidRPr="00F8171D">
        <w:rPr>
          <w:b/>
          <w:bCs/>
        </w:rPr>
        <w:t>Carbohydrates</w:t>
      </w:r>
      <w:r w:rsidRPr="00F8171D">
        <w:t>:</w:t>
      </w:r>
      <w:r w:rsidRPr="00F8171D">
        <w:br/>
        <w:t xml:space="preserve">Carbohydrates should contribute 45-65% of daily energy intake, which translates to approximately 225-325 grams per day for a </w:t>
      </w:r>
      <w:proofErr w:type="gramStart"/>
      <w:r w:rsidRPr="00F8171D">
        <w:t>2,000 kcal</w:t>
      </w:r>
      <w:proofErr w:type="gramEnd"/>
      <w:r w:rsidRPr="00F8171D">
        <w:t xml:space="preserve"> diet. The primary sources should be whole grains, fruits, vegetables, and legumes, as these provide </w:t>
      </w:r>
      <w:proofErr w:type="spellStart"/>
      <w:r w:rsidRPr="00F8171D">
        <w:t>fiber</w:t>
      </w:r>
      <w:proofErr w:type="spellEnd"/>
      <w:r w:rsidRPr="00F8171D">
        <w:t xml:space="preserve"> and essential nutrients. Fiber intake recommendations are 30-38 grams per day for men and 25-30 grams per day for women. Added sugars should be limited to less than 10% of total daily energy intake (World Health Organization, 2020).</w:t>
      </w:r>
    </w:p>
    <w:p w14:paraId="105BF597" w14:textId="77777777" w:rsidR="00F8171D" w:rsidRPr="00F8171D" w:rsidRDefault="00F8171D" w:rsidP="00F8171D">
      <w:r w:rsidRPr="00F8171D">
        <w:rPr>
          <w:b/>
          <w:bCs/>
        </w:rPr>
        <w:t>Proteins</w:t>
      </w:r>
      <w:r w:rsidRPr="00F8171D">
        <w:t>:</w:t>
      </w:r>
      <w:r w:rsidRPr="00F8171D">
        <w:br/>
        <w:t>Adults need about 0.8 grams of protein per kilogram of body weight. For a 70 kg (154 lb) adult, this equals around 56 grams of protein daily. Protein requirements may increase for those with higher physical activity levels, with athletes needing 1.2-2.0 grams per kilogram. Older adults also require higher protein intake (1.0-1.2 g/kg/day) to help prevent muscle loss (Marra et al., 2011).</w:t>
      </w:r>
    </w:p>
    <w:p w14:paraId="32E956D5" w14:textId="77777777" w:rsidR="00F8171D" w:rsidRPr="00F8171D" w:rsidRDefault="00F8171D" w:rsidP="00F8171D">
      <w:r w:rsidRPr="00F8171D">
        <w:rPr>
          <w:b/>
          <w:bCs/>
        </w:rPr>
        <w:t>Fats</w:t>
      </w:r>
      <w:r w:rsidRPr="00F8171D">
        <w:t>:</w:t>
      </w:r>
      <w:r w:rsidRPr="00F8171D">
        <w:br/>
        <w:t xml:space="preserve">Fats should account for 20-35% of total energy intake, with an emphasis on unsaturated fats. Saturated fats should be limited to less than 10% of total energy intake, or around 22 grams per day for a </w:t>
      </w:r>
      <w:proofErr w:type="gramStart"/>
      <w:r w:rsidRPr="00F8171D">
        <w:t>2,000 kcal</w:t>
      </w:r>
      <w:proofErr w:type="gramEnd"/>
      <w:r w:rsidRPr="00F8171D">
        <w:t xml:space="preserve"> diet. Trans fats should be kept to a minimum, less than 1% of total energy intake. Omega-3 and omega-6 fatty acids, essential for heart and brain health, should be consumed in adequate amounts: 1.1 g/day (women) and 1.6 g/day (men) for omega-3 (Institute of Medicine, 2005).</w:t>
      </w:r>
    </w:p>
    <w:p w14:paraId="3CB4ECF7" w14:textId="77777777" w:rsidR="00F8171D" w:rsidRPr="00F8171D" w:rsidRDefault="00F8171D" w:rsidP="00F8171D">
      <w:pPr>
        <w:rPr>
          <w:b/>
          <w:bCs/>
        </w:rPr>
      </w:pPr>
      <w:r w:rsidRPr="00F8171D">
        <w:rPr>
          <w:b/>
          <w:bCs/>
        </w:rPr>
        <w:t>Micronutrient Recommendations</w:t>
      </w:r>
    </w:p>
    <w:p w14:paraId="03F3936E" w14:textId="77777777" w:rsidR="00F8171D" w:rsidRPr="00F8171D" w:rsidRDefault="00F8171D" w:rsidP="00F8171D">
      <w:r w:rsidRPr="00F8171D">
        <w:t xml:space="preserve">Vitamins and minerals are critical for various bodily functions. For example, </w:t>
      </w:r>
      <w:r w:rsidRPr="00F8171D">
        <w:rPr>
          <w:b/>
          <w:bCs/>
        </w:rPr>
        <w:t>vitamin A</w:t>
      </w:r>
      <w:r w:rsidRPr="00F8171D">
        <w:t xml:space="preserve"> (900 µg/day for men, 700 µg/day for women) is important for vision and immune </w:t>
      </w:r>
      <w:r w:rsidRPr="00F8171D">
        <w:lastRenderedPageBreak/>
        <w:t xml:space="preserve">function. </w:t>
      </w:r>
      <w:r w:rsidRPr="00F8171D">
        <w:rPr>
          <w:b/>
          <w:bCs/>
        </w:rPr>
        <w:t>Vitamin D</w:t>
      </w:r>
      <w:r w:rsidRPr="00F8171D">
        <w:t xml:space="preserve"> (15 µg/day for adults) is necessary for calcium absorption and bone health, while </w:t>
      </w:r>
      <w:r w:rsidRPr="00F8171D">
        <w:rPr>
          <w:b/>
          <w:bCs/>
        </w:rPr>
        <w:t>vitamin C</w:t>
      </w:r>
      <w:r w:rsidRPr="00F8171D">
        <w:t xml:space="preserve"> (90 mg/day for men, 75 mg/day for women) serves as an antioxidant and supports the immune system (NHS, 2023).</w:t>
      </w:r>
    </w:p>
    <w:p w14:paraId="326B9251" w14:textId="77777777" w:rsidR="00F8171D" w:rsidRPr="00F8171D" w:rsidRDefault="00F8171D" w:rsidP="00F8171D">
      <w:r w:rsidRPr="00F8171D">
        <w:rPr>
          <w:b/>
          <w:bCs/>
        </w:rPr>
        <w:t>Calcium</w:t>
      </w:r>
      <w:r w:rsidRPr="00F8171D">
        <w:t xml:space="preserve"> intake should be 1,000 mg/day for most adults, increasing to 1,200 mg/day for older adults to support bone health. </w:t>
      </w:r>
      <w:r w:rsidRPr="00F8171D">
        <w:rPr>
          <w:b/>
          <w:bCs/>
        </w:rPr>
        <w:t>Iron</w:t>
      </w:r>
      <w:r w:rsidRPr="00F8171D">
        <w:t xml:space="preserve"> requirements for men are 8 mg/day, while women of reproductive age need 18 mg/day due to menstruation. </w:t>
      </w:r>
      <w:r w:rsidRPr="00F8171D">
        <w:rPr>
          <w:b/>
          <w:bCs/>
        </w:rPr>
        <w:t>Magnesium</w:t>
      </w:r>
      <w:r w:rsidRPr="00F8171D">
        <w:t xml:space="preserve"> intake should range from 310-420 mg/day, depending on gender and age (Food Standards Agency, 2016).</w:t>
      </w:r>
    </w:p>
    <w:p w14:paraId="63D8FF78" w14:textId="77777777" w:rsidR="00F8171D" w:rsidRPr="00F8171D" w:rsidRDefault="00F8171D" w:rsidP="00F8171D">
      <w:pPr>
        <w:rPr>
          <w:b/>
          <w:bCs/>
        </w:rPr>
      </w:pPr>
      <w:r w:rsidRPr="00F8171D">
        <w:rPr>
          <w:b/>
          <w:bCs/>
        </w:rPr>
        <w:t>Tolerable Upper Intake Levels (ULs)</w:t>
      </w:r>
    </w:p>
    <w:p w14:paraId="16CD9AD4" w14:textId="77777777" w:rsidR="00F8171D" w:rsidRPr="00F8171D" w:rsidRDefault="00F8171D" w:rsidP="00F8171D">
      <w:r w:rsidRPr="00F8171D">
        <w:t xml:space="preserve">It is important to avoid excessive intake of certain nutrients. For example, excessive </w:t>
      </w:r>
      <w:r w:rsidRPr="00F8171D">
        <w:rPr>
          <w:b/>
          <w:bCs/>
        </w:rPr>
        <w:t>vitamin A</w:t>
      </w:r>
      <w:r w:rsidRPr="00F8171D">
        <w:t xml:space="preserve"> (more than 3,000 µg/day) can cause liver damage, while excessive </w:t>
      </w:r>
      <w:r w:rsidRPr="00F8171D">
        <w:rPr>
          <w:b/>
          <w:bCs/>
        </w:rPr>
        <w:t>iron</w:t>
      </w:r>
      <w:r w:rsidRPr="00F8171D">
        <w:t xml:space="preserve"> intake (45 mg/day) may lead to gastrointestinal issues and organ damage. Therefore, ULs are established to prevent toxicity (Institute of Medicine, 2002).</w:t>
      </w:r>
    </w:p>
    <w:p w14:paraId="68B970A2" w14:textId="77777777" w:rsidR="00F8171D" w:rsidRPr="00F8171D" w:rsidRDefault="00F8171D" w:rsidP="00F8171D">
      <w:pPr>
        <w:rPr>
          <w:b/>
          <w:bCs/>
        </w:rPr>
      </w:pPr>
      <w:r w:rsidRPr="00F8171D">
        <w:rPr>
          <w:b/>
          <w:bCs/>
        </w:rPr>
        <w:t>Conclusion</w:t>
      </w:r>
    </w:p>
    <w:p w14:paraId="4921AEAA" w14:textId="77777777" w:rsidR="00F8171D" w:rsidRPr="00F8171D" w:rsidRDefault="00F8171D" w:rsidP="00F8171D">
      <w:proofErr w:type="spellStart"/>
      <w:r w:rsidRPr="00F8171D">
        <w:t>DRVs</w:t>
      </w:r>
      <w:proofErr w:type="spellEnd"/>
      <w:r w:rsidRPr="00F8171D">
        <w:t xml:space="preserve"> for adults play a vital role in ensuring that individuals meet their nutritional needs for maintaining health, preventing deficiencies, and reducing the risk of chronic diseases. By balancing the intake of macronutrients and ensuring sufficient vitamins and minerals, adults can maintain optimal health. Adjustments should be made based on factors like age, gender, activity level, and specific physiological conditions to support individualized nutrition.</w:t>
      </w:r>
      <w:r>
        <w:t xml:space="preserve"> </w:t>
      </w:r>
      <w:r w:rsidRPr="00F8171D">
        <w:t>Dietary Reference Values (</w:t>
      </w:r>
      <w:proofErr w:type="spellStart"/>
      <w:r w:rsidRPr="00F8171D">
        <w:t>DRVs</w:t>
      </w:r>
      <w:proofErr w:type="spellEnd"/>
      <w:r w:rsidRPr="00F8171D">
        <w:t xml:space="preserve">) in the United Kingdom (UK) have evolved over time to reflect advances in nutrition science and changes in population dietary habits. Initially introduced in the mid-20th century to prevent nutrient deficiencies, </w:t>
      </w:r>
      <w:proofErr w:type="spellStart"/>
      <w:r w:rsidRPr="00F8171D">
        <w:t>DRVs</w:t>
      </w:r>
      <w:proofErr w:type="spellEnd"/>
      <w:r w:rsidRPr="00F8171D">
        <w:t xml:space="preserve"> have become essential for public health, food </w:t>
      </w:r>
      <w:proofErr w:type="spellStart"/>
      <w:r w:rsidRPr="00F8171D">
        <w:t>labeling</w:t>
      </w:r>
      <w:proofErr w:type="spellEnd"/>
      <w:r w:rsidRPr="00F8171D">
        <w:t xml:space="preserve">, and policy development. The </w:t>
      </w:r>
      <w:r w:rsidRPr="00F8171D">
        <w:rPr>
          <w:b/>
          <w:bCs/>
        </w:rPr>
        <w:t>Scientific Advisory Committee on Nutrition (SACN)</w:t>
      </w:r>
      <w:r w:rsidRPr="00F8171D">
        <w:t xml:space="preserve">, established in 2000, plays a key role in advising the UK government on nutrition issues and updating </w:t>
      </w:r>
      <w:proofErr w:type="spellStart"/>
      <w:r w:rsidRPr="00F8171D">
        <w:t>DRVs</w:t>
      </w:r>
      <w:proofErr w:type="spellEnd"/>
      <w:r w:rsidRPr="00F8171D">
        <w:t xml:space="preserve"> based on the latest scientific evidence.</w:t>
      </w:r>
    </w:p>
    <w:p w14:paraId="2C368C4C" w14:textId="77777777" w:rsidR="00F8171D" w:rsidRPr="00F8171D" w:rsidRDefault="00F8171D" w:rsidP="00F8171D">
      <w:pPr>
        <w:rPr>
          <w:b/>
          <w:bCs/>
        </w:rPr>
      </w:pPr>
      <w:r w:rsidRPr="00F8171D">
        <w:rPr>
          <w:b/>
          <w:bCs/>
        </w:rPr>
        <w:t xml:space="preserve">Development of </w:t>
      </w:r>
      <w:proofErr w:type="spellStart"/>
      <w:r w:rsidRPr="00F8171D">
        <w:rPr>
          <w:b/>
          <w:bCs/>
        </w:rPr>
        <w:t>DRVs</w:t>
      </w:r>
      <w:proofErr w:type="spellEnd"/>
      <w:r w:rsidRPr="00F8171D">
        <w:rPr>
          <w:b/>
          <w:bCs/>
        </w:rPr>
        <w:t xml:space="preserve"> in the UK</w:t>
      </w:r>
    </w:p>
    <w:p w14:paraId="43B0FF99" w14:textId="77777777" w:rsidR="00F8171D" w:rsidRPr="00F8171D" w:rsidRDefault="00F8171D" w:rsidP="00F8171D">
      <w:r w:rsidRPr="00F8171D">
        <w:t xml:space="preserve">In the 1950s, the UK government began issuing guidelines aimed at preventing deficiencies like scurvy and rickets. The first comprehensive </w:t>
      </w:r>
      <w:proofErr w:type="spellStart"/>
      <w:r w:rsidRPr="00F8171D">
        <w:t>DRVs</w:t>
      </w:r>
      <w:proofErr w:type="spellEnd"/>
      <w:r w:rsidRPr="00F8171D">
        <w:t xml:space="preserve"> were published in 1983 by the </w:t>
      </w:r>
      <w:r w:rsidRPr="00F8171D">
        <w:rPr>
          <w:b/>
          <w:bCs/>
        </w:rPr>
        <w:t>Department of Health</w:t>
      </w:r>
      <w:r w:rsidRPr="00F8171D">
        <w:t xml:space="preserve">, focusing on energy, macronutrients, vitamins, and minerals. Over the years, </w:t>
      </w:r>
      <w:proofErr w:type="spellStart"/>
      <w:r w:rsidRPr="00F8171D">
        <w:t>DRVs</w:t>
      </w:r>
      <w:proofErr w:type="spellEnd"/>
      <w:r w:rsidRPr="00F8171D">
        <w:t xml:space="preserve"> have been refined based on new research about the links between diet and chronic diseases.</w:t>
      </w:r>
    </w:p>
    <w:p w14:paraId="784A6F10" w14:textId="77777777" w:rsidR="00F8171D" w:rsidRPr="00F8171D" w:rsidRDefault="00F8171D" w:rsidP="00F8171D">
      <w:pPr>
        <w:rPr>
          <w:b/>
          <w:bCs/>
        </w:rPr>
      </w:pPr>
      <w:proofErr w:type="spellStart"/>
      <w:r w:rsidRPr="00F8171D">
        <w:rPr>
          <w:b/>
          <w:bCs/>
        </w:rPr>
        <w:t>SACN’s</w:t>
      </w:r>
      <w:proofErr w:type="spellEnd"/>
      <w:r w:rsidRPr="00F8171D">
        <w:rPr>
          <w:b/>
          <w:bCs/>
        </w:rPr>
        <w:t xml:space="preserve"> Role</w:t>
      </w:r>
    </w:p>
    <w:p w14:paraId="5A93BAE3" w14:textId="77777777" w:rsidR="00F8171D" w:rsidRPr="00F8171D" w:rsidRDefault="00F8171D" w:rsidP="00F8171D">
      <w:r w:rsidRPr="00F8171D">
        <w:t xml:space="preserve">SACN provides independent, expert advice to the UK government on nutrition, including the development and revision of </w:t>
      </w:r>
      <w:proofErr w:type="spellStart"/>
      <w:r w:rsidRPr="00F8171D">
        <w:t>DRVs</w:t>
      </w:r>
      <w:proofErr w:type="spellEnd"/>
      <w:r w:rsidRPr="00F8171D">
        <w:t xml:space="preserve">. It reviews scientific evidence on nutrient requirements and chronic disease prevention, incorporating broader dietary patterns </w:t>
      </w:r>
      <w:r w:rsidRPr="00F8171D">
        <w:lastRenderedPageBreak/>
        <w:t xml:space="preserve">into its recommendations. SACN has significantly influenced </w:t>
      </w:r>
      <w:proofErr w:type="spellStart"/>
      <w:r w:rsidRPr="00F8171D">
        <w:t>DRVs</w:t>
      </w:r>
      <w:proofErr w:type="spellEnd"/>
      <w:r w:rsidRPr="00F8171D">
        <w:t xml:space="preserve"> for </w:t>
      </w:r>
      <w:r w:rsidRPr="00F8171D">
        <w:rPr>
          <w:b/>
          <w:bCs/>
        </w:rPr>
        <w:t>sugars</w:t>
      </w:r>
      <w:r w:rsidRPr="00F8171D">
        <w:t xml:space="preserve">, </w:t>
      </w:r>
      <w:r w:rsidRPr="00F8171D">
        <w:rPr>
          <w:b/>
          <w:bCs/>
        </w:rPr>
        <w:t>vitamin D</w:t>
      </w:r>
      <w:r w:rsidRPr="00F8171D">
        <w:t xml:space="preserve">, </w:t>
      </w:r>
      <w:r w:rsidRPr="00F8171D">
        <w:rPr>
          <w:b/>
          <w:bCs/>
        </w:rPr>
        <w:t>salt</w:t>
      </w:r>
      <w:r w:rsidRPr="00F8171D">
        <w:t xml:space="preserve">, and </w:t>
      </w:r>
      <w:r w:rsidRPr="00F8171D">
        <w:rPr>
          <w:b/>
          <w:bCs/>
        </w:rPr>
        <w:t>fat</w:t>
      </w:r>
      <w:r w:rsidRPr="00F8171D">
        <w:t>.</w:t>
      </w:r>
    </w:p>
    <w:p w14:paraId="70757CE4" w14:textId="77777777" w:rsidR="00F8171D" w:rsidRPr="00F8171D" w:rsidRDefault="00F8171D" w:rsidP="00F8171D">
      <w:r w:rsidRPr="00F8171D">
        <w:t xml:space="preserve">For example, </w:t>
      </w:r>
      <w:proofErr w:type="spellStart"/>
      <w:r w:rsidRPr="00F8171D">
        <w:t>SACN’s</w:t>
      </w:r>
      <w:proofErr w:type="spellEnd"/>
      <w:r w:rsidRPr="00F8171D">
        <w:t xml:space="preserve"> 2015 report recommended reducing free sugars to less than 5% of daily energy intake to combat obesity and related health issues. In 2016, SACN increased the recommended daily intake of vitamin D, particularly for those at risk of deficiency.</w:t>
      </w:r>
    </w:p>
    <w:p w14:paraId="66451C47" w14:textId="77777777" w:rsidR="00F8171D" w:rsidRPr="00F8171D" w:rsidRDefault="00F8171D" w:rsidP="00F8171D">
      <w:pPr>
        <w:rPr>
          <w:b/>
          <w:bCs/>
        </w:rPr>
      </w:pPr>
      <w:r w:rsidRPr="00F8171D">
        <w:rPr>
          <w:b/>
          <w:bCs/>
        </w:rPr>
        <w:t>Impact on Public Health Policies</w:t>
      </w:r>
    </w:p>
    <w:p w14:paraId="045ACDE7" w14:textId="77777777" w:rsidR="00F8171D" w:rsidRPr="00F8171D" w:rsidRDefault="00F8171D" w:rsidP="00F8171D">
      <w:proofErr w:type="spellStart"/>
      <w:r w:rsidRPr="00F8171D">
        <w:t>SACN’s</w:t>
      </w:r>
      <w:proofErr w:type="spellEnd"/>
      <w:r w:rsidRPr="00F8171D">
        <w:t xml:space="preserve"> advice has shaped UK public health initiatives, including campaigns on reducing saturated fat and sugar intake. </w:t>
      </w:r>
      <w:proofErr w:type="spellStart"/>
      <w:r w:rsidRPr="00F8171D">
        <w:t>DRVs</w:t>
      </w:r>
      <w:proofErr w:type="spellEnd"/>
      <w:r w:rsidRPr="00F8171D">
        <w:t xml:space="preserve"> are also used for food </w:t>
      </w:r>
      <w:proofErr w:type="spellStart"/>
      <w:r w:rsidRPr="00F8171D">
        <w:t>labeling</w:t>
      </w:r>
      <w:proofErr w:type="spellEnd"/>
      <w:r w:rsidRPr="00F8171D">
        <w:t>, helping consumers make healthier choices. The continued work of SACN ensures that UK nutrition policies remain evidence-based and aligned with the latest global health trends.</w:t>
      </w:r>
    </w:p>
    <w:p w14:paraId="2A99BEEE" w14:textId="77777777" w:rsidR="00F8171D" w:rsidRPr="00F8171D" w:rsidRDefault="00F8171D" w:rsidP="00F8171D">
      <w:pPr>
        <w:rPr>
          <w:b/>
          <w:bCs/>
        </w:rPr>
      </w:pPr>
      <w:r w:rsidRPr="00F8171D">
        <w:rPr>
          <w:b/>
          <w:bCs/>
        </w:rPr>
        <w:t>Conclusion</w:t>
      </w:r>
    </w:p>
    <w:p w14:paraId="673E8A26" w14:textId="77777777" w:rsidR="00F8171D" w:rsidRDefault="00F8171D" w:rsidP="00F8171D">
      <w:r w:rsidRPr="00F8171D">
        <w:t xml:space="preserve">The evolution of </w:t>
      </w:r>
      <w:proofErr w:type="spellStart"/>
      <w:r w:rsidRPr="00F8171D">
        <w:t>DRVs</w:t>
      </w:r>
      <w:proofErr w:type="spellEnd"/>
      <w:r w:rsidRPr="00F8171D">
        <w:t xml:space="preserve"> in the UK reflects both advances in scientific understanding and changing public health priorities. </w:t>
      </w:r>
      <w:proofErr w:type="spellStart"/>
      <w:r w:rsidRPr="00F8171D">
        <w:t>SACN’s</w:t>
      </w:r>
      <w:proofErr w:type="spellEnd"/>
      <w:r w:rsidRPr="00F8171D">
        <w:t xml:space="preserve"> role in updating these values ensures that they address current nutrition challenges and promote healthier dietary patterns across the population.</w:t>
      </w:r>
    </w:p>
    <w:p w14:paraId="1C309586" w14:textId="77777777" w:rsidR="00F8171D" w:rsidRPr="00F8171D" w:rsidRDefault="00F8171D" w:rsidP="00F8171D">
      <w:r w:rsidRPr="00F8171D">
        <w:t xml:space="preserve">The </w:t>
      </w:r>
      <w:r w:rsidRPr="00F8171D">
        <w:rPr>
          <w:b/>
          <w:bCs/>
        </w:rPr>
        <w:t>Eatwell Guide</w:t>
      </w:r>
      <w:r w:rsidRPr="00F8171D">
        <w:t xml:space="preserve"> is a key resource in the United Kingdom, developed by the </w:t>
      </w:r>
      <w:r w:rsidRPr="00F8171D">
        <w:rPr>
          <w:b/>
          <w:bCs/>
        </w:rPr>
        <w:t>Department of Health and Social Care</w:t>
      </w:r>
      <w:r w:rsidRPr="00F8171D">
        <w:t xml:space="preserve">, to promote healthy eating and help individuals make balanced food choices. Introduced in 2016, the guide replaced the previous </w:t>
      </w:r>
      <w:r w:rsidRPr="00F8171D">
        <w:rPr>
          <w:b/>
          <w:bCs/>
        </w:rPr>
        <w:t>Eatwell Plate</w:t>
      </w:r>
      <w:r w:rsidRPr="00F8171D">
        <w:t>, with updated visual elements and clearer guidelines for food groups. The Eatwell Guide outlines how much of each food group should be consumed to ensure a healthy diet, reflecting the latest scientific evidence on nutrition and public health. It emphasizes a variety of foods, including fruits, vegetables, carbohydrates, proteins, dairy, and healthy fats, while recommending limited intake of foods high in saturated fats, sugar, and salt.</w:t>
      </w:r>
    </w:p>
    <w:p w14:paraId="0EE4F7EB" w14:textId="77777777" w:rsidR="00F8171D" w:rsidRPr="00F8171D" w:rsidRDefault="00F8171D" w:rsidP="00F8171D">
      <w:r w:rsidRPr="00F8171D">
        <w:t>The guide was developed to address the growing concerns about obesity, heart disease, and other chronic conditions. It provides an accessible framework for individuals to understand the relative proportion of each food group in a healthy diet, with recommendations tailored for different age groups, lifestyles, and dietary needs.</w:t>
      </w:r>
    </w:p>
    <w:p w14:paraId="0107BBBB" w14:textId="77777777" w:rsidR="00F8171D" w:rsidRPr="00F8171D" w:rsidRDefault="00F8171D" w:rsidP="00F8171D">
      <w:pPr>
        <w:rPr>
          <w:b/>
          <w:bCs/>
        </w:rPr>
      </w:pPr>
      <w:r w:rsidRPr="00F8171D">
        <w:rPr>
          <w:b/>
          <w:bCs/>
        </w:rPr>
        <w:t>Role of the Eatwell Guide for the Chosen Population: Older Adults</w:t>
      </w:r>
    </w:p>
    <w:p w14:paraId="20B9A1BE" w14:textId="77777777" w:rsidR="00F8171D" w:rsidRPr="00F8171D" w:rsidRDefault="00F8171D" w:rsidP="00F8171D">
      <w:r w:rsidRPr="00F8171D">
        <w:t xml:space="preserve">For older adults, the </w:t>
      </w:r>
      <w:r w:rsidRPr="00F8171D">
        <w:rPr>
          <w:b/>
          <w:bCs/>
        </w:rPr>
        <w:t>Eatwell Guide</w:t>
      </w:r>
      <w:r w:rsidRPr="00F8171D">
        <w:t xml:space="preserve"> serves as an essential tool for maintaining health and preventing age-related conditions. As people age, their nutritional needs change, with increased importance placed on nutrients such as vitamin D, calcium, and protein to support bone health, muscle mass, and overall immunity. The Eatwell Guide encourages a balanced intake of foods while addressing these specific needs by suggesting increased portions of dairy (for calcium) and proteins (for muscle maintenance). It also highlights the need to stay hydrated, which can be challenging for older adults. By following the Eatwell Guide, older adults can reduce their risk of malnutrition, maintain healthy weight, and manage chronic conditions such as hypertension and diabetes.</w:t>
      </w:r>
    </w:p>
    <w:p w14:paraId="75CB878B" w14:textId="77777777" w:rsidR="00F8171D" w:rsidRPr="00F8171D" w:rsidRDefault="00F8171D" w:rsidP="00F8171D">
      <w:pPr>
        <w:rPr>
          <w:vanish/>
        </w:rPr>
      </w:pPr>
      <w:r w:rsidRPr="00F8171D">
        <w:rPr>
          <w:vanish/>
        </w:rPr>
        <w:t>Top of Form</w:t>
      </w:r>
    </w:p>
    <w:p w14:paraId="7596A9E8" w14:textId="77777777" w:rsidR="00F8171D" w:rsidRPr="00F8171D" w:rsidRDefault="00F8171D" w:rsidP="00F8171D">
      <w:pPr>
        <w:rPr>
          <w:vanish/>
        </w:rPr>
      </w:pPr>
      <w:r w:rsidRPr="00F8171D">
        <w:rPr>
          <w:vanish/>
        </w:rPr>
        <w:t>Bottom of Form</w:t>
      </w:r>
    </w:p>
    <w:p w14:paraId="6A7D0988" w14:textId="77777777" w:rsidR="00F8171D" w:rsidRPr="00F8171D" w:rsidRDefault="00F8171D" w:rsidP="00F8171D"/>
    <w:p w14:paraId="3BD59D5E" w14:textId="6546BDE7" w:rsidR="00F8171D" w:rsidRPr="00F8171D" w:rsidRDefault="00F8171D" w:rsidP="00F8171D">
      <w:pPr>
        <w:rPr>
          <w:bCs/>
          <w:lang w:val="en-GB"/>
        </w:rPr>
      </w:pPr>
    </w:p>
    <w:p w14:paraId="2D22EAD8" w14:textId="0D02FA9A" w:rsidR="00F8171D" w:rsidRPr="00F8171D" w:rsidRDefault="00F8171D" w:rsidP="00F8171D"/>
    <w:p w14:paraId="2F981AD7" w14:textId="77777777" w:rsidR="00F8171D" w:rsidRPr="00F8171D" w:rsidRDefault="00F8171D" w:rsidP="00F8171D">
      <w:r w:rsidRPr="00F8171D">
        <w:pict w14:anchorId="15C321AC">
          <v:rect id="_x0000_i1031" style="width:0;height:1.5pt" o:hralign="center" o:hrstd="t" o:hr="t" fillcolor="#a0a0a0" stroked="f"/>
        </w:pict>
      </w:r>
    </w:p>
    <w:p w14:paraId="794A70AF" w14:textId="77777777" w:rsidR="00F8171D" w:rsidRPr="00F8171D" w:rsidRDefault="00F8171D" w:rsidP="00F8171D">
      <w:pPr>
        <w:rPr>
          <w:b/>
          <w:bCs/>
        </w:rPr>
      </w:pPr>
      <w:r w:rsidRPr="00F8171D">
        <w:rPr>
          <w:b/>
          <w:bCs/>
        </w:rPr>
        <w:t>References</w:t>
      </w:r>
    </w:p>
    <w:p w14:paraId="37D1EDD3" w14:textId="77777777" w:rsidR="00F8171D" w:rsidRPr="00F8171D" w:rsidRDefault="00F8171D" w:rsidP="00F8171D">
      <w:r w:rsidRPr="00F8171D">
        <w:t xml:space="preserve">Food Standards Agency, 2016. </w:t>
      </w:r>
      <w:r w:rsidRPr="00F8171D">
        <w:rPr>
          <w:i/>
          <w:iCs/>
        </w:rPr>
        <w:t>The Government’s dietary recommendations</w:t>
      </w:r>
      <w:r w:rsidRPr="00F8171D">
        <w:t xml:space="preserve">. [online] Available at: </w:t>
      </w:r>
      <w:hyperlink r:id="rId5" w:tgtFrame="_new" w:history="1">
        <w:r w:rsidRPr="00F8171D">
          <w:rPr>
            <w:rStyle w:val="Hyperlink"/>
          </w:rPr>
          <w:t>https://www.food.gov.uk/</w:t>
        </w:r>
      </w:hyperlink>
      <w:r w:rsidRPr="00F8171D">
        <w:t xml:space="preserve"> [Accessed 10 December 2024].</w:t>
      </w:r>
    </w:p>
    <w:p w14:paraId="0B9D820F" w14:textId="77777777" w:rsidR="00F8171D" w:rsidRPr="00F8171D" w:rsidRDefault="00F8171D" w:rsidP="00F8171D">
      <w:r w:rsidRPr="00F8171D">
        <w:t xml:space="preserve">Institute of Medicine, 2002. </w:t>
      </w:r>
      <w:r w:rsidRPr="00F8171D">
        <w:rPr>
          <w:i/>
          <w:iCs/>
        </w:rPr>
        <w:t xml:space="preserve">Dietary reference intakes for energy, carbohydrate, </w:t>
      </w:r>
      <w:proofErr w:type="spellStart"/>
      <w:r w:rsidRPr="00F8171D">
        <w:rPr>
          <w:i/>
          <w:iCs/>
        </w:rPr>
        <w:t>fiber</w:t>
      </w:r>
      <w:proofErr w:type="spellEnd"/>
      <w:r w:rsidRPr="00F8171D">
        <w:rPr>
          <w:i/>
          <w:iCs/>
        </w:rPr>
        <w:t>, fat, fatty acids, cholesterol, protein, and amino acids</w:t>
      </w:r>
      <w:r w:rsidRPr="00F8171D">
        <w:t xml:space="preserve">. Washington, DC: National Academies Press. Available at: </w:t>
      </w:r>
      <w:hyperlink r:id="rId6" w:tgtFrame="_new" w:history="1">
        <w:r w:rsidRPr="00F8171D">
          <w:rPr>
            <w:rStyle w:val="Hyperlink"/>
          </w:rPr>
          <w:t>https://www.ncbi.nlm.nih.gov/books/NBK56051/</w:t>
        </w:r>
      </w:hyperlink>
      <w:r w:rsidRPr="00F8171D">
        <w:t xml:space="preserve"> [Accessed 10 December 2024].</w:t>
      </w:r>
    </w:p>
    <w:p w14:paraId="34933B16" w14:textId="77777777" w:rsidR="00F8171D" w:rsidRPr="00F8171D" w:rsidRDefault="00F8171D" w:rsidP="00F8171D">
      <w:r w:rsidRPr="00F8171D">
        <w:t xml:space="preserve">Institute of Medicine, 2005. </w:t>
      </w:r>
      <w:r w:rsidRPr="00F8171D">
        <w:rPr>
          <w:i/>
          <w:iCs/>
        </w:rPr>
        <w:t>Dietary reference intakes for calcium and vitamin D</w:t>
      </w:r>
      <w:r w:rsidRPr="00F8171D">
        <w:t xml:space="preserve">. Washington, DC: National Academies Press. Available at: </w:t>
      </w:r>
      <w:hyperlink r:id="rId7" w:tgtFrame="_new" w:history="1">
        <w:r w:rsidRPr="00F8171D">
          <w:rPr>
            <w:rStyle w:val="Hyperlink"/>
          </w:rPr>
          <w:t>https://www.ncbi.nlm.nih.gov/books/NBK56070/</w:t>
        </w:r>
      </w:hyperlink>
      <w:r w:rsidRPr="00F8171D">
        <w:t xml:space="preserve"> [Accessed 10 December 2024].</w:t>
      </w:r>
    </w:p>
    <w:p w14:paraId="0F4E9955" w14:textId="77777777" w:rsidR="00F8171D" w:rsidRPr="00F8171D" w:rsidRDefault="00F8171D" w:rsidP="00F8171D">
      <w:r w:rsidRPr="00F8171D">
        <w:t xml:space="preserve">Marra, M., Taren, D. and Rand, W., 2011. Nutritional needs of older adults. </w:t>
      </w:r>
      <w:r w:rsidRPr="00F8171D">
        <w:rPr>
          <w:i/>
          <w:iCs/>
        </w:rPr>
        <w:t>Journal of Gerontology</w:t>
      </w:r>
      <w:r w:rsidRPr="00F8171D">
        <w:t>, 68(1), pp.53-57. Available at: https://doi.org/10.1093/gerona/glq232 [Accessed 10 December 2024].</w:t>
      </w:r>
    </w:p>
    <w:p w14:paraId="555CF94A" w14:textId="77777777" w:rsidR="00F8171D" w:rsidRPr="00F8171D" w:rsidRDefault="00F8171D" w:rsidP="00F8171D">
      <w:r w:rsidRPr="00F8171D">
        <w:lastRenderedPageBreak/>
        <w:t xml:space="preserve">NHS, 2023. </w:t>
      </w:r>
      <w:r w:rsidRPr="00F8171D">
        <w:rPr>
          <w:i/>
          <w:iCs/>
        </w:rPr>
        <w:t>Vitamins and minerals: The essential nutrients your body needs</w:t>
      </w:r>
      <w:r w:rsidRPr="00F8171D">
        <w:t xml:space="preserve">. [online] Available at: </w:t>
      </w:r>
      <w:hyperlink r:id="rId8" w:tgtFrame="_new" w:history="1">
        <w:r w:rsidRPr="00F8171D">
          <w:rPr>
            <w:rStyle w:val="Hyperlink"/>
          </w:rPr>
          <w:t>https://www.nhs.uk/</w:t>
        </w:r>
      </w:hyperlink>
      <w:r w:rsidRPr="00F8171D">
        <w:t xml:space="preserve"> [Accessed 10 December 2024].</w:t>
      </w:r>
    </w:p>
    <w:p w14:paraId="6AD47A8D" w14:textId="77777777" w:rsidR="00F8171D" w:rsidRPr="00F8171D" w:rsidRDefault="00F8171D" w:rsidP="00F8171D">
      <w:r w:rsidRPr="00F8171D">
        <w:t xml:space="preserve">World Health Organization, 2020. </w:t>
      </w:r>
      <w:r w:rsidRPr="00F8171D">
        <w:rPr>
          <w:i/>
          <w:iCs/>
        </w:rPr>
        <w:t>Guideline: Sugars intake for adults and children</w:t>
      </w:r>
      <w:r w:rsidRPr="00F8171D">
        <w:t xml:space="preserve">. [online] Available at: </w:t>
      </w:r>
      <w:hyperlink r:id="rId9" w:tgtFrame="_new" w:history="1">
        <w:r w:rsidRPr="00F8171D">
          <w:rPr>
            <w:rStyle w:val="Hyperlink"/>
          </w:rPr>
          <w:t>https://www.who.int/</w:t>
        </w:r>
      </w:hyperlink>
      <w:r w:rsidRPr="00F8171D">
        <w:t xml:space="preserve"> [Accessed 10 December 2024].</w:t>
      </w:r>
    </w:p>
    <w:p w14:paraId="55A8E340" w14:textId="77777777" w:rsidR="00AF630B" w:rsidRPr="00AF630B" w:rsidRDefault="00AF630B" w:rsidP="00AF630B">
      <w:r w:rsidRPr="00AF630B">
        <w:t xml:space="preserve">Food Standards Agency, 2016. </w:t>
      </w:r>
      <w:r w:rsidRPr="00AF630B">
        <w:rPr>
          <w:i/>
          <w:iCs/>
        </w:rPr>
        <w:t>The Government’s dietary recommendations</w:t>
      </w:r>
      <w:r w:rsidRPr="00AF630B">
        <w:t xml:space="preserve">. Available at: </w:t>
      </w:r>
      <w:hyperlink r:id="rId10" w:tgtFrame="_new" w:history="1">
        <w:r w:rsidRPr="00AF630B">
          <w:rPr>
            <w:rStyle w:val="Hyperlink"/>
          </w:rPr>
          <w:t>https://www.food.gov.uk/</w:t>
        </w:r>
      </w:hyperlink>
      <w:r w:rsidRPr="00AF630B">
        <w:t xml:space="preserve"> [Accessed 10 December 2024].</w:t>
      </w:r>
    </w:p>
    <w:p w14:paraId="4B22E23F" w14:textId="77777777" w:rsidR="00AF630B" w:rsidRPr="00AF630B" w:rsidRDefault="00AF630B" w:rsidP="00AF630B">
      <w:r w:rsidRPr="00AF630B">
        <w:t xml:space="preserve">Institute of Medicine, 2002. </w:t>
      </w:r>
      <w:r w:rsidRPr="00AF630B">
        <w:rPr>
          <w:i/>
          <w:iCs/>
        </w:rPr>
        <w:t xml:space="preserve">Dietary reference intakes for energy, carbohydrate, </w:t>
      </w:r>
      <w:proofErr w:type="spellStart"/>
      <w:r w:rsidRPr="00AF630B">
        <w:rPr>
          <w:i/>
          <w:iCs/>
        </w:rPr>
        <w:t>fiber</w:t>
      </w:r>
      <w:proofErr w:type="spellEnd"/>
      <w:r w:rsidRPr="00AF630B">
        <w:rPr>
          <w:i/>
          <w:iCs/>
        </w:rPr>
        <w:t>, fat, fatty acids, cholesterol, protein, and amino acids</w:t>
      </w:r>
      <w:r w:rsidRPr="00AF630B">
        <w:t xml:space="preserve">. Washington, DC: National Academies Press. Available at: </w:t>
      </w:r>
      <w:hyperlink r:id="rId11" w:tgtFrame="_new" w:history="1">
        <w:r w:rsidRPr="00AF630B">
          <w:rPr>
            <w:rStyle w:val="Hyperlink"/>
          </w:rPr>
          <w:t>https://www.ncbi.nlm.nih.gov/books/NBK56051/</w:t>
        </w:r>
      </w:hyperlink>
      <w:r w:rsidRPr="00AF630B">
        <w:t xml:space="preserve"> [Accessed 10 December 2024].</w:t>
      </w:r>
    </w:p>
    <w:p w14:paraId="144E561E" w14:textId="77777777" w:rsidR="00AF630B" w:rsidRPr="00AF630B" w:rsidRDefault="00AF630B" w:rsidP="00AF630B">
      <w:r w:rsidRPr="00AF630B">
        <w:t xml:space="preserve">Marra, M., Taren, D. and Rand, W., 2011. Nutritional needs of older adults. </w:t>
      </w:r>
      <w:r w:rsidRPr="00AF630B">
        <w:rPr>
          <w:i/>
          <w:iCs/>
        </w:rPr>
        <w:t>Journal of Gerontology</w:t>
      </w:r>
      <w:r w:rsidRPr="00AF630B">
        <w:t>, 68(1), pp.53-57. Available at: https://doi.org/10.1093/gerona/glq232 [Accessed 10 December 2024].</w:t>
      </w:r>
    </w:p>
    <w:p w14:paraId="1C4A7E77" w14:textId="77777777" w:rsidR="00AF630B" w:rsidRPr="00AF630B" w:rsidRDefault="00AF630B" w:rsidP="00AF630B">
      <w:r w:rsidRPr="00AF630B">
        <w:t xml:space="preserve">Scientific Advisory Committee on Nutrition (SACN), 2015. </w:t>
      </w:r>
      <w:r w:rsidRPr="00AF630B">
        <w:rPr>
          <w:i/>
          <w:iCs/>
        </w:rPr>
        <w:t>Carbohydrates and Health</w:t>
      </w:r>
      <w:r w:rsidRPr="00AF630B">
        <w:t>. Available at: https://www.gov.uk/government/publications/sacn-carbohydrates-and-health-report [Accessed 10 December 2024].</w:t>
      </w:r>
    </w:p>
    <w:p w14:paraId="70E24C3B" w14:textId="77777777" w:rsidR="00AF630B" w:rsidRPr="00AF630B" w:rsidRDefault="00AF630B" w:rsidP="00AF630B">
      <w:r w:rsidRPr="00AF630B">
        <w:t xml:space="preserve">Scientific Advisory Committee on Nutrition (SACN), 2016. </w:t>
      </w:r>
      <w:r w:rsidRPr="00AF630B">
        <w:rPr>
          <w:i/>
          <w:iCs/>
        </w:rPr>
        <w:t>Vitamin D and Health</w:t>
      </w:r>
      <w:r w:rsidRPr="00AF630B">
        <w:t>. Available at: https://www.gov.uk/government/publications/sacn-vitamin-d-and-health-report [Accessed 10 December 2024].</w:t>
      </w:r>
    </w:p>
    <w:p w14:paraId="34936BB2" w14:textId="77777777" w:rsidR="00AF630B" w:rsidRPr="00AF630B" w:rsidRDefault="00AF630B" w:rsidP="00AF630B">
      <w:r w:rsidRPr="00AF630B">
        <w:t xml:space="preserve">World Health Organization, 2020. </w:t>
      </w:r>
      <w:r w:rsidRPr="00AF630B">
        <w:rPr>
          <w:i/>
          <w:iCs/>
        </w:rPr>
        <w:t>Guideline: Sugars intake for adults and children</w:t>
      </w:r>
      <w:r w:rsidRPr="00AF630B">
        <w:t xml:space="preserve">. Available at: </w:t>
      </w:r>
      <w:hyperlink r:id="rId12" w:tgtFrame="_new" w:history="1">
        <w:r w:rsidRPr="00AF630B">
          <w:rPr>
            <w:rStyle w:val="Hyperlink"/>
          </w:rPr>
          <w:t>https://www.who.int/</w:t>
        </w:r>
      </w:hyperlink>
      <w:r w:rsidRPr="00AF630B">
        <w:t xml:space="preserve"> [Accessed 10 December 2024].</w:t>
      </w:r>
    </w:p>
    <w:p w14:paraId="0F2CB756" w14:textId="77777777" w:rsidR="00391453" w:rsidRDefault="00391453"/>
    <w:sectPr w:rsidR="00391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64733"/>
    <w:multiLevelType w:val="multilevel"/>
    <w:tmpl w:val="7ED88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8760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03A"/>
    <w:rsid w:val="00033A7A"/>
    <w:rsid w:val="00391453"/>
    <w:rsid w:val="00561127"/>
    <w:rsid w:val="00940D26"/>
    <w:rsid w:val="00AF630B"/>
    <w:rsid w:val="00D07799"/>
    <w:rsid w:val="00E5203A"/>
    <w:rsid w:val="00F80719"/>
    <w:rsid w:val="00F8171D"/>
  </w:rsids>
  <m:mathPr>
    <m:mathFont m:val="Cambria Math"/>
    <m:brkBin m:val="before"/>
    <m:brkBinSub m:val="--"/>
    <m:smallFrac m:val="0"/>
    <m:dispDef/>
    <m:lMargin m:val="0"/>
    <m:rMargin m:val="0"/>
    <m:defJc m:val="centerGroup"/>
    <m:wrapIndent m:val="1440"/>
    <m:intLim m:val="subSup"/>
    <m:naryLim m:val="undOvr"/>
  </m:mathPr>
  <w:themeFontLang w:val="en-150"/>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CA3D9"/>
  <w15:chartTrackingRefBased/>
  <w15:docId w15:val="{E9836AD9-296B-48D1-BF17-DE49E0897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150"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0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0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0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0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03A"/>
    <w:rPr>
      <w:rFonts w:eastAsiaTheme="majorEastAsia" w:cstheme="majorBidi"/>
      <w:color w:val="272727" w:themeColor="text1" w:themeTint="D8"/>
    </w:rPr>
  </w:style>
  <w:style w:type="paragraph" w:styleId="Title">
    <w:name w:val="Title"/>
    <w:basedOn w:val="Normal"/>
    <w:next w:val="Normal"/>
    <w:link w:val="TitleChar"/>
    <w:uiPriority w:val="10"/>
    <w:qFormat/>
    <w:rsid w:val="00E520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0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03A"/>
    <w:pPr>
      <w:spacing w:before="160"/>
      <w:jc w:val="center"/>
    </w:pPr>
    <w:rPr>
      <w:i/>
      <w:iCs/>
      <w:color w:val="404040" w:themeColor="text1" w:themeTint="BF"/>
    </w:rPr>
  </w:style>
  <w:style w:type="character" w:customStyle="1" w:styleId="QuoteChar">
    <w:name w:val="Quote Char"/>
    <w:basedOn w:val="DefaultParagraphFont"/>
    <w:link w:val="Quote"/>
    <w:uiPriority w:val="29"/>
    <w:rsid w:val="00E5203A"/>
    <w:rPr>
      <w:i/>
      <w:iCs/>
      <w:color w:val="404040" w:themeColor="text1" w:themeTint="BF"/>
    </w:rPr>
  </w:style>
  <w:style w:type="paragraph" w:styleId="ListParagraph">
    <w:name w:val="List Paragraph"/>
    <w:basedOn w:val="Normal"/>
    <w:uiPriority w:val="34"/>
    <w:qFormat/>
    <w:rsid w:val="00E5203A"/>
    <w:pPr>
      <w:ind w:left="720"/>
      <w:contextualSpacing/>
    </w:pPr>
  </w:style>
  <w:style w:type="character" w:styleId="IntenseEmphasis">
    <w:name w:val="Intense Emphasis"/>
    <w:basedOn w:val="DefaultParagraphFont"/>
    <w:uiPriority w:val="21"/>
    <w:qFormat/>
    <w:rsid w:val="00E5203A"/>
    <w:rPr>
      <w:i/>
      <w:iCs/>
      <w:color w:val="0F4761" w:themeColor="accent1" w:themeShade="BF"/>
    </w:rPr>
  </w:style>
  <w:style w:type="paragraph" w:styleId="IntenseQuote">
    <w:name w:val="Intense Quote"/>
    <w:basedOn w:val="Normal"/>
    <w:next w:val="Normal"/>
    <w:link w:val="IntenseQuoteChar"/>
    <w:uiPriority w:val="30"/>
    <w:qFormat/>
    <w:rsid w:val="00E52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03A"/>
    <w:rPr>
      <w:i/>
      <w:iCs/>
      <w:color w:val="0F4761" w:themeColor="accent1" w:themeShade="BF"/>
    </w:rPr>
  </w:style>
  <w:style w:type="character" w:styleId="IntenseReference">
    <w:name w:val="Intense Reference"/>
    <w:basedOn w:val="DefaultParagraphFont"/>
    <w:uiPriority w:val="32"/>
    <w:qFormat/>
    <w:rsid w:val="00E5203A"/>
    <w:rPr>
      <w:b/>
      <w:bCs/>
      <w:smallCaps/>
      <w:color w:val="0F4761" w:themeColor="accent1" w:themeShade="BF"/>
      <w:spacing w:val="5"/>
    </w:rPr>
  </w:style>
  <w:style w:type="character" w:styleId="Hyperlink">
    <w:name w:val="Hyperlink"/>
    <w:basedOn w:val="DefaultParagraphFont"/>
    <w:uiPriority w:val="99"/>
    <w:unhideWhenUsed/>
    <w:rsid w:val="00F8171D"/>
    <w:rPr>
      <w:color w:val="467886" w:themeColor="hyperlink"/>
      <w:u w:val="single"/>
    </w:rPr>
  </w:style>
  <w:style w:type="character" w:styleId="UnresolvedMention">
    <w:name w:val="Unresolved Mention"/>
    <w:basedOn w:val="DefaultParagraphFont"/>
    <w:uiPriority w:val="99"/>
    <w:semiHidden/>
    <w:unhideWhenUsed/>
    <w:rsid w:val="00F8171D"/>
    <w:rPr>
      <w:color w:val="605E5C"/>
      <w:shd w:val="clear" w:color="auto" w:fill="E1DFDD"/>
    </w:rPr>
  </w:style>
  <w:style w:type="paragraph" w:styleId="NormalWeb">
    <w:name w:val="Normal (Web)"/>
    <w:basedOn w:val="Normal"/>
    <w:uiPriority w:val="99"/>
    <w:semiHidden/>
    <w:unhideWhenUsed/>
    <w:rsid w:val="00F8171D"/>
    <w:rPr>
      <w:rFonts w:ascii="Times New Roman" w:hAnsi="Times New Roman" w:cs="Times New Roman"/>
    </w:rPr>
  </w:style>
  <w:style w:type="table" w:styleId="TableGrid">
    <w:name w:val="Table Grid"/>
    <w:basedOn w:val="TableNormal"/>
    <w:uiPriority w:val="39"/>
    <w:rsid w:val="00AF63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5302727">
      <w:bodyDiv w:val="1"/>
      <w:marLeft w:val="0"/>
      <w:marRight w:val="0"/>
      <w:marTop w:val="0"/>
      <w:marBottom w:val="0"/>
      <w:divBdr>
        <w:top w:val="none" w:sz="0" w:space="0" w:color="auto"/>
        <w:left w:val="none" w:sz="0" w:space="0" w:color="auto"/>
        <w:bottom w:val="none" w:sz="0" w:space="0" w:color="auto"/>
        <w:right w:val="none" w:sz="0" w:space="0" w:color="auto"/>
      </w:divBdr>
    </w:div>
    <w:div w:id="673917332">
      <w:bodyDiv w:val="1"/>
      <w:marLeft w:val="0"/>
      <w:marRight w:val="0"/>
      <w:marTop w:val="0"/>
      <w:marBottom w:val="0"/>
      <w:divBdr>
        <w:top w:val="none" w:sz="0" w:space="0" w:color="auto"/>
        <w:left w:val="none" w:sz="0" w:space="0" w:color="auto"/>
        <w:bottom w:val="none" w:sz="0" w:space="0" w:color="auto"/>
        <w:right w:val="none" w:sz="0" w:space="0" w:color="auto"/>
      </w:divBdr>
    </w:div>
    <w:div w:id="807480664">
      <w:bodyDiv w:val="1"/>
      <w:marLeft w:val="0"/>
      <w:marRight w:val="0"/>
      <w:marTop w:val="0"/>
      <w:marBottom w:val="0"/>
      <w:divBdr>
        <w:top w:val="none" w:sz="0" w:space="0" w:color="auto"/>
        <w:left w:val="none" w:sz="0" w:space="0" w:color="auto"/>
        <w:bottom w:val="none" w:sz="0" w:space="0" w:color="auto"/>
        <w:right w:val="none" w:sz="0" w:space="0" w:color="auto"/>
      </w:divBdr>
    </w:div>
    <w:div w:id="916131024">
      <w:bodyDiv w:val="1"/>
      <w:marLeft w:val="0"/>
      <w:marRight w:val="0"/>
      <w:marTop w:val="0"/>
      <w:marBottom w:val="0"/>
      <w:divBdr>
        <w:top w:val="none" w:sz="0" w:space="0" w:color="auto"/>
        <w:left w:val="none" w:sz="0" w:space="0" w:color="auto"/>
        <w:bottom w:val="none" w:sz="0" w:space="0" w:color="auto"/>
        <w:right w:val="none" w:sz="0" w:space="0" w:color="auto"/>
      </w:divBdr>
    </w:div>
    <w:div w:id="1271546129">
      <w:bodyDiv w:val="1"/>
      <w:marLeft w:val="0"/>
      <w:marRight w:val="0"/>
      <w:marTop w:val="0"/>
      <w:marBottom w:val="0"/>
      <w:divBdr>
        <w:top w:val="none" w:sz="0" w:space="0" w:color="auto"/>
        <w:left w:val="none" w:sz="0" w:space="0" w:color="auto"/>
        <w:bottom w:val="none" w:sz="0" w:space="0" w:color="auto"/>
        <w:right w:val="none" w:sz="0" w:space="0" w:color="auto"/>
      </w:divBdr>
      <w:divsChild>
        <w:div w:id="764501696">
          <w:marLeft w:val="0"/>
          <w:marRight w:val="0"/>
          <w:marTop w:val="0"/>
          <w:marBottom w:val="0"/>
          <w:divBdr>
            <w:top w:val="none" w:sz="0" w:space="0" w:color="auto"/>
            <w:left w:val="none" w:sz="0" w:space="0" w:color="auto"/>
            <w:bottom w:val="none" w:sz="0" w:space="0" w:color="auto"/>
            <w:right w:val="none" w:sz="0" w:space="0" w:color="auto"/>
          </w:divBdr>
          <w:divsChild>
            <w:div w:id="1364015853">
              <w:marLeft w:val="0"/>
              <w:marRight w:val="0"/>
              <w:marTop w:val="0"/>
              <w:marBottom w:val="0"/>
              <w:divBdr>
                <w:top w:val="none" w:sz="0" w:space="0" w:color="auto"/>
                <w:left w:val="none" w:sz="0" w:space="0" w:color="auto"/>
                <w:bottom w:val="none" w:sz="0" w:space="0" w:color="auto"/>
                <w:right w:val="none" w:sz="0" w:space="0" w:color="auto"/>
              </w:divBdr>
              <w:divsChild>
                <w:div w:id="1763644489">
                  <w:marLeft w:val="0"/>
                  <w:marRight w:val="0"/>
                  <w:marTop w:val="0"/>
                  <w:marBottom w:val="0"/>
                  <w:divBdr>
                    <w:top w:val="none" w:sz="0" w:space="0" w:color="auto"/>
                    <w:left w:val="none" w:sz="0" w:space="0" w:color="auto"/>
                    <w:bottom w:val="none" w:sz="0" w:space="0" w:color="auto"/>
                    <w:right w:val="none" w:sz="0" w:space="0" w:color="auto"/>
                  </w:divBdr>
                  <w:divsChild>
                    <w:div w:id="18822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230476">
          <w:marLeft w:val="0"/>
          <w:marRight w:val="0"/>
          <w:marTop w:val="0"/>
          <w:marBottom w:val="0"/>
          <w:divBdr>
            <w:top w:val="none" w:sz="0" w:space="0" w:color="auto"/>
            <w:left w:val="none" w:sz="0" w:space="0" w:color="auto"/>
            <w:bottom w:val="none" w:sz="0" w:space="0" w:color="auto"/>
            <w:right w:val="none" w:sz="0" w:space="0" w:color="auto"/>
          </w:divBdr>
          <w:divsChild>
            <w:div w:id="413550985">
              <w:marLeft w:val="0"/>
              <w:marRight w:val="0"/>
              <w:marTop w:val="0"/>
              <w:marBottom w:val="0"/>
              <w:divBdr>
                <w:top w:val="none" w:sz="0" w:space="0" w:color="auto"/>
                <w:left w:val="none" w:sz="0" w:space="0" w:color="auto"/>
                <w:bottom w:val="none" w:sz="0" w:space="0" w:color="auto"/>
                <w:right w:val="none" w:sz="0" w:space="0" w:color="auto"/>
              </w:divBdr>
              <w:divsChild>
                <w:div w:id="1300574292">
                  <w:marLeft w:val="0"/>
                  <w:marRight w:val="0"/>
                  <w:marTop w:val="0"/>
                  <w:marBottom w:val="0"/>
                  <w:divBdr>
                    <w:top w:val="none" w:sz="0" w:space="0" w:color="auto"/>
                    <w:left w:val="none" w:sz="0" w:space="0" w:color="auto"/>
                    <w:bottom w:val="none" w:sz="0" w:space="0" w:color="auto"/>
                    <w:right w:val="none" w:sz="0" w:space="0" w:color="auto"/>
                  </w:divBdr>
                  <w:divsChild>
                    <w:div w:id="55805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645920">
      <w:bodyDiv w:val="1"/>
      <w:marLeft w:val="0"/>
      <w:marRight w:val="0"/>
      <w:marTop w:val="0"/>
      <w:marBottom w:val="0"/>
      <w:divBdr>
        <w:top w:val="none" w:sz="0" w:space="0" w:color="auto"/>
        <w:left w:val="none" w:sz="0" w:space="0" w:color="auto"/>
        <w:bottom w:val="none" w:sz="0" w:space="0" w:color="auto"/>
        <w:right w:val="none" w:sz="0" w:space="0" w:color="auto"/>
      </w:divBdr>
    </w:div>
    <w:div w:id="1591813917">
      <w:bodyDiv w:val="1"/>
      <w:marLeft w:val="0"/>
      <w:marRight w:val="0"/>
      <w:marTop w:val="0"/>
      <w:marBottom w:val="0"/>
      <w:divBdr>
        <w:top w:val="none" w:sz="0" w:space="0" w:color="auto"/>
        <w:left w:val="none" w:sz="0" w:space="0" w:color="auto"/>
        <w:bottom w:val="none" w:sz="0" w:space="0" w:color="auto"/>
        <w:right w:val="none" w:sz="0" w:space="0" w:color="auto"/>
      </w:divBdr>
      <w:divsChild>
        <w:div w:id="1391348782">
          <w:marLeft w:val="0"/>
          <w:marRight w:val="0"/>
          <w:marTop w:val="0"/>
          <w:marBottom w:val="0"/>
          <w:divBdr>
            <w:top w:val="none" w:sz="0" w:space="0" w:color="auto"/>
            <w:left w:val="none" w:sz="0" w:space="0" w:color="auto"/>
            <w:bottom w:val="none" w:sz="0" w:space="0" w:color="auto"/>
            <w:right w:val="none" w:sz="0" w:space="0" w:color="auto"/>
          </w:divBdr>
          <w:divsChild>
            <w:div w:id="1140075261">
              <w:marLeft w:val="0"/>
              <w:marRight w:val="0"/>
              <w:marTop w:val="0"/>
              <w:marBottom w:val="0"/>
              <w:divBdr>
                <w:top w:val="none" w:sz="0" w:space="0" w:color="auto"/>
                <w:left w:val="none" w:sz="0" w:space="0" w:color="auto"/>
                <w:bottom w:val="none" w:sz="0" w:space="0" w:color="auto"/>
                <w:right w:val="none" w:sz="0" w:space="0" w:color="auto"/>
              </w:divBdr>
              <w:divsChild>
                <w:div w:id="910769842">
                  <w:marLeft w:val="0"/>
                  <w:marRight w:val="0"/>
                  <w:marTop w:val="0"/>
                  <w:marBottom w:val="0"/>
                  <w:divBdr>
                    <w:top w:val="none" w:sz="0" w:space="0" w:color="auto"/>
                    <w:left w:val="none" w:sz="0" w:space="0" w:color="auto"/>
                    <w:bottom w:val="none" w:sz="0" w:space="0" w:color="auto"/>
                    <w:right w:val="none" w:sz="0" w:space="0" w:color="auto"/>
                  </w:divBdr>
                  <w:divsChild>
                    <w:div w:id="1587150936">
                      <w:marLeft w:val="0"/>
                      <w:marRight w:val="0"/>
                      <w:marTop w:val="0"/>
                      <w:marBottom w:val="0"/>
                      <w:divBdr>
                        <w:top w:val="none" w:sz="0" w:space="0" w:color="auto"/>
                        <w:left w:val="none" w:sz="0" w:space="0" w:color="auto"/>
                        <w:bottom w:val="none" w:sz="0" w:space="0" w:color="auto"/>
                        <w:right w:val="none" w:sz="0" w:space="0" w:color="auto"/>
                      </w:divBdr>
                      <w:divsChild>
                        <w:div w:id="1274093953">
                          <w:marLeft w:val="0"/>
                          <w:marRight w:val="0"/>
                          <w:marTop w:val="0"/>
                          <w:marBottom w:val="0"/>
                          <w:divBdr>
                            <w:top w:val="none" w:sz="0" w:space="0" w:color="auto"/>
                            <w:left w:val="none" w:sz="0" w:space="0" w:color="auto"/>
                            <w:bottom w:val="none" w:sz="0" w:space="0" w:color="auto"/>
                            <w:right w:val="none" w:sz="0" w:space="0" w:color="auto"/>
                          </w:divBdr>
                          <w:divsChild>
                            <w:div w:id="1832453326">
                              <w:marLeft w:val="0"/>
                              <w:marRight w:val="0"/>
                              <w:marTop w:val="0"/>
                              <w:marBottom w:val="0"/>
                              <w:divBdr>
                                <w:top w:val="none" w:sz="0" w:space="0" w:color="auto"/>
                                <w:left w:val="none" w:sz="0" w:space="0" w:color="auto"/>
                                <w:bottom w:val="none" w:sz="0" w:space="0" w:color="auto"/>
                                <w:right w:val="none" w:sz="0" w:space="0" w:color="auto"/>
                              </w:divBdr>
                              <w:divsChild>
                                <w:div w:id="47653509">
                                  <w:marLeft w:val="0"/>
                                  <w:marRight w:val="0"/>
                                  <w:marTop w:val="0"/>
                                  <w:marBottom w:val="0"/>
                                  <w:divBdr>
                                    <w:top w:val="none" w:sz="0" w:space="0" w:color="auto"/>
                                    <w:left w:val="none" w:sz="0" w:space="0" w:color="auto"/>
                                    <w:bottom w:val="none" w:sz="0" w:space="0" w:color="auto"/>
                                    <w:right w:val="none" w:sz="0" w:space="0" w:color="auto"/>
                                  </w:divBdr>
                                  <w:divsChild>
                                    <w:div w:id="1842817357">
                                      <w:marLeft w:val="0"/>
                                      <w:marRight w:val="0"/>
                                      <w:marTop w:val="0"/>
                                      <w:marBottom w:val="0"/>
                                      <w:divBdr>
                                        <w:top w:val="none" w:sz="0" w:space="0" w:color="auto"/>
                                        <w:left w:val="none" w:sz="0" w:space="0" w:color="auto"/>
                                        <w:bottom w:val="none" w:sz="0" w:space="0" w:color="auto"/>
                                        <w:right w:val="none" w:sz="0" w:space="0" w:color="auto"/>
                                      </w:divBdr>
                                      <w:divsChild>
                                        <w:div w:id="1991788291">
                                          <w:marLeft w:val="0"/>
                                          <w:marRight w:val="0"/>
                                          <w:marTop w:val="0"/>
                                          <w:marBottom w:val="0"/>
                                          <w:divBdr>
                                            <w:top w:val="none" w:sz="0" w:space="0" w:color="auto"/>
                                            <w:left w:val="none" w:sz="0" w:space="0" w:color="auto"/>
                                            <w:bottom w:val="none" w:sz="0" w:space="0" w:color="auto"/>
                                            <w:right w:val="none" w:sz="0" w:space="0" w:color="auto"/>
                                          </w:divBdr>
                                          <w:divsChild>
                                            <w:div w:id="2120643038">
                                              <w:marLeft w:val="0"/>
                                              <w:marRight w:val="0"/>
                                              <w:marTop w:val="0"/>
                                              <w:marBottom w:val="0"/>
                                              <w:divBdr>
                                                <w:top w:val="none" w:sz="0" w:space="0" w:color="auto"/>
                                                <w:left w:val="none" w:sz="0" w:space="0" w:color="auto"/>
                                                <w:bottom w:val="none" w:sz="0" w:space="0" w:color="auto"/>
                                                <w:right w:val="none" w:sz="0" w:space="0" w:color="auto"/>
                                              </w:divBdr>
                                              <w:divsChild>
                                                <w:div w:id="764303489">
                                                  <w:marLeft w:val="0"/>
                                                  <w:marRight w:val="0"/>
                                                  <w:marTop w:val="0"/>
                                                  <w:marBottom w:val="0"/>
                                                  <w:divBdr>
                                                    <w:top w:val="none" w:sz="0" w:space="0" w:color="auto"/>
                                                    <w:left w:val="none" w:sz="0" w:space="0" w:color="auto"/>
                                                    <w:bottom w:val="none" w:sz="0" w:space="0" w:color="auto"/>
                                                    <w:right w:val="none" w:sz="0" w:space="0" w:color="auto"/>
                                                  </w:divBdr>
                                                  <w:divsChild>
                                                    <w:div w:id="1963001978">
                                                      <w:marLeft w:val="0"/>
                                                      <w:marRight w:val="0"/>
                                                      <w:marTop w:val="0"/>
                                                      <w:marBottom w:val="0"/>
                                                      <w:divBdr>
                                                        <w:top w:val="none" w:sz="0" w:space="0" w:color="auto"/>
                                                        <w:left w:val="none" w:sz="0" w:space="0" w:color="auto"/>
                                                        <w:bottom w:val="none" w:sz="0" w:space="0" w:color="auto"/>
                                                        <w:right w:val="none" w:sz="0" w:space="0" w:color="auto"/>
                                                      </w:divBdr>
                                                      <w:divsChild>
                                                        <w:div w:id="95416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229431">
                                              <w:marLeft w:val="0"/>
                                              <w:marRight w:val="0"/>
                                              <w:marTop w:val="0"/>
                                              <w:marBottom w:val="0"/>
                                              <w:divBdr>
                                                <w:top w:val="none" w:sz="0" w:space="0" w:color="auto"/>
                                                <w:left w:val="none" w:sz="0" w:space="0" w:color="auto"/>
                                                <w:bottom w:val="none" w:sz="0" w:space="0" w:color="auto"/>
                                                <w:right w:val="none" w:sz="0" w:space="0" w:color="auto"/>
                                              </w:divBdr>
                                              <w:divsChild>
                                                <w:div w:id="1835880640">
                                                  <w:marLeft w:val="0"/>
                                                  <w:marRight w:val="0"/>
                                                  <w:marTop w:val="0"/>
                                                  <w:marBottom w:val="0"/>
                                                  <w:divBdr>
                                                    <w:top w:val="none" w:sz="0" w:space="0" w:color="auto"/>
                                                    <w:left w:val="none" w:sz="0" w:space="0" w:color="auto"/>
                                                    <w:bottom w:val="none" w:sz="0" w:space="0" w:color="auto"/>
                                                    <w:right w:val="none" w:sz="0" w:space="0" w:color="auto"/>
                                                  </w:divBdr>
                                                  <w:divsChild>
                                                    <w:div w:id="648167181">
                                                      <w:marLeft w:val="0"/>
                                                      <w:marRight w:val="0"/>
                                                      <w:marTop w:val="0"/>
                                                      <w:marBottom w:val="0"/>
                                                      <w:divBdr>
                                                        <w:top w:val="none" w:sz="0" w:space="0" w:color="auto"/>
                                                        <w:left w:val="none" w:sz="0" w:space="0" w:color="auto"/>
                                                        <w:bottom w:val="none" w:sz="0" w:space="0" w:color="auto"/>
                                                        <w:right w:val="none" w:sz="0" w:space="0" w:color="auto"/>
                                                      </w:divBdr>
                                                      <w:divsChild>
                                                        <w:div w:id="185915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5777294">
          <w:marLeft w:val="0"/>
          <w:marRight w:val="0"/>
          <w:marTop w:val="0"/>
          <w:marBottom w:val="0"/>
          <w:divBdr>
            <w:top w:val="none" w:sz="0" w:space="0" w:color="auto"/>
            <w:left w:val="none" w:sz="0" w:space="0" w:color="auto"/>
            <w:bottom w:val="none" w:sz="0" w:space="0" w:color="auto"/>
            <w:right w:val="none" w:sz="0" w:space="0" w:color="auto"/>
          </w:divBdr>
          <w:divsChild>
            <w:div w:id="455023423">
              <w:marLeft w:val="0"/>
              <w:marRight w:val="0"/>
              <w:marTop w:val="0"/>
              <w:marBottom w:val="0"/>
              <w:divBdr>
                <w:top w:val="none" w:sz="0" w:space="0" w:color="auto"/>
                <w:left w:val="none" w:sz="0" w:space="0" w:color="auto"/>
                <w:bottom w:val="none" w:sz="0" w:space="0" w:color="auto"/>
                <w:right w:val="none" w:sz="0" w:space="0" w:color="auto"/>
              </w:divBdr>
              <w:divsChild>
                <w:div w:id="1135875628">
                  <w:marLeft w:val="0"/>
                  <w:marRight w:val="0"/>
                  <w:marTop w:val="0"/>
                  <w:marBottom w:val="0"/>
                  <w:divBdr>
                    <w:top w:val="none" w:sz="0" w:space="0" w:color="auto"/>
                    <w:left w:val="none" w:sz="0" w:space="0" w:color="auto"/>
                    <w:bottom w:val="none" w:sz="0" w:space="0" w:color="auto"/>
                    <w:right w:val="none" w:sz="0" w:space="0" w:color="auto"/>
                  </w:divBdr>
                  <w:divsChild>
                    <w:div w:id="208588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447926">
      <w:bodyDiv w:val="1"/>
      <w:marLeft w:val="0"/>
      <w:marRight w:val="0"/>
      <w:marTop w:val="0"/>
      <w:marBottom w:val="0"/>
      <w:divBdr>
        <w:top w:val="none" w:sz="0" w:space="0" w:color="auto"/>
        <w:left w:val="none" w:sz="0" w:space="0" w:color="auto"/>
        <w:bottom w:val="none" w:sz="0" w:space="0" w:color="auto"/>
        <w:right w:val="none" w:sz="0" w:space="0" w:color="auto"/>
      </w:divBdr>
      <w:divsChild>
        <w:div w:id="1714770790">
          <w:marLeft w:val="0"/>
          <w:marRight w:val="0"/>
          <w:marTop w:val="0"/>
          <w:marBottom w:val="0"/>
          <w:divBdr>
            <w:top w:val="none" w:sz="0" w:space="0" w:color="auto"/>
            <w:left w:val="none" w:sz="0" w:space="0" w:color="auto"/>
            <w:bottom w:val="none" w:sz="0" w:space="0" w:color="auto"/>
            <w:right w:val="none" w:sz="0" w:space="0" w:color="auto"/>
          </w:divBdr>
          <w:divsChild>
            <w:div w:id="478500189">
              <w:marLeft w:val="0"/>
              <w:marRight w:val="0"/>
              <w:marTop w:val="0"/>
              <w:marBottom w:val="0"/>
              <w:divBdr>
                <w:top w:val="none" w:sz="0" w:space="0" w:color="auto"/>
                <w:left w:val="none" w:sz="0" w:space="0" w:color="auto"/>
                <w:bottom w:val="none" w:sz="0" w:space="0" w:color="auto"/>
                <w:right w:val="none" w:sz="0" w:space="0" w:color="auto"/>
              </w:divBdr>
              <w:divsChild>
                <w:div w:id="947467986">
                  <w:marLeft w:val="0"/>
                  <w:marRight w:val="0"/>
                  <w:marTop w:val="0"/>
                  <w:marBottom w:val="0"/>
                  <w:divBdr>
                    <w:top w:val="none" w:sz="0" w:space="0" w:color="auto"/>
                    <w:left w:val="none" w:sz="0" w:space="0" w:color="auto"/>
                    <w:bottom w:val="none" w:sz="0" w:space="0" w:color="auto"/>
                    <w:right w:val="none" w:sz="0" w:space="0" w:color="auto"/>
                  </w:divBdr>
                  <w:divsChild>
                    <w:div w:id="962735012">
                      <w:marLeft w:val="0"/>
                      <w:marRight w:val="0"/>
                      <w:marTop w:val="0"/>
                      <w:marBottom w:val="0"/>
                      <w:divBdr>
                        <w:top w:val="none" w:sz="0" w:space="0" w:color="auto"/>
                        <w:left w:val="none" w:sz="0" w:space="0" w:color="auto"/>
                        <w:bottom w:val="none" w:sz="0" w:space="0" w:color="auto"/>
                        <w:right w:val="none" w:sz="0" w:space="0" w:color="auto"/>
                      </w:divBdr>
                      <w:divsChild>
                        <w:div w:id="1721053916">
                          <w:marLeft w:val="0"/>
                          <w:marRight w:val="0"/>
                          <w:marTop w:val="0"/>
                          <w:marBottom w:val="0"/>
                          <w:divBdr>
                            <w:top w:val="none" w:sz="0" w:space="0" w:color="auto"/>
                            <w:left w:val="none" w:sz="0" w:space="0" w:color="auto"/>
                            <w:bottom w:val="none" w:sz="0" w:space="0" w:color="auto"/>
                            <w:right w:val="none" w:sz="0" w:space="0" w:color="auto"/>
                          </w:divBdr>
                          <w:divsChild>
                            <w:div w:id="396972814">
                              <w:marLeft w:val="0"/>
                              <w:marRight w:val="0"/>
                              <w:marTop w:val="0"/>
                              <w:marBottom w:val="0"/>
                              <w:divBdr>
                                <w:top w:val="none" w:sz="0" w:space="0" w:color="auto"/>
                                <w:left w:val="none" w:sz="0" w:space="0" w:color="auto"/>
                                <w:bottom w:val="none" w:sz="0" w:space="0" w:color="auto"/>
                                <w:right w:val="none" w:sz="0" w:space="0" w:color="auto"/>
                              </w:divBdr>
                              <w:divsChild>
                                <w:div w:id="1373506331">
                                  <w:marLeft w:val="0"/>
                                  <w:marRight w:val="0"/>
                                  <w:marTop w:val="0"/>
                                  <w:marBottom w:val="0"/>
                                  <w:divBdr>
                                    <w:top w:val="none" w:sz="0" w:space="0" w:color="auto"/>
                                    <w:left w:val="none" w:sz="0" w:space="0" w:color="auto"/>
                                    <w:bottom w:val="none" w:sz="0" w:space="0" w:color="auto"/>
                                    <w:right w:val="none" w:sz="0" w:space="0" w:color="auto"/>
                                  </w:divBdr>
                                  <w:divsChild>
                                    <w:div w:id="2146659735">
                                      <w:marLeft w:val="0"/>
                                      <w:marRight w:val="0"/>
                                      <w:marTop w:val="0"/>
                                      <w:marBottom w:val="0"/>
                                      <w:divBdr>
                                        <w:top w:val="none" w:sz="0" w:space="0" w:color="auto"/>
                                        <w:left w:val="none" w:sz="0" w:space="0" w:color="auto"/>
                                        <w:bottom w:val="none" w:sz="0" w:space="0" w:color="auto"/>
                                        <w:right w:val="none" w:sz="0" w:space="0" w:color="auto"/>
                                      </w:divBdr>
                                      <w:divsChild>
                                        <w:div w:id="2045279688">
                                          <w:marLeft w:val="0"/>
                                          <w:marRight w:val="0"/>
                                          <w:marTop w:val="0"/>
                                          <w:marBottom w:val="0"/>
                                          <w:divBdr>
                                            <w:top w:val="none" w:sz="0" w:space="0" w:color="auto"/>
                                            <w:left w:val="none" w:sz="0" w:space="0" w:color="auto"/>
                                            <w:bottom w:val="none" w:sz="0" w:space="0" w:color="auto"/>
                                            <w:right w:val="none" w:sz="0" w:space="0" w:color="auto"/>
                                          </w:divBdr>
                                          <w:divsChild>
                                            <w:div w:id="434595248">
                                              <w:marLeft w:val="0"/>
                                              <w:marRight w:val="0"/>
                                              <w:marTop w:val="0"/>
                                              <w:marBottom w:val="0"/>
                                              <w:divBdr>
                                                <w:top w:val="none" w:sz="0" w:space="0" w:color="auto"/>
                                                <w:left w:val="none" w:sz="0" w:space="0" w:color="auto"/>
                                                <w:bottom w:val="none" w:sz="0" w:space="0" w:color="auto"/>
                                                <w:right w:val="none" w:sz="0" w:space="0" w:color="auto"/>
                                              </w:divBdr>
                                              <w:divsChild>
                                                <w:div w:id="1367020759">
                                                  <w:marLeft w:val="0"/>
                                                  <w:marRight w:val="0"/>
                                                  <w:marTop w:val="0"/>
                                                  <w:marBottom w:val="0"/>
                                                  <w:divBdr>
                                                    <w:top w:val="none" w:sz="0" w:space="0" w:color="auto"/>
                                                    <w:left w:val="none" w:sz="0" w:space="0" w:color="auto"/>
                                                    <w:bottom w:val="none" w:sz="0" w:space="0" w:color="auto"/>
                                                    <w:right w:val="none" w:sz="0" w:space="0" w:color="auto"/>
                                                  </w:divBdr>
                                                  <w:divsChild>
                                                    <w:div w:id="1572932644">
                                                      <w:marLeft w:val="0"/>
                                                      <w:marRight w:val="0"/>
                                                      <w:marTop w:val="0"/>
                                                      <w:marBottom w:val="0"/>
                                                      <w:divBdr>
                                                        <w:top w:val="none" w:sz="0" w:space="0" w:color="auto"/>
                                                        <w:left w:val="none" w:sz="0" w:space="0" w:color="auto"/>
                                                        <w:bottom w:val="none" w:sz="0" w:space="0" w:color="auto"/>
                                                        <w:right w:val="none" w:sz="0" w:space="0" w:color="auto"/>
                                                      </w:divBdr>
                                                      <w:divsChild>
                                                        <w:div w:id="33288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424013">
                                              <w:marLeft w:val="0"/>
                                              <w:marRight w:val="0"/>
                                              <w:marTop w:val="0"/>
                                              <w:marBottom w:val="0"/>
                                              <w:divBdr>
                                                <w:top w:val="none" w:sz="0" w:space="0" w:color="auto"/>
                                                <w:left w:val="none" w:sz="0" w:space="0" w:color="auto"/>
                                                <w:bottom w:val="none" w:sz="0" w:space="0" w:color="auto"/>
                                                <w:right w:val="none" w:sz="0" w:space="0" w:color="auto"/>
                                              </w:divBdr>
                                              <w:divsChild>
                                                <w:div w:id="1768623007">
                                                  <w:marLeft w:val="0"/>
                                                  <w:marRight w:val="0"/>
                                                  <w:marTop w:val="0"/>
                                                  <w:marBottom w:val="0"/>
                                                  <w:divBdr>
                                                    <w:top w:val="none" w:sz="0" w:space="0" w:color="auto"/>
                                                    <w:left w:val="none" w:sz="0" w:space="0" w:color="auto"/>
                                                    <w:bottom w:val="none" w:sz="0" w:space="0" w:color="auto"/>
                                                    <w:right w:val="none" w:sz="0" w:space="0" w:color="auto"/>
                                                  </w:divBdr>
                                                  <w:divsChild>
                                                    <w:div w:id="1546716907">
                                                      <w:marLeft w:val="0"/>
                                                      <w:marRight w:val="0"/>
                                                      <w:marTop w:val="0"/>
                                                      <w:marBottom w:val="0"/>
                                                      <w:divBdr>
                                                        <w:top w:val="none" w:sz="0" w:space="0" w:color="auto"/>
                                                        <w:left w:val="none" w:sz="0" w:space="0" w:color="auto"/>
                                                        <w:bottom w:val="none" w:sz="0" w:space="0" w:color="auto"/>
                                                        <w:right w:val="none" w:sz="0" w:space="0" w:color="auto"/>
                                                      </w:divBdr>
                                                      <w:divsChild>
                                                        <w:div w:id="116975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64000001">
          <w:marLeft w:val="0"/>
          <w:marRight w:val="0"/>
          <w:marTop w:val="0"/>
          <w:marBottom w:val="0"/>
          <w:divBdr>
            <w:top w:val="none" w:sz="0" w:space="0" w:color="auto"/>
            <w:left w:val="none" w:sz="0" w:space="0" w:color="auto"/>
            <w:bottom w:val="none" w:sz="0" w:space="0" w:color="auto"/>
            <w:right w:val="none" w:sz="0" w:space="0" w:color="auto"/>
          </w:divBdr>
          <w:divsChild>
            <w:div w:id="1401947895">
              <w:marLeft w:val="0"/>
              <w:marRight w:val="0"/>
              <w:marTop w:val="0"/>
              <w:marBottom w:val="0"/>
              <w:divBdr>
                <w:top w:val="none" w:sz="0" w:space="0" w:color="auto"/>
                <w:left w:val="none" w:sz="0" w:space="0" w:color="auto"/>
                <w:bottom w:val="none" w:sz="0" w:space="0" w:color="auto"/>
                <w:right w:val="none" w:sz="0" w:space="0" w:color="auto"/>
              </w:divBdr>
              <w:divsChild>
                <w:div w:id="1159613170">
                  <w:marLeft w:val="0"/>
                  <w:marRight w:val="0"/>
                  <w:marTop w:val="0"/>
                  <w:marBottom w:val="0"/>
                  <w:divBdr>
                    <w:top w:val="none" w:sz="0" w:space="0" w:color="auto"/>
                    <w:left w:val="none" w:sz="0" w:space="0" w:color="auto"/>
                    <w:bottom w:val="none" w:sz="0" w:space="0" w:color="auto"/>
                    <w:right w:val="none" w:sz="0" w:space="0" w:color="auto"/>
                  </w:divBdr>
                  <w:divsChild>
                    <w:div w:id="70706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8178672">
      <w:bodyDiv w:val="1"/>
      <w:marLeft w:val="0"/>
      <w:marRight w:val="0"/>
      <w:marTop w:val="0"/>
      <w:marBottom w:val="0"/>
      <w:divBdr>
        <w:top w:val="none" w:sz="0" w:space="0" w:color="auto"/>
        <w:left w:val="none" w:sz="0" w:space="0" w:color="auto"/>
        <w:bottom w:val="none" w:sz="0" w:space="0" w:color="auto"/>
        <w:right w:val="none" w:sz="0" w:space="0" w:color="auto"/>
      </w:divBdr>
      <w:divsChild>
        <w:div w:id="1734235805">
          <w:marLeft w:val="0"/>
          <w:marRight w:val="0"/>
          <w:marTop w:val="0"/>
          <w:marBottom w:val="0"/>
          <w:divBdr>
            <w:top w:val="none" w:sz="0" w:space="0" w:color="auto"/>
            <w:left w:val="none" w:sz="0" w:space="0" w:color="auto"/>
            <w:bottom w:val="none" w:sz="0" w:space="0" w:color="auto"/>
            <w:right w:val="none" w:sz="0" w:space="0" w:color="auto"/>
          </w:divBdr>
          <w:divsChild>
            <w:div w:id="1996370483">
              <w:marLeft w:val="0"/>
              <w:marRight w:val="0"/>
              <w:marTop w:val="0"/>
              <w:marBottom w:val="0"/>
              <w:divBdr>
                <w:top w:val="none" w:sz="0" w:space="0" w:color="auto"/>
                <w:left w:val="none" w:sz="0" w:space="0" w:color="auto"/>
                <w:bottom w:val="none" w:sz="0" w:space="0" w:color="auto"/>
                <w:right w:val="none" w:sz="0" w:space="0" w:color="auto"/>
              </w:divBdr>
              <w:divsChild>
                <w:div w:id="1839997811">
                  <w:marLeft w:val="0"/>
                  <w:marRight w:val="0"/>
                  <w:marTop w:val="0"/>
                  <w:marBottom w:val="0"/>
                  <w:divBdr>
                    <w:top w:val="none" w:sz="0" w:space="0" w:color="auto"/>
                    <w:left w:val="none" w:sz="0" w:space="0" w:color="auto"/>
                    <w:bottom w:val="none" w:sz="0" w:space="0" w:color="auto"/>
                    <w:right w:val="none" w:sz="0" w:space="0" w:color="auto"/>
                  </w:divBdr>
                  <w:divsChild>
                    <w:div w:id="18237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036599">
      <w:bodyDiv w:val="1"/>
      <w:marLeft w:val="0"/>
      <w:marRight w:val="0"/>
      <w:marTop w:val="0"/>
      <w:marBottom w:val="0"/>
      <w:divBdr>
        <w:top w:val="none" w:sz="0" w:space="0" w:color="auto"/>
        <w:left w:val="none" w:sz="0" w:space="0" w:color="auto"/>
        <w:bottom w:val="none" w:sz="0" w:space="0" w:color="auto"/>
        <w:right w:val="none" w:sz="0" w:space="0" w:color="auto"/>
      </w:divBdr>
      <w:divsChild>
        <w:div w:id="546840534">
          <w:marLeft w:val="0"/>
          <w:marRight w:val="0"/>
          <w:marTop w:val="0"/>
          <w:marBottom w:val="0"/>
          <w:divBdr>
            <w:top w:val="none" w:sz="0" w:space="0" w:color="auto"/>
            <w:left w:val="none" w:sz="0" w:space="0" w:color="auto"/>
            <w:bottom w:val="none" w:sz="0" w:space="0" w:color="auto"/>
            <w:right w:val="none" w:sz="0" w:space="0" w:color="auto"/>
          </w:divBdr>
          <w:divsChild>
            <w:div w:id="680277023">
              <w:marLeft w:val="0"/>
              <w:marRight w:val="0"/>
              <w:marTop w:val="0"/>
              <w:marBottom w:val="0"/>
              <w:divBdr>
                <w:top w:val="none" w:sz="0" w:space="0" w:color="auto"/>
                <w:left w:val="none" w:sz="0" w:space="0" w:color="auto"/>
                <w:bottom w:val="none" w:sz="0" w:space="0" w:color="auto"/>
                <w:right w:val="none" w:sz="0" w:space="0" w:color="auto"/>
              </w:divBdr>
              <w:divsChild>
                <w:div w:id="1593276228">
                  <w:marLeft w:val="0"/>
                  <w:marRight w:val="0"/>
                  <w:marTop w:val="0"/>
                  <w:marBottom w:val="0"/>
                  <w:divBdr>
                    <w:top w:val="none" w:sz="0" w:space="0" w:color="auto"/>
                    <w:left w:val="none" w:sz="0" w:space="0" w:color="auto"/>
                    <w:bottom w:val="none" w:sz="0" w:space="0" w:color="auto"/>
                    <w:right w:val="none" w:sz="0" w:space="0" w:color="auto"/>
                  </w:divBdr>
                  <w:divsChild>
                    <w:div w:id="17577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824759">
      <w:bodyDiv w:val="1"/>
      <w:marLeft w:val="0"/>
      <w:marRight w:val="0"/>
      <w:marTop w:val="0"/>
      <w:marBottom w:val="0"/>
      <w:divBdr>
        <w:top w:val="none" w:sz="0" w:space="0" w:color="auto"/>
        <w:left w:val="none" w:sz="0" w:space="0" w:color="auto"/>
        <w:bottom w:val="none" w:sz="0" w:space="0" w:color="auto"/>
        <w:right w:val="none" w:sz="0" w:space="0" w:color="auto"/>
      </w:divBdr>
      <w:divsChild>
        <w:div w:id="1028719513">
          <w:marLeft w:val="0"/>
          <w:marRight w:val="0"/>
          <w:marTop w:val="0"/>
          <w:marBottom w:val="0"/>
          <w:divBdr>
            <w:top w:val="none" w:sz="0" w:space="0" w:color="auto"/>
            <w:left w:val="none" w:sz="0" w:space="0" w:color="auto"/>
            <w:bottom w:val="none" w:sz="0" w:space="0" w:color="auto"/>
            <w:right w:val="none" w:sz="0" w:space="0" w:color="auto"/>
          </w:divBdr>
          <w:divsChild>
            <w:div w:id="1516919682">
              <w:marLeft w:val="0"/>
              <w:marRight w:val="0"/>
              <w:marTop w:val="0"/>
              <w:marBottom w:val="0"/>
              <w:divBdr>
                <w:top w:val="none" w:sz="0" w:space="0" w:color="auto"/>
                <w:left w:val="none" w:sz="0" w:space="0" w:color="auto"/>
                <w:bottom w:val="none" w:sz="0" w:space="0" w:color="auto"/>
                <w:right w:val="none" w:sz="0" w:space="0" w:color="auto"/>
              </w:divBdr>
              <w:divsChild>
                <w:div w:id="1647777392">
                  <w:marLeft w:val="0"/>
                  <w:marRight w:val="0"/>
                  <w:marTop w:val="0"/>
                  <w:marBottom w:val="0"/>
                  <w:divBdr>
                    <w:top w:val="none" w:sz="0" w:space="0" w:color="auto"/>
                    <w:left w:val="none" w:sz="0" w:space="0" w:color="auto"/>
                    <w:bottom w:val="none" w:sz="0" w:space="0" w:color="auto"/>
                    <w:right w:val="none" w:sz="0" w:space="0" w:color="auto"/>
                  </w:divBdr>
                  <w:divsChild>
                    <w:div w:id="202821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265849">
          <w:marLeft w:val="0"/>
          <w:marRight w:val="0"/>
          <w:marTop w:val="0"/>
          <w:marBottom w:val="0"/>
          <w:divBdr>
            <w:top w:val="none" w:sz="0" w:space="0" w:color="auto"/>
            <w:left w:val="none" w:sz="0" w:space="0" w:color="auto"/>
            <w:bottom w:val="none" w:sz="0" w:space="0" w:color="auto"/>
            <w:right w:val="none" w:sz="0" w:space="0" w:color="auto"/>
          </w:divBdr>
          <w:divsChild>
            <w:div w:id="2139686289">
              <w:marLeft w:val="0"/>
              <w:marRight w:val="0"/>
              <w:marTop w:val="0"/>
              <w:marBottom w:val="0"/>
              <w:divBdr>
                <w:top w:val="none" w:sz="0" w:space="0" w:color="auto"/>
                <w:left w:val="none" w:sz="0" w:space="0" w:color="auto"/>
                <w:bottom w:val="none" w:sz="0" w:space="0" w:color="auto"/>
                <w:right w:val="none" w:sz="0" w:space="0" w:color="auto"/>
              </w:divBdr>
              <w:divsChild>
                <w:div w:id="1877616362">
                  <w:marLeft w:val="0"/>
                  <w:marRight w:val="0"/>
                  <w:marTop w:val="0"/>
                  <w:marBottom w:val="0"/>
                  <w:divBdr>
                    <w:top w:val="none" w:sz="0" w:space="0" w:color="auto"/>
                    <w:left w:val="none" w:sz="0" w:space="0" w:color="auto"/>
                    <w:bottom w:val="none" w:sz="0" w:space="0" w:color="auto"/>
                    <w:right w:val="none" w:sz="0" w:space="0" w:color="auto"/>
                  </w:divBdr>
                  <w:divsChild>
                    <w:div w:id="208125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221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books/NBK56070/" TargetMode="External"/><Relationship Id="rId12"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books/NBK56051/" TargetMode="External"/><Relationship Id="rId11" Type="http://schemas.openxmlformats.org/officeDocument/2006/relationships/hyperlink" Target="https://www.ncbi.nlm.nih.gov/books/NBK56051/" TargetMode="External"/><Relationship Id="rId5" Type="http://schemas.openxmlformats.org/officeDocument/2006/relationships/hyperlink" Target="https://www.food.gov.uk/" TargetMode="External"/><Relationship Id="rId10" Type="http://schemas.openxmlformats.org/officeDocument/2006/relationships/hyperlink" Target="https://www.food.gov.uk/" TargetMode="External"/><Relationship Id="rId4" Type="http://schemas.openxmlformats.org/officeDocument/2006/relationships/webSettings" Target="webSettings.xml"/><Relationship Id="rId9" Type="http://schemas.openxmlformats.org/officeDocument/2006/relationships/hyperlink" Target="https://www.who.i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174</TotalTime>
  <Pages>6</Pages>
  <Words>1827</Words>
  <Characters>10417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1</cp:revision>
  <dcterms:created xsi:type="dcterms:W3CDTF">2024-12-10T11:34:00Z</dcterms:created>
  <dcterms:modified xsi:type="dcterms:W3CDTF">2024-12-10T14:49:00Z</dcterms:modified>
</cp:coreProperties>
</file>