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4572B1" w14:textId="614C0F99" w:rsidR="003459EF" w:rsidRDefault="00C32017">
      <w:pPr>
        <w:shd w:val="clear" w:color="auto" w:fill="FFFFFF"/>
        <w:tabs>
          <w:tab w:val="left" w:pos="7870"/>
        </w:tabs>
        <w:spacing w:before="300" w:after="300" w:line="440" w:lineRule="atLeast"/>
        <w:jc w:val="both"/>
        <w:rPr>
          <w:rFonts w:ascii="Calibri" w:eastAsia="Times New Roman" w:hAnsi="Calibri" w:cs="Calibri"/>
          <w:color w:val="222222"/>
        </w:rPr>
      </w:pPr>
      <w:r w:rsidRPr="001E0962">
        <w:rPr>
          <w:rFonts w:ascii="Arial" w:hAnsi="Arial"/>
          <w:noProof/>
        </w:rPr>
        <w:drawing>
          <wp:anchor distT="0" distB="0" distL="114300" distR="114300" simplePos="0" relativeHeight="251659264" behindDoc="0" locked="0" layoutInCell="1" allowOverlap="1" wp14:anchorId="3DFF588B" wp14:editId="0ECD1951">
            <wp:simplePos x="0" y="0"/>
            <wp:positionH relativeFrom="margin">
              <wp:posOffset>1771650</wp:posOffset>
            </wp:positionH>
            <wp:positionV relativeFrom="paragraph">
              <wp:posOffset>0</wp:posOffset>
            </wp:positionV>
            <wp:extent cx="2400300" cy="1004570"/>
            <wp:effectExtent l="0" t="0" r="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r w:rsidR="009A32A5">
        <w:rPr>
          <w:rFonts w:ascii="Times New Roman" w:eastAsia="Times New Roman" w:hAnsi="Times New Roman" w:cs="Times New Roman"/>
          <w:color w:val="111111"/>
          <w:sz w:val="24"/>
          <w:szCs w:val="24"/>
        </w:rPr>
        <w:tab/>
      </w:r>
    </w:p>
    <w:p w14:paraId="344DD90D"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 xml:space="preserve">         </w:t>
      </w:r>
    </w:p>
    <w:p w14:paraId="298C9F04" w14:textId="44EA001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60125B54" w14:textId="55B59A24" w:rsidR="00C32017" w:rsidRDefault="00C32017" w:rsidP="00C32017">
      <w:pPr>
        <w:shd w:val="clear" w:color="auto" w:fill="FFFFFF"/>
        <w:spacing w:before="300" w:after="300" w:line="440" w:lineRule="atLeast"/>
        <w:jc w:val="center"/>
        <w:rPr>
          <w:rFonts w:ascii="Times New Roman" w:eastAsia="Times New Roman" w:hAnsi="Times New Roman" w:cs="Times New Roman"/>
          <w:bCs/>
          <w:color w:val="111111"/>
          <w:sz w:val="28"/>
          <w:szCs w:val="28"/>
        </w:rPr>
      </w:pPr>
      <w:r>
        <w:rPr>
          <w:rFonts w:ascii="Times New Roman" w:eastAsia="Times New Roman" w:hAnsi="Times New Roman" w:cs="Times New Roman"/>
          <w:bCs/>
          <w:color w:val="111111"/>
          <w:sz w:val="28"/>
          <w:szCs w:val="28"/>
        </w:rPr>
        <w:t>New look 5 forces</w:t>
      </w:r>
    </w:p>
    <w:p w14:paraId="63DE8BAD" w14:textId="77777777" w:rsidR="00C32017" w:rsidRDefault="00C32017" w:rsidP="00C32017">
      <w:pPr>
        <w:jc w:val="center"/>
      </w:pPr>
    </w:p>
    <w:p w14:paraId="6D053112" w14:textId="77777777" w:rsidR="00C32017" w:rsidRDefault="00C32017" w:rsidP="00C32017">
      <w:pPr>
        <w:jc w:val="center"/>
      </w:pPr>
    </w:p>
    <w:p w14:paraId="537FDE5A" w14:textId="77777777" w:rsidR="00C32017" w:rsidRDefault="00C32017" w:rsidP="00C32017">
      <w:pPr>
        <w:jc w:val="center"/>
      </w:pPr>
    </w:p>
    <w:p w14:paraId="69A89FFD" w14:textId="77777777" w:rsidR="00C32017" w:rsidRDefault="00C32017" w:rsidP="00C32017">
      <w:pPr>
        <w:jc w:val="center"/>
      </w:pPr>
    </w:p>
    <w:p w14:paraId="51F6BFA4" w14:textId="10856CB9" w:rsidR="00C32017" w:rsidRDefault="00C32017" w:rsidP="00C32017">
      <w:pPr>
        <w:jc w:val="center"/>
      </w:pPr>
      <w:bookmarkStart w:id="0" w:name="_GoBack"/>
      <w:bookmarkEnd w:id="0"/>
      <w:r>
        <w:t xml:space="preserve">Lecturer: </w:t>
      </w:r>
      <w:r w:rsidRPr="00821C24">
        <w:t>Sandra Dettmer</w:t>
      </w:r>
    </w:p>
    <w:p w14:paraId="0222C8DB" w14:textId="5DA5F4AB" w:rsidR="00C32017" w:rsidRDefault="00C32017" w:rsidP="00C32017">
      <w:pPr>
        <w:jc w:val="center"/>
      </w:pPr>
      <w:r>
        <w:t xml:space="preserve">        </w:t>
      </w:r>
      <w:r>
        <w:t xml:space="preserve">           </w:t>
      </w:r>
      <w:r>
        <w:t xml:space="preserve">Student name: </w:t>
      </w:r>
      <w:proofErr w:type="spellStart"/>
      <w:r>
        <w:t>Zeinelabdeen</w:t>
      </w:r>
      <w:proofErr w:type="spellEnd"/>
      <w:r>
        <w:t xml:space="preserve"> Alkargholi </w:t>
      </w:r>
    </w:p>
    <w:p w14:paraId="0B802E9D" w14:textId="7C03D8D6" w:rsidR="00C32017" w:rsidRDefault="00C32017" w:rsidP="00C32017">
      <w:pPr>
        <w:jc w:val="center"/>
      </w:pPr>
      <w:r>
        <w:t>Student P number: P</w:t>
      </w:r>
      <w:r>
        <w:t>149893</w:t>
      </w:r>
    </w:p>
    <w:p w14:paraId="4F88E13A" w14:textId="77777777" w:rsidR="00C32017" w:rsidRDefault="00C32017" w:rsidP="00C32017">
      <w:pPr>
        <w:spacing w:line="480" w:lineRule="auto"/>
        <w:jc w:val="center"/>
        <w:rPr>
          <w:rFonts w:ascii="Times New Roman" w:hAnsi="Times New Roman" w:cs="Times New Roman"/>
          <w:sz w:val="24"/>
          <w:szCs w:val="24"/>
        </w:rPr>
      </w:pPr>
      <w:r>
        <w:rPr>
          <w:rFonts w:ascii="Arial" w:hAnsi="Arial" w:cs="Arial"/>
          <w:bCs/>
          <w:szCs w:val="10"/>
        </w:rPr>
        <w:t xml:space="preserve">         </w:t>
      </w:r>
      <w:r w:rsidRPr="001E0962">
        <w:rPr>
          <w:rFonts w:ascii="Arial" w:hAnsi="Arial" w:cs="Arial"/>
          <w:bCs/>
          <w:szCs w:val="10"/>
        </w:rPr>
        <w:t>Date of Submission</w:t>
      </w:r>
      <w:r>
        <w:t>: 23/02/2018</w:t>
      </w:r>
    </w:p>
    <w:p w14:paraId="32E73603" w14:textId="77777777" w:rsidR="00C32017" w:rsidRPr="00C32017" w:rsidRDefault="00C32017" w:rsidP="00C32017">
      <w:pPr>
        <w:shd w:val="clear" w:color="auto" w:fill="FFFFFF"/>
        <w:spacing w:before="300" w:after="300" w:line="440" w:lineRule="atLeast"/>
        <w:jc w:val="center"/>
        <w:rPr>
          <w:rFonts w:ascii="Times New Roman" w:eastAsia="Times New Roman" w:hAnsi="Times New Roman" w:cs="Times New Roman"/>
          <w:bCs/>
          <w:color w:val="111111"/>
          <w:sz w:val="28"/>
          <w:szCs w:val="28"/>
        </w:rPr>
      </w:pPr>
    </w:p>
    <w:p w14:paraId="12BD2762"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7D9CA6A6"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7DB23C84"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39C88ADD"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5D842450"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3171FDB6"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7D1EF120"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271559CE"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7922ED01"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4BEB2FE8" w14:textId="77777777" w:rsidR="00587145" w:rsidRDefault="00587145">
      <w:pPr>
        <w:shd w:val="clear" w:color="auto" w:fill="FFFFFF"/>
        <w:spacing w:before="300" w:after="300" w:line="440" w:lineRule="atLeast"/>
        <w:jc w:val="both"/>
        <w:rPr>
          <w:rFonts w:ascii="Times New Roman" w:eastAsia="Times New Roman" w:hAnsi="Times New Roman" w:cs="Times New Roman"/>
          <w:b/>
          <w:color w:val="111111"/>
          <w:sz w:val="24"/>
          <w:szCs w:val="24"/>
        </w:rPr>
      </w:pPr>
    </w:p>
    <w:p w14:paraId="1899AA88" w14:textId="77777777" w:rsidR="003459EF" w:rsidRDefault="00587145">
      <w:pPr>
        <w:shd w:val="clear" w:color="auto" w:fill="FFFFFF"/>
        <w:spacing w:before="300" w:after="300" w:line="440" w:lineRule="atLeast"/>
        <w:jc w:val="both"/>
        <w:rPr>
          <w:rFonts w:ascii="Calibri" w:eastAsia="Times New Roman" w:hAnsi="Calibri" w:cs="Calibri"/>
          <w:b/>
          <w:color w:val="222222"/>
        </w:rPr>
      </w:pPr>
      <w:r>
        <w:rPr>
          <w:rFonts w:ascii="Times New Roman" w:eastAsia="Times New Roman" w:hAnsi="Times New Roman" w:cs="Times New Roman"/>
          <w:b/>
          <w:color w:val="111111"/>
          <w:sz w:val="24"/>
          <w:szCs w:val="24"/>
        </w:rPr>
        <w:t xml:space="preserve">  </w:t>
      </w:r>
      <w:r w:rsidR="009A32A5">
        <w:rPr>
          <w:rFonts w:ascii="Times New Roman" w:eastAsia="Times New Roman" w:hAnsi="Times New Roman" w:cs="Times New Roman"/>
          <w:b/>
          <w:color w:val="111111"/>
          <w:sz w:val="24"/>
          <w:szCs w:val="24"/>
        </w:rPr>
        <w:t>Case study of New Look Company using Porters Five analysis</w:t>
      </w:r>
    </w:p>
    <w:p w14:paraId="5A2FCF50" w14:textId="77777777" w:rsidR="00587145" w:rsidRPr="00587145" w:rsidRDefault="00587145">
      <w:pPr>
        <w:spacing w:line="480" w:lineRule="auto"/>
        <w:jc w:val="both"/>
        <w:rPr>
          <w:rFonts w:ascii="Times New Roman" w:hAnsi="Times New Roman" w:cs="Times New Roman"/>
          <w:b/>
          <w:sz w:val="24"/>
          <w:szCs w:val="24"/>
        </w:rPr>
      </w:pPr>
    </w:p>
    <w:p w14:paraId="77311AD5" w14:textId="77777777" w:rsidR="00587145" w:rsidRPr="00587145" w:rsidRDefault="00587145">
      <w:pPr>
        <w:spacing w:line="480" w:lineRule="auto"/>
        <w:jc w:val="both"/>
        <w:rPr>
          <w:rFonts w:ascii="Times New Roman" w:hAnsi="Times New Roman" w:cs="Times New Roman"/>
          <w:b/>
          <w:sz w:val="24"/>
          <w:szCs w:val="24"/>
        </w:rPr>
      </w:pPr>
      <w:r w:rsidRPr="00587145">
        <w:rPr>
          <w:rFonts w:ascii="Times New Roman" w:hAnsi="Times New Roman" w:cs="Times New Roman"/>
          <w:b/>
          <w:sz w:val="24"/>
          <w:szCs w:val="24"/>
        </w:rPr>
        <w:t>Introduction</w:t>
      </w:r>
    </w:p>
    <w:p w14:paraId="31DF575D" w14:textId="77777777" w:rsidR="003459EF" w:rsidRDefault="009A32A5">
      <w:pPr>
        <w:spacing w:line="480" w:lineRule="auto"/>
        <w:jc w:val="both"/>
        <w:rPr>
          <w:rFonts w:ascii="Times New Roman" w:hAnsi="Times New Roman" w:cs="Times New Roman"/>
          <w:sz w:val="24"/>
          <w:szCs w:val="24"/>
        </w:rPr>
      </w:pPr>
      <w:r>
        <w:rPr>
          <w:rFonts w:ascii="Times New Roman" w:hAnsi="Times New Roman" w:cs="Times New Roman"/>
          <w:sz w:val="24"/>
          <w:szCs w:val="24"/>
        </w:rPr>
        <w:t>The new look is a privately established Fashion retail company that is located in UK. Operating as a clothing company, it is embedded with quality, care, and usability that holds its firm faith in the impression that quality and comfort should come before brand. The New Look group offers a full arrangement of clothes for children, women, and men. The lines of product they deal with include all clothing as well as well as those that represent fashion (</w:t>
      </w:r>
      <w:r>
        <w:rPr>
          <w:rFonts w:ascii="Times New Roman" w:hAnsi="Times New Roman" w:cs="Times New Roman"/>
          <w:color w:val="222222"/>
          <w:sz w:val="24"/>
          <w:szCs w:val="24"/>
          <w:shd w:val="clear" w:color="auto" w:fill="FFFFFF"/>
        </w:rPr>
        <w:t>Gilbert, 2016, p.98)</w:t>
      </w:r>
      <w:r>
        <w:rPr>
          <w:rFonts w:ascii="Times New Roman" w:hAnsi="Times New Roman" w:cs="Times New Roman"/>
          <w:sz w:val="24"/>
          <w:szCs w:val="24"/>
        </w:rPr>
        <w:t>. The main priority of the company is to sustain a competitive advantage in the clothing industry. Even though continuing this advantage is not an easy task, New Look is hugely concerned about their aptitude to enter world market and their long-term brand sustainability. In analyzing New Look external environment, Porter Five Forces analysis, a business tool will be applied. A Porter’s Five Forces analysis will shape the company competitive approach as well as noting their industry profit perspective.</w:t>
      </w:r>
    </w:p>
    <w:p w14:paraId="60275988" w14:textId="77777777" w:rsidR="003459EF" w:rsidRDefault="009A32A5">
      <w:pPr>
        <w:spacing w:line="480" w:lineRule="auto"/>
        <w:jc w:val="both"/>
        <w:rPr>
          <w:rFonts w:ascii="Times New Roman" w:hAnsi="Times New Roman" w:cs="Times New Roman"/>
          <w:b/>
          <w:sz w:val="24"/>
          <w:szCs w:val="24"/>
        </w:rPr>
      </w:pPr>
      <w:r>
        <w:rPr>
          <w:rFonts w:ascii="Times New Roman" w:hAnsi="Times New Roman" w:cs="Times New Roman"/>
          <w:b/>
          <w:sz w:val="24"/>
          <w:szCs w:val="24"/>
        </w:rPr>
        <w:t>The Threat of new entry</w:t>
      </w:r>
    </w:p>
    <w:p w14:paraId="60A2B2EF" w14:textId="77777777" w:rsidR="003459EF" w:rsidRDefault="009A32A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ab/>
        <w:t>In this industry, new entrants entering this market remain as one of the most potent threats when looking at our today business world. Nevertheless, auspiciously for New Look, this threat is not as overriding as it would be in other businesses. The company has been on the market for almost 37 years and hence it well prepared financially to face any challenge in the industry (</w:t>
      </w:r>
      <w:proofErr w:type="spellStart"/>
      <w:r>
        <w:rPr>
          <w:rFonts w:ascii="Times New Roman" w:hAnsi="Times New Roman" w:cs="Times New Roman"/>
          <w:sz w:val="24"/>
          <w:szCs w:val="24"/>
        </w:rPr>
        <w:t>Sloman</w:t>
      </w:r>
      <w:proofErr w:type="spellEnd"/>
      <w:r>
        <w:rPr>
          <w:rFonts w:ascii="Times New Roman" w:hAnsi="Times New Roman" w:cs="Times New Roman"/>
          <w:sz w:val="24"/>
          <w:szCs w:val="24"/>
        </w:rPr>
        <w:t xml:space="preserve">, et.al. 2016. P.78). New Look currently faces rivalry from other well-known competitors. In the industry, any new entrants that can be considered a threat need to be in a position of offering something unique apart from the newer technology trendy clothing. The company also is facing rivalry from various new fashion supplies that hold benefit over the New Look, which require a good site and a broader assortment of fashion comprising </w:t>
      </w:r>
      <w:proofErr w:type="spellStart"/>
      <w:r>
        <w:rPr>
          <w:rFonts w:ascii="Times New Roman" w:hAnsi="Times New Roman" w:cs="Times New Roman"/>
          <w:sz w:val="24"/>
          <w:szCs w:val="24"/>
        </w:rPr>
        <w:t>accessorise</w:t>
      </w:r>
      <w:proofErr w:type="spellEnd"/>
      <w:r>
        <w:rPr>
          <w:rFonts w:ascii="Times New Roman" w:hAnsi="Times New Roman" w:cs="Times New Roman"/>
          <w:sz w:val="24"/>
          <w:szCs w:val="24"/>
        </w:rPr>
        <w:t>.</w:t>
      </w:r>
    </w:p>
    <w:p w14:paraId="5CB776AE" w14:textId="77777777" w:rsidR="003459EF" w:rsidRDefault="009A32A5">
      <w:pPr>
        <w:spacing w:line="480" w:lineRule="auto"/>
        <w:jc w:val="both"/>
        <w:rPr>
          <w:rFonts w:ascii="Times New Roman" w:hAnsi="Times New Roman" w:cs="Times New Roman"/>
          <w:b/>
          <w:sz w:val="24"/>
          <w:szCs w:val="24"/>
        </w:rPr>
      </w:pPr>
      <w:r>
        <w:rPr>
          <w:rFonts w:ascii="Times New Roman" w:hAnsi="Times New Roman" w:cs="Times New Roman"/>
          <w:b/>
          <w:sz w:val="24"/>
          <w:szCs w:val="24"/>
        </w:rPr>
        <w:t>Power of suppliers</w:t>
      </w:r>
    </w:p>
    <w:p w14:paraId="0550D4B8" w14:textId="77777777" w:rsidR="003459EF" w:rsidRDefault="009A32A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In any organization, suppliers remain as one of the critical entities in the success of any business. This is because raw materials are required in order to have the final product, and therefore supplier has power. Mostly the power of supplier is only possible if the supplier act as a monopoly in the industry (Hamilton &amp; </w:t>
      </w:r>
      <w:proofErr w:type="spellStart"/>
      <w:r>
        <w:rPr>
          <w:rFonts w:ascii="Times New Roman" w:hAnsi="Times New Roman" w:cs="Times New Roman"/>
          <w:sz w:val="24"/>
          <w:szCs w:val="24"/>
        </w:rPr>
        <w:t>Webester</w:t>
      </w:r>
      <w:proofErr w:type="spellEnd"/>
      <w:r>
        <w:rPr>
          <w:rFonts w:ascii="Times New Roman" w:hAnsi="Times New Roman" w:cs="Times New Roman"/>
          <w:sz w:val="24"/>
          <w:szCs w:val="24"/>
        </w:rPr>
        <w:t>, 2012.p.89) Also, due to a high cost of moving from one supplier to another which is sometimes referred to as swapping cost. However, in this situation, New Look has an advantage since there are numerous suppliers who are willing to sell them their products. This purely shows that the controls that is on the hand of suppliers over the New Look and other firms in this industry around the globe are under are under continuous burden to supply at a cheaper cost so as not to lose a main customer.</w:t>
      </w:r>
    </w:p>
    <w:p w14:paraId="08FD52B7" w14:textId="77777777" w:rsidR="003459EF" w:rsidRDefault="009A32A5">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Powers of buyers </w:t>
      </w:r>
    </w:p>
    <w:p w14:paraId="795AEEF9" w14:textId="77777777" w:rsidR="003459EF" w:rsidRDefault="009A32A5">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Usually, the bargaining influence of customers is low since they apprehend that they are paying realistic cost for up to date fashion services and clothes. Even though, for the clothing </w:t>
      </w:r>
      <w:r>
        <w:rPr>
          <w:rFonts w:ascii="Times New Roman" w:hAnsi="Times New Roman" w:cs="Times New Roman"/>
          <w:sz w:val="24"/>
          <w:szCs w:val="24"/>
        </w:rPr>
        <w:lastRenderedPageBreak/>
        <w:t xml:space="preserve">industry, they have a substantial expanse of choice (Campbell. &amp; Craig, 2005.p.122). Hence it is essential for New Look to get the provisions correct in order to keep trustworthy clients and entice new ones. Also, irrespective of the cost of a consumer to change from New Look to another brand is very low, the influence of this single change is virtually non-existent to New Look, as every year their incomes continue to increase.  </w:t>
      </w:r>
    </w:p>
    <w:p w14:paraId="308EC503" w14:textId="77777777" w:rsidR="00587145" w:rsidRDefault="00587145">
      <w:pPr>
        <w:shd w:val="clear" w:color="auto" w:fill="FFFFFF"/>
        <w:spacing w:line="440" w:lineRule="atLeast"/>
        <w:jc w:val="both"/>
        <w:rPr>
          <w:rFonts w:ascii="Times New Roman" w:eastAsia="Times New Roman" w:hAnsi="Times New Roman" w:cs="Times New Roman"/>
          <w:b/>
          <w:color w:val="222222"/>
          <w:sz w:val="24"/>
          <w:szCs w:val="24"/>
        </w:rPr>
      </w:pPr>
    </w:p>
    <w:p w14:paraId="7028D5FC" w14:textId="77777777" w:rsidR="003459EF" w:rsidRDefault="009A32A5">
      <w:pPr>
        <w:shd w:val="clear" w:color="auto" w:fill="FFFFFF"/>
        <w:spacing w:line="440" w:lineRule="atLeast"/>
        <w:jc w:val="both"/>
        <w:rPr>
          <w:rFonts w:ascii="Calibri" w:eastAsia="Times New Roman" w:hAnsi="Calibri" w:cs="Calibri"/>
          <w:b/>
          <w:color w:val="222222"/>
        </w:rPr>
      </w:pPr>
      <w:r>
        <w:rPr>
          <w:rFonts w:ascii="Times New Roman" w:eastAsia="Times New Roman" w:hAnsi="Times New Roman" w:cs="Times New Roman"/>
          <w:b/>
          <w:color w:val="222222"/>
          <w:sz w:val="24"/>
          <w:szCs w:val="24"/>
        </w:rPr>
        <w:t>Competitive Rivalry</w:t>
      </w:r>
    </w:p>
    <w:p w14:paraId="69A612D7" w14:textId="6558CED2" w:rsidR="003459EF" w:rsidRDefault="009A32A5">
      <w:pPr>
        <w:shd w:val="clear" w:color="auto" w:fill="FFFFFF"/>
        <w:spacing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 xml:space="preserve">            The company in consideration faces high-level competition from other well-established brands producers operating in the cloth and technology industry. Specifically, the New Look is subjected to competitive rivalry from companies such as </w:t>
      </w:r>
      <w:r w:rsidR="001748EC">
        <w:rPr>
          <w:rFonts w:ascii="Times New Roman" w:eastAsia="Times New Roman" w:hAnsi="Times New Roman" w:cs="Times New Roman"/>
          <w:color w:val="222222"/>
          <w:sz w:val="24"/>
          <w:szCs w:val="24"/>
        </w:rPr>
        <w:t>Debenhams, H</w:t>
      </w:r>
      <w:r>
        <w:rPr>
          <w:rFonts w:ascii="Times New Roman" w:eastAsia="Times New Roman" w:hAnsi="Times New Roman" w:cs="Times New Roman"/>
          <w:color w:val="222222"/>
          <w:sz w:val="24"/>
          <w:szCs w:val="24"/>
        </w:rPr>
        <w:t xml:space="preserve">&amp;M, Top-Man and NEXT. In most cases, the identified companies present a healthy competition based on price wars in order to maintain and attract more customers. Together with presenting New Look with a competition at </w:t>
      </w:r>
      <w:r w:rsidR="001748EC">
        <w:rPr>
          <w:rFonts w:ascii="Times New Roman" w:eastAsia="Times New Roman" w:hAnsi="Times New Roman" w:cs="Times New Roman"/>
          <w:color w:val="222222"/>
          <w:sz w:val="24"/>
          <w:szCs w:val="24"/>
        </w:rPr>
        <w:t>price, Debenhams</w:t>
      </w:r>
      <w:r>
        <w:rPr>
          <w:rFonts w:ascii="Times New Roman" w:eastAsia="Times New Roman" w:hAnsi="Times New Roman" w:cs="Times New Roman"/>
          <w:color w:val="222222"/>
          <w:sz w:val="24"/>
          <w:szCs w:val="24"/>
        </w:rPr>
        <w:t xml:space="preserve"> is a competitor company of New Look because they manufacture fashionable clothes and deal with wide range of products such as different types of brands such as John Rocha and electrical appliances (Morrison, 2011, P.91).  An additional competitor of New look company is Top Man.  The primary reason why Top Man presents a competitive advantage over New Look is because the company offers the same type of fashionable clothing to their customers at reasonable prices.  Additionally, Top Man sell their own brand of clothing.</w:t>
      </w:r>
    </w:p>
    <w:p w14:paraId="232DAA55" w14:textId="24AA32DD" w:rsidR="003459EF" w:rsidRDefault="009A32A5">
      <w:pPr>
        <w:shd w:val="clear" w:color="auto" w:fill="FFFFFF"/>
        <w:spacing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 xml:space="preserve">            A drawback that negatively impacts the company’s new entry is having money to start a business in terms of human resources, machinery required and setting the location of the business (Johnson, 2016, p.123).  Additionally, finding a fit supplier for a fashionable clothing has </w:t>
      </w:r>
      <w:r w:rsidR="00742536">
        <w:rPr>
          <w:rFonts w:ascii="Times New Roman" w:eastAsia="Times New Roman" w:hAnsi="Times New Roman" w:cs="Times New Roman"/>
          <w:color w:val="222222"/>
          <w:sz w:val="24"/>
          <w:szCs w:val="24"/>
        </w:rPr>
        <w:t>presented New</w:t>
      </w:r>
      <w:r>
        <w:rPr>
          <w:rFonts w:ascii="Times New Roman" w:eastAsia="Times New Roman" w:hAnsi="Times New Roman" w:cs="Times New Roman"/>
          <w:color w:val="222222"/>
          <w:sz w:val="24"/>
          <w:szCs w:val="24"/>
        </w:rPr>
        <w:t xml:space="preserve"> Look with difficulties since the rival companies have well-established means of securing suppliers of their products.</w:t>
      </w:r>
    </w:p>
    <w:p w14:paraId="29EC4BC2" w14:textId="77777777" w:rsidR="003459EF" w:rsidRDefault="009A32A5">
      <w:pPr>
        <w:shd w:val="clear" w:color="auto" w:fill="FFFFFF"/>
        <w:spacing w:line="440" w:lineRule="atLeast"/>
        <w:jc w:val="both"/>
        <w:rPr>
          <w:rFonts w:ascii="Calibri" w:eastAsia="Times New Roman" w:hAnsi="Calibri" w:cs="Calibri"/>
          <w:b/>
          <w:color w:val="222222"/>
        </w:rPr>
      </w:pPr>
      <w:r>
        <w:rPr>
          <w:rFonts w:ascii="Times New Roman" w:eastAsia="Times New Roman" w:hAnsi="Times New Roman" w:cs="Times New Roman"/>
          <w:b/>
          <w:color w:val="222222"/>
          <w:sz w:val="24"/>
          <w:szCs w:val="24"/>
        </w:rPr>
        <w:t>Threat of Substitution</w:t>
      </w:r>
    </w:p>
    <w:p w14:paraId="692312E3" w14:textId="658C8FFD" w:rsidR="003459EF" w:rsidRDefault="009A32A5">
      <w:pPr>
        <w:shd w:val="clear" w:color="auto" w:fill="FFFFFF"/>
        <w:spacing w:line="440" w:lineRule="atLeast"/>
        <w:jc w:val="both"/>
        <w:rPr>
          <w:rFonts w:ascii="Calibri" w:eastAsia="Times New Roman" w:hAnsi="Calibri" w:cs="Calibri"/>
          <w:b/>
          <w:color w:val="222222"/>
        </w:rPr>
      </w:pPr>
      <w:r>
        <w:rPr>
          <w:rFonts w:ascii="Calibri" w:eastAsia="Times New Roman" w:hAnsi="Calibri" w:cs="Calibri"/>
          <w:b/>
          <w:color w:val="222222"/>
        </w:rPr>
        <w:lastRenderedPageBreak/>
        <w:tab/>
      </w:r>
      <w:r>
        <w:rPr>
          <w:rFonts w:ascii="Times New Roman" w:eastAsia="Times New Roman" w:hAnsi="Times New Roman" w:cs="Times New Roman"/>
          <w:color w:val="222222"/>
          <w:sz w:val="24"/>
          <w:szCs w:val="24"/>
        </w:rPr>
        <w:t xml:space="preserve">According to the Porters five analysis model, threat substitution is the extent to which different products and services can be used to replace products offered by New Look.   Threat substitution is affected by the capability of the customers to choose individual products (Porter, 2008, p.30). Even though the company has a substitution threat from companies mentioned in the latter section of the </w:t>
      </w:r>
      <w:r w:rsidR="005F77FC">
        <w:rPr>
          <w:rFonts w:ascii="Times New Roman" w:eastAsia="Times New Roman" w:hAnsi="Times New Roman" w:cs="Times New Roman"/>
          <w:color w:val="222222"/>
          <w:sz w:val="24"/>
          <w:szCs w:val="24"/>
        </w:rPr>
        <w:t>essay, the</w:t>
      </w:r>
      <w:r>
        <w:rPr>
          <w:rFonts w:ascii="Times New Roman" w:eastAsia="Times New Roman" w:hAnsi="Times New Roman" w:cs="Times New Roman"/>
          <w:color w:val="222222"/>
          <w:sz w:val="24"/>
          <w:szCs w:val="24"/>
        </w:rPr>
        <w:t xml:space="preserve"> way in which the company has organized its operation have completely mitigated chances of a threat of substitutions (Griffiths &amp; Wall, </w:t>
      </w:r>
      <w:proofErr w:type="gramStart"/>
      <w:r>
        <w:rPr>
          <w:rFonts w:ascii="Times New Roman" w:eastAsia="Times New Roman" w:hAnsi="Times New Roman" w:cs="Times New Roman"/>
          <w:color w:val="222222"/>
          <w:sz w:val="24"/>
          <w:szCs w:val="24"/>
        </w:rPr>
        <w:t>2008,  p.75</w:t>
      </w:r>
      <w:proofErr w:type="gramEnd"/>
      <w:r>
        <w:rPr>
          <w:rFonts w:ascii="Times New Roman" w:eastAsia="Times New Roman" w:hAnsi="Times New Roman" w:cs="Times New Roman"/>
          <w:color w:val="222222"/>
          <w:sz w:val="24"/>
          <w:szCs w:val="24"/>
        </w:rPr>
        <w:t xml:space="preserve">). New Look offers its products in five major areas that are women wear, menswear, and footwear and other accessories. Through majoring in the five outlined </w:t>
      </w:r>
      <w:r w:rsidR="005F77FC">
        <w:rPr>
          <w:rFonts w:ascii="Times New Roman" w:eastAsia="Times New Roman" w:hAnsi="Times New Roman" w:cs="Times New Roman"/>
          <w:color w:val="222222"/>
          <w:sz w:val="24"/>
          <w:szCs w:val="24"/>
        </w:rPr>
        <w:t>areas, it</w:t>
      </w:r>
      <w:r>
        <w:rPr>
          <w:rFonts w:ascii="Times New Roman" w:eastAsia="Times New Roman" w:hAnsi="Times New Roman" w:cs="Times New Roman"/>
          <w:color w:val="222222"/>
          <w:sz w:val="24"/>
          <w:szCs w:val="24"/>
        </w:rPr>
        <w:t xml:space="preserve"> implies that New Look has different markets that help the company reduce the pressure of competition thus ensuring a substantial amount of control of the market.</w:t>
      </w:r>
    </w:p>
    <w:p w14:paraId="01987E43" w14:textId="1C8DA17B" w:rsidR="003459EF" w:rsidRDefault="005F77FC">
      <w:pPr>
        <w:shd w:val="clear" w:color="auto" w:fill="FFFFFF"/>
        <w:spacing w:line="440" w:lineRule="atLeast"/>
        <w:jc w:val="both"/>
        <w:rPr>
          <w:rFonts w:ascii="Calibri" w:eastAsia="Times New Roman" w:hAnsi="Calibri" w:cs="Calibri"/>
          <w:b/>
          <w:color w:val="222222"/>
        </w:rPr>
      </w:pPr>
      <w:r>
        <w:rPr>
          <w:rFonts w:ascii="Times New Roman" w:eastAsia="Times New Roman" w:hAnsi="Times New Roman" w:cs="Times New Roman"/>
          <w:b/>
          <w:color w:val="222222"/>
          <w:sz w:val="24"/>
          <w:szCs w:val="24"/>
        </w:rPr>
        <w:t xml:space="preserve">Industry </w:t>
      </w:r>
    </w:p>
    <w:p w14:paraId="5230841D" w14:textId="77777777" w:rsidR="003459EF" w:rsidRDefault="009A32A5">
      <w:pPr>
        <w:shd w:val="clear" w:color="auto" w:fill="FFFFFF"/>
        <w:spacing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             Following the wide range of services offered by New Look industry, it is fact clear that the organization operates in multichannel retail brand industries. Additionally, it being a cloth manufacturing industries it is fact clear that New Look operates as a service delivery industry.    Even though the company operates in the global industry, its successes can be attributed to management competence in handling the activities of the business. The company’s capability such as the ability to allocate and plan for all its time and resources has also presented a competitive advantage that has, in turn, played a significant role in ensuring its survival in the global market.</w:t>
      </w:r>
    </w:p>
    <w:p w14:paraId="2A493A15" w14:textId="77777777" w:rsidR="003459EF" w:rsidRDefault="009A32A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br w:type="textWrapping" w:clear="all"/>
      </w:r>
    </w:p>
    <w:p w14:paraId="56460BFF" w14:textId="58627799" w:rsidR="003459EF" w:rsidRPr="005F77FC" w:rsidRDefault="009A32A5">
      <w:pPr>
        <w:shd w:val="clear" w:color="auto" w:fill="FFFFFF"/>
        <w:spacing w:line="440" w:lineRule="atLeast"/>
        <w:jc w:val="both"/>
        <w:rPr>
          <w:rFonts w:ascii="Calibri" w:eastAsia="Times New Roman" w:hAnsi="Calibri" w:cs="Calibri"/>
          <w:b/>
          <w:color w:val="222222"/>
        </w:rPr>
      </w:pPr>
      <w:r w:rsidRPr="005F77FC">
        <w:rPr>
          <w:rFonts w:ascii="Times New Roman" w:eastAsia="Times New Roman" w:hAnsi="Times New Roman" w:cs="Times New Roman"/>
          <w:b/>
          <w:color w:val="222222"/>
          <w:sz w:val="24"/>
          <w:szCs w:val="24"/>
        </w:rPr>
        <w:t> </w:t>
      </w:r>
      <w:r w:rsidR="005F77FC" w:rsidRPr="005F77FC">
        <w:rPr>
          <w:rFonts w:ascii="Times New Roman" w:eastAsia="Times New Roman" w:hAnsi="Times New Roman" w:cs="Times New Roman"/>
          <w:b/>
          <w:color w:val="222222"/>
          <w:sz w:val="24"/>
          <w:szCs w:val="24"/>
        </w:rPr>
        <w:t xml:space="preserve">Conclusion </w:t>
      </w:r>
    </w:p>
    <w:p w14:paraId="04411D15" w14:textId="2BEE968B" w:rsidR="001748EC" w:rsidRDefault="005F77FC" w:rsidP="005F77FC">
      <w:pPr>
        <w:shd w:val="clear" w:color="auto" w:fill="FFFFFF"/>
        <w:spacing w:line="440" w:lineRule="atLeast"/>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rsidRPr="007862A3">
        <w:rPr>
          <w:rFonts w:ascii="Times New Roman" w:eastAsia="Times New Roman" w:hAnsi="Times New Roman" w:cs="Times New Roman"/>
          <w:color w:val="222222"/>
          <w:sz w:val="24"/>
          <w:szCs w:val="24"/>
        </w:rPr>
        <w:t> </w:t>
      </w:r>
      <w:r>
        <w:rPr>
          <w:rFonts w:ascii="Times New Roman" w:eastAsia="Times New Roman" w:hAnsi="Times New Roman" w:cs="Times New Roman"/>
          <w:color w:val="222222"/>
          <w:sz w:val="24"/>
          <w:szCs w:val="24"/>
        </w:rPr>
        <w:t>In conclusion, according to Porter Five analysis the company is well situated to be able to withstand any level of competition in the market. New Look also control the market as it offers quality products to its customers at an affordable cost. Therefore, in the clothing industry, New Look seems to have advantage over its competitor’s due to having a long-established relationship with important entities in the market such as suppliers and buyers, who together help the company to remain relevant in the fashion industry.</w:t>
      </w:r>
    </w:p>
    <w:p w14:paraId="3C31AA13" w14:textId="77777777" w:rsidR="003459EF" w:rsidRDefault="003459EF">
      <w:pPr>
        <w:shd w:val="clear" w:color="auto" w:fill="FFFFFF"/>
        <w:spacing w:line="440" w:lineRule="atLeast"/>
        <w:jc w:val="both"/>
        <w:rPr>
          <w:rFonts w:ascii="Times New Roman" w:eastAsia="Times New Roman" w:hAnsi="Times New Roman" w:cs="Times New Roman"/>
          <w:color w:val="222222"/>
          <w:sz w:val="24"/>
          <w:szCs w:val="24"/>
        </w:rPr>
      </w:pPr>
    </w:p>
    <w:p w14:paraId="58567424" w14:textId="77777777" w:rsidR="003459EF" w:rsidRDefault="003459EF">
      <w:pPr>
        <w:shd w:val="clear" w:color="auto" w:fill="FFFFFF"/>
        <w:spacing w:line="440" w:lineRule="atLeast"/>
        <w:jc w:val="both"/>
        <w:rPr>
          <w:rFonts w:ascii="Times New Roman" w:eastAsia="Times New Roman" w:hAnsi="Times New Roman" w:cs="Times New Roman"/>
          <w:color w:val="222222"/>
          <w:sz w:val="24"/>
          <w:szCs w:val="24"/>
        </w:rPr>
      </w:pPr>
    </w:p>
    <w:p w14:paraId="07B26FBC" w14:textId="77777777" w:rsidR="003459EF" w:rsidRDefault="003459EF">
      <w:pPr>
        <w:shd w:val="clear" w:color="auto" w:fill="FFFFFF"/>
        <w:spacing w:line="440" w:lineRule="atLeast"/>
        <w:jc w:val="both"/>
        <w:rPr>
          <w:rFonts w:ascii="Times New Roman" w:eastAsia="Times New Roman" w:hAnsi="Times New Roman" w:cs="Times New Roman"/>
          <w:color w:val="222222"/>
          <w:sz w:val="24"/>
          <w:szCs w:val="24"/>
        </w:rPr>
      </w:pPr>
    </w:p>
    <w:p w14:paraId="63752CED" w14:textId="77777777" w:rsidR="003459EF" w:rsidRDefault="009A32A5">
      <w:pPr>
        <w:shd w:val="clear" w:color="auto" w:fill="FFFFFF"/>
        <w:spacing w:line="440" w:lineRule="atLeast"/>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b/>
      </w:r>
      <w:r>
        <w:rPr>
          <w:rFonts w:ascii="Times New Roman" w:eastAsia="Times New Roman" w:hAnsi="Times New Roman" w:cs="Times New Roman"/>
          <w:color w:val="222222"/>
          <w:sz w:val="24"/>
          <w:szCs w:val="24"/>
        </w:rPr>
        <w:tab/>
      </w:r>
      <w:r>
        <w:rPr>
          <w:rFonts w:ascii="Times New Roman" w:eastAsia="Times New Roman" w:hAnsi="Times New Roman" w:cs="Times New Roman"/>
          <w:color w:val="222222"/>
          <w:sz w:val="24"/>
          <w:szCs w:val="24"/>
        </w:rPr>
        <w:tab/>
      </w:r>
      <w:r>
        <w:rPr>
          <w:rFonts w:ascii="Times New Roman" w:eastAsia="Times New Roman" w:hAnsi="Times New Roman" w:cs="Times New Roman"/>
          <w:color w:val="222222"/>
          <w:sz w:val="24"/>
          <w:szCs w:val="24"/>
        </w:rPr>
        <w:tab/>
      </w:r>
    </w:p>
    <w:p w14:paraId="214971B1" w14:textId="77777777" w:rsidR="003459EF" w:rsidRDefault="003459EF">
      <w:pPr>
        <w:shd w:val="clear" w:color="auto" w:fill="FFFFFF"/>
        <w:spacing w:line="440" w:lineRule="atLeast"/>
        <w:jc w:val="both"/>
        <w:rPr>
          <w:rFonts w:ascii="Times New Roman" w:eastAsia="Times New Roman" w:hAnsi="Times New Roman" w:cs="Times New Roman"/>
          <w:color w:val="222222"/>
          <w:sz w:val="24"/>
          <w:szCs w:val="24"/>
        </w:rPr>
      </w:pPr>
    </w:p>
    <w:p w14:paraId="44143168" w14:textId="35FAC8B5" w:rsidR="00587145" w:rsidRDefault="00587145">
      <w:pPr>
        <w:shd w:val="clear" w:color="auto" w:fill="FFFFFF"/>
        <w:spacing w:line="440" w:lineRule="atLeast"/>
        <w:jc w:val="both"/>
        <w:rPr>
          <w:rFonts w:ascii="Times New Roman" w:eastAsia="Times New Roman" w:hAnsi="Times New Roman" w:cs="Times New Roman"/>
          <w:color w:val="222222"/>
          <w:sz w:val="24"/>
          <w:szCs w:val="24"/>
        </w:rPr>
      </w:pPr>
    </w:p>
    <w:p w14:paraId="55B82B89" w14:textId="77777777" w:rsidR="003459EF" w:rsidRPr="001050E6" w:rsidRDefault="009A32A5">
      <w:pPr>
        <w:shd w:val="clear" w:color="auto" w:fill="FFFFFF"/>
        <w:spacing w:line="440" w:lineRule="atLeast"/>
        <w:jc w:val="both"/>
        <w:rPr>
          <w:rFonts w:ascii="Times New Roman" w:eastAsia="Times New Roman" w:hAnsi="Times New Roman" w:cs="Times New Roman"/>
          <w:b/>
          <w:color w:val="222222"/>
          <w:sz w:val="24"/>
          <w:szCs w:val="24"/>
        </w:rPr>
      </w:pPr>
      <w:r w:rsidRPr="001050E6">
        <w:rPr>
          <w:rFonts w:ascii="Times New Roman" w:eastAsia="Times New Roman" w:hAnsi="Times New Roman" w:cs="Times New Roman"/>
          <w:b/>
          <w:color w:val="222222"/>
          <w:sz w:val="24"/>
          <w:szCs w:val="24"/>
        </w:rPr>
        <w:t>Bibliography</w:t>
      </w:r>
    </w:p>
    <w:p w14:paraId="156B0EEC" w14:textId="77777777" w:rsidR="003459EF" w:rsidRDefault="003459EF">
      <w:pPr>
        <w:shd w:val="clear" w:color="auto" w:fill="FFFFFF"/>
        <w:spacing w:line="440" w:lineRule="atLeast"/>
        <w:jc w:val="both"/>
        <w:rPr>
          <w:rFonts w:ascii="Times New Roman" w:eastAsia="Times New Roman" w:hAnsi="Times New Roman" w:cs="Times New Roman"/>
          <w:color w:val="222222"/>
          <w:sz w:val="24"/>
          <w:szCs w:val="24"/>
        </w:rPr>
      </w:pPr>
    </w:p>
    <w:p w14:paraId="472839A4" w14:textId="77777777" w:rsidR="003459EF" w:rsidRDefault="009A32A5">
      <w:pPr>
        <w:shd w:val="clear" w:color="auto" w:fill="FFFFFF"/>
        <w:spacing w:after="0"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 </w:t>
      </w:r>
      <w:r>
        <w:rPr>
          <w:rFonts w:ascii="Times New Roman" w:hAnsi="Times New Roman" w:cs="Times New Roman"/>
          <w:sz w:val="24"/>
          <w:szCs w:val="24"/>
        </w:rPr>
        <w:t xml:space="preserve">Campbell, </w:t>
      </w:r>
      <w:proofErr w:type="gramStart"/>
      <w:r>
        <w:rPr>
          <w:rFonts w:ascii="Times New Roman" w:hAnsi="Times New Roman" w:cs="Times New Roman"/>
          <w:sz w:val="24"/>
          <w:szCs w:val="24"/>
        </w:rPr>
        <w:t>D .</w:t>
      </w:r>
      <w:proofErr w:type="gramEnd"/>
      <w:r>
        <w:rPr>
          <w:rFonts w:ascii="Times New Roman" w:hAnsi="Times New Roman" w:cs="Times New Roman"/>
          <w:sz w:val="24"/>
          <w:szCs w:val="24"/>
        </w:rPr>
        <w:t xml:space="preserve">&amp; Craig. </w:t>
      </w:r>
      <w:proofErr w:type="gramStart"/>
      <w:r>
        <w:rPr>
          <w:rFonts w:ascii="Times New Roman" w:hAnsi="Times New Roman" w:cs="Times New Roman"/>
          <w:sz w:val="24"/>
          <w:szCs w:val="24"/>
        </w:rPr>
        <w:t>T .</w:t>
      </w:r>
      <w:proofErr w:type="gramEnd"/>
      <w:r>
        <w:rPr>
          <w:rFonts w:ascii="Times New Roman" w:hAnsi="Times New Roman" w:cs="Times New Roman"/>
          <w:sz w:val="24"/>
          <w:szCs w:val="24"/>
        </w:rPr>
        <w:t xml:space="preserve">(2005) . Organization and Business </w:t>
      </w:r>
      <w:proofErr w:type="gramStart"/>
      <w:r>
        <w:rPr>
          <w:rFonts w:ascii="Times New Roman" w:hAnsi="Times New Roman" w:cs="Times New Roman"/>
          <w:sz w:val="24"/>
          <w:szCs w:val="24"/>
        </w:rPr>
        <w:t>environment ,</w:t>
      </w:r>
      <w:proofErr w:type="gramEnd"/>
      <w:r>
        <w:rPr>
          <w:rFonts w:ascii="Times New Roman" w:hAnsi="Times New Roman" w:cs="Times New Roman"/>
          <w:sz w:val="24"/>
          <w:szCs w:val="24"/>
        </w:rPr>
        <w:t xml:space="preserve"> London.</w:t>
      </w:r>
    </w:p>
    <w:p w14:paraId="6D383479" w14:textId="77777777" w:rsidR="003459EF" w:rsidRDefault="003459EF">
      <w:pPr>
        <w:spacing w:line="480" w:lineRule="auto"/>
        <w:jc w:val="both"/>
        <w:rPr>
          <w:rFonts w:ascii="Times New Roman" w:hAnsi="Times New Roman" w:cs="Times New Roman"/>
          <w:color w:val="222222"/>
          <w:sz w:val="24"/>
          <w:szCs w:val="24"/>
          <w:shd w:val="clear" w:color="auto" w:fill="FFFFFF"/>
        </w:rPr>
      </w:pPr>
    </w:p>
    <w:p w14:paraId="2041F561" w14:textId="77777777" w:rsidR="003459EF" w:rsidRDefault="009A32A5">
      <w:pPr>
        <w:spacing w:line="48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Gilbert, P., </w:t>
      </w:r>
      <w:proofErr w:type="gramStart"/>
      <w:r>
        <w:rPr>
          <w:rFonts w:ascii="Times New Roman" w:hAnsi="Times New Roman" w:cs="Times New Roman"/>
          <w:color w:val="222222"/>
          <w:sz w:val="24"/>
          <w:szCs w:val="24"/>
          <w:shd w:val="clear" w:color="auto" w:fill="FFFFFF"/>
        </w:rPr>
        <w:t>( 2016</w:t>
      </w:r>
      <w:proofErr w:type="gramEnd"/>
      <w:r>
        <w:rPr>
          <w:rFonts w:ascii="Times New Roman" w:hAnsi="Times New Roman" w:cs="Times New Roman"/>
          <w:color w:val="222222"/>
          <w:sz w:val="24"/>
          <w:szCs w:val="24"/>
          <w:shd w:val="clear" w:color="auto" w:fill="FFFFFF"/>
        </w:rPr>
        <w:t>). </w:t>
      </w:r>
      <w:r>
        <w:rPr>
          <w:rFonts w:ascii="Times New Roman" w:hAnsi="Times New Roman" w:cs="Times New Roman"/>
          <w:iCs/>
          <w:color w:val="222222"/>
          <w:sz w:val="24"/>
          <w:szCs w:val="24"/>
          <w:shd w:val="clear" w:color="auto" w:fill="FFFFFF"/>
        </w:rPr>
        <w:t>Depression: The evolution of powerlessness</w:t>
      </w:r>
      <w:r>
        <w:rPr>
          <w:rFonts w:ascii="Times New Roman" w:hAnsi="Times New Roman" w:cs="Times New Roman"/>
          <w:color w:val="222222"/>
          <w:sz w:val="24"/>
          <w:szCs w:val="24"/>
          <w:shd w:val="clear" w:color="auto" w:fill="FFFFFF"/>
        </w:rPr>
        <w:t>. Routledge.</w:t>
      </w:r>
    </w:p>
    <w:p w14:paraId="1D6F419D" w14:textId="77777777" w:rsidR="003459EF" w:rsidRDefault="009A32A5">
      <w:pPr>
        <w:shd w:val="clear" w:color="auto" w:fill="FFFFFF"/>
        <w:spacing w:after="0"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Griffiths, A. and Wall, S., 2008. </w:t>
      </w:r>
      <w:r>
        <w:rPr>
          <w:rFonts w:ascii="Times New Roman" w:eastAsia="Times New Roman" w:hAnsi="Times New Roman" w:cs="Times New Roman"/>
          <w:i/>
          <w:iCs/>
          <w:color w:val="222222"/>
          <w:sz w:val="24"/>
          <w:szCs w:val="24"/>
        </w:rPr>
        <w:t>Economics for business and management</w:t>
      </w:r>
      <w:r>
        <w:rPr>
          <w:rFonts w:ascii="Times New Roman" w:eastAsia="Times New Roman" w:hAnsi="Times New Roman" w:cs="Times New Roman"/>
          <w:color w:val="222222"/>
          <w:sz w:val="24"/>
          <w:szCs w:val="24"/>
        </w:rPr>
        <w:t>. Pearson Education</w:t>
      </w:r>
    </w:p>
    <w:p w14:paraId="5034E06D" w14:textId="77777777" w:rsidR="003459EF" w:rsidRDefault="003459EF">
      <w:pPr>
        <w:spacing w:line="480" w:lineRule="auto"/>
        <w:jc w:val="both"/>
        <w:rPr>
          <w:rFonts w:ascii="Times New Roman" w:hAnsi="Times New Roman" w:cs="Times New Roman"/>
          <w:sz w:val="24"/>
          <w:szCs w:val="24"/>
        </w:rPr>
      </w:pPr>
    </w:p>
    <w:p w14:paraId="17929EE0" w14:textId="77777777" w:rsidR="003459EF" w:rsidRDefault="009A32A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Hamilton, L. &amp; </w:t>
      </w:r>
      <w:proofErr w:type="spellStart"/>
      <w:proofErr w:type="gramStart"/>
      <w:r>
        <w:rPr>
          <w:rFonts w:ascii="Times New Roman" w:hAnsi="Times New Roman" w:cs="Times New Roman"/>
          <w:sz w:val="24"/>
          <w:szCs w:val="24"/>
        </w:rPr>
        <w:t>Webester</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2012). The international Business </w:t>
      </w:r>
      <w:proofErr w:type="spellStart"/>
      <w:proofErr w:type="gramStart"/>
      <w:r>
        <w:rPr>
          <w:rFonts w:ascii="Times New Roman" w:hAnsi="Times New Roman" w:cs="Times New Roman"/>
          <w:sz w:val="24"/>
          <w:szCs w:val="24"/>
        </w:rPr>
        <w:t>Environment,New</w:t>
      </w:r>
      <w:proofErr w:type="spellEnd"/>
      <w:proofErr w:type="gramEnd"/>
      <w:r>
        <w:rPr>
          <w:rFonts w:ascii="Times New Roman" w:hAnsi="Times New Roman" w:cs="Times New Roman"/>
          <w:sz w:val="24"/>
          <w:szCs w:val="24"/>
        </w:rPr>
        <w:t xml:space="preserve"> York.</w:t>
      </w:r>
    </w:p>
    <w:p w14:paraId="6EE5B2B7" w14:textId="77777777" w:rsidR="003459EF" w:rsidRDefault="009A32A5">
      <w:pPr>
        <w:shd w:val="clear" w:color="auto" w:fill="FFFFFF"/>
        <w:spacing w:after="0"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Johnson, G., 2016. </w:t>
      </w:r>
      <w:r>
        <w:rPr>
          <w:rFonts w:ascii="Times New Roman" w:eastAsia="Times New Roman" w:hAnsi="Times New Roman" w:cs="Times New Roman"/>
          <w:i/>
          <w:iCs/>
          <w:color w:val="222222"/>
          <w:sz w:val="24"/>
          <w:szCs w:val="24"/>
        </w:rPr>
        <w:t>Exploring strategy: text and cases</w:t>
      </w:r>
      <w:r>
        <w:rPr>
          <w:rFonts w:ascii="Times New Roman" w:eastAsia="Times New Roman" w:hAnsi="Times New Roman" w:cs="Times New Roman"/>
          <w:color w:val="222222"/>
          <w:sz w:val="24"/>
          <w:szCs w:val="24"/>
        </w:rPr>
        <w:t>. Pearson Education.</w:t>
      </w:r>
    </w:p>
    <w:p w14:paraId="7D061149" w14:textId="77777777" w:rsidR="003459EF" w:rsidRDefault="009A32A5">
      <w:pPr>
        <w:shd w:val="clear" w:color="auto" w:fill="FFFFFF"/>
        <w:spacing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Morrison, J., 2011. </w:t>
      </w:r>
      <w:r>
        <w:rPr>
          <w:rFonts w:ascii="Times New Roman" w:eastAsia="Times New Roman" w:hAnsi="Times New Roman" w:cs="Times New Roman"/>
          <w:i/>
          <w:iCs/>
          <w:color w:val="222222"/>
          <w:sz w:val="24"/>
          <w:szCs w:val="24"/>
        </w:rPr>
        <w:t>The global business environment: Meeting the challenges</w:t>
      </w:r>
      <w:r>
        <w:rPr>
          <w:rFonts w:ascii="Times New Roman" w:eastAsia="Times New Roman" w:hAnsi="Times New Roman" w:cs="Times New Roman"/>
          <w:color w:val="222222"/>
          <w:sz w:val="24"/>
          <w:szCs w:val="24"/>
        </w:rPr>
        <w:t xml:space="preserve">. Palgrave </w:t>
      </w:r>
      <w:r>
        <w:rPr>
          <w:rFonts w:ascii="Times New Roman" w:eastAsia="Times New Roman" w:hAnsi="Times New Roman" w:cs="Times New Roman"/>
          <w:color w:val="222222"/>
          <w:sz w:val="24"/>
          <w:szCs w:val="24"/>
        </w:rPr>
        <w:tab/>
        <w:t>Macmillan.</w:t>
      </w:r>
    </w:p>
    <w:p w14:paraId="6CD212A1" w14:textId="77777777" w:rsidR="003459EF" w:rsidRDefault="009A32A5">
      <w:pPr>
        <w:shd w:val="clear" w:color="auto" w:fill="FFFFFF"/>
        <w:spacing w:after="0" w:line="440" w:lineRule="atLeast"/>
        <w:jc w:val="both"/>
        <w:rPr>
          <w:rFonts w:ascii="Calibri" w:eastAsia="Times New Roman" w:hAnsi="Calibri" w:cs="Calibri"/>
          <w:color w:val="222222"/>
        </w:rPr>
      </w:pPr>
      <w:r>
        <w:rPr>
          <w:rFonts w:ascii="Times New Roman" w:eastAsia="Times New Roman" w:hAnsi="Times New Roman" w:cs="Times New Roman"/>
          <w:color w:val="222222"/>
          <w:sz w:val="24"/>
          <w:szCs w:val="24"/>
        </w:rPr>
        <w:t>Porter, M.E., 2008. The five competitive forces that shape strategy. </w:t>
      </w:r>
      <w:r>
        <w:rPr>
          <w:rFonts w:ascii="Times New Roman" w:eastAsia="Times New Roman" w:hAnsi="Times New Roman" w:cs="Times New Roman"/>
          <w:i/>
          <w:iCs/>
          <w:color w:val="222222"/>
          <w:sz w:val="24"/>
          <w:szCs w:val="24"/>
        </w:rPr>
        <w:t xml:space="preserve">Harvard business </w:t>
      </w:r>
      <w:r>
        <w:rPr>
          <w:rFonts w:ascii="Times New Roman" w:eastAsia="Times New Roman" w:hAnsi="Times New Roman" w:cs="Times New Roman"/>
          <w:i/>
          <w:iCs/>
          <w:color w:val="222222"/>
          <w:sz w:val="24"/>
          <w:szCs w:val="24"/>
        </w:rPr>
        <w:tab/>
        <w:t>review</w:t>
      </w:r>
      <w:r>
        <w:rPr>
          <w:rFonts w:ascii="Times New Roman" w:eastAsia="Times New Roman" w:hAnsi="Times New Roman" w:cs="Times New Roman"/>
          <w:color w:val="222222"/>
          <w:sz w:val="24"/>
          <w:szCs w:val="24"/>
        </w:rPr>
        <w:t>, </w:t>
      </w:r>
      <w:r>
        <w:rPr>
          <w:rFonts w:ascii="Times New Roman" w:eastAsia="Times New Roman" w:hAnsi="Times New Roman" w:cs="Times New Roman"/>
          <w:i/>
          <w:iCs/>
          <w:color w:val="222222"/>
          <w:sz w:val="24"/>
          <w:szCs w:val="24"/>
        </w:rPr>
        <w:t>86</w:t>
      </w:r>
      <w:r>
        <w:rPr>
          <w:rFonts w:ascii="Times New Roman" w:eastAsia="Times New Roman" w:hAnsi="Times New Roman" w:cs="Times New Roman"/>
          <w:color w:val="222222"/>
          <w:sz w:val="24"/>
          <w:szCs w:val="24"/>
        </w:rPr>
        <w:t>(1), pp.25-40.</w:t>
      </w:r>
    </w:p>
    <w:p w14:paraId="5221A718" w14:textId="77777777" w:rsidR="003459EF" w:rsidRDefault="009A32A5">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Sloman</w:t>
      </w:r>
      <w:proofErr w:type="spellEnd"/>
      <w:r>
        <w:rPr>
          <w:rFonts w:ascii="Times New Roman" w:hAnsi="Times New Roman" w:cs="Times New Roman"/>
          <w:sz w:val="24"/>
          <w:szCs w:val="24"/>
        </w:rPr>
        <w:t xml:space="preserve">, Hinde &amp; Grant (2016). Economic </w:t>
      </w:r>
      <w:proofErr w:type="gramStart"/>
      <w:r>
        <w:rPr>
          <w:rFonts w:ascii="Times New Roman" w:hAnsi="Times New Roman" w:cs="Times New Roman"/>
          <w:sz w:val="24"/>
          <w:szCs w:val="24"/>
        </w:rPr>
        <w:t>For</w:t>
      </w:r>
      <w:proofErr w:type="gramEnd"/>
      <w:r>
        <w:rPr>
          <w:rFonts w:ascii="Times New Roman" w:hAnsi="Times New Roman" w:cs="Times New Roman"/>
          <w:sz w:val="24"/>
          <w:szCs w:val="24"/>
        </w:rPr>
        <w:t xml:space="preserve"> Business 7 Edition.</w:t>
      </w:r>
    </w:p>
    <w:p w14:paraId="70142041" w14:textId="77777777" w:rsidR="003459EF" w:rsidRDefault="003459EF">
      <w:pPr>
        <w:spacing w:line="480" w:lineRule="auto"/>
        <w:jc w:val="both"/>
        <w:rPr>
          <w:rFonts w:ascii="Times New Roman" w:hAnsi="Times New Roman" w:cs="Times New Roman"/>
          <w:sz w:val="24"/>
          <w:szCs w:val="24"/>
        </w:rPr>
      </w:pPr>
    </w:p>
    <w:p w14:paraId="4F2643F7" w14:textId="77777777" w:rsidR="003459EF" w:rsidRDefault="003459EF">
      <w:pPr>
        <w:spacing w:line="480" w:lineRule="auto"/>
        <w:jc w:val="both"/>
        <w:rPr>
          <w:rFonts w:ascii="Times New Roman" w:hAnsi="Times New Roman" w:cs="Times New Roman"/>
          <w:sz w:val="24"/>
          <w:szCs w:val="24"/>
        </w:rPr>
      </w:pPr>
    </w:p>
    <w:p w14:paraId="0A0A395E" w14:textId="77777777" w:rsidR="003459EF" w:rsidRDefault="003459EF">
      <w:pPr>
        <w:spacing w:line="480" w:lineRule="auto"/>
        <w:jc w:val="both"/>
        <w:rPr>
          <w:rFonts w:ascii="Times New Roman" w:hAnsi="Times New Roman" w:cs="Times New Roman"/>
          <w:sz w:val="24"/>
          <w:szCs w:val="24"/>
        </w:rPr>
      </w:pPr>
    </w:p>
    <w:p w14:paraId="45478E6F" w14:textId="77777777" w:rsidR="003459EF" w:rsidRDefault="003459EF">
      <w:pPr>
        <w:spacing w:line="480" w:lineRule="auto"/>
        <w:jc w:val="both"/>
        <w:rPr>
          <w:rFonts w:ascii="Times New Roman" w:hAnsi="Times New Roman" w:cs="Times New Roman"/>
          <w:sz w:val="24"/>
          <w:szCs w:val="24"/>
        </w:rPr>
      </w:pPr>
    </w:p>
    <w:p w14:paraId="65301682" w14:textId="77777777" w:rsidR="003459EF" w:rsidRDefault="003459EF">
      <w:pPr>
        <w:spacing w:line="480" w:lineRule="auto"/>
        <w:jc w:val="both"/>
        <w:rPr>
          <w:rFonts w:ascii="Times New Roman" w:hAnsi="Times New Roman" w:cs="Times New Roman"/>
          <w:sz w:val="24"/>
          <w:szCs w:val="24"/>
        </w:rPr>
      </w:pPr>
    </w:p>
    <w:sectPr w:rsidR="003459EF">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05FAE" w14:textId="77777777" w:rsidR="007C5471" w:rsidRDefault="007C5471">
      <w:pPr>
        <w:spacing w:after="0" w:line="240" w:lineRule="auto"/>
      </w:pPr>
      <w:r>
        <w:separator/>
      </w:r>
    </w:p>
  </w:endnote>
  <w:endnote w:type="continuationSeparator" w:id="0">
    <w:p w14:paraId="54BC3C69" w14:textId="77777777" w:rsidR="007C5471" w:rsidRDefault="007C5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DF70C" w14:textId="77777777" w:rsidR="007C5471" w:rsidRDefault="007C5471">
      <w:pPr>
        <w:spacing w:after="0" w:line="240" w:lineRule="auto"/>
      </w:pPr>
      <w:r>
        <w:separator/>
      </w:r>
    </w:p>
  </w:footnote>
  <w:footnote w:type="continuationSeparator" w:id="0">
    <w:p w14:paraId="08C2EF53" w14:textId="77777777" w:rsidR="007C5471" w:rsidRDefault="007C54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9092B" w14:textId="1BE30F49" w:rsidR="003459EF" w:rsidRDefault="009A32A5">
    <w:pPr>
      <w:pStyle w:val="Sidhuvud"/>
      <w:jc w:val="right"/>
    </w:pPr>
    <w:r>
      <w:fldChar w:fldCharType="begin"/>
    </w:r>
    <w:r>
      <w:instrText xml:space="preserve"> PAGE   \* MERGEFORMAT </w:instrText>
    </w:r>
    <w:r>
      <w:fldChar w:fldCharType="separate"/>
    </w:r>
    <w:r w:rsidR="00C32017">
      <w:rPr>
        <w:noProof/>
      </w:rPr>
      <w:t>7</w:t>
    </w:r>
    <w:r>
      <w:rPr>
        <w:noProof/>
      </w:rPr>
      <w:fldChar w:fldCharType="end"/>
    </w:r>
  </w:p>
  <w:p w14:paraId="1C31897F" w14:textId="77777777" w:rsidR="003459EF" w:rsidRDefault="003459EF">
    <w:pPr>
      <w:pStyle w:val="Sidhuvud"/>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DB9FB2" w14:textId="57DD9F6B" w:rsidR="003459EF" w:rsidRDefault="009A32A5">
    <w:pPr>
      <w:pStyle w:val="Sidhuvud"/>
      <w:jc w:val="right"/>
    </w:pPr>
    <w:r>
      <w:fldChar w:fldCharType="begin"/>
    </w:r>
    <w:r>
      <w:instrText xml:space="preserve"> PAGE   \* MERGEFORMAT </w:instrText>
    </w:r>
    <w:r>
      <w:fldChar w:fldCharType="separate"/>
    </w:r>
    <w:r w:rsidR="00C32017">
      <w:rPr>
        <w:noProof/>
      </w:rPr>
      <w:t>1</w:t>
    </w:r>
    <w:r>
      <w:rPr>
        <w:noProof/>
      </w:rPr>
      <w:fldChar w:fldCharType="end"/>
    </w:r>
  </w:p>
  <w:p w14:paraId="028A1B0D" w14:textId="77777777" w:rsidR="003459EF" w:rsidRDefault="003459EF">
    <w:pPr>
      <w:pStyle w:val="Sidhuvud"/>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9EF"/>
    <w:rsid w:val="00004E21"/>
    <w:rsid w:val="001050E6"/>
    <w:rsid w:val="001748EC"/>
    <w:rsid w:val="003459EF"/>
    <w:rsid w:val="004826E8"/>
    <w:rsid w:val="00587145"/>
    <w:rsid w:val="005F77FC"/>
    <w:rsid w:val="00742536"/>
    <w:rsid w:val="007C5471"/>
    <w:rsid w:val="009A32A5"/>
    <w:rsid w:val="00B41FF8"/>
    <w:rsid w:val="00C32017"/>
    <w:rsid w:val="00E104CA"/>
    <w:rsid w:val="00EA62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5BB85"/>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huvud">
    <w:name w:val="header"/>
    <w:basedOn w:val="Normal"/>
    <w:link w:val="SidhuvudChar"/>
    <w:uiPriority w:val="99"/>
    <w:pPr>
      <w:tabs>
        <w:tab w:val="center" w:pos="4680"/>
        <w:tab w:val="right" w:pos="9360"/>
      </w:tabs>
      <w:spacing w:after="0" w:line="240" w:lineRule="auto"/>
    </w:pPr>
  </w:style>
  <w:style w:type="character" w:customStyle="1" w:styleId="SidhuvudChar">
    <w:name w:val="Sidhuvud Char"/>
    <w:basedOn w:val="Standardstycketeckensnitt"/>
    <w:link w:val="Sidhuvud"/>
    <w:uiPriority w:val="99"/>
  </w:style>
  <w:style w:type="paragraph" w:styleId="Sidfot">
    <w:name w:val="footer"/>
    <w:basedOn w:val="Normal"/>
    <w:link w:val="SidfotChar"/>
    <w:uiPriority w:val="99"/>
    <w:pPr>
      <w:tabs>
        <w:tab w:val="center" w:pos="4680"/>
        <w:tab w:val="right" w:pos="9360"/>
      </w:tabs>
      <w:spacing w:after="0" w:line="240" w:lineRule="auto"/>
    </w:pPr>
  </w:style>
  <w:style w:type="character" w:customStyle="1" w:styleId="SidfotChar">
    <w:name w:val="Sidfot Char"/>
    <w:basedOn w:val="Standardstycketeckensnitt"/>
    <w:link w:val="Sidfot"/>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1184</Words>
  <Characters>6753</Characters>
  <Application>Microsoft Office Word</Application>
  <DocSecurity>0</DocSecurity>
  <Lines>56</Lines>
  <Paragraphs>15</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Zeino Alkargholi</dc:creator>
  <cp:lastModifiedBy>Zeino Alkargholi</cp:lastModifiedBy>
  <cp:revision>2</cp:revision>
  <dcterms:created xsi:type="dcterms:W3CDTF">2018-02-23T19:19:00Z</dcterms:created>
  <dcterms:modified xsi:type="dcterms:W3CDTF">2018-02-23T19:19:00Z</dcterms:modified>
</cp:coreProperties>
</file>