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1F56" w:rsidRDefault="00641F56" w:rsidP="00641F56">
      <w:pPr>
        <w:spacing w:line="360" w:lineRule="auto"/>
        <w:ind w:left="4320"/>
        <w:jc w:val="both"/>
        <w:rPr>
          <w:rFonts w:ascii="Arial" w:hAnsi="Arial" w:cs="Arial"/>
          <w:b/>
        </w:rPr>
      </w:pPr>
      <w:r>
        <w:rPr>
          <w:rFonts w:ascii="Arial" w:hAnsi="Arial" w:cs="Arial"/>
          <w:b/>
          <w:noProof/>
        </w:rPr>
        <w:drawing>
          <wp:inline distT="0" distB="0" distL="0" distR="0" wp14:anchorId="56536F04">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641F56" w:rsidRPr="00797353" w:rsidTr="00A23B43">
        <w:trPr>
          <w:trHeight w:val="179"/>
          <w:jc w:val="center"/>
        </w:trPr>
        <w:tc>
          <w:tcPr>
            <w:tcW w:w="0" w:type="auto"/>
            <w:hideMark/>
          </w:tcPr>
          <w:p w:rsidR="00641F56" w:rsidRPr="00797353" w:rsidRDefault="00641F56" w:rsidP="00A23B43">
            <w:pPr>
              <w:tabs>
                <w:tab w:val="right" w:pos="2299"/>
              </w:tabs>
              <w:spacing w:line="360" w:lineRule="auto"/>
              <w:jc w:val="both"/>
              <w:rPr>
                <w:rFonts w:ascii="Arial" w:eastAsia="Times New Roman" w:hAnsi="Arial" w:cs="Arial"/>
                <w:b/>
                <w:bCs/>
              </w:rPr>
            </w:pPr>
            <w:r w:rsidRPr="00797353">
              <w:rPr>
                <w:rFonts w:ascii="Arial" w:eastAsia="Times New Roman" w:hAnsi="Arial" w:cs="Arial"/>
                <w:b/>
                <w:bCs/>
              </w:rPr>
              <w:t>Student Name:</w:t>
            </w:r>
            <w:r w:rsidRPr="00797353">
              <w:rPr>
                <w:rFonts w:ascii="Arial" w:eastAsia="Times New Roman" w:hAnsi="Arial" w:cs="Arial"/>
                <w:b/>
                <w:bCs/>
              </w:rPr>
              <w:tab/>
            </w:r>
          </w:p>
        </w:tc>
        <w:tc>
          <w:tcPr>
            <w:tcW w:w="5825" w:type="dxa"/>
            <w:hideMark/>
          </w:tcPr>
          <w:p w:rsidR="00641F56" w:rsidRPr="00797353" w:rsidRDefault="00641F56" w:rsidP="00A23B43">
            <w:pPr>
              <w:spacing w:line="360" w:lineRule="auto"/>
              <w:jc w:val="both"/>
              <w:rPr>
                <w:rFonts w:ascii="Arial" w:eastAsia="Times New Roman" w:hAnsi="Arial" w:cs="Arial"/>
                <w:bCs/>
              </w:rPr>
            </w:pPr>
          </w:p>
        </w:tc>
      </w:tr>
      <w:tr w:rsidR="00641F56" w:rsidRPr="00797353" w:rsidTr="00A23B43">
        <w:trPr>
          <w:jc w:val="center"/>
        </w:trPr>
        <w:tc>
          <w:tcPr>
            <w:tcW w:w="0" w:type="auto"/>
            <w:hideMark/>
          </w:tcPr>
          <w:p w:rsidR="00641F56" w:rsidRPr="00797353" w:rsidRDefault="00641F56" w:rsidP="00A23B43">
            <w:pPr>
              <w:spacing w:line="360" w:lineRule="auto"/>
              <w:jc w:val="both"/>
              <w:rPr>
                <w:rFonts w:ascii="Arial" w:eastAsia="Times New Roman" w:hAnsi="Arial" w:cs="Arial"/>
              </w:rPr>
            </w:pPr>
            <w:r w:rsidRPr="00797353">
              <w:rPr>
                <w:rFonts w:ascii="Arial" w:eastAsia="Times New Roman" w:hAnsi="Arial" w:cs="Arial"/>
                <w:b/>
                <w:bCs/>
              </w:rPr>
              <w:t>Student ID Number:</w:t>
            </w:r>
          </w:p>
        </w:tc>
        <w:tc>
          <w:tcPr>
            <w:tcW w:w="5825" w:type="dxa"/>
            <w:hideMark/>
          </w:tcPr>
          <w:p w:rsidR="00641F56" w:rsidRPr="00797353" w:rsidRDefault="00641F56" w:rsidP="00A23B43">
            <w:pPr>
              <w:spacing w:line="360" w:lineRule="auto"/>
              <w:jc w:val="both"/>
              <w:rPr>
                <w:rFonts w:ascii="Arial" w:eastAsia="Times New Roman" w:hAnsi="Arial" w:cs="Arial"/>
              </w:rPr>
            </w:pPr>
          </w:p>
        </w:tc>
      </w:tr>
      <w:tr w:rsidR="00641F56" w:rsidRPr="00797353" w:rsidTr="00A23B43">
        <w:trPr>
          <w:jc w:val="center"/>
        </w:trPr>
        <w:tc>
          <w:tcPr>
            <w:tcW w:w="0" w:type="auto"/>
            <w:hideMark/>
          </w:tcPr>
          <w:p w:rsidR="00641F56" w:rsidRPr="00797353" w:rsidRDefault="00641F56" w:rsidP="00A23B43">
            <w:pPr>
              <w:spacing w:line="360" w:lineRule="auto"/>
              <w:jc w:val="both"/>
              <w:rPr>
                <w:rFonts w:ascii="Arial" w:eastAsia="Times New Roman" w:hAnsi="Arial" w:cs="Arial"/>
              </w:rPr>
            </w:pPr>
            <w:r w:rsidRPr="00797353">
              <w:rPr>
                <w:rFonts w:ascii="Arial" w:eastAsia="Times New Roman" w:hAnsi="Arial" w:cs="Arial"/>
                <w:b/>
                <w:bCs/>
              </w:rPr>
              <w:t>Programme</w:t>
            </w:r>
            <w:bookmarkStart w:id="0" w:name="_GoBack"/>
            <w:bookmarkEnd w:id="0"/>
            <w:r w:rsidRPr="00797353">
              <w:rPr>
                <w:rFonts w:ascii="Arial" w:eastAsia="Times New Roman" w:hAnsi="Arial" w:cs="Arial"/>
                <w:b/>
                <w:bCs/>
              </w:rPr>
              <w:t>:</w:t>
            </w:r>
          </w:p>
        </w:tc>
        <w:tc>
          <w:tcPr>
            <w:tcW w:w="5825" w:type="dxa"/>
            <w:hideMark/>
          </w:tcPr>
          <w:p w:rsidR="00641F56" w:rsidRPr="00797353" w:rsidRDefault="00641F56" w:rsidP="00A23B43">
            <w:pPr>
              <w:spacing w:line="360" w:lineRule="auto"/>
              <w:jc w:val="both"/>
              <w:rPr>
                <w:rFonts w:ascii="Arial" w:eastAsia="Times New Roman" w:hAnsi="Arial" w:cs="Arial"/>
                <w:b/>
              </w:rPr>
            </w:pPr>
            <w:r w:rsidRPr="00797353">
              <w:rPr>
                <w:rFonts w:ascii="Arial" w:hAnsi="Arial" w:cs="Arial"/>
                <w:b/>
              </w:rPr>
              <w:t>Certificate of Higher Education Skills for the Workplace (Health &amp; Social Care)</w:t>
            </w:r>
          </w:p>
        </w:tc>
      </w:tr>
      <w:tr w:rsidR="00641F56" w:rsidRPr="00797353" w:rsidTr="00A23B43">
        <w:trPr>
          <w:jc w:val="center"/>
        </w:trPr>
        <w:tc>
          <w:tcPr>
            <w:tcW w:w="0" w:type="auto"/>
            <w:hideMark/>
          </w:tcPr>
          <w:p w:rsidR="00641F56" w:rsidRPr="00797353" w:rsidRDefault="00641F56" w:rsidP="00A23B43">
            <w:pPr>
              <w:spacing w:line="360" w:lineRule="auto"/>
              <w:jc w:val="both"/>
              <w:rPr>
                <w:rFonts w:ascii="Arial" w:eastAsia="Times New Roman" w:hAnsi="Arial" w:cs="Arial"/>
              </w:rPr>
            </w:pPr>
            <w:r w:rsidRPr="00797353">
              <w:rPr>
                <w:rFonts w:ascii="Arial" w:eastAsia="Times New Roman" w:hAnsi="Arial" w:cs="Arial"/>
                <w:b/>
                <w:bCs/>
              </w:rPr>
              <w:t>Module Title:</w:t>
            </w:r>
          </w:p>
        </w:tc>
        <w:tc>
          <w:tcPr>
            <w:tcW w:w="5825" w:type="dxa"/>
            <w:hideMark/>
          </w:tcPr>
          <w:p w:rsidR="00641F56" w:rsidRPr="00797353" w:rsidRDefault="00641F56" w:rsidP="00A23B43">
            <w:pPr>
              <w:spacing w:line="360" w:lineRule="auto"/>
              <w:jc w:val="both"/>
              <w:rPr>
                <w:rFonts w:ascii="Arial" w:eastAsia="Times New Roman" w:hAnsi="Arial" w:cs="Arial"/>
                <w:b/>
              </w:rPr>
            </w:pPr>
            <w:r w:rsidRPr="00797353">
              <w:rPr>
                <w:rFonts w:ascii="Arial" w:hAnsi="Arial" w:cs="Arial"/>
                <w:b/>
              </w:rPr>
              <w:t>Introduction to Health and Social Care</w:t>
            </w:r>
          </w:p>
        </w:tc>
      </w:tr>
      <w:tr w:rsidR="00641F56" w:rsidRPr="00797353" w:rsidTr="00A23B43">
        <w:trPr>
          <w:jc w:val="center"/>
        </w:trPr>
        <w:tc>
          <w:tcPr>
            <w:tcW w:w="0" w:type="auto"/>
            <w:hideMark/>
          </w:tcPr>
          <w:p w:rsidR="00641F56" w:rsidRPr="00797353" w:rsidRDefault="00641F56" w:rsidP="00A23B43">
            <w:pPr>
              <w:spacing w:line="360" w:lineRule="auto"/>
              <w:jc w:val="both"/>
              <w:rPr>
                <w:rFonts w:ascii="Arial" w:eastAsia="Times New Roman" w:hAnsi="Arial" w:cs="Arial"/>
              </w:rPr>
            </w:pPr>
            <w:r w:rsidRPr="00797353">
              <w:rPr>
                <w:rFonts w:ascii="Arial" w:eastAsia="Times New Roman" w:hAnsi="Arial" w:cs="Arial"/>
                <w:b/>
                <w:bCs/>
              </w:rPr>
              <w:t>Module Code:</w:t>
            </w:r>
          </w:p>
        </w:tc>
        <w:tc>
          <w:tcPr>
            <w:tcW w:w="5825" w:type="dxa"/>
            <w:hideMark/>
          </w:tcPr>
          <w:p w:rsidR="00641F56" w:rsidRPr="00797353" w:rsidRDefault="00641F56" w:rsidP="00A23B43">
            <w:pPr>
              <w:spacing w:line="360" w:lineRule="auto"/>
              <w:jc w:val="both"/>
              <w:rPr>
                <w:rFonts w:ascii="Arial" w:eastAsia="Times New Roman" w:hAnsi="Arial" w:cs="Arial"/>
                <w:b/>
              </w:rPr>
            </w:pPr>
            <w:r w:rsidRPr="00797353">
              <w:rPr>
                <w:rFonts w:ascii="Arial" w:hAnsi="Arial" w:cs="Arial"/>
                <w:b/>
              </w:rPr>
              <w:t>LCHS4003</w:t>
            </w:r>
          </w:p>
        </w:tc>
      </w:tr>
      <w:tr w:rsidR="00641F56" w:rsidRPr="00797353" w:rsidTr="00A23B43">
        <w:trPr>
          <w:jc w:val="center"/>
        </w:trPr>
        <w:tc>
          <w:tcPr>
            <w:tcW w:w="0" w:type="auto"/>
            <w:hideMark/>
          </w:tcPr>
          <w:p w:rsidR="00641F56" w:rsidRPr="00797353" w:rsidRDefault="00641F56" w:rsidP="00A23B43">
            <w:pPr>
              <w:spacing w:line="360" w:lineRule="auto"/>
              <w:jc w:val="both"/>
              <w:rPr>
                <w:rFonts w:ascii="Arial" w:eastAsia="Times New Roman" w:hAnsi="Arial" w:cs="Arial"/>
              </w:rPr>
            </w:pPr>
            <w:r w:rsidRPr="00797353">
              <w:rPr>
                <w:rFonts w:ascii="Arial" w:eastAsia="Times New Roman" w:hAnsi="Arial" w:cs="Arial"/>
                <w:b/>
                <w:bCs/>
              </w:rPr>
              <w:t>Lecturer:</w:t>
            </w:r>
          </w:p>
        </w:tc>
        <w:tc>
          <w:tcPr>
            <w:tcW w:w="5825" w:type="dxa"/>
            <w:hideMark/>
          </w:tcPr>
          <w:p w:rsidR="00641F56" w:rsidRPr="00797353" w:rsidRDefault="00641F56" w:rsidP="00A23B43">
            <w:pPr>
              <w:spacing w:line="360" w:lineRule="auto"/>
              <w:jc w:val="both"/>
              <w:rPr>
                <w:rFonts w:ascii="Arial" w:eastAsia="Times New Roman" w:hAnsi="Arial" w:cs="Arial"/>
              </w:rPr>
            </w:pPr>
          </w:p>
        </w:tc>
      </w:tr>
    </w:tbl>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Pr="00641F56" w:rsidRDefault="00641F56" w:rsidP="00641F56">
      <w:pPr>
        <w:spacing w:before="100" w:beforeAutospacing="1" w:after="100" w:afterAutospacing="1" w:line="240" w:lineRule="auto"/>
        <w:outlineLvl w:val="0"/>
        <w:rPr>
          <w:rFonts w:ascii="Arial" w:eastAsia="Times New Roman" w:hAnsi="Arial" w:cs="Arial"/>
          <w:b/>
          <w:bCs/>
          <w:kern w:val="36"/>
          <w:sz w:val="20"/>
          <w:szCs w:val="20"/>
        </w:rPr>
      </w:pPr>
      <w:r w:rsidRPr="00641F56">
        <w:rPr>
          <w:rFonts w:ascii="Arial" w:eastAsia="Times New Roman" w:hAnsi="Arial" w:cs="Arial"/>
          <w:b/>
          <w:bCs/>
          <w:kern w:val="36"/>
          <w:sz w:val="20"/>
          <w:szCs w:val="20"/>
        </w:rPr>
        <w:lastRenderedPageBreak/>
        <w:t>Table of Contents</w:t>
      </w:r>
    </w:p>
    <w:p w:rsidR="00641F56" w:rsidRPr="009974BE" w:rsidRDefault="00641F56" w:rsidP="00641F56">
      <w:pPr>
        <w:spacing w:before="100" w:beforeAutospacing="1" w:after="100" w:afterAutospacing="1" w:line="240" w:lineRule="auto"/>
        <w:rPr>
          <w:rFonts w:ascii="Arial" w:eastAsia="Times New Roman" w:hAnsi="Arial" w:cs="Arial"/>
          <w:sz w:val="20"/>
          <w:szCs w:val="20"/>
        </w:rPr>
      </w:pPr>
      <w:r w:rsidRPr="00641F56">
        <w:rPr>
          <w:rFonts w:ascii="Arial" w:eastAsia="Times New Roman" w:hAnsi="Arial" w:cs="Arial"/>
          <w:sz w:val="20"/>
          <w:szCs w:val="20"/>
        </w:rPr>
        <w:t>Introduction .................</w:t>
      </w:r>
      <w:r w:rsidRPr="009974BE">
        <w:rPr>
          <w:rFonts w:ascii="Arial" w:eastAsia="Times New Roman" w:hAnsi="Arial" w:cs="Arial"/>
          <w:sz w:val="20"/>
          <w:szCs w:val="20"/>
        </w:rPr>
        <w:t>.......................................................</w:t>
      </w:r>
      <w:r w:rsidRPr="00641F56">
        <w:rPr>
          <w:rFonts w:ascii="Arial" w:eastAsia="Times New Roman" w:hAnsi="Arial" w:cs="Arial"/>
          <w:sz w:val="20"/>
          <w:szCs w:val="20"/>
        </w:rPr>
        <w:t>..............................</w:t>
      </w:r>
      <w:r w:rsidRPr="009974BE">
        <w:rPr>
          <w:rFonts w:ascii="Arial" w:eastAsia="Times New Roman" w:hAnsi="Arial" w:cs="Arial"/>
          <w:sz w:val="20"/>
          <w:szCs w:val="20"/>
        </w:rPr>
        <w:t>............</w:t>
      </w:r>
      <w:r w:rsidR="009974BE">
        <w:rPr>
          <w:rFonts w:ascii="Arial" w:eastAsia="Times New Roman" w:hAnsi="Arial" w:cs="Arial"/>
          <w:sz w:val="20"/>
          <w:szCs w:val="20"/>
        </w:rPr>
        <w:t>..............</w:t>
      </w:r>
      <w:r w:rsidRPr="009974BE">
        <w:rPr>
          <w:rFonts w:ascii="Arial" w:eastAsia="Times New Roman" w:hAnsi="Arial" w:cs="Arial"/>
          <w:sz w:val="20"/>
          <w:szCs w:val="20"/>
        </w:rPr>
        <w:t>..................3</w:t>
      </w:r>
    </w:p>
    <w:p w:rsidR="00641F56" w:rsidRPr="009974BE" w:rsidRDefault="00641F56" w:rsidP="00641F56">
      <w:pPr>
        <w:spacing w:before="100" w:beforeAutospacing="1" w:after="100" w:afterAutospacing="1" w:line="240" w:lineRule="auto"/>
        <w:rPr>
          <w:rFonts w:ascii="Arial" w:eastAsia="Times New Roman" w:hAnsi="Arial" w:cs="Arial"/>
          <w:sz w:val="20"/>
          <w:szCs w:val="20"/>
        </w:rPr>
      </w:pPr>
      <w:r w:rsidRPr="009974BE">
        <w:rPr>
          <w:rFonts w:ascii="Arial" w:eastAsia="Times New Roman" w:hAnsi="Arial" w:cs="Arial"/>
          <w:sz w:val="20"/>
          <w:szCs w:val="20"/>
        </w:rPr>
        <w:t xml:space="preserve"> </w:t>
      </w:r>
      <w:r w:rsidRPr="00641F56">
        <w:rPr>
          <w:rFonts w:ascii="Arial" w:eastAsia="Times New Roman" w:hAnsi="Arial" w:cs="Arial"/>
          <w:sz w:val="20"/>
          <w:szCs w:val="20"/>
        </w:rPr>
        <w:t xml:space="preserve">Effective Communication in Mrs Thompson's </w:t>
      </w:r>
      <w:proofErr w:type="gramStart"/>
      <w:r w:rsidRPr="00641F56">
        <w:rPr>
          <w:rFonts w:ascii="Arial" w:eastAsia="Times New Roman" w:hAnsi="Arial" w:cs="Arial"/>
          <w:sz w:val="20"/>
          <w:szCs w:val="20"/>
        </w:rPr>
        <w:t>Care .......................</w:t>
      </w:r>
      <w:r w:rsidRPr="009974BE">
        <w:rPr>
          <w:rFonts w:ascii="Arial" w:eastAsia="Times New Roman" w:hAnsi="Arial" w:cs="Arial"/>
          <w:sz w:val="20"/>
          <w:szCs w:val="20"/>
        </w:rPr>
        <w:t>......................................</w:t>
      </w:r>
      <w:r w:rsidR="009974BE">
        <w:rPr>
          <w:rFonts w:ascii="Arial" w:eastAsia="Times New Roman" w:hAnsi="Arial" w:cs="Arial"/>
          <w:sz w:val="20"/>
          <w:szCs w:val="20"/>
        </w:rPr>
        <w:t>..............</w:t>
      </w:r>
      <w:r w:rsidRPr="009974BE">
        <w:rPr>
          <w:rFonts w:ascii="Arial" w:eastAsia="Times New Roman" w:hAnsi="Arial" w:cs="Arial"/>
          <w:sz w:val="20"/>
          <w:szCs w:val="20"/>
        </w:rPr>
        <w:t>.</w:t>
      </w:r>
      <w:r w:rsidRPr="00641F56">
        <w:rPr>
          <w:rFonts w:ascii="Arial" w:eastAsia="Times New Roman" w:hAnsi="Arial" w:cs="Arial"/>
          <w:sz w:val="20"/>
          <w:szCs w:val="20"/>
        </w:rPr>
        <w:t>.......</w:t>
      </w:r>
      <w:proofErr w:type="gramEnd"/>
      <w:r w:rsidRPr="00641F56">
        <w:rPr>
          <w:rFonts w:ascii="Arial" w:eastAsia="Times New Roman" w:hAnsi="Arial" w:cs="Arial"/>
          <w:sz w:val="20"/>
          <w:szCs w:val="20"/>
        </w:rPr>
        <w:t xml:space="preserve"> 2</w:t>
      </w:r>
    </w:p>
    <w:p w:rsidR="00641F56" w:rsidRPr="00641F56" w:rsidRDefault="00641F56" w:rsidP="00641F56">
      <w:pPr>
        <w:spacing w:before="100" w:beforeAutospacing="1" w:after="100" w:afterAutospacing="1" w:line="240" w:lineRule="auto"/>
        <w:rPr>
          <w:rFonts w:ascii="Arial" w:eastAsia="Times New Roman" w:hAnsi="Arial" w:cs="Arial"/>
          <w:sz w:val="20"/>
          <w:szCs w:val="20"/>
        </w:rPr>
      </w:pPr>
      <w:r w:rsidRPr="00641F56">
        <w:rPr>
          <w:rFonts w:ascii="Arial" w:eastAsia="Times New Roman" w:hAnsi="Arial" w:cs="Arial"/>
          <w:sz w:val="20"/>
          <w:szCs w:val="20"/>
        </w:rPr>
        <w:t>Importance of Good Administrative Skills in Professional Practice .....</w:t>
      </w:r>
      <w:r w:rsidRPr="009974BE">
        <w:rPr>
          <w:rFonts w:ascii="Arial" w:eastAsia="Times New Roman" w:hAnsi="Arial" w:cs="Arial"/>
          <w:sz w:val="20"/>
          <w:szCs w:val="20"/>
        </w:rPr>
        <w:t>..................................</w:t>
      </w:r>
      <w:r w:rsidR="009974BE">
        <w:rPr>
          <w:rFonts w:ascii="Arial" w:eastAsia="Times New Roman" w:hAnsi="Arial" w:cs="Arial"/>
          <w:sz w:val="20"/>
          <w:szCs w:val="20"/>
        </w:rPr>
        <w:t>...............</w:t>
      </w:r>
      <w:r w:rsidRPr="009974BE">
        <w:rPr>
          <w:rFonts w:ascii="Arial" w:eastAsia="Times New Roman" w:hAnsi="Arial" w:cs="Arial"/>
          <w:sz w:val="20"/>
          <w:szCs w:val="20"/>
        </w:rPr>
        <w:t>..</w:t>
      </w:r>
      <w:r w:rsidRPr="00641F56">
        <w:rPr>
          <w:rFonts w:ascii="Arial" w:eastAsia="Times New Roman" w:hAnsi="Arial" w:cs="Arial"/>
          <w:sz w:val="20"/>
          <w:szCs w:val="20"/>
        </w:rPr>
        <w:t>.... 4</w:t>
      </w:r>
    </w:p>
    <w:p w:rsidR="00641F56" w:rsidRPr="00641F56" w:rsidRDefault="00641F56" w:rsidP="00641F56">
      <w:pPr>
        <w:spacing w:before="100" w:beforeAutospacing="1" w:after="100" w:afterAutospacing="1" w:line="240" w:lineRule="auto"/>
        <w:rPr>
          <w:rFonts w:ascii="Arial" w:eastAsia="Times New Roman" w:hAnsi="Arial" w:cs="Arial"/>
          <w:sz w:val="20"/>
          <w:szCs w:val="20"/>
        </w:rPr>
      </w:pPr>
      <w:r w:rsidRPr="00641F56">
        <w:rPr>
          <w:rFonts w:ascii="Arial" w:eastAsia="Times New Roman" w:hAnsi="Arial" w:cs="Arial"/>
          <w:sz w:val="20"/>
          <w:szCs w:val="20"/>
        </w:rPr>
        <w:t>Importance of Collaborative Working in Mrs Thompson's Care .................</w:t>
      </w:r>
      <w:r w:rsidRPr="009974BE">
        <w:rPr>
          <w:rFonts w:ascii="Arial" w:eastAsia="Times New Roman" w:hAnsi="Arial" w:cs="Arial"/>
          <w:sz w:val="20"/>
          <w:szCs w:val="20"/>
        </w:rPr>
        <w:t>.......................</w:t>
      </w:r>
      <w:r w:rsidR="009974BE">
        <w:rPr>
          <w:rFonts w:ascii="Arial" w:eastAsia="Times New Roman" w:hAnsi="Arial" w:cs="Arial"/>
          <w:sz w:val="20"/>
          <w:szCs w:val="20"/>
        </w:rPr>
        <w:t>................</w:t>
      </w:r>
      <w:r w:rsidRPr="009974BE">
        <w:rPr>
          <w:rFonts w:ascii="Arial" w:eastAsia="Times New Roman" w:hAnsi="Arial" w:cs="Arial"/>
          <w:sz w:val="20"/>
          <w:szCs w:val="20"/>
        </w:rPr>
        <w:t>..........</w:t>
      </w:r>
      <w:r w:rsidRPr="00641F56">
        <w:rPr>
          <w:rFonts w:ascii="Arial" w:eastAsia="Times New Roman" w:hAnsi="Arial" w:cs="Arial"/>
          <w:sz w:val="20"/>
          <w:szCs w:val="20"/>
        </w:rPr>
        <w:t xml:space="preserve"> 6</w:t>
      </w:r>
    </w:p>
    <w:p w:rsidR="00641F56" w:rsidRPr="00641F56" w:rsidRDefault="00641F56" w:rsidP="00641F56">
      <w:pPr>
        <w:spacing w:before="100" w:beforeAutospacing="1" w:after="100" w:afterAutospacing="1" w:line="240" w:lineRule="auto"/>
        <w:rPr>
          <w:rFonts w:ascii="Arial" w:eastAsia="Times New Roman" w:hAnsi="Arial" w:cs="Arial"/>
          <w:sz w:val="20"/>
          <w:szCs w:val="20"/>
        </w:rPr>
      </w:pPr>
      <w:proofErr w:type="gramStart"/>
      <w:r w:rsidRPr="00641F56">
        <w:rPr>
          <w:rFonts w:ascii="Arial" w:eastAsia="Times New Roman" w:hAnsi="Arial" w:cs="Arial"/>
          <w:sz w:val="20"/>
          <w:szCs w:val="20"/>
        </w:rPr>
        <w:t>Conclusion ........................................................................</w:t>
      </w:r>
      <w:r w:rsidRPr="009974BE">
        <w:rPr>
          <w:rFonts w:ascii="Arial" w:eastAsia="Times New Roman" w:hAnsi="Arial" w:cs="Arial"/>
          <w:sz w:val="20"/>
          <w:szCs w:val="20"/>
        </w:rPr>
        <w:t>.............................................</w:t>
      </w:r>
      <w:r w:rsidR="009974BE">
        <w:rPr>
          <w:rFonts w:ascii="Arial" w:eastAsia="Times New Roman" w:hAnsi="Arial" w:cs="Arial"/>
          <w:sz w:val="20"/>
          <w:szCs w:val="20"/>
        </w:rPr>
        <w:t>.............</w:t>
      </w:r>
      <w:r w:rsidRPr="009974BE">
        <w:rPr>
          <w:rFonts w:ascii="Arial" w:eastAsia="Times New Roman" w:hAnsi="Arial" w:cs="Arial"/>
          <w:sz w:val="20"/>
          <w:szCs w:val="20"/>
        </w:rPr>
        <w:t>..........</w:t>
      </w:r>
      <w:r w:rsidRPr="00641F56">
        <w:rPr>
          <w:rFonts w:ascii="Arial" w:eastAsia="Times New Roman" w:hAnsi="Arial" w:cs="Arial"/>
          <w:sz w:val="20"/>
          <w:szCs w:val="20"/>
        </w:rPr>
        <w:t>......</w:t>
      </w:r>
      <w:proofErr w:type="gramEnd"/>
      <w:r w:rsidRPr="00641F56">
        <w:rPr>
          <w:rFonts w:ascii="Arial" w:eastAsia="Times New Roman" w:hAnsi="Arial" w:cs="Arial"/>
          <w:sz w:val="20"/>
          <w:szCs w:val="20"/>
        </w:rPr>
        <w:t xml:space="preserve"> 8</w:t>
      </w:r>
    </w:p>
    <w:p w:rsidR="00641F56" w:rsidRPr="00641F56" w:rsidRDefault="00641F56" w:rsidP="00641F56">
      <w:pPr>
        <w:spacing w:before="100" w:beforeAutospacing="1" w:after="100" w:afterAutospacing="1" w:line="240" w:lineRule="auto"/>
        <w:rPr>
          <w:rFonts w:ascii="Arial" w:eastAsia="Times New Roman" w:hAnsi="Arial" w:cs="Arial"/>
          <w:sz w:val="20"/>
          <w:szCs w:val="20"/>
        </w:rPr>
      </w:pPr>
      <w:proofErr w:type="gramStart"/>
      <w:r w:rsidRPr="00641F56">
        <w:rPr>
          <w:rFonts w:ascii="Arial" w:eastAsia="Times New Roman" w:hAnsi="Arial" w:cs="Arial"/>
          <w:sz w:val="20"/>
          <w:szCs w:val="20"/>
        </w:rPr>
        <w:t>References ................................................................</w:t>
      </w:r>
      <w:r w:rsidRPr="009974BE">
        <w:rPr>
          <w:rFonts w:ascii="Arial" w:eastAsia="Times New Roman" w:hAnsi="Arial" w:cs="Arial"/>
          <w:sz w:val="20"/>
          <w:szCs w:val="20"/>
        </w:rPr>
        <w:t>........................................................</w:t>
      </w:r>
      <w:r w:rsidRPr="00641F56">
        <w:rPr>
          <w:rFonts w:ascii="Arial" w:eastAsia="Times New Roman" w:hAnsi="Arial" w:cs="Arial"/>
          <w:sz w:val="20"/>
          <w:szCs w:val="20"/>
        </w:rPr>
        <w:t>...</w:t>
      </w:r>
      <w:r w:rsidR="009974BE">
        <w:rPr>
          <w:rFonts w:ascii="Arial" w:eastAsia="Times New Roman" w:hAnsi="Arial" w:cs="Arial"/>
          <w:sz w:val="20"/>
          <w:szCs w:val="20"/>
        </w:rPr>
        <w:t>............</w:t>
      </w:r>
      <w:r w:rsidRPr="00641F56">
        <w:rPr>
          <w:rFonts w:ascii="Arial" w:eastAsia="Times New Roman" w:hAnsi="Arial" w:cs="Arial"/>
          <w:sz w:val="20"/>
          <w:szCs w:val="20"/>
        </w:rPr>
        <w:t>...........</w:t>
      </w:r>
      <w:proofErr w:type="gramEnd"/>
      <w:r w:rsidRPr="00641F56">
        <w:rPr>
          <w:rFonts w:ascii="Arial" w:eastAsia="Times New Roman" w:hAnsi="Arial" w:cs="Arial"/>
          <w:sz w:val="20"/>
          <w:szCs w:val="20"/>
        </w:rPr>
        <w:t xml:space="preserve"> 9</w:t>
      </w: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641F56" w:rsidRDefault="00641F56" w:rsidP="006156CD">
      <w:pPr>
        <w:spacing w:line="360" w:lineRule="auto"/>
        <w:jc w:val="both"/>
        <w:rPr>
          <w:rFonts w:ascii="Arial" w:hAnsi="Arial" w:cs="Arial"/>
          <w:b/>
        </w:rPr>
      </w:pPr>
    </w:p>
    <w:p w:rsidR="009974BE" w:rsidRDefault="009974BE" w:rsidP="006156CD">
      <w:pPr>
        <w:spacing w:line="360" w:lineRule="auto"/>
        <w:jc w:val="both"/>
        <w:rPr>
          <w:rFonts w:ascii="Arial" w:hAnsi="Arial" w:cs="Arial"/>
          <w:b/>
        </w:rPr>
      </w:pPr>
    </w:p>
    <w:p w:rsidR="001D5A97" w:rsidRPr="006156CD" w:rsidRDefault="006156CD" w:rsidP="006156CD">
      <w:pPr>
        <w:spacing w:line="360" w:lineRule="auto"/>
        <w:jc w:val="both"/>
        <w:rPr>
          <w:rFonts w:ascii="Arial" w:hAnsi="Arial" w:cs="Arial"/>
          <w:b/>
        </w:rPr>
      </w:pPr>
      <w:r w:rsidRPr="006156CD">
        <w:rPr>
          <w:rFonts w:ascii="Arial" w:hAnsi="Arial" w:cs="Arial"/>
          <w:b/>
        </w:rPr>
        <w:lastRenderedPageBreak/>
        <w:t>Introduction</w:t>
      </w:r>
    </w:p>
    <w:p w:rsidR="005C74C4" w:rsidRPr="005C74C4" w:rsidRDefault="005C74C4" w:rsidP="006156CD">
      <w:pPr>
        <w:spacing w:before="100" w:beforeAutospacing="1" w:after="100" w:afterAutospacing="1" w:line="360" w:lineRule="auto"/>
        <w:jc w:val="both"/>
        <w:outlineLvl w:val="2"/>
        <w:rPr>
          <w:rFonts w:ascii="Arial" w:eastAsia="Times New Roman" w:hAnsi="Arial" w:cs="Arial"/>
          <w:bCs/>
        </w:rPr>
      </w:pPr>
      <w:r w:rsidRPr="005C74C4">
        <w:rPr>
          <w:rFonts w:ascii="Arial" w:eastAsia="Times New Roman" w:hAnsi="Arial" w:cs="Arial"/>
          <w:bCs/>
        </w:rPr>
        <w:t>The case of Mrs. Thompson brings out some of the issues that may be encountered when providing safe and person-centered care to the elderly. After being discharged from hospital due to pneumonia, the lady suffers from mild dementia, missed medication, confusion and safeguarding issues. Proper communication, proper administration and multidisciplinary teamwork are necessary to maintain safe and quality care, medication and health outcome (NICE, 2018; CQC, 2024). This report assesses the communication in relation to the Equality Act 2010 and the Shannon &amp; Weaver Communication Model followed by assessment of record keeping, Data Protection Act 2018 and teamwork.</w:t>
      </w:r>
    </w:p>
    <w:p w:rsidR="006156CD" w:rsidRPr="006156CD" w:rsidRDefault="006156CD" w:rsidP="006156CD">
      <w:pPr>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t>1.1 Effective Communication in Mrs Thompson’s Care</w:t>
      </w:r>
    </w:p>
    <w:p w:rsidR="005C74C4" w:rsidRDefault="005C74C4" w:rsidP="006156CD">
      <w:pPr>
        <w:spacing w:before="100" w:beforeAutospacing="1" w:after="100" w:afterAutospacing="1" w:line="360" w:lineRule="auto"/>
        <w:jc w:val="both"/>
        <w:rPr>
          <w:rFonts w:ascii="Arial" w:eastAsia="Times New Roman" w:hAnsi="Arial" w:cs="Arial"/>
        </w:rPr>
      </w:pPr>
      <w:r w:rsidRPr="005C74C4">
        <w:rPr>
          <w:rFonts w:ascii="Arial" w:eastAsia="Times New Roman" w:hAnsi="Arial" w:cs="Arial"/>
        </w:rPr>
        <w:t>It is important to ensure effective communication to provide safe and person-centered care to Mrs Thompson, especially given that the recent discharge from the hospital, along with her dementia and instances of confusion, makes her susceptible to drug mistakes and safeguarding issues. The failure on the part of Mrs Thompson to take her drugs and confusion resulting from this is an example of how lack of communication can lead to poor compliance, delay in action and adverse effects on health. There is evidence showing that person-centered communication helps improve understanding, enhances independence and prevents any avoidable adverse incidents among patients with dementia (Fazio et al., 2024).</w:t>
      </w:r>
    </w:p>
    <w:p w:rsidR="005C74C4" w:rsidRDefault="005C74C4" w:rsidP="006156CD">
      <w:pPr>
        <w:spacing w:before="100" w:beforeAutospacing="1" w:after="100" w:afterAutospacing="1" w:line="360" w:lineRule="auto"/>
        <w:jc w:val="both"/>
        <w:rPr>
          <w:rFonts w:ascii="Arial" w:eastAsia="Times New Roman" w:hAnsi="Arial" w:cs="Arial"/>
        </w:rPr>
      </w:pPr>
      <w:r w:rsidRPr="005C74C4">
        <w:rPr>
          <w:rFonts w:ascii="Arial" w:eastAsia="Times New Roman" w:hAnsi="Arial" w:cs="Arial"/>
        </w:rPr>
        <w:t>When dealing with Mrs Thompson, professionals are expected to employ clear language, eye contact, and a minimum amount of distractions in the environment, as well as ensure that enough time is available to process information and make responses. Comprehension of the information can be achieved by asking Mrs Thompson to repeat it, especially if it relates to her taking medication after she leaves the hospital (NICE, 2018).</w:t>
      </w:r>
    </w:p>
    <w:p w:rsidR="005C74C4" w:rsidRDefault="005C74C4" w:rsidP="006156CD">
      <w:pPr>
        <w:spacing w:before="100" w:beforeAutospacing="1" w:after="100" w:afterAutospacing="1" w:line="360" w:lineRule="auto"/>
        <w:jc w:val="both"/>
        <w:outlineLvl w:val="2"/>
        <w:rPr>
          <w:rFonts w:ascii="Arial" w:eastAsia="Times New Roman" w:hAnsi="Arial" w:cs="Arial"/>
        </w:rPr>
      </w:pPr>
      <w:r w:rsidRPr="005C74C4">
        <w:rPr>
          <w:rFonts w:ascii="Arial" w:eastAsia="Times New Roman" w:hAnsi="Arial" w:cs="Arial"/>
        </w:rPr>
        <w:t>Mrs Thompson’s family also needs to be communicated with, since they can give essential information about any changes in Mrs Thompson’s cognitive function, daily activity, and medications. Including families in the plan of care with Mrs Thompson’s consent or, in accordance with the best interests’ decision-making, will ensure continuity of care and help identify concerns early. It is in line with the provisions of the Equality Act 2010, which states that health and social care service providers need to make reasonable adjustments for people who have any disabilities, such as dementia, allowing them to use their services without discrimination (Equality Act, 2010).</w:t>
      </w:r>
    </w:p>
    <w:p w:rsidR="006156CD" w:rsidRDefault="006156CD" w:rsidP="006156CD">
      <w:pPr>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lastRenderedPageBreak/>
        <w:t>1.2 Applying the Shannon and Weaver Communication Model</w:t>
      </w:r>
    </w:p>
    <w:p w:rsidR="00641F56" w:rsidRDefault="00641F56" w:rsidP="006156CD">
      <w:pPr>
        <w:spacing w:before="100" w:beforeAutospacing="1" w:after="100" w:afterAutospacing="1" w:line="360" w:lineRule="auto"/>
        <w:jc w:val="both"/>
        <w:outlineLvl w:val="2"/>
        <w:rPr>
          <w:rFonts w:ascii="Arial" w:eastAsia="Times New Roman" w:hAnsi="Arial" w:cs="Arial"/>
          <w:b/>
          <w:bCs/>
        </w:rPr>
      </w:pPr>
      <w:r w:rsidRPr="00641F56">
        <w:rPr>
          <w:rFonts w:ascii="Arial" w:eastAsia="Times New Roman" w:hAnsi="Arial" w:cs="Arial"/>
          <w:b/>
          <w:bCs/>
        </w:rPr>
        <w:drawing>
          <wp:inline distT="0" distB="0" distL="0" distR="0">
            <wp:extent cx="5861050" cy="2901950"/>
            <wp:effectExtent l="0" t="0" r="6350" b="0"/>
            <wp:docPr id="2" name="Picture 2" descr="Shannon-Weaver model of communication Archives - Mike Cru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Weaver model of communication Archives - Mike Crud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1050" cy="2901950"/>
                    </a:xfrm>
                    <a:prstGeom prst="rect">
                      <a:avLst/>
                    </a:prstGeom>
                    <a:noFill/>
                    <a:ln>
                      <a:noFill/>
                    </a:ln>
                  </pic:spPr>
                </pic:pic>
              </a:graphicData>
            </a:graphic>
          </wp:inline>
        </w:drawing>
      </w:r>
    </w:p>
    <w:p w:rsidR="00641F56" w:rsidRPr="006156CD" w:rsidRDefault="00641F56" w:rsidP="006156CD">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(Singh, 2025)</w:t>
      </w:r>
    </w:p>
    <w:p w:rsidR="005C74C4" w:rsidRDefault="005C74C4" w:rsidP="006156CD">
      <w:pPr>
        <w:spacing w:before="100" w:beforeAutospacing="1" w:after="100" w:afterAutospacing="1" w:line="360" w:lineRule="auto"/>
        <w:jc w:val="both"/>
        <w:rPr>
          <w:rFonts w:ascii="Arial" w:eastAsia="Times New Roman" w:hAnsi="Arial" w:cs="Arial"/>
        </w:rPr>
      </w:pPr>
      <w:r w:rsidRPr="005C74C4">
        <w:rPr>
          <w:rFonts w:ascii="Arial" w:eastAsia="Times New Roman" w:hAnsi="Arial" w:cs="Arial"/>
        </w:rPr>
        <w:t>The Shannon and Weaver communication model presents a clear structure of information flow from one person to another and potential barriers that can hamper the flow of communication. In the case of Mrs Thompson's care, the domiciliary care worker is the sender who conveys messages about medications and care. The encoding is done through verbal and non-verbal communications and the transmission happens through a proper channel such as face-to-face communication. Mrs Thompson decodes the message and gives feedback to the domiciliary care worker in order to ensure that the message has been understood by the recipient. There are a number of barriers to the communication process that could disrupt the process and these include her mild dementia, confusion due to pneumonia, hearing loss, use of medical terms and the distracting environment at her place (Fiske, 2023).</w:t>
      </w:r>
    </w:p>
    <w:p w:rsidR="00AC60C0" w:rsidRDefault="00AC60C0" w:rsidP="00AC60C0">
      <w:pPr>
        <w:spacing w:before="100" w:beforeAutospacing="1" w:after="100" w:afterAutospacing="1" w:line="360" w:lineRule="auto"/>
        <w:jc w:val="both"/>
        <w:rPr>
          <w:rFonts w:ascii="Arial" w:eastAsia="Times New Roman" w:hAnsi="Arial" w:cs="Arial"/>
        </w:rPr>
      </w:pPr>
      <w:r>
        <w:rPr>
          <w:rFonts w:ascii="Arial" w:eastAsia="Times New Roman" w:hAnsi="Arial" w:cs="Arial"/>
        </w:rPr>
        <w:t>T</w:t>
      </w:r>
      <w:r w:rsidR="005C74C4" w:rsidRPr="005C74C4">
        <w:rPr>
          <w:rFonts w:ascii="Arial" w:eastAsia="Times New Roman" w:hAnsi="Arial" w:cs="Arial"/>
        </w:rPr>
        <w:t>o reduce barriers to communication, it is essential that professionals use clear language, speak slowly, give instructions one at a time and assess Mrs Thompson’s comprehension by providing feedback. Whenever possible, writing reminders about medications or using visual cues can help in the process of communicating and increase her independence. Such methods are aligned with the NICE recommendations (2018).</w:t>
      </w:r>
    </w:p>
    <w:p w:rsidR="005C74C4" w:rsidRDefault="005C74C4" w:rsidP="00AC60C0">
      <w:pPr>
        <w:spacing w:before="100" w:beforeAutospacing="1" w:after="100" w:afterAutospacing="1" w:line="360" w:lineRule="auto"/>
        <w:jc w:val="both"/>
        <w:rPr>
          <w:rFonts w:ascii="Arial" w:eastAsia="Times New Roman" w:hAnsi="Arial" w:cs="Arial"/>
        </w:rPr>
      </w:pPr>
      <w:r w:rsidRPr="005C74C4">
        <w:rPr>
          <w:rFonts w:ascii="Arial" w:eastAsia="Times New Roman" w:hAnsi="Arial" w:cs="Arial"/>
        </w:rPr>
        <w:lastRenderedPageBreak/>
        <w:t>However, although the Shannon and Weaver model clearly recognizes various barriers to communication and emphasizes the significance of feedback, it mainly concentrates on information transfer and does not pay attention to people’s emotions and empathy. Therefore, for health and social care specialists to guarantee that Mrs Thompson feels valued, engaged, and supported during her treatment process, the model needs to be used along with the person-centred approach (Bunn et al., 2021).</w:t>
      </w:r>
    </w:p>
    <w:p w:rsidR="00641F56" w:rsidRPr="00641F56" w:rsidRDefault="00641F56" w:rsidP="006156CD">
      <w:pPr>
        <w:spacing w:before="100" w:beforeAutospacing="1" w:after="100" w:afterAutospacing="1" w:line="360" w:lineRule="auto"/>
        <w:jc w:val="both"/>
        <w:outlineLvl w:val="2"/>
        <w:rPr>
          <w:rFonts w:ascii="Arial" w:eastAsia="Times New Roman" w:hAnsi="Arial" w:cs="Arial"/>
          <w:b/>
        </w:rPr>
      </w:pPr>
      <w:r w:rsidRPr="00641F56">
        <w:rPr>
          <w:rFonts w:ascii="Arial" w:hAnsi="Arial" w:cs="Arial"/>
          <w:b/>
        </w:rPr>
        <w:t>2. Importance of Good Administrative Skills in Professional Practice</w:t>
      </w:r>
    </w:p>
    <w:p w:rsidR="006156CD" w:rsidRPr="006156CD" w:rsidRDefault="006156CD" w:rsidP="006156CD">
      <w:pPr>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t>2.1 Importance of Administrative Skills in Mrs Thompson’s Care</w:t>
      </w:r>
    </w:p>
    <w:p w:rsidR="005C74C4" w:rsidRDefault="005C74C4" w:rsidP="006156CD">
      <w:pPr>
        <w:spacing w:before="100" w:beforeAutospacing="1" w:after="100" w:afterAutospacing="1" w:line="360" w:lineRule="auto"/>
        <w:jc w:val="both"/>
        <w:outlineLvl w:val="2"/>
        <w:rPr>
          <w:rFonts w:ascii="Arial" w:eastAsia="Times New Roman" w:hAnsi="Arial" w:cs="Arial"/>
        </w:rPr>
      </w:pPr>
      <w:r w:rsidRPr="005C74C4">
        <w:rPr>
          <w:rFonts w:ascii="Arial" w:eastAsia="Times New Roman" w:hAnsi="Arial" w:cs="Arial"/>
        </w:rPr>
        <w:t>Administrative ability is important when it comes to provision of safe and person-centred care for Mrs Thompson, because this involves proper communication, continuity of care, and efficient clinical decision-making. After her discharge from the hospital, professionals will need to keep accurate documentation in order to track any change in her state of health and to minimize the risk of medication error. For instance, in Mrs Thompson’s situation, failure to take medication for two days led to confusion, which means that proper documentation and medication review were necessary in order to prevent the progression of the problem. Proper documentation will allow domiciliary care workers, GP, community nurse, and pharmacist to share information and ensure that she receives proper safeguarding and care. It has been established that proper documentation is important in terms of improving the quality of care for older patients, including their safety, continuity of care, and clinical decision-making (Mutshatshi et al., 2022).</w:t>
      </w:r>
    </w:p>
    <w:p w:rsidR="006156CD" w:rsidRPr="006156CD" w:rsidRDefault="006156CD" w:rsidP="006156CD">
      <w:pPr>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t>2.2 Record Keeping and the Data Protection Act 2018</w:t>
      </w:r>
    </w:p>
    <w:p w:rsidR="006156CD" w:rsidRPr="006156CD" w:rsidRDefault="005C74C4" w:rsidP="006156CD">
      <w:pPr>
        <w:spacing w:before="100" w:beforeAutospacing="1" w:after="100" w:afterAutospacing="1" w:line="360" w:lineRule="auto"/>
        <w:jc w:val="both"/>
        <w:rPr>
          <w:rFonts w:ascii="Arial" w:eastAsia="Times New Roman" w:hAnsi="Arial" w:cs="Arial"/>
        </w:rPr>
      </w:pPr>
      <w:r w:rsidRPr="005C74C4">
        <w:rPr>
          <w:rFonts w:ascii="Arial" w:eastAsia="Times New Roman" w:hAnsi="Arial" w:cs="Arial"/>
        </w:rPr>
        <w:t>Good record keeping will be important in making sure that Mrs. Thompson has safe and well-coordinated care. In light of the above developments, namely the missing medication, increased confusion, and finding her outside wearing inappropriate clothes, these must be documented in her records for the time and date of the events, the observations and the actions taken. Good record keeping is crucial in making sure that any change in her condition can be noted and any risks assessed so that informed decisions can be made, such as requesting for a medication review or s</w:t>
      </w:r>
      <w:r>
        <w:rPr>
          <w:rFonts w:ascii="Arial" w:eastAsia="Times New Roman" w:hAnsi="Arial" w:cs="Arial"/>
        </w:rPr>
        <w:t>tarting safeguarding procedures</w:t>
      </w:r>
      <w:r w:rsidR="006156CD" w:rsidRPr="006156CD">
        <w:rPr>
          <w:rFonts w:ascii="Arial" w:eastAsia="Times New Roman" w:hAnsi="Arial" w:cs="Arial"/>
        </w:rPr>
        <w:t xml:space="preserve"> (Mutshatshi et al., 2022).</w:t>
      </w:r>
    </w:p>
    <w:p w:rsidR="005C74C4" w:rsidRDefault="005C74C4" w:rsidP="006156CD">
      <w:pPr>
        <w:spacing w:before="100" w:beforeAutospacing="1" w:after="100" w:afterAutospacing="1" w:line="360" w:lineRule="auto"/>
        <w:jc w:val="both"/>
        <w:outlineLvl w:val="2"/>
        <w:rPr>
          <w:rFonts w:ascii="Arial" w:eastAsia="Times New Roman" w:hAnsi="Arial" w:cs="Arial"/>
        </w:rPr>
      </w:pPr>
      <w:r w:rsidRPr="005C74C4">
        <w:rPr>
          <w:rFonts w:ascii="Arial" w:eastAsia="Times New Roman" w:hAnsi="Arial" w:cs="Arial"/>
        </w:rPr>
        <w:t xml:space="preserve">According to the Data Protection Act 2018, the personal data belonging to Mrs. Thompson needs to be processed in a lawful, accurate, and secure manner, ensuring confidentiality at all times. The health records of Mrs. Thompson should not be accessible to anyone other than those directly </w:t>
      </w:r>
      <w:r w:rsidRPr="005C74C4">
        <w:rPr>
          <w:rFonts w:ascii="Arial" w:eastAsia="Times New Roman" w:hAnsi="Arial" w:cs="Arial"/>
        </w:rPr>
        <w:lastRenderedPageBreak/>
        <w:t>involved in the treatment of the patient, for example, the GP, community nurse, pharmacist and domiciliary care workers. It will ensure that the information being shared is necessary to treat her safely and to protect her from any harm while respecting her rights (Data Protection Act, 2018).</w:t>
      </w:r>
    </w:p>
    <w:p w:rsidR="006156CD" w:rsidRPr="006156CD" w:rsidRDefault="006156CD" w:rsidP="006156CD">
      <w:pPr>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t>2.3 Relevant Legislation and Policy Frameworks</w:t>
      </w:r>
    </w:p>
    <w:p w:rsidR="005C74C4" w:rsidRDefault="005C74C4" w:rsidP="006156CD">
      <w:pPr>
        <w:tabs>
          <w:tab w:val="left" w:pos="8390"/>
        </w:tabs>
        <w:spacing w:before="100" w:beforeAutospacing="1" w:after="100" w:afterAutospacing="1" w:line="360" w:lineRule="auto"/>
        <w:jc w:val="both"/>
        <w:outlineLvl w:val="2"/>
        <w:rPr>
          <w:rFonts w:ascii="Arial" w:eastAsia="Times New Roman" w:hAnsi="Arial" w:cs="Arial"/>
        </w:rPr>
      </w:pPr>
      <w:r w:rsidRPr="005C74C4">
        <w:rPr>
          <w:rFonts w:ascii="Arial" w:eastAsia="Times New Roman" w:hAnsi="Arial" w:cs="Arial"/>
        </w:rPr>
        <w:t>The care of Mrs Thompson has legal support from various laws and regulations in the UK that aim to provide safe and quality care. For instance, the Care Act 2014 puts an obligation on the local authority to promote the well-being and protection of adults who may suffer abuse or neglect, and thus, the law is applicable due to issues concerning the failure of her medications and her walking outside inappropriately dressed. The Health and Social Care Act 2008 (Regulated Activities) Regulations 2014 states that providers should provide safe care through proper risk management and record keeping, while the CQC Fundamental Standards state that care should be safe, person-centered, and responsive (Care Act, 2014; CQC, 2024).</w:t>
      </w:r>
    </w:p>
    <w:p w:rsidR="006156CD" w:rsidRPr="006156CD" w:rsidRDefault="006156CD" w:rsidP="006156CD">
      <w:pPr>
        <w:tabs>
          <w:tab w:val="left" w:pos="8390"/>
        </w:tabs>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t>3.1 Importance of Collaborative Working in Mrs Thompson’s Care</w:t>
      </w:r>
      <w:r w:rsidRPr="006156CD">
        <w:rPr>
          <w:rFonts w:ascii="Arial" w:eastAsia="Times New Roman" w:hAnsi="Arial" w:cs="Arial"/>
          <w:b/>
          <w:bCs/>
        </w:rPr>
        <w:tab/>
      </w:r>
    </w:p>
    <w:p w:rsidR="005C74C4" w:rsidRDefault="005C74C4" w:rsidP="006156CD">
      <w:pPr>
        <w:spacing w:before="100" w:beforeAutospacing="1" w:after="100" w:afterAutospacing="1" w:line="360" w:lineRule="auto"/>
        <w:jc w:val="both"/>
        <w:outlineLvl w:val="2"/>
        <w:rPr>
          <w:rFonts w:ascii="Arial" w:eastAsia="Times New Roman" w:hAnsi="Arial" w:cs="Arial"/>
        </w:rPr>
      </w:pPr>
      <w:r w:rsidRPr="005C74C4">
        <w:rPr>
          <w:rFonts w:ascii="Arial" w:eastAsia="Times New Roman" w:hAnsi="Arial" w:cs="Arial"/>
        </w:rPr>
        <w:t>Collaborative work is important to guarantee the safe, well-coordinated and patient-centered care of Mrs. Thompson because her poor physical state, cognitive impairment, and safeguarding issues necessitate the contribution of several practitioners. Having missed medications and confused state, the GP should consider reviewing her medications to prevent further deterioration, whereas the community nurse can evaluate her recovery from pneumonia, assess her cognitive function and discover other health problems. Domiciliary care workers have an important part in noticing the changes in her state, promoting adherence to her medications and raising alarms via appropriate channels. The pharmacist can assess her medication regime, advise her on adherence methods such as monitored dosage systems and prevent potential medication issues. Safeguarding issues should be assessed and addressed under the Care Act 2014 by the local authority. It is stated in evidence that effective multidisciplinary teamwork results in enhanced care coordination, patient safety and better health outcomes of older patients (NICE, 2018; Sims et al., 2022).</w:t>
      </w:r>
    </w:p>
    <w:p w:rsidR="006156CD" w:rsidRPr="006156CD" w:rsidRDefault="006156CD" w:rsidP="006156CD">
      <w:pPr>
        <w:spacing w:before="100" w:beforeAutospacing="1" w:after="100" w:afterAutospacing="1" w:line="360" w:lineRule="auto"/>
        <w:jc w:val="both"/>
        <w:outlineLvl w:val="2"/>
        <w:rPr>
          <w:rFonts w:ascii="Arial" w:eastAsia="Times New Roman" w:hAnsi="Arial" w:cs="Arial"/>
          <w:b/>
          <w:bCs/>
        </w:rPr>
      </w:pPr>
      <w:r w:rsidRPr="006156CD">
        <w:rPr>
          <w:rFonts w:ascii="Arial" w:eastAsia="Times New Roman" w:hAnsi="Arial" w:cs="Arial"/>
          <w:b/>
          <w:bCs/>
        </w:rPr>
        <w:t>3.2 Approaches, Challenges and Strategies for Effective Collaboration</w:t>
      </w:r>
    </w:p>
    <w:p w:rsidR="005C74C4" w:rsidRDefault="005C74C4" w:rsidP="006156CD">
      <w:pPr>
        <w:spacing w:before="100" w:beforeAutospacing="1" w:after="100" w:afterAutospacing="1" w:line="360" w:lineRule="auto"/>
        <w:jc w:val="both"/>
        <w:outlineLvl w:val="1"/>
        <w:rPr>
          <w:rFonts w:ascii="Arial" w:eastAsia="Times New Roman" w:hAnsi="Arial" w:cs="Arial"/>
        </w:rPr>
      </w:pPr>
      <w:r w:rsidRPr="005C74C4">
        <w:rPr>
          <w:rFonts w:ascii="Arial" w:eastAsia="Times New Roman" w:hAnsi="Arial" w:cs="Arial"/>
        </w:rPr>
        <w:t xml:space="preserve">Strategies that will enhance cooperation between professionals providing care for Mrs Thompson include person-centred care planning, MDT meetings, use of the same electronic care record and timely medication reviews. These will facilitate sharing of correct information and intervention </w:t>
      </w:r>
      <w:r w:rsidRPr="005C74C4">
        <w:rPr>
          <w:rFonts w:ascii="Arial" w:eastAsia="Times New Roman" w:hAnsi="Arial" w:cs="Arial"/>
        </w:rPr>
        <w:lastRenderedPageBreak/>
        <w:t>when changes in Mrs Thompson’s conditio</w:t>
      </w:r>
      <w:r w:rsidR="00AC60C0">
        <w:rPr>
          <w:rFonts w:ascii="Arial" w:eastAsia="Times New Roman" w:hAnsi="Arial" w:cs="Arial"/>
        </w:rPr>
        <w:t>n are identified. T</w:t>
      </w:r>
      <w:r w:rsidRPr="005C74C4">
        <w:rPr>
          <w:rFonts w:ascii="Arial" w:eastAsia="Times New Roman" w:hAnsi="Arial" w:cs="Arial"/>
        </w:rPr>
        <w:t>here could be challenges of poor communication, late sharing of information, inconsistent recording and differences in priorities among professionals, leading to difficulties in delivering continuous care. To overcome these challenges, professionals can use communication tools such as SBAR, keep accurate and updated records, assign clear roles and involve Mrs Thompson and her relatives in care planning where necessary. This way, decision-making, duplication of care and safeguarding issues will be addressed effectively. As a result, MDT cooperation will improve continuity of care, ensure safety and well-being of Mrs Thompson and support her independence without future medication errors (Sims et al., 2022; CQC, 2024).</w:t>
      </w:r>
    </w:p>
    <w:p w:rsidR="006156CD" w:rsidRPr="006156CD" w:rsidRDefault="006156CD" w:rsidP="006156CD">
      <w:pPr>
        <w:spacing w:before="100" w:beforeAutospacing="1" w:after="100" w:afterAutospacing="1" w:line="360" w:lineRule="auto"/>
        <w:jc w:val="both"/>
        <w:outlineLvl w:val="1"/>
        <w:rPr>
          <w:rFonts w:ascii="Arial" w:eastAsia="Times New Roman" w:hAnsi="Arial" w:cs="Arial"/>
          <w:b/>
          <w:bCs/>
        </w:rPr>
      </w:pPr>
      <w:r w:rsidRPr="006156CD">
        <w:rPr>
          <w:rFonts w:ascii="Arial" w:eastAsia="Times New Roman" w:hAnsi="Arial" w:cs="Arial"/>
          <w:b/>
          <w:bCs/>
        </w:rPr>
        <w:t>Conclusion</w:t>
      </w:r>
    </w:p>
    <w:p w:rsidR="006156CD" w:rsidRPr="006156CD" w:rsidRDefault="005C74C4" w:rsidP="006156CD">
      <w:pPr>
        <w:spacing w:line="360" w:lineRule="auto"/>
        <w:jc w:val="both"/>
        <w:rPr>
          <w:rFonts w:ascii="Arial" w:hAnsi="Arial" w:cs="Arial"/>
        </w:rPr>
      </w:pPr>
      <w:r w:rsidRPr="005C74C4">
        <w:rPr>
          <w:rFonts w:ascii="Arial" w:hAnsi="Arial" w:cs="Arial"/>
        </w:rPr>
        <w:t>Mrs. Thompson’s case indicates that providing safe and person-centered care entails good communication skills, administrative practice and teamwork. Modification of the process of communication to meet the patient’s cognition levels, together with the Equality Act 2010 and application of the Shannon and Weaver model of communication, would aid in the understanding of the patient and her adherence to medications. Maintaining accurate records and following the Data Protection Act 2018 would aid safe decision making and le</w:t>
      </w:r>
      <w:r w:rsidR="00AC60C0">
        <w:rPr>
          <w:rFonts w:ascii="Arial" w:hAnsi="Arial" w:cs="Arial"/>
        </w:rPr>
        <w:t>gal responsibility. C</w:t>
      </w:r>
      <w:r w:rsidRPr="005C74C4">
        <w:rPr>
          <w:rFonts w:ascii="Arial" w:hAnsi="Arial" w:cs="Arial"/>
        </w:rPr>
        <w:t>ollaboration between the GP, community nurse, pharmacist, domiciliary care worker and local authority would enable interventions and safeguarding.</w:t>
      </w: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p>
    <w:p w:rsidR="00AC60C0" w:rsidRDefault="00AC60C0" w:rsidP="00641F56">
      <w:pPr>
        <w:spacing w:line="360" w:lineRule="auto"/>
        <w:jc w:val="both"/>
        <w:rPr>
          <w:rFonts w:ascii="Arial" w:hAnsi="Arial" w:cs="Arial"/>
          <w:b/>
        </w:rPr>
      </w:pPr>
    </w:p>
    <w:p w:rsidR="00641F56" w:rsidRDefault="00641F56" w:rsidP="00641F56">
      <w:pPr>
        <w:spacing w:line="360" w:lineRule="auto"/>
        <w:jc w:val="both"/>
        <w:rPr>
          <w:rFonts w:ascii="Arial" w:hAnsi="Arial" w:cs="Arial"/>
          <w:b/>
        </w:rPr>
      </w:pPr>
      <w:r w:rsidRPr="00641F56">
        <w:rPr>
          <w:rFonts w:ascii="Arial" w:hAnsi="Arial" w:cs="Arial"/>
          <w:b/>
        </w:rPr>
        <w:lastRenderedPageBreak/>
        <w:t>REFERENCES</w:t>
      </w:r>
    </w:p>
    <w:p w:rsidR="00641F56" w:rsidRPr="00641F56" w:rsidRDefault="00641F56" w:rsidP="00641F56">
      <w:pPr>
        <w:spacing w:line="360" w:lineRule="auto"/>
        <w:jc w:val="both"/>
        <w:rPr>
          <w:rFonts w:ascii="Arial" w:hAnsi="Arial" w:cs="Arial"/>
          <w:b/>
        </w:rPr>
      </w:pPr>
      <w:r w:rsidRPr="00641F56">
        <w:rPr>
          <w:rFonts w:ascii="Arial" w:eastAsia="Times New Roman" w:hAnsi="Arial" w:cs="Arial"/>
        </w:rPr>
        <w:t xml:space="preserve">Bunn, F., Goodman, C., Sworn, K., Rait, G., Brayne, C., Robinson, L., Norton, S. and Iliffe, S. (2021) ‘Supporting shared decision-making for older people with dementia in community settings: A systematic review’, </w:t>
      </w:r>
      <w:r w:rsidRPr="00641F56">
        <w:rPr>
          <w:rFonts w:ascii="Arial" w:eastAsia="Times New Roman" w:hAnsi="Arial" w:cs="Arial"/>
          <w:i/>
          <w:iCs/>
        </w:rPr>
        <w:t>Health Expectations</w:t>
      </w:r>
      <w:r w:rsidRPr="00641F56">
        <w:rPr>
          <w:rFonts w:ascii="Arial" w:eastAsia="Times New Roman" w:hAnsi="Arial" w:cs="Arial"/>
        </w:rPr>
        <w:t>, 24(3), pp. 742–757.</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Care Act 2014. (c.23). London: The Stationery Office.</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 xml:space="preserve">Care Quality Commission (CQC) (2024) </w:t>
      </w:r>
      <w:r w:rsidRPr="00641F56">
        <w:rPr>
          <w:rFonts w:ascii="Arial" w:eastAsia="Times New Roman" w:hAnsi="Arial" w:cs="Arial"/>
          <w:i/>
          <w:iCs/>
        </w:rPr>
        <w:t>Guidance for providers on meeting the regulations</w:t>
      </w:r>
      <w:r w:rsidRPr="00641F56">
        <w:rPr>
          <w:rFonts w:ascii="Arial" w:eastAsia="Times New Roman" w:hAnsi="Arial" w:cs="Arial"/>
        </w:rPr>
        <w:t>. Newcastle upon Tyne: Care Quality Commission.</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Data Protection Act 2018. (c.12). London: The Stationery Office.</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Equality Act 2010. (c.15). London: The Stationery Office.</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 xml:space="preserve">Fazio, S., Pace, D., Flinner, J. and Kallmyer, B. (2024) ‘The fundamentals of person-centred care for individuals with dementia’, </w:t>
      </w:r>
      <w:r w:rsidRPr="00641F56">
        <w:rPr>
          <w:rFonts w:ascii="Arial" w:eastAsia="Times New Roman" w:hAnsi="Arial" w:cs="Arial"/>
          <w:i/>
          <w:iCs/>
        </w:rPr>
        <w:t>Alzheimer’s &amp; Dementia</w:t>
      </w:r>
      <w:r w:rsidRPr="00641F56">
        <w:rPr>
          <w:rFonts w:ascii="Arial" w:eastAsia="Times New Roman" w:hAnsi="Arial" w:cs="Arial"/>
        </w:rPr>
        <w:t>, 20(2), pp. 1123–1134.</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Health and Social Care Act 2008 (Regulated Activities) Regulations 2014. SI 2014/2936. London: The Stationery Office.</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 xml:space="preserve">Mutshatshi, T.E., Mothiba, T.M., Mamogobo, P.M. and Mbombi, M.O. (2022) ‘The importance of accurate nursing documentation in promoting patient safety and quality of care: An integrative review’, </w:t>
      </w:r>
      <w:r w:rsidRPr="00641F56">
        <w:rPr>
          <w:rFonts w:ascii="Arial" w:eastAsia="Times New Roman" w:hAnsi="Arial" w:cs="Arial"/>
          <w:i/>
          <w:iCs/>
        </w:rPr>
        <w:t>International Journal of Africa Nursing Sciences</w:t>
      </w:r>
      <w:r w:rsidRPr="00641F56">
        <w:rPr>
          <w:rFonts w:ascii="Arial" w:eastAsia="Times New Roman" w:hAnsi="Arial" w:cs="Arial"/>
        </w:rPr>
        <w:t>, 17, 100451.</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 xml:space="preserve">National Institute for Health and Care Excellence (NICE) (2018) </w:t>
      </w:r>
      <w:r w:rsidRPr="00641F56">
        <w:rPr>
          <w:rFonts w:ascii="Arial" w:eastAsia="Times New Roman" w:hAnsi="Arial" w:cs="Arial"/>
          <w:i/>
          <w:iCs/>
        </w:rPr>
        <w:t>Dementia: assessment, management and support for people living with dementia and their carers (NG97).</w:t>
      </w:r>
      <w:r w:rsidRPr="00641F56">
        <w:rPr>
          <w:rFonts w:ascii="Arial" w:eastAsia="Times New Roman" w:hAnsi="Arial" w:cs="Arial"/>
        </w:rPr>
        <w:t xml:space="preserve"> London: NICE.</w:t>
      </w:r>
    </w:p>
    <w:p w:rsidR="00641F56" w:rsidRPr="00641F56" w:rsidRDefault="00641F56" w:rsidP="00641F56">
      <w:pPr>
        <w:spacing w:before="100" w:beforeAutospacing="1" w:after="100" w:afterAutospacing="1" w:line="360" w:lineRule="auto"/>
        <w:jc w:val="both"/>
        <w:rPr>
          <w:rFonts w:ascii="Arial" w:eastAsia="Times New Roman" w:hAnsi="Arial" w:cs="Arial"/>
        </w:rPr>
      </w:pPr>
      <w:r w:rsidRPr="00641F56">
        <w:rPr>
          <w:rFonts w:ascii="Arial" w:eastAsia="Times New Roman" w:hAnsi="Arial" w:cs="Arial"/>
        </w:rPr>
        <w:t xml:space="preserve">Sims, S., Leamy, M., Davies, N., Schnier, C., Manthorpe, J. and Iliffe, S. (2022) ‘Integrated multidisciplinary care for older people living with frailty and complex needs: A systematic review’, </w:t>
      </w:r>
      <w:r w:rsidRPr="00641F56">
        <w:rPr>
          <w:rFonts w:ascii="Arial" w:eastAsia="Times New Roman" w:hAnsi="Arial" w:cs="Arial"/>
          <w:i/>
          <w:iCs/>
        </w:rPr>
        <w:t>Age and Ageing</w:t>
      </w:r>
      <w:r w:rsidRPr="00641F56">
        <w:rPr>
          <w:rFonts w:ascii="Arial" w:eastAsia="Times New Roman" w:hAnsi="Arial" w:cs="Arial"/>
        </w:rPr>
        <w:t>, 51(8), afac179.</w:t>
      </w:r>
    </w:p>
    <w:p w:rsidR="00641F56" w:rsidRPr="00641F56" w:rsidRDefault="00641F56" w:rsidP="006156CD">
      <w:pPr>
        <w:spacing w:line="360" w:lineRule="auto"/>
        <w:jc w:val="both"/>
        <w:rPr>
          <w:rFonts w:ascii="Arial" w:hAnsi="Arial" w:cs="Arial"/>
          <w:b/>
        </w:rPr>
      </w:pPr>
    </w:p>
    <w:sectPr w:rsidR="00641F56" w:rsidRPr="00641F56" w:rsidSect="005C74C4">
      <w:footerReference w:type="default" r:id="rId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6856" w:rsidRDefault="00646856" w:rsidP="005C74C4">
      <w:pPr>
        <w:spacing w:after="0" w:line="240" w:lineRule="auto"/>
      </w:pPr>
      <w:r>
        <w:separator/>
      </w:r>
    </w:p>
  </w:endnote>
  <w:endnote w:type="continuationSeparator" w:id="0">
    <w:p w:rsidR="00646856" w:rsidRDefault="00646856" w:rsidP="005C7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8203431"/>
      <w:docPartObj>
        <w:docPartGallery w:val="Page Numbers (Bottom of Page)"/>
        <w:docPartUnique/>
      </w:docPartObj>
    </w:sdtPr>
    <w:sdtEndPr>
      <w:rPr>
        <w:noProof/>
      </w:rPr>
    </w:sdtEndPr>
    <w:sdtContent>
      <w:p w:rsidR="005C74C4" w:rsidRDefault="005C74C4">
        <w:pPr>
          <w:pStyle w:val="Footer"/>
          <w:jc w:val="right"/>
        </w:pPr>
        <w:r>
          <w:fldChar w:fldCharType="begin"/>
        </w:r>
        <w:r>
          <w:instrText xml:space="preserve"> PAGE   \* MERGEFORMAT </w:instrText>
        </w:r>
        <w:r>
          <w:fldChar w:fldCharType="separate"/>
        </w:r>
        <w:r w:rsidR="00AC60C0">
          <w:rPr>
            <w:noProof/>
          </w:rPr>
          <w:t>1</w:t>
        </w:r>
        <w:r>
          <w:rPr>
            <w:noProof/>
          </w:rPr>
          <w:fldChar w:fldCharType="end"/>
        </w:r>
      </w:p>
    </w:sdtContent>
  </w:sdt>
  <w:p w:rsidR="005C74C4" w:rsidRDefault="005C74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6856" w:rsidRDefault="00646856" w:rsidP="005C74C4">
      <w:pPr>
        <w:spacing w:after="0" w:line="240" w:lineRule="auto"/>
      </w:pPr>
      <w:r>
        <w:separator/>
      </w:r>
    </w:p>
  </w:footnote>
  <w:footnote w:type="continuationSeparator" w:id="0">
    <w:p w:rsidR="00646856" w:rsidRDefault="00646856" w:rsidP="005C74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4F4CB0"/>
    <w:multiLevelType w:val="multilevel"/>
    <w:tmpl w:val="5F189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6CD"/>
    <w:rsid w:val="001D5A97"/>
    <w:rsid w:val="005C74C4"/>
    <w:rsid w:val="006156CD"/>
    <w:rsid w:val="00641F56"/>
    <w:rsid w:val="00646856"/>
    <w:rsid w:val="009974BE"/>
    <w:rsid w:val="00AC60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7C41C8-3212-4F8F-8678-DE439A478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56C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C74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74C4"/>
  </w:style>
  <w:style w:type="paragraph" w:styleId="Footer">
    <w:name w:val="footer"/>
    <w:basedOn w:val="Normal"/>
    <w:link w:val="FooterChar"/>
    <w:uiPriority w:val="99"/>
    <w:unhideWhenUsed/>
    <w:rsid w:val="005C74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74C4"/>
  </w:style>
  <w:style w:type="table" w:customStyle="1" w:styleId="TableGrid1">
    <w:name w:val="Table Grid1"/>
    <w:basedOn w:val="TableNormal"/>
    <w:next w:val="TableGrid"/>
    <w:uiPriority w:val="39"/>
    <w:rsid w:val="00641F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41F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7289915">
      <w:bodyDiv w:val="1"/>
      <w:marLeft w:val="0"/>
      <w:marRight w:val="0"/>
      <w:marTop w:val="0"/>
      <w:marBottom w:val="0"/>
      <w:divBdr>
        <w:top w:val="none" w:sz="0" w:space="0" w:color="auto"/>
        <w:left w:val="none" w:sz="0" w:space="0" w:color="auto"/>
        <w:bottom w:val="none" w:sz="0" w:space="0" w:color="auto"/>
        <w:right w:val="none" w:sz="0" w:space="0" w:color="auto"/>
      </w:divBdr>
    </w:div>
    <w:div w:id="504173399">
      <w:bodyDiv w:val="1"/>
      <w:marLeft w:val="0"/>
      <w:marRight w:val="0"/>
      <w:marTop w:val="0"/>
      <w:marBottom w:val="0"/>
      <w:divBdr>
        <w:top w:val="none" w:sz="0" w:space="0" w:color="auto"/>
        <w:left w:val="none" w:sz="0" w:space="0" w:color="auto"/>
        <w:bottom w:val="none" w:sz="0" w:space="0" w:color="auto"/>
        <w:right w:val="none" w:sz="0" w:space="0" w:color="auto"/>
      </w:divBdr>
    </w:div>
    <w:div w:id="1036000736">
      <w:bodyDiv w:val="1"/>
      <w:marLeft w:val="0"/>
      <w:marRight w:val="0"/>
      <w:marTop w:val="0"/>
      <w:marBottom w:val="0"/>
      <w:divBdr>
        <w:top w:val="none" w:sz="0" w:space="0" w:color="auto"/>
        <w:left w:val="none" w:sz="0" w:space="0" w:color="auto"/>
        <w:bottom w:val="none" w:sz="0" w:space="0" w:color="auto"/>
        <w:right w:val="none" w:sz="0" w:space="0" w:color="auto"/>
      </w:divBdr>
    </w:div>
    <w:div w:id="1114982392">
      <w:bodyDiv w:val="1"/>
      <w:marLeft w:val="0"/>
      <w:marRight w:val="0"/>
      <w:marTop w:val="0"/>
      <w:marBottom w:val="0"/>
      <w:divBdr>
        <w:top w:val="none" w:sz="0" w:space="0" w:color="auto"/>
        <w:left w:val="none" w:sz="0" w:space="0" w:color="auto"/>
        <w:bottom w:val="none" w:sz="0" w:space="0" w:color="auto"/>
        <w:right w:val="none" w:sz="0" w:space="0" w:color="auto"/>
      </w:divBdr>
    </w:div>
    <w:div w:id="1517962462">
      <w:bodyDiv w:val="1"/>
      <w:marLeft w:val="0"/>
      <w:marRight w:val="0"/>
      <w:marTop w:val="0"/>
      <w:marBottom w:val="0"/>
      <w:divBdr>
        <w:top w:val="none" w:sz="0" w:space="0" w:color="auto"/>
        <w:left w:val="none" w:sz="0" w:space="0" w:color="auto"/>
        <w:bottom w:val="none" w:sz="0" w:space="0" w:color="auto"/>
        <w:right w:val="none" w:sz="0" w:space="0" w:color="auto"/>
      </w:divBdr>
    </w:div>
    <w:div w:id="1690571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8</Pages>
  <Words>1998</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Zuhra Asghar</cp:lastModifiedBy>
  <cp:revision>2</cp:revision>
  <dcterms:created xsi:type="dcterms:W3CDTF">2026-07-23T11:32:00Z</dcterms:created>
  <dcterms:modified xsi:type="dcterms:W3CDTF">2026-07-23T12:28:00Z</dcterms:modified>
</cp:coreProperties>
</file>