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929BF" w:rsidRDefault="00B27D07" w14:paraId="413FBAAD" w14:textId="51FC0CBC">
      <w:r>
        <w:rPr>
          <w:noProof/>
        </w:rPr>
        <w:drawing>
          <wp:inline distT="0" distB="0" distL="0" distR="0" wp14:anchorId="4D8157CC" wp14:editId="10DD7633">
            <wp:extent cx="2797810" cy="1890831"/>
            <wp:effectExtent l="0" t="0" r="2540" b="0"/>
            <wp:docPr id="792461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61769" name="Picture 79246176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05289" cy="1895885"/>
                    </a:xfrm>
                    <a:prstGeom prst="rect">
                      <a:avLst/>
                    </a:prstGeom>
                  </pic:spPr>
                </pic:pic>
              </a:graphicData>
            </a:graphic>
          </wp:inline>
        </w:drawing>
      </w:r>
    </w:p>
    <w:p w:rsidR="00B27D07" w:rsidRDefault="00B27D07" w14:paraId="7B8F3F02" w14:textId="77777777"/>
    <w:p w:rsidR="00B27D07" w:rsidRDefault="00B27D07" w14:paraId="2AB95848" w14:textId="77777777"/>
    <w:p w:rsidR="00B27D07" w:rsidRDefault="00B27D07" w14:paraId="7B0C9EC0" w14:textId="77777777"/>
    <w:p w:rsidR="00B27D07" w:rsidRDefault="00B27D07" w14:paraId="7ABCF1BC" w14:textId="77777777"/>
    <w:p w:rsidRPr="00D86751" w:rsidR="00B27D07" w:rsidP="00D86751" w:rsidRDefault="00B27D07" w14:paraId="5964F236" w14:textId="5340AF2F">
      <w:pPr>
        <w:jc w:val="center"/>
        <w:rPr>
          <w:b w:val="1"/>
          <w:bCs w:val="1"/>
        </w:rPr>
      </w:pPr>
      <w:r w:rsidRPr="7F76D313" w:rsidR="00B27D07">
        <w:rPr>
          <w:b w:val="1"/>
          <w:bCs w:val="1"/>
        </w:rPr>
        <w:t>STUDENT NAME:</w:t>
      </w:r>
      <w:r w:rsidRPr="7F76D313" w:rsidR="29FB7398">
        <w:rPr>
          <w:b w:val="1"/>
          <w:bCs w:val="1"/>
        </w:rPr>
        <w:t xml:space="preserve"> A</w:t>
      </w:r>
      <w:r w:rsidRPr="7F76D313" w:rsidR="1D40C0A5">
        <w:rPr>
          <w:b w:val="1"/>
          <w:bCs w:val="1"/>
        </w:rPr>
        <w:t>drian</w:t>
      </w:r>
      <w:r w:rsidRPr="7F76D313" w:rsidR="29FB7398">
        <w:rPr>
          <w:b w:val="1"/>
          <w:bCs w:val="1"/>
        </w:rPr>
        <w:t xml:space="preserve"> M</w:t>
      </w:r>
      <w:r w:rsidRPr="7F76D313" w:rsidR="3837B76B">
        <w:rPr>
          <w:b w:val="1"/>
          <w:bCs w:val="1"/>
        </w:rPr>
        <w:t>erisan</w:t>
      </w:r>
    </w:p>
    <w:p w:rsidRPr="00D86751" w:rsidR="00B27D07" w:rsidP="00D86751" w:rsidRDefault="00B27D07" w14:paraId="2F0C340E" w14:textId="551DA70E">
      <w:pPr>
        <w:jc w:val="center"/>
        <w:rPr>
          <w:b w:val="1"/>
          <w:bCs w:val="1"/>
        </w:rPr>
      </w:pPr>
      <w:r w:rsidRPr="7F76D313" w:rsidR="00B27D07">
        <w:rPr>
          <w:b w:val="1"/>
          <w:bCs w:val="1"/>
        </w:rPr>
        <w:t>STUDENT ID:</w:t>
      </w:r>
      <w:r w:rsidRPr="7F76D313" w:rsidR="781645D8">
        <w:rPr>
          <w:b w:val="1"/>
          <w:bCs w:val="1"/>
        </w:rPr>
        <w:t xml:space="preserve"> 2226309</w:t>
      </w:r>
    </w:p>
    <w:p w:rsidRPr="00D86751" w:rsidR="00B27D07" w:rsidP="00D86751" w:rsidRDefault="00B27D07" w14:paraId="2DB65B01" w14:textId="6A5FB92C">
      <w:pPr>
        <w:jc w:val="center"/>
        <w:rPr>
          <w:b w:val="1"/>
          <w:bCs w:val="1"/>
        </w:rPr>
      </w:pPr>
      <w:r w:rsidRPr="7F76D313" w:rsidR="00B27D07">
        <w:rPr>
          <w:b w:val="1"/>
          <w:bCs w:val="1"/>
        </w:rPr>
        <w:t>MODULE CODE:</w:t>
      </w:r>
      <w:r w:rsidRPr="7F76D313" w:rsidR="01E740DA">
        <w:rPr>
          <w:b w:val="1"/>
          <w:bCs w:val="1"/>
        </w:rPr>
        <w:t xml:space="preserve"> LCCB5014</w:t>
      </w:r>
    </w:p>
    <w:p w:rsidRPr="00D86751" w:rsidR="00B27D07" w:rsidP="7F76D313" w:rsidRDefault="00B27D07" w14:paraId="67D8024C" w14:textId="393C5F94">
      <w:pPr>
        <w:jc w:val="center"/>
      </w:pPr>
      <w:r w:rsidRPr="6DEA4DFF" w:rsidR="01E740DA">
        <w:rPr>
          <w:b w:val="1"/>
          <w:bCs w:val="1"/>
        </w:rPr>
        <w:t>LECTURE NAME</w:t>
      </w:r>
      <w:r w:rsidRPr="6DEA4DFF" w:rsidR="79883E85">
        <w:rPr>
          <w:b w:val="1"/>
          <w:bCs w:val="1"/>
        </w:rPr>
        <w:t xml:space="preserve">: </w:t>
      </w:r>
      <w:r w:rsidRPr="6DEA4DFF" w:rsidR="6BF27B30">
        <w:rPr>
          <w:b w:val="1"/>
          <w:bCs w:val="1"/>
        </w:rPr>
        <w:t>I</w:t>
      </w:r>
      <w:r w:rsidRPr="6DEA4DFF" w:rsidR="20B28895">
        <w:rPr>
          <w:b w:val="1"/>
          <w:bCs w:val="1"/>
        </w:rPr>
        <w:t>hsan</w:t>
      </w:r>
      <w:r w:rsidRPr="6DEA4DFF" w:rsidR="6BF27B30">
        <w:rPr>
          <w:b w:val="1"/>
          <w:bCs w:val="1"/>
        </w:rPr>
        <w:t xml:space="preserve"> U</w:t>
      </w:r>
      <w:r w:rsidRPr="6DEA4DFF" w:rsidR="79E48F4A">
        <w:rPr>
          <w:b w:val="1"/>
          <w:bCs w:val="1"/>
        </w:rPr>
        <w:t>l Haq</w:t>
      </w:r>
    </w:p>
    <w:p w:rsidR="6DEA4DFF" w:rsidP="6DEA4DFF" w:rsidRDefault="6DEA4DFF" w14:paraId="7B0C35F3" w14:textId="7D3F42CE">
      <w:pPr>
        <w:jc w:val="center"/>
        <w:rPr>
          <w:b w:val="1"/>
          <w:bCs w:val="1"/>
        </w:rPr>
      </w:pPr>
    </w:p>
    <w:p w:rsidR="00B27D07" w:rsidRDefault="00B27D07" w14:paraId="6DD409E4" w14:textId="77777777"/>
    <w:p w:rsidR="00B27D07" w:rsidRDefault="00B27D07" w14:paraId="11380CF6" w14:textId="77777777"/>
    <w:p w:rsidR="00B27D07" w:rsidRDefault="00B27D07" w14:paraId="34B9061F" w14:textId="77777777"/>
    <w:p w:rsidR="00B27D07" w:rsidRDefault="00B27D07" w14:paraId="7E8FB76E" w14:textId="77777777"/>
    <w:p w:rsidR="00B27D07" w:rsidRDefault="00B27D07" w14:paraId="5517AF8A" w14:textId="77777777"/>
    <w:p w:rsidR="00B27D07" w:rsidRDefault="00B27D07" w14:paraId="515A4468" w14:textId="77777777"/>
    <w:p w:rsidR="00B27D07" w:rsidRDefault="00B27D07" w14:paraId="6F08E548" w14:textId="77777777"/>
    <w:p w:rsidR="00B27D07" w:rsidRDefault="00B27D07" w14:paraId="13663A01" w14:textId="77777777"/>
    <w:p w:rsidR="00B27D07" w:rsidRDefault="00B27D07" w14:paraId="524B7B75" w14:textId="77777777"/>
    <w:p w:rsidR="00B27D07" w:rsidRDefault="00B27D07" w14:paraId="135213B0" w14:textId="77777777"/>
    <w:p w:rsidR="00B27D07" w:rsidRDefault="00B27D07" w14:paraId="369E1A69" w14:textId="77777777"/>
    <w:p w:rsidR="00B27D07" w:rsidRDefault="00B27D07" w14:paraId="35407220" w14:textId="77777777"/>
    <w:sdt>
      <w:sdtPr>
        <w:id w:val="-273397780"/>
        <w:docPartObj>
          <w:docPartGallery w:val="Table of Contents"/>
          <w:docPartUnique/>
        </w:docPartObj>
      </w:sdtPr>
      <w:sdtEndPr>
        <w:rPr>
          <w:rFonts w:ascii="Aptos" w:hAnsi="Aptos" w:eastAsia="Aptos" w:cs="" w:asciiTheme="minorAscii" w:hAnsiTheme="minorAscii" w:eastAsiaTheme="minorAscii" w:cstheme="minorBidi"/>
          <w:b w:val="1"/>
          <w:bCs w:val="1"/>
          <w:color w:val="auto"/>
          <w:kern w:val="2"/>
          <w:sz w:val="24"/>
          <w:szCs w:val="24"/>
          <w:lang w:eastAsia="en-US"/>
          <w14:ligatures w14:val="standardContextual"/>
        </w:rPr>
      </w:sdtEndPr>
      <w:sdtContent>
        <w:p w:rsidR="000360B0" w:rsidRDefault="000360B0" w14:paraId="0714A68C" w14:textId="1774D34D">
          <w:pPr>
            <w:pStyle w:val="TOCHeading"/>
          </w:pPr>
          <w:r>
            <w:t>Table of Contents</w:t>
          </w:r>
        </w:p>
        <w:p w:rsidR="000360B0" w:rsidRDefault="000360B0" w14:paraId="588783A3" w14:textId="0A10C247">
          <w:pPr>
            <w:pStyle w:val="TOC1"/>
            <w:tabs>
              <w:tab w:val="right" w:leader="dot" w:pos="9016"/>
            </w:tabs>
            <w:rPr>
              <w:noProof/>
            </w:rPr>
          </w:pPr>
          <w:r>
            <w:fldChar w:fldCharType="begin"/>
          </w:r>
          <w:r>
            <w:instrText xml:space="preserve"> TOC \o "1-3" \h \z \u </w:instrText>
          </w:r>
          <w:r>
            <w:fldChar w:fldCharType="separate"/>
          </w:r>
          <w:hyperlink w:history="1" w:anchor="_Toc234920032">
            <w:r w:rsidRPr="00164C06">
              <w:rPr>
                <w:rStyle w:val="Hyperlink"/>
                <w:noProof/>
              </w:rPr>
              <w:t>Introduction</w:t>
            </w:r>
            <w:r>
              <w:rPr>
                <w:noProof/>
                <w:webHidden/>
              </w:rPr>
              <w:tab/>
            </w:r>
            <w:r>
              <w:rPr>
                <w:noProof/>
                <w:webHidden/>
              </w:rPr>
              <w:fldChar w:fldCharType="begin"/>
            </w:r>
            <w:r>
              <w:rPr>
                <w:noProof/>
                <w:webHidden/>
              </w:rPr>
              <w:instrText xml:space="preserve"> PAGEREF _Toc234920032 \h </w:instrText>
            </w:r>
            <w:r>
              <w:rPr>
                <w:noProof/>
                <w:webHidden/>
              </w:rPr>
            </w:r>
            <w:r>
              <w:rPr>
                <w:noProof/>
                <w:webHidden/>
              </w:rPr>
              <w:fldChar w:fldCharType="separate"/>
            </w:r>
            <w:r>
              <w:rPr>
                <w:noProof/>
                <w:webHidden/>
              </w:rPr>
              <w:t>3</w:t>
            </w:r>
            <w:r>
              <w:rPr>
                <w:noProof/>
                <w:webHidden/>
              </w:rPr>
              <w:fldChar w:fldCharType="end"/>
            </w:r>
          </w:hyperlink>
        </w:p>
        <w:p w:rsidR="000360B0" w:rsidRDefault="000360B0" w14:paraId="61D1EA57" w14:textId="7119F07D">
          <w:pPr>
            <w:pStyle w:val="TOC1"/>
            <w:tabs>
              <w:tab w:val="right" w:leader="dot" w:pos="9016"/>
            </w:tabs>
            <w:rPr>
              <w:noProof/>
            </w:rPr>
          </w:pPr>
          <w:hyperlink w:history="1" w:anchor="_Toc234920033">
            <w:r w:rsidRPr="00164C06">
              <w:rPr>
                <w:rStyle w:val="Hyperlink"/>
                <w:noProof/>
              </w:rPr>
              <w:t>Data Cleaning and Preparation</w:t>
            </w:r>
            <w:r>
              <w:rPr>
                <w:noProof/>
                <w:webHidden/>
              </w:rPr>
              <w:tab/>
            </w:r>
            <w:r>
              <w:rPr>
                <w:noProof/>
                <w:webHidden/>
              </w:rPr>
              <w:fldChar w:fldCharType="begin"/>
            </w:r>
            <w:r>
              <w:rPr>
                <w:noProof/>
                <w:webHidden/>
              </w:rPr>
              <w:instrText xml:space="preserve"> PAGEREF _Toc234920033 \h </w:instrText>
            </w:r>
            <w:r>
              <w:rPr>
                <w:noProof/>
                <w:webHidden/>
              </w:rPr>
            </w:r>
            <w:r>
              <w:rPr>
                <w:noProof/>
                <w:webHidden/>
              </w:rPr>
              <w:fldChar w:fldCharType="separate"/>
            </w:r>
            <w:r>
              <w:rPr>
                <w:noProof/>
                <w:webHidden/>
              </w:rPr>
              <w:t>4</w:t>
            </w:r>
            <w:r>
              <w:rPr>
                <w:noProof/>
                <w:webHidden/>
              </w:rPr>
              <w:fldChar w:fldCharType="end"/>
            </w:r>
          </w:hyperlink>
        </w:p>
        <w:p w:rsidR="000360B0" w:rsidRDefault="000360B0" w14:paraId="4D17FB8C" w14:textId="2F45746C">
          <w:pPr>
            <w:pStyle w:val="TOC1"/>
            <w:tabs>
              <w:tab w:val="right" w:leader="dot" w:pos="9016"/>
            </w:tabs>
            <w:rPr>
              <w:noProof/>
            </w:rPr>
          </w:pPr>
          <w:hyperlink w:history="1" w:anchor="_Toc234920034">
            <w:r w:rsidRPr="00164C06">
              <w:rPr>
                <w:rStyle w:val="Hyperlink"/>
                <w:noProof/>
              </w:rPr>
              <w:t>Descriptive Statistics and Summary</w:t>
            </w:r>
            <w:r>
              <w:rPr>
                <w:noProof/>
                <w:webHidden/>
              </w:rPr>
              <w:tab/>
            </w:r>
            <w:r>
              <w:rPr>
                <w:noProof/>
                <w:webHidden/>
              </w:rPr>
              <w:fldChar w:fldCharType="begin"/>
            </w:r>
            <w:r>
              <w:rPr>
                <w:noProof/>
                <w:webHidden/>
              </w:rPr>
              <w:instrText xml:space="preserve"> PAGEREF _Toc234920034 \h </w:instrText>
            </w:r>
            <w:r>
              <w:rPr>
                <w:noProof/>
                <w:webHidden/>
              </w:rPr>
            </w:r>
            <w:r>
              <w:rPr>
                <w:noProof/>
                <w:webHidden/>
              </w:rPr>
              <w:fldChar w:fldCharType="separate"/>
            </w:r>
            <w:r>
              <w:rPr>
                <w:noProof/>
                <w:webHidden/>
              </w:rPr>
              <w:t>5</w:t>
            </w:r>
            <w:r>
              <w:rPr>
                <w:noProof/>
                <w:webHidden/>
              </w:rPr>
              <w:fldChar w:fldCharType="end"/>
            </w:r>
          </w:hyperlink>
        </w:p>
        <w:p w:rsidR="000360B0" w:rsidRDefault="000360B0" w14:paraId="2C1A11F0" w14:textId="30890CD5">
          <w:pPr>
            <w:pStyle w:val="TOC1"/>
            <w:tabs>
              <w:tab w:val="right" w:leader="dot" w:pos="9016"/>
            </w:tabs>
            <w:rPr>
              <w:noProof/>
            </w:rPr>
          </w:pPr>
          <w:hyperlink w:history="1" w:anchor="_Toc234920035">
            <w:r w:rsidRPr="00164C06">
              <w:rPr>
                <w:rStyle w:val="Hyperlink"/>
                <w:noProof/>
              </w:rPr>
              <w:t>Trend Analysis and Visualisation</w:t>
            </w:r>
            <w:r>
              <w:rPr>
                <w:noProof/>
                <w:webHidden/>
              </w:rPr>
              <w:tab/>
            </w:r>
            <w:r>
              <w:rPr>
                <w:noProof/>
                <w:webHidden/>
              </w:rPr>
              <w:fldChar w:fldCharType="begin"/>
            </w:r>
            <w:r>
              <w:rPr>
                <w:noProof/>
                <w:webHidden/>
              </w:rPr>
              <w:instrText xml:space="preserve"> PAGEREF _Toc234920035 \h </w:instrText>
            </w:r>
            <w:r>
              <w:rPr>
                <w:noProof/>
                <w:webHidden/>
              </w:rPr>
            </w:r>
            <w:r>
              <w:rPr>
                <w:noProof/>
                <w:webHidden/>
              </w:rPr>
              <w:fldChar w:fldCharType="separate"/>
            </w:r>
            <w:r>
              <w:rPr>
                <w:noProof/>
                <w:webHidden/>
              </w:rPr>
              <w:t>7</w:t>
            </w:r>
            <w:r>
              <w:rPr>
                <w:noProof/>
                <w:webHidden/>
              </w:rPr>
              <w:fldChar w:fldCharType="end"/>
            </w:r>
          </w:hyperlink>
        </w:p>
        <w:p w:rsidR="000360B0" w:rsidRDefault="000360B0" w14:paraId="7F2EE320" w14:textId="58C6044A">
          <w:pPr>
            <w:pStyle w:val="TOC1"/>
            <w:tabs>
              <w:tab w:val="right" w:leader="dot" w:pos="9016"/>
            </w:tabs>
            <w:rPr>
              <w:noProof/>
            </w:rPr>
          </w:pPr>
          <w:hyperlink w:history="1" w:anchor="_Toc234920036">
            <w:r w:rsidRPr="00164C06">
              <w:rPr>
                <w:rStyle w:val="Hyperlink"/>
                <w:noProof/>
              </w:rPr>
              <w:t>Statistical Analysis</w:t>
            </w:r>
            <w:r>
              <w:rPr>
                <w:noProof/>
                <w:webHidden/>
              </w:rPr>
              <w:tab/>
            </w:r>
            <w:r>
              <w:rPr>
                <w:noProof/>
                <w:webHidden/>
              </w:rPr>
              <w:fldChar w:fldCharType="begin"/>
            </w:r>
            <w:r>
              <w:rPr>
                <w:noProof/>
                <w:webHidden/>
              </w:rPr>
              <w:instrText xml:space="preserve"> PAGEREF _Toc234920036 \h </w:instrText>
            </w:r>
            <w:r>
              <w:rPr>
                <w:noProof/>
                <w:webHidden/>
              </w:rPr>
            </w:r>
            <w:r>
              <w:rPr>
                <w:noProof/>
                <w:webHidden/>
              </w:rPr>
              <w:fldChar w:fldCharType="separate"/>
            </w:r>
            <w:r>
              <w:rPr>
                <w:noProof/>
                <w:webHidden/>
              </w:rPr>
              <w:t>11</w:t>
            </w:r>
            <w:r>
              <w:rPr>
                <w:noProof/>
                <w:webHidden/>
              </w:rPr>
              <w:fldChar w:fldCharType="end"/>
            </w:r>
          </w:hyperlink>
        </w:p>
        <w:p w:rsidR="000360B0" w:rsidRDefault="000360B0" w14:paraId="44CC32A5" w14:textId="606C4470">
          <w:pPr>
            <w:pStyle w:val="TOC1"/>
            <w:tabs>
              <w:tab w:val="right" w:leader="dot" w:pos="9016"/>
            </w:tabs>
            <w:rPr>
              <w:noProof/>
            </w:rPr>
          </w:pPr>
          <w:hyperlink w:history="1" w:anchor="_Toc234920037">
            <w:r w:rsidRPr="00164C06">
              <w:rPr>
                <w:rStyle w:val="Hyperlink"/>
                <w:noProof/>
              </w:rPr>
              <w:t>Insights, Recommendations and Limitations</w:t>
            </w:r>
            <w:r>
              <w:rPr>
                <w:noProof/>
                <w:webHidden/>
              </w:rPr>
              <w:tab/>
            </w:r>
            <w:r>
              <w:rPr>
                <w:noProof/>
                <w:webHidden/>
              </w:rPr>
              <w:fldChar w:fldCharType="begin"/>
            </w:r>
            <w:r>
              <w:rPr>
                <w:noProof/>
                <w:webHidden/>
              </w:rPr>
              <w:instrText xml:space="preserve"> PAGEREF _Toc234920037 \h </w:instrText>
            </w:r>
            <w:r>
              <w:rPr>
                <w:noProof/>
                <w:webHidden/>
              </w:rPr>
            </w:r>
            <w:r>
              <w:rPr>
                <w:noProof/>
                <w:webHidden/>
              </w:rPr>
              <w:fldChar w:fldCharType="separate"/>
            </w:r>
            <w:r>
              <w:rPr>
                <w:noProof/>
                <w:webHidden/>
              </w:rPr>
              <w:t>13</w:t>
            </w:r>
            <w:r>
              <w:rPr>
                <w:noProof/>
                <w:webHidden/>
              </w:rPr>
              <w:fldChar w:fldCharType="end"/>
            </w:r>
          </w:hyperlink>
        </w:p>
        <w:p w:rsidR="000360B0" w:rsidRDefault="000360B0" w14:paraId="68BFACB2" w14:textId="3DA4427F">
          <w:pPr>
            <w:pStyle w:val="TOC1"/>
            <w:tabs>
              <w:tab w:val="right" w:leader="dot" w:pos="9016"/>
            </w:tabs>
            <w:rPr>
              <w:noProof/>
            </w:rPr>
          </w:pPr>
          <w:hyperlink w:history="1" w:anchor="_Toc234920038">
            <w:r w:rsidRPr="00164C06">
              <w:rPr>
                <w:rStyle w:val="Hyperlink"/>
                <w:noProof/>
              </w:rPr>
              <w:t>References:</w:t>
            </w:r>
            <w:r>
              <w:rPr>
                <w:noProof/>
                <w:webHidden/>
              </w:rPr>
              <w:tab/>
            </w:r>
            <w:r>
              <w:rPr>
                <w:noProof/>
                <w:webHidden/>
              </w:rPr>
              <w:fldChar w:fldCharType="begin"/>
            </w:r>
            <w:r>
              <w:rPr>
                <w:noProof/>
                <w:webHidden/>
              </w:rPr>
              <w:instrText xml:space="preserve"> PAGEREF _Toc234920038 \h </w:instrText>
            </w:r>
            <w:r>
              <w:rPr>
                <w:noProof/>
                <w:webHidden/>
              </w:rPr>
            </w:r>
            <w:r>
              <w:rPr>
                <w:noProof/>
                <w:webHidden/>
              </w:rPr>
              <w:fldChar w:fldCharType="separate"/>
            </w:r>
            <w:r>
              <w:rPr>
                <w:noProof/>
                <w:webHidden/>
              </w:rPr>
              <w:t>15</w:t>
            </w:r>
            <w:r>
              <w:rPr>
                <w:noProof/>
                <w:webHidden/>
              </w:rPr>
              <w:fldChar w:fldCharType="end"/>
            </w:r>
          </w:hyperlink>
        </w:p>
        <w:p w:rsidR="000360B0" w:rsidRDefault="000360B0" w14:paraId="3E45FA8A" w14:textId="6197CBDD">
          <w:r>
            <w:rPr>
              <w:b/>
              <w:bCs/>
            </w:rPr>
            <w:fldChar w:fldCharType="end"/>
          </w:r>
        </w:p>
      </w:sdtContent>
    </w:sdt>
    <w:p w:rsidR="00B27D07" w:rsidRDefault="00B27D07" w14:paraId="7CA4699F" w14:textId="77777777"/>
    <w:p w:rsidR="00B27D07" w:rsidRDefault="00B27D07" w14:paraId="025AE61C" w14:textId="77777777"/>
    <w:p w:rsidR="00B27D07" w:rsidRDefault="00B27D07" w14:paraId="7E9C39B2" w14:textId="77777777"/>
    <w:p w:rsidR="00B27D07" w:rsidRDefault="00B27D07" w14:paraId="208462EB" w14:textId="77777777"/>
    <w:p w:rsidR="00B27D07" w:rsidRDefault="00B27D07" w14:paraId="7AF5667E" w14:textId="77777777"/>
    <w:p w:rsidR="00B27D07" w:rsidRDefault="00B27D07" w14:paraId="00311221" w14:textId="77777777"/>
    <w:p w:rsidR="00B27D07" w:rsidRDefault="00B27D07" w14:paraId="5C9D6800" w14:textId="77777777"/>
    <w:p w:rsidR="00B27D07" w:rsidRDefault="00B27D07" w14:paraId="5CD9C1DD" w14:textId="77777777"/>
    <w:p w:rsidR="00B27D07" w:rsidRDefault="00B27D07" w14:paraId="76804480" w14:textId="77777777"/>
    <w:p w:rsidR="00B27D07" w:rsidRDefault="00B27D07" w14:paraId="366A9B91" w14:textId="77777777"/>
    <w:p w:rsidR="00B27D07" w:rsidRDefault="00B27D07" w14:paraId="2D0FE203" w14:textId="77777777"/>
    <w:p w:rsidR="00B27D07" w:rsidRDefault="00B27D07" w14:paraId="20C23418" w14:textId="77777777"/>
    <w:p w:rsidR="00B27D07" w:rsidRDefault="00B27D07" w14:paraId="41A50EA3" w14:textId="77777777"/>
    <w:p w:rsidR="00B27D07" w:rsidRDefault="00B27D07" w14:paraId="5659E78B" w14:textId="77777777"/>
    <w:p w:rsidR="00B27D07" w:rsidRDefault="00B27D07" w14:paraId="7DBDEDB8" w14:textId="77777777"/>
    <w:p w:rsidR="00B27D07" w:rsidRDefault="00B27D07" w14:paraId="413DB68F" w14:textId="77777777"/>
    <w:p w:rsidR="00B27D07" w:rsidRDefault="00B27D07" w14:paraId="1EDB54FD" w14:textId="77777777"/>
    <w:p w:rsidR="00B27D07" w:rsidRDefault="00B27D07" w14:paraId="573E7402" w14:textId="77777777"/>
    <w:p w:rsidR="00B27D07" w:rsidRDefault="00B27D07" w14:paraId="53AAB837" w14:textId="77777777"/>
    <w:p w:rsidR="000360B0" w:rsidRDefault="000360B0" w14:paraId="6C8AE26F" w14:textId="77777777"/>
    <w:p w:rsidRPr="000360B0" w:rsidR="00B27D07" w:rsidP="00B27D07" w:rsidRDefault="00B27D07" w14:paraId="727A113A" w14:textId="77777777">
      <w:pPr>
        <w:pStyle w:val="Title"/>
        <w:jc w:val="center"/>
        <w:rPr>
          <w:rFonts w:ascii="Arial" w:hAnsi="Arial" w:cs="Arial"/>
          <w:sz w:val="36"/>
          <w:szCs w:val="36"/>
        </w:rPr>
      </w:pPr>
      <w:r w:rsidRPr="000360B0">
        <w:rPr>
          <w:rFonts w:ascii="Arial" w:hAnsi="Arial" w:cs="Arial"/>
          <w:sz w:val="36"/>
          <w:szCs w:val="36"/>
        </w:rPr>
        <w:t>Film Popularity, Ratings and Viewer Behaviour</w:t>
      </w:r>
    </w:p>
    <w:p w:rsidRPr="000360B0" w:rsidR="00B27D07" w:rsidP="00B27D07" w:rsidRDefault="00B27D07" w14:paraId="19F370FE" w14:textId="4BECC250">
      <w:pPr>
        <w:rPr>
          <w:rFonts w:ascii="Arial" w:hAnsi="Arial" w:cs="Arial"/>
          <w:i/>
          <w:sz w:val="36"/>
          <w:szCs w:val="36"/>
        </w:rPr>
      </w:pPr>
    </w:p>
    <w:p w:rsidR="00B27D07" w:rsidP="00B27D07" w:rsidRDefault="00B27D07" w14:paraId="4BBDF812" w14:textId="77777777">
      <w:pPr>
        <w:rPr>
          <w:i/>
        </w:rPr>
      </w:pPr>
    </w:p>
    <w:p w:rsidRPr="000360B0" w:rsidR="00B27D07" w:rsidP="000360B0" w:rsidRDefault="00B27D07" w14:paraId="1E6EFD5B" w14:textId="77777777">
      <w:pPr>
        <w:pStyle w:val="Heading1"/>
      </w:pPr>
      <w:bookmarkStart w:name="_Toc234920032" w:id="0"/>
      <w:r w:rsidRPr="000360B0">
        <w:t>Introduction</w:t>
      </w:r>
      <w:bookmarkEnd w:id="0"/>
    </w:p>
    <w:p w:rsidRPr="000360B0" w:rsidR="00D86751" w:rsidP="000360B0" w:rsidRDefault="00D86751" w14:paraId="479752D3" w14:textId="74FB5FC0">
      <w:pPr>
        <w:spacing w:line="360" w:lineRule="auto"/>
        <w:jc w:val="both"/>
        <w:rPr>
          <w:rFonts w:ascii="Arial" w:hAnsi="Arial" w:cs="Arial"/>
        </w:rPr>
      </w:pPr>
      <w:r w:rsidRPr="000360B0">
        <w:rPr>
          <w:rFonts w:ascii="Arial" w:hAnsi="Arial" w:cs="Arial"/>
        </w:rPr>
        <w:t xml:space="preserve">This report </w:t>
      </w:r>
      <w:r w:rsidRPr="000360B0">
        <w:rPr>
          <w:rFonts w:ascii="Arial" w:hAnsi="Arial" w:cs="Arial"/>
        </w:rPr>
        <w:t>finds</w:t>
      </w:r>
      <w:r w:rsidRPr="000360B0">
        <w:rPr>
          <w:rFonts w:ascii="Arial" w:hAnsi="Arial" w:cs="Arial"/>
        </w:rPr>
        <w:t xml:space="preserve"> out the predictors of movie popularity, engagement and average rating in the Letterbox movie classification dataset. All 10,000 movies in the dataset include their film title, director, genres, length, original language and studios, as well as behavioural measures such as watches, list additions, likes, fans and rating counts. Watches gauge exposure, likes </w:t>
      </w:r>
      <w:r w:rsidRPr="000360B0">
        <w:rPr>
          <w:rFonts w:ascii="Arial" w:hAnsi="Arial" w:cs="Arial"/>
        </w:rPr>
        <w:t>to suggest</w:t>
      </w:r>
      <w:r w:rsidRPr="000360B0">
        <w:rPr>
          <w:rFonts w:ascii="Arial" w:hAnsi="Arial" w:cs="Arial"/>
        </w:rPr>
        <w:t xml:space="preserve"> positive engagement, and fans demonstrate stronger film attachment these measures differentiate reach, positive engagement, and loyalty. There is no reason to think that average rating is a direct effect on commercial success. Instead, it is a second outcome of interest measuring evaluative consequences. The analytical approach consisted of cleaning, profiling, visualization, and inferential tests. Cleaning techniques </w:t>
      </w:r>
      <w:r w:rsidRPr="000360B0">
        <w:rPr>
          <w:rFonts w:ascii="Arial" w:hAnsi="Arial" w:cs="Arial"/>
        </w:rPr>
        <w:t>like</w:t>
      </w:r>
      <w:r w:rsidRPr="000360B0">
        <w:rPr>
          <w:rFonts w:ascii="Arial" w:hAnsi="Arial" w:cs="Arial"/>
        </w:rPr>
        <w:t xml:space="preserve"> those in Excel spotted upraised missing values, duplicate values, inconsistent category names and outliers. The subsequent step involved using descriptive statistics and frequency tables to profile each rating, length and engagement variable. SPSS inferential procedures will require an independent-samples t-test, bivariate correlations and multiple linear regression. The mentioned statistics are useful for comparing two groups, measuring association, and estimating the unique effect of a set of predictors.  The goal of the business is to show how data from movie platform will help for content acquisition, recommendation design and audience segmentation.</w:t>
      </w:r>
    </w:p>
    <w:p w:rsidRPr="000360B0" w:rsidR="00B27D07" w:rsidP="000360B0" w:rsidRDefault="00D86751" w14:paraId="09E23509" w14:textId="0BF29291">
      <w:pPr>
        <w:spacing w:line="360" w:lineRule="auto"/>
        <w:jc w:val="both"/>
        <w:rPr>
          <w:rFonts w:ascii="Arial" w:hAnsi="Arial" w:cs="Arial"/>
        </w:rPr>
      </w:pPr>
      <w:r w:rsidRPr="000360B0">
        <w:rPr>
          <w:rFonts w:ascii="Arial" w:hAnsi="Arial" w:cs="Arial"/>
        </w:rPr>
        <w:t xml:space="preserve">Analytical capability improves the quality of decisions when data accurately represent reality or when they are rendered valid through context-dependent interpretation (Wieder and </w:t>
      </w:r>
      <w:r w:rsidRPr="000360B0">
        <w:rPr>
          <w:rFonts w:ascii="Arial" w:hAnsi="Arial" w:cs="Arial"/>
        </w:rPr>
        <w:t>Ossi Mitz</w:t>
      </w:r>
      <w:r w:rsidRPr="000360B0">
        <w:rPr>
          <w:rFonts w:ascii="Arial" w:hAnsi="Arial" w:cs="Arial"/>
        </w:rPr>
        <w:t>, 2015; Li et al., 2022). Consequently, the objectives are to construct an analytical dataset devoid of measurement errors, describe its basic features, test for differences in average rating between English and non-English films, analyse interrelations of runtime and engagement variables, and predict average rating.</w:t>
      </w:r>
    </w:p>
    <w:p w:rsidRPr="000360B0" w:rsidR="00D86751" w:rsidP="000360B0" w:rsidRDefault="00D86751" w14:paraId="79973148" w14:textId="77777777">
      <w:pPr>
        <w:spacing w:line="360" w:lineRule="auto"/>
        <w:jc w:val="both"/>
        <w:rPr>
          <w:rFonts w:ascii="Arial" w:hAnsi="Arial" w:cs="Arial"/>
        </w:rPr>
      </w:pPr>
    </w:p>
    <w:p w:rsidRPr="000360B0" w:rsidR="00D86751" w:rsidP="000360B0" w:rsidRDefault="00D86751" w14:paraId="2201E622" w14:textId="77777777">
      <w:pPr>
        <w:spacing w:line="360" w:lineRule="auto"/>
        <w:jc w:val="both"/>
        <w:rPr>
          <w:rFonts w:ascii="Arial" w:hAnsi="Arial" w:cs="Arial"/>
        </w:rPr>
      </w:pPr>
    </w:p>
    <w:p w:rsidRPr="000360B0" w:rsidR="00B27D07" w:rsidP="000360B0" w:rsidRDefault="00B27D07" w14:paraId="461958D6" w14:textId="6B93713D">
      <w:pPr>
        <w:pStyle w:val="Heading1"/>
      </w:pPr>
      <w:r w:rsidRPr="000360B0">
        <w:t xml:space="preserve"> </w:t>
      </w:r>
      <w:bookmarkStart w:name="_Toc234920033" w:id="1"/>
      <w:r w:rsidRPr="000360B0">
        <w:t>Data Cleaning and Preparation</w:t>
      </w:r>
      <w:bookmarkEnd w:id="1"/>
    </w:p>
    <w:p w:rsidRPr="000360B0" w:rsidR="00D86751" w:rsidP="000360B0" w:rsidRDefault="00B27D07" w14:paraId="5934BB50" w14:textId="707CF9B0">
      <w:pPr>
        <w:spacing w:line="360" w:lineRule="auto"/>
        <w:jc w:val="both"/>
        <w:rPr>
          <w:rFonts w:ascii="Arial" w:hAnsi="Arial" w:cs="Arial"/>
        </w:rPr>
      </w:pPr>
      <w:r w:rsidRPr="7F533F6F" w:rsidR="00B27D07">
        <w:rPr>
          <w:rFonts w:ascii="Arial" w:hAnsi="Arial" w:cs="Arial"/>
        </w:rPr>
        <w:t xml:space="preserve">The </w:t>
      </w:r>
      <w:r w:rsidRPr="7F533F6F" w:rsidR="00D86751">
        <w:rPr>
          <w:rFonts w:ascii="Arial" w:hAnsi="Arial" w:cs="Arial"/>
        </w:rPr>
        <w:t xml:space="preserve">Before analysis, the uniqueness, </w:t>
      </w:r>
      <w:r w:rsidRPr="7F533F6F" w:rsidR="00D86751">
        <w:rPr>
          <w:rFonts w:ascii="Arial" w:hAnsi="Arial" w:cs="Arial"/>
        </w:rPr>
        <w:t>validity</w:t>
      </w:r>
      <w:r w:rsidRPr="7F533F6F" w:rsidR="00D86751">
        <w:rPr>
          <w:rFonts w:ascii="Arial" w:hAnsi="Arial" w:cs="Arial"/>
        </w:rPr>
        <w:t xml:space="preserve"> and completeness of the data set was first checked. 34 title-director duplication combinations were </w:t>
      </w:r>
      <w:r w:rsidRPr="7F533F6F" w:rsidR="00D86751">
        <w:rPr>
          <w:rFonts w:ascii="Arial" w:hAnsi="Arial" w:cs="Arial"/>
        </w:rPr>
        <w:t>identified</w:t>
      </w:r>
      <w:r w:rsidRPr="7F533F6F" w:rsidR="00D86751">
        <w:rPr>
          <w:rFonts w:ascii="Arial" w:hAnsi="Arial" w:cs="Arial"/>
        </w:rPr>
        <w:t xml:space="preserve">. Many films with the same title represent legitimate remakes, which means one must check the records against year of release or edition information before dropping them. So, the same 10,000 records that one provided were used for analysis while noting duplication risk. One title, ten director, twenty-four genre, three language and 307 studio records which were blank or unclassified. Average rating, runtime, watches, </w:t>
      </w:r>
      <w:r w:rsidRPr="7F533F6F" w:rsidR="00D86751">
        <w:rPr>
          <w:rFonts w:ascii="Arial" w:hAnsi="Arial" w:cs="Arial"/>
        </w:rPr>
        <w:t>likes</w:t>
      </w:r>
      <w:r w:rsidRPr="7F533F6F" w:rsidR="00D86751">
        <w:rPr>
          <w:rFonts w:ascii="Arial" w:hAnsi="Arial" w:cs="Arial"/>
        </w:rPr>
        <w:t xml:space="preserve"> and fans did not have any formally missing </w:t>
      </w:r>
      <w:r w:rsidRPr="7F533F6F" w:rsidR="00D86751">
        <w:rPr>
          <w:rFonts w:ascii="Arial" w:hAnsi="Arial" w:cs="Arial"/>
        </w:rPr>
        <w:t>values,</w:t>
      </w:r>
      <w:r w:rsidRPr="7F533F6F" w:rsidR="00D86751">
        <w:rPr>
          <w:rFonts w:ascii="Arial" w:hAnsi="Arial" w:cs="Arial"/>
        </w:rPr>
        <w:t xml:space="preserve"> so we did not need any numerical imputation. Yet, the rating mean and median being exactly equal motivates that the source may have already </w:t>
      </w:r>
      <w:r w:rsidRPr="7F533F6F" w:rsidR="00D86751">
        <w:rPr>
          <w:rFonts w:ascii="Arial" w:hAnsi="Arial" w:cs="Arial"/>
        </w:rPr>
        <w:t>contained</w:t>
      </w:r>
      <w:r w:rsidRPr="7F533F6F" w:rsidR="00D86751">
        <w:rPr>
          <w:rFonts w:ascii="Arial" w:hAnsi="Arial" w:cs="Arial"/>
        </w:rPr>
        <w:t xml:space="preserve"> transformed or processed values which is a limitation to note</w:t>
      </w:r>
      <w:r w:rsidRPr="7F533F6F" w:rsidR="00D86751">
        <w:rPr>
          <w:rFonts w:ascii="Arial" w:hAnsi="Arial" w:cs="Arial"/>
        </w:rPr>
        <w:t xml:space="preserve">.  </w:t>
      </w:r>
      <w:r w:rsidRPr="7F533F6F" w:rsidR="00D86751">
        <w:rPr>
          <w:rFonts w:ascii="Arial" w:hAnsi="Arial" w:cs="Arial"/>
        </w:rPr>
        <w:t>The text fields were cut off and standardised to</w:t>
      </w:r>
      <w:r w:rsidRPr="7F533F6F" w:rsidR="00D86751">
        <w:rPr>
          <w:rFonts w:ascii="Arial" w:hAnsi="Arial" w:cs="Arial"/>
        </w:rPr>
        <w:t xml:space="preserve"> consistent capitalisation.  The same language was grouped into common labels and recoded as English and Non-English for the test hypothesis. The genres were a list and were assigned a string; they are broken down into individual genres so the</w:t>
      </w:r>
      <w:r w:rsidRPr="7F533F6F" w:rsidR="00D86751">
        <w:rPr>
          <w:rFonts w:ascii="Arial" w:hAnsi="Arial" w:cs="Arial"/>
        </w:rPr>
        <w:t xml:space="preserve"> movie can count towards each genre. The numeric variables were standardized to a consistent numeric format, ensuring impossible observations were examined. The duration varied between 2 to 907 minutes.</w:t>
      </w:r>
    </w:p>
    <w:p w:rsidRPr="000360B0" w:rsidR="00B27D07" w:rsidP="000360B0" w:rsidRDefault="00D86751" w14:paraId="69F45656" w14:textId="5702E346">
      <w:pPr>
        <w:spacing w:line="360" w:lineRule="auto"/>
        <w:jc w:val="both"/>
        <w:rPr>
          <w:rFonts w:ascii="Arial" w:hAnsi="Arial" w:cs="Arial"/>
        </w:rPr>
      </w:pPr>
      <w:r w:rsidRPr="000360B0">
        <w:rPr>
          <w:rFonts w:ascii="Arial" w:hAnsi="Arial" w:cs="Arial"/>
        </w:rPr>
        <w:t xml:space="preserve">Such instances were retained as they may represent shorts, serials or a very long production but emphasis were on medians and robust visual interpretation. Businesses require clean data, free of duplicates or records that are incomplete or coded inconsistently, for business intelligence because these distort the aggregates. Data quality is defined as accuracy, completeness, consistency and fitness for use (Fu et al., 2024; </w:t>
      </w:r>
      <w:proofErr w:type="spellStart"/>
      <w:r w:rsidRPr="000360B0">
        <w:rPr>
          <w:rFonts w:ascii="Arial" w:hAnsi="Arial" w:cs="Arial"/>
        </w:rPr>
        <w:t>Ridzuan</w:t>
      </w:r>
      <w:proofErr w:type="spellEnd"/>
      <w:r w:rsidRPr="000360B0">
        <w:rPr>
          <w:rFonts w:ascii="Arial" w:hAnsi="Arial" w:cs="Arial"/>
        </w:rPr>
        <w:t xml:space="preserve"> and Zainon, 2024). The cleaning log makes the work more transparent and reproducible rather than a pre-commitment which is not visible but an invisible preparation step.</w:t>
      </w:r>
    </w:p>
    <w:p w:rsidRPr="000360B0" w:rsidR="00D86751" w:rsidP="000360B0" w:rsidRDefault="00D86751" w14:paraId="1255E353" w14:textId="77777777">
      <w:pPr>
        <w:spacing w:line="360" w:lineRule="auto"/>
        <w:jc w:val="both"/>
        <w:rPr>
          <w:rFonts w:ascii="Arial" w:hAnsi="Arial" w:cs="Arial"/>
        </w:rPr>
      </w:pPr>
    </w:p>
    <w:p w:rsidRPr="000360B0" w:rsidR="00D86751" w:rsidP="000360B0" w:rsidRDefault="00D86751" w14:paraId="39489F63" w14:textId="77777777">
      <w:pPr>
        <w:spacing w:line="360" w:lineRule="auto"/>
        <w:jc w:val="both"/>
        <w:rPr>
          <w:rFonts w:ascii="Arial" w:hAnsi="Arial" w:cs="Arial"/>
        </w:rPr>
      </w:pPr>
    </w:p>
    <w:p w:rsidRPr="000360B0" w:rsidR="00B27D07" w:rsidP="000360B0" w:rsidRDefault="00B27D07" w14:paraId="5DA1233E" w14:textId="2773DE0E">
      <w:pPr>
        <w:pStyle w:val="Heading1"/>
      </w:pPr>
      <w:bookmarkStart w:name="_Toc234920034" w:id="2"/>
      <w:r w:rsidRPr="000360B0">
        <w:t>Descriptive Statistics and Summary</w:t>
      </w:r>
      <w:bookmarkEnd w:id="2"/>
    </w:p>
    <w:p w:rsidRPr="000360B0" w:rsidR="00D86751" w:rsidP="000360B0" w:rsidRDefault="00D86751" w14:paraId="7520F06A" w14:textId="77777777">
      <w:pPr>
        <w:spacing w:line="360" w:lineRule="auto"/>
        <w:jc w:val="both"/>
        <w:rPr>
          <w:rFonts w:ascii="Arial" w:hAnsi="Arial" w:cs="Arial"/>
        </w:rPr>
      </w:pPr>
      <w:r w:rsidRPr="000360B0">
        <w:rPr>
          <w:rFonts w:ascii="Arial" w:hAnsi="Arial" w:cs="Arial"/>
        </w:rPr>
        <w:t>According to Table 1, the descriptive statistics of key numeric variables are shown. The average rating was 3.27 but showed some variance (SD = 0.53) between 1.08 to 4.71. Ratings are somewhat clustered below the average, as indicated by a skewness of -0.41. Mean running time is 103.17 minutes while median running time is 99 minutes. The highest score of 907 minutes together with a skewness of 5.65 tells us that runtime has some influential outliers (i.e., there are very long films that inflate the mean).</w:t>
      </w:r>
    </w:p>
    <w:p w:rsidRPr="000360B0" w:rsidR="00D86751" w:rsidP="000360B0" w:rsidRDefault="00D86751" w14:paraId="2B49B1E9" w14:textId="03E16D54">
      <w:pPr>
        <w:spacing w:line="360" w:lineRule="auto"/>
        <w:jc w:val="both"/>
        <w:rPr>
          <w:rFonts w:ascii="Arial" w:hAnsi="Arial" w:cs="Arial"/>
        </w:rPr>
      </w:pPr>
      <w:r w:rsidRPr="000360B0">
        <w:rPr>
          <w:rFonts w:ascii="Arial" w:hAnsi="Arial" w:cs="Arial"/>
        </w:rPr>
        <w:t>Variables related to engagement had a more skewed distribution. The average count of watches was 170,315 whereas the median was only 18,425. The overall mean number of likes was 43,735, with a median of only 3,394. The overall mean fans count was 1,653, with a median only 24. The skulking of 5.13 for warranted, 7.50 for diffidence and 14.62 for fans shows that a small group of very visible films dominates only activity on the Overall. Mean captures total platform scale</w:t>
      </w:r>
      <w:r w:rsidRPr="000360B0">
        <w:rPr>
          <w:rFonts w:ascii="Arial" w:hAnsi="Arial" w:cs="Arial"/>
        </w:rPr>
        <w:t>.</w:t>
      </w:r>
    </w:p>
    <w:p w:rsidRPr="000360B0" w:rsidR="00B27D07" w:rsidP="000360B0" w:rsidRDefault="00D86751" w14:paraId="302A14BE" w14:textId="697D3137">
      <w:pPr>
        <w:spacing w:line="360" w:lineRule="auto"/>
        <w:jc w:val="both"/>
        <w:rPr>
          <w:rFonts w:ascii="Arial" w:hAnsi="Arial" w:cs="Arial"/>
          <w:iCs/>
        </w:rPr>
      </w:pPr>
      <w:r w:rsidRPr="000360B0">
        <w:rPr>
          <w:rFonts w:ascii="Arial" w:hAnsi="Arial" w:cs="Arial"/>
          <w:iCs/>
        </w:rPr>
        <w:t xml:space="preserve">Of all films, 8,074 (80.7%) had English as their first language. After English, Spanish, and Chinese, the next most common languages were Italian, Japanese and French. This skew is significant as it estimates performance for English language from a much larger more likely commercially mainstream population. Film one </w:t>
      </w:r>
      <w:proofErr w:type="gramStart"/>
      <w:r w:rsidRPr="000360B0">
        <w:rPr>
          <w:rFonts w:ascii="Arial" w:hAnsi="Arial" w:cs="Arial"/>
          <w:iCs/>
        </w:rPr>
        <w:t>particular film</w:t>
      </w:r>
      <w:proofErr w:type="gramEnd"/>
      <w:r w:rsidRPr="000360B0">
        <w:rPr>
          <w:rFonts w:ascii="Arial" w:hAnsi="Arial" w:cs="Arial"/>
          <w:iCs/>
        </w:rPr>
        <w:t xml:space="preserve"> can fall into many genres. Drama was the most popular (n = 4416), followed by comedy (n = 2932), thriller (n = 2312), action (n = 2074) and horror (n = 1812). Descriptive evidence showed that popularity and rating are not interchangeable. A popular movie might receive a lot of likes by chance, simply because it has been seen by many people. On the other hand, a film that is less exposed might find itself achieving a very high average rating simply because it has been watched by a selective audience. Business dashboards must independently report reach, conversion and loyalty instead of collapsing into a single success score.</w:t>
      </w:r>
    </w:p>
    <w:p w:rsidR="00D86751" w:rsidP="000360B0" w:rsidRDefault="00D86751" w14:paraId="66FAFCEB" w14:textId="77777777">
      <w:pPr>
        <w:spacing w:line="360" w:lineRule="auto"/>
        <w:jc w:val="both"/>
        <w:rPr>
          <w:rFonts w:ascii="Arial" w:hAnsi="Arial" w:cs="Arial"/>
          <w:iCs/>
        </w:rPr>
      </w:pPr>
    </w:p>
    <w:p w:rsidR="000360B0" w:rsidP="000360B0" w:rsidRDefault="000360B0" w14:paraId="4CDCDF9E" w14:textId="77777777">
      <w:pPr>
        <w:spacing w:line="360" w:lineRule="auto"/>
        <w:jc w:val="both"/>
        <w:rPr>
          <w:rFonts w:ascii="Arial" w:hAnsi="Arial" w:cs="Arial"/>
          <w:iCs/>
        </w:rPr>
      </w:pPr>
    </w:p>
    <w:p w:rsidR="000360B0" w:rsidP="000360B0" w:rsidRDefault="000360B0" w14:paraId="2D5F2440" w14:textId="77777777">
      <w:pPr>
        <w:spacing w:line="360" w:lineRule="auto"/>
        <w:jc w:val="both"/>
        <w:rPr>
          <w:rFonts w:ascii="Arial" w:hAnsi="Arial" w:cs="Arial"/>
          <w:iCs/>
        </w:rPr>
      </w:pPr>
    </w:p>
    <w:p w:rsidRPr="000360B0" w:rsidR="000360B0" w:rsidP="000360B0" w:rsidRDefault="000360B0" w14:paraId="7C3F8353" w14:textId="77777777">
      <w:pPr>
        <w:spacing w:line="360" w:lineRule="auto"/>
        <w:jc w:val="both"/>
        <w:rPr>
          <w:rFonts w:ascii="Arial" w:hAnsi="Arial" w:cs="Arial"/>
          <w:iCs/>
        </w:rPr>
      </w:pPr>
    </w:p>
    <w:p w:rsidRPr="000360B0" w:rsidR="00B27D07" w:rsidP="000360B0" w:rsidRDefault="00B27D07" w14:paraId="4796D42B" w14:textId="77777777">
      <w:pPr>
        <w:spacing w:after="100" w:line="360" w:lineRule="auto"/>
        <w:jc w:val="both"/>
        <w:rPr>
          <w:rFonts w:ascii="Arial" w:hAnsi="Arial" w:cs="Arial"/>
        </w:rPr>
      </w:pPr>
      <w:r w:rsidRPr="000360B0">
        <w:rPr>
          <w:rFonts w:ascii="Arial" w:hAnsi="Arial" w:cs="Arial"/>
          <w:b/>
        </w:rPr>
        <w:t>Table 1. Descriptive statistics for principal numerical variables</w:t>
      </w:r>
    </w:p>
    <w:tbl>
      <w:tblPr>
        <w:tblStyle w:val="TableGrid"/>
        <w:tblW w:w="0" w:type="auto"/>
        <w:jc w:val="center"/>
        <w:tblLook w:val="04A0" w:firstRow="1" w:lastRow="0" w:firstColumn="1" w:lastColumn="0" w:noHBand="0" w:noVBand="1"/>
      </w:tblPr>
      <w:tblGrid>
        <w:gridCol w:w="1196"/>
        <w:gridCol w:w="931"/>
        <w:gridCol w:w="1394"/>
        <w:gridCol w:w="1261"/>
        <w:gridCol w:w="1394"/>
        <w:gridCol w:w="1247"/>
        <w:gridCol w:w="1593"/>
      </w:tblGrid>
      <w:tr w:rsidRPr="000360B0" w:rsidR="00B27D07" w:rsidTr="0042320B" w14:paraId="1E453340" w14:textId="77777777">
        <w:trPr>
          <w:tblHeader/>
          <w:jc w:val="center"/>
        </w:trPr>
        <w:tc>
          <w:tcPr>
            <w:tcW w:w="1411" w:type="dxa"/>
            <w:shd w:val="clear" w:color="auto" w:fill="1F4E78"/>
            <w:tcMar>
              <w:top w:w="80" w:type="dxa"/>
              <w:left w:w="100" w:type="dxa"/>
              <w:bottom w:w="80" w:type="dxa"/>
              <w:right w:w="100" w:type="dxa"/>
            </w:tcMar>
            <w:vAlign w:val="center"/>
          </w:tcPr>
          <w:p w:rsidRPr="000360B0" w:rsidR="00B27D07" w:rsidP="000360B0" w:rsidRDefault="00B27D07" w14:paraId="00565529" w14:textId="77777777">
            <w:pPr>
              <w:spacing w:line="360" w:lineRule="auto"/>
              <w:jc w:val="both"/>
              <w:rPr>
                <w:rFonts w:ascii="Arial" w:hAnsi="Arial" w:cs="Arial"/>
                <w:sz w:val="24"/>
                <w:szCs w:val="24"/>
              </w:rPr>
            </w:pPr>
            <w:r w:rsidRPr="000360B0">
              <w:rPr>
                <w:rFonts w:ascii="Arial" w:hAnsi="Arial" w:cs="Arial"/>
                <w:b/>
                <w:color w:val="FFFFFF"/>
                <w:sz w:val="24"/>
                <w:szCs w:val="24"/>
              </w:rPr>
              <w:t>Variable</w:t>
            </w:r>
          </w:p>
        </w:tc>
        <w:tc>
          <w:tcPr>
            <w:tcW w:w="1411" w:type="dxa"/>
            <w:shd w:val="clear" w:color="auto" w:fill="1F4E78"/>
            <w:tcMar>
              <w:top w:w="80" w:type="dxa"/>
              <w:left w:w="100" w:type="dxa"/>
              <w:bottom w:w="80" w:type="dxa"/>
              <w:right w:w="100" w:type="dxa"/>
            </w:tcMar>
            <w:vAlign w:val="center"/>
          </w:tcPr>
          <w:p w:rsidRPr="000360B0" w:rsidR="00B27D07" w:rsidP="000360B0" w:rsidRDefault="00B27D07" w14:paraId="0B0DA9B7" w14:textId="77777777">
            <w:pPr>
              <w:spacing w:line="360" w:lineRule="auto"/>
              <w:jc w:val="both"/>
              <w:rPr>
                <w:rFonts w:ascii="Arial" w:hAnsi="Arial" w:cs="Arial"/>
                <w:sz w:val="24"/>
                <w:szCs w:val="24"/>
              </w:rPr>
            </w:pPr>
            <w:r w:rsidRPr="000360B0">
              <w:rPr>
                <w:rFonts w:ascii="Arial" w:hAnsi="Arial" w:cs="Arial"/>
                <w:b/>
                <w:color w:val="FFFFFF"/>
                <w:sz w:val="24"/>
                <w:szCs w:val="24"/>
              </w:rPr>
              <w:t>N</w:t>
            </w:r>
          </w:p>
        </w:tc>
        <w:tc>
          <w:tcPr>
            <w:tcW w:w="1411" w:type="dxa"/>
            <w:shd w:val="clear" w:color="auto" w:fill="1F4E78"/>
            <w:tcMar>
              <w:top w:w="80" w:type="dxa"/>
              <w:left w:w="100" w:type="dxa"/>
              <w:bottom w:w="80" w:type="dxa"/>
              <w:right w:w="100" w:type="dxa"/>
            </w:tcMar>
            <w:vAlign w:val="center"/>
          </w:tcPr>
          <w:p w:rsidRPr="000360B0" w:rsidR="00B27D07" w:rsidP="000360B0" w:rsidRDefault="00B27D07" w14:paraId="26347E37" w14:textId="77777777">
            <w:pPr>
              <w:spacing w:line="360" w:lineRule="auto"/>
              <w:jc w:val="both"/>
              <w:rPr>
                <w:rFonts w:ascii="Arial" w:hAnsi="Arial" w:cs="Arial"/>
                <w:sz w:val="24"/>
                <w:szCs w:val="24"/>
              </w:rPr>
            </w:pPr>
            <w:r w:rsidRPr="000360B0">
              <w:rPr>
                <w:rFonts w:ascii="Arial" w:hAnsi="Arial" w:cs="Arial"/>
                <w:b/>
                <w:color w:val="FFFFFF"/>
                <w:sz w:val="24"/>
                <w:szCs w:val="24"/>
              </w:rPr>
              <w:t>Mean</w:t>
            </w:r>
          </w:p>
        </w:tc>
        <w:tc>
          <w:tcPr>
            <w:tcW w:w="1411" w:type="dxa"/>
            <w:shd w:val="clear" w:color="auto" w:fill="1F4E78"/>
            <w:tcMar>
              <w:top w:w="80" w:type="dxa"/>
              <w:left w:w="100" w:type="dxa"/>
              <w:bottom w:w="80" w:type="dxa"/>
              <w:right w:w="100" w:type="dxa"/>
            </w:tcMar>
            <w:vAlign w:val="center"/>
          </w:tcPr>
          <w:p w:rsidRPr="000360B0" w:rsidR="00B27D07" w:rsidP="000360B0" w:rsidRDefault="00B27D07" w14:paraId="46DAD6B1" w14:textId="77777777">
            <w:pPr>
              <w:spacing w:line="360" w:lineRule="auto"/>
              <w:jc w:val="both"/>
              <w:rPr>
                <w:rFonts w:ascii="Arial" w:hAnsi="Arial" w:cs="Arial"/>
                <w:sz w:val="24"/>
                <w:szCs w:val="24"/>
              </w:rPr>
            </w:pPr>
            <w:r w:rsidRPr="000360B0">
              <w:rPr>
                <w:rFonts w:ascii="Arial" w:hAnsi="Arial" w:cs="Arial"/>
                <w:b/>
                <w:color w:val="FFFFFF"/>
                <w:sz w:val="24"/>
                <w:szCs w:val="24"/>
              </w:rPr>
              <w:t>Median</w:t>
            </w:r>
          </w:p>
        </w:tc>
        <w:tc>
          <w:tcPr>
            <w:tcW w:w="1411" w:type="dxa"/>
            <w:shd w:val="clear" w:color="auto" w:fill="1F4E78"/>
            <w:tcMar>
              <w:top w:w="80" w:type="dxa"/>
              <w:left w:w="100" w:type="dxa"/>
              <w:bottom w:w="80" w:type="dxa"/>
              <w:right w:w="100" w:type="dxa"/>
            </w:tcMar>
            <w:vAlign w:val="center"/>
          </w:tcPr>
          <w:p w:rsidRPr="000360B0" w:rsidR="00B27D07" w:rsidP="000360B0" w:rsidRDefault="00B27D07" w14:paraId="546B2345" w14:textId="77777777">
            <w:pPr>
              <w:spacing w:line="360" w:lineRule="auto"/>
              <w:jc w:val="both"/>
              <w:rPr>
                <w:rFonts w:ascii="Arial" w:hAnsi="Arial" w:cs="Arial"/>
                <w:sz w:val="24"/>
                <w:szCs w:val="24"/>
              </w:rPr>
            </w:pPr>
            <w:r w:rsidRPr="000360B0">
              <w:rPr>
                <w:rFonts w:ascii="Arial" w:hAnsi="Arial" w:cs="Arial"/>
                <w:b/>
                <w:color w:val="FFFFFF"/>
                <w:sz w:val="24"/>
                <w:szCs w:val="24"/>
              </w:rPr>
              <w:t>SD</w:t>
            </w:r>
          </w:p>
        </w:tc>
        <w:tc>
          <w:tcPr>
            <w:tcW w:w="1411" w:type="dxa"/>
            <w:shd w:val="clear" w:color="auto" w:fill="1F4E78"/>
            <w:tcMar>
              <w:top w:w="80" w:type="dxa"/>
              <w:left w:w="100" w:type="dxa"/>
              <w:bottom w:w="80" w:type="dxa"/>
              <w:right w:w="100" w:type="dxa"/>
            </w:tcMar>
            <w:vAlign w:val="center"/>
          </w:tcPr>
          <w:p w:rsidRPr="000360B0" w:rsidR="00B27D07" w:rsidP="000360B0" w:rsidRDefault="00B27D07" w14:paraId="2D3503DB" w14:textId="77777777">
            <w:pPr>
              <w:spacing w:line="360" w:lineRule="auto"/>
              <w:jc w:val="both"/>
              <w:rPr>
                <w:rFonts w:ascii="Arial" w:hAnsi="Arial" w:cs="Arial"/>
                <w:sz w:val="24"/>
                <w:szCs w:val="24"/>
              </w:rPr>
            </w:pPr>
            <w:r w:rsidRPr="000360B0">
              <w:rPr>
                <w:rFonts w:ascii="Arial" w:hAnsi="Arial" w:cs="Arial"/>
                <w:b/>
                <w:color w:val="FFFFFF"/>
                <w:sz w:val="24"/>
                <w:szCs w:val="24"/>
              </w:rPr>
              <w:t>Minimum</w:t>
            </w:r>
          </w:p>
        </w:tc>
        <w:tc>
          <w:tcPr>
            <w:tcW w:w="1411" w:type="dxa"/>
            <w:shd w:val="clear" w:color="auto" w:fill="1F4E78"/>
            <w:tcMar>
              <w:top w:w="80" w:type="dxa"/>
              <w:left w:w="100" w:type="dxa"/>
              <w:bottom w:w="80" w:type="dxa"/>
              <w:right w:w="100" w:type="dxa"/>
            </w:tcMar>
            <w:vAlign w:val="center"/>
          </w:tcPr>
          <w:p w:rsidRPr="000360B0" w:rsidR="00B27D07" w:rsidP="000360B0" w:rsidRDefault="00B27D07" w14:paraId="65E1B0B6" w14:textId="77777777">
            <w:pPr>
              <w:spacing w:line="360" w:lineRule="auto"/>
              <w:jc w:val="both"/>
              <w:rPr>
                <w:rFonts w:ascii="Arial" w:hAnsi="Arial" w:cs="Arial"/>
                <w:sz w:val="24"/>
                <w:szCs w:val="24"/>
              </w:rPr>
            </w:pPr>
            <w:r w:rsidRPr="000360B0">
              <w:rPr>
                <w:rFonts w:ascii="Arial" w:hAnsi="Arial" w:cs="Arial"/>
                <w:b/>
                <w:color w:val="FFFFFF"/>
                <w:sz w:val="24"/>
                <w:szCs w:val="24"/>
              </w:rPr>
              <w:t>Maximum</w:t>
            </w:r>
          </w:p>
        </w:tc>
      </w:tr>
      <w:tr w:rsidRPr="000360B0" w:rsidR="00B27D07" w:rsidTr="0042320B" w14:paraId="47085049" w14:textId="77777777">
        <w:trPr>
          <w:jc w:val="center"/>
        </w:trPr>
        <w:tc>
          <w:tcPr>
            <w:tcW w:w="1411" w:type="dxa"/>
            <w:tcMar>
              <w:top w:w="80" w:type="dxa"/>
              <w:left w:w="100" w:type="dxa"/>
              <w:bottom w:w="80" w:type="dxa"/>
              <w:right w:w="100" w:type="dxa"/>
            </w:tcMar>
            <w:vAlign w:val="center"/>
          </w:tcPr>
          <w:p w:rsidRPr="000360B0" w:rsidR="00B27D07" w:rsidP="000360B0" w:rsidRDefault="00B27D07" w14:paraId="5FCBDEC3" w14:textId="77777777">
            <w:pPr>
              <w:spacing w:line="360" w:lineRule="auto"/>
              <w:jc w:val="both"/>
              <w:rPr>
                <w:rFonts w:ascii="Arial" w:hAnsi="Arial" w:cs="Arial"/>
                <w:sz w:val="24"/>
                <w:szCs w:val="24"/>
              </w:rPr>
            </w:pPr>
            <w:r w:rsidRPr="000360B0">
              <w:rPr>
                <w:rFonts w:ascii="Arial" w:hAnsi="Arial" w:cs="Arial"/>
                <w:sz w:val="24"/>
                <w:szCs w:val="24"/>
              </w:rPr>
              <w:t>Average rating</w:t>
            </w:r>
          </w:p>
        </w:tc>
        <w:tc>
          <w:tcPr>
            <w:tcW w:w="1411" w:type="dxa"/>
            <w:tcMar>
              <w:top w:w="80" w:type="dxa"/>
              <w:left w:w="100" w:type="dxa"/>
              <w:bottom w:w="80" w:type="dxa"/>
              <w:right w:w="100" w:type="dxa"/>
            </w:tcMar>
            <w:vAlign w:val="center"/>
          </w:tcPr>
          <w:p w:rsidRPr="000360B0" w:rsidR="00B27D07" w:rsidP="000360B0" w:rsidRDefault="00B27D07" w14:paraId="2B2DC7BE" w14:textId="77777777">
            <w:pPr>
              <w:spacing w:line="360" w:lineRule="auto"/>
              <w:jc w:val="both"/>
              <w:rPr>
                <w:rFonts w:ascii="Arial" w:hAnsi="Arial" w:cs="Arial"/>
                <w:sz w:val="24"/>
                <w:szCs w:val="24"/>
              </w:rPr>
            </w:pPr>
            <w:r w:rsidRPr="000360B0">
              <w:rPr>
                <w:rFonts w:ascii="Arial" w:hAnsi="Arial" w:cs="Arial"/>
                <w:sz w:val="24"/>
                <w:szCs w:val="24"/>
              </w:rPr>
              <w:t>10,000</w:t>
            </w:r>
          </w:p>
        </w:tc>
        <w:tc>
          <w:tcPr>
            <w:tcW w:w="1411" w:type="dxa"/>
            <w:tcMar>
              <w:top w:w="80" w:type="dxa"/>
              <w:left w:w="100" w:type="dxa"/>
              <w:bottom w:w="80" w:type="dxa"/>
              <w:right w:w="100" w:type="dxa"/>
            </w:tcMar>
            <w:vAlign w:val="center"/>
          </w:tcPr>
          <w:p w:rsidRPr="000360B0" w:rsidR="00B27D07" w:rsidP="000360B0" w:rsidRDefault="00B27D07" w14:paraId="165482E4" w14:textId="77777777">
            <w:pPr>
              <w:spacing w:line="360" w:lineRule="auto"/>
              <w:jc w:val="both"/>
              <w:rPr>
                <w:rFonts w:ascii="Arial" w:hAnsi="Arial" w:cs="Arial"/>
                <w:sz w:val="24"/>
                <w:szCs w:val="24"/>
              </w:rPr>
            </w:pPr>
            <w:r w:rsidRPr="000360B0">
              <w:rPr>
                <w:rFonts w:ascii="Arial" w:hAnsi="Arial" w:cs="Arial"/>
                <w:sz w:val="24"/>
                <w:szCs w:val="24"/>
              </w:rPr>
              <w:t>3.27</w:t>
            </w:r>
          </w:p>
        </w:tc>
        <w:tc>
          <w:tcPr>
            <w:tcW w:w="1411" w:type="dxa"/>
            <w:tcMar>
              <w:top w:w="80" w:type="dxa"/>
              <w:left w:w="100" w:type="dxa"/>
              <w:bottom w:w="80" w:type="dxa"/>
              <w:right w:w="100" w:type="dxa"/>
            </w:tcMar>
            <w:vAlign w:val="center"/>
          </w:tcPr>
          <w:p w:rsidRPr="000360B0" w:rsidR="00B27D07" w:rsidP="000360B0" w:rsidRDefault="00B27D07" w14:paraId="432E2784" w14:textId="77777777">
            <w:pPr>
              <w:spacing w:line="360" w:lineRule="auto"/>
              <w:jc w:val="both"/>
              <w:rPr>
                <w:rFonts w:ascii="Arial" w:hAnsi="Arial" w:cs="Arial"/>
                <w:sz w:val="24"/>
                <w:szCs w:val="24"/>
              </w:rPr>
            </w:pPr>
            <w:r w:rsidRPr="000360B0">
              <w:rPr>
                <w:rFonts w:ascii="Arial" w:hAnsi="Arial" w:cs="Arial"/>
                <w:sz w:val="24"/>
                <w:szCs w:val="24"/>
              </w:rPr>
              <w:t>3.27</w:t>
            </w:r>
          </w:p>
        </w:tc>
        <w:tc>
          <w:tcPr>
            <w:tcW w:w="1411" w:type="dxa"/>
            <w:tcMar>
              <w:top w:w="80" w:type="dxa"/>
              <w:left w:w="100" w:type="dxa"/>
              <w:bottom w:w="80" w:type="dxa"/>
              <w:right w:w="100" w:type="dxa"/>
            </w:tcMar>
            <w:vAlign w:val="center"/>
          </w:tcPr>
          <w:p w:rsidRPr="000360B0" w:rsidR="00B27D07" w:rsidP="000360B0" w:rsidRDefault="00B27D07" w14:paraId="5CAEBFC1" w14:textId="77777777">
            <w:pPr>
              <w:spacing w:line="360" w:lineRule="auto"/>
              <w:jc w:val="both"/>
              <w:rPr>
                <w:rFonts w:ascii="Arial" w:hAnsi="Arial" w:cs="Arial"/>
                <w:sz w:val="24"/>
                <w:szCs w:val="24"/>
              </w:rPr>
            </w:pPr>
            <w:r w:rsidRPr="000360B0">
              <w:rPr>
                <w:rFonts w:ascii="Arial" w:hAnsi="Arial" w:cs="Arial"/>
                <w:sz w:val="24"/>
                <w:szCs w:val="24"/>
              </w:rPr>
              <w:t>0.53</w:t>
            </w:r>
          </w:p>
        </w:tc>
        <w:tc>
          <w:tcPr>
            <w:tcW w:w="1411" w:type="dxa"/>
            <w:tcMar>
              <w:top w:w="80" w:type="dxa"/>
              <w:left w:w="100" w:type="dxa"/>
              <w:bottom w:w="80" w:type="dxa"/>
              <w:right w:w="100" w:type="dxa"/>
            </w:tcMar>
            <w:vAlign w:val="center"/>
          </w:tcPr>
          <w:p w:rsidRPr="000360B0" w:rsidR="00B27D07" w:rsidP="000360B0" w:rsidRDefault="00B27D07" w14:paraId="36FF2FEC" w14:textId="77777777">
            <w:pPr>
              <w:spacing w:line="360" w:lineRule="auto"/>
              <w:jc w:val="both"/>
              <w:rPr>
                <w:rFonts w:ascii="Arial" w:hAnsi="Arial" w:cs="Arial"/>
                <w:sz w:val="24"/>
                <w:szCs w:val="24"/>
              </w:rPr>
            </w:pPr>
            <w:r w:rsidRPr="000360B0">
              <w:rPr>
                <w:rFonts w:ascii="Arial" w:hAnsi="Arial" w:cs="Arial"/>
                <w:sz w:val="24"/>
                <w:szCs w:val="24"/>
              </w:rPr>
              <w:t>1.08</w:t>
            </w:r>
          </w:p>
        </w:tc>
        <w:tc>
          <w:tcPr>
            <w:tcW w:w="1411" w:type="dxa"/>
            <w:tcMar>
              <w:top w:w="80" w:type="dxa"/>
              <w:left w:w="100" w:type="dxa"/>
              <w:bottom w:w="80" w:type="dxa"/>
              <w:right w:w="100" w:type="dxa"/>
            </w:tcMar>
            <w:vAlign w:val="center"/>
          </w:tcPr>
          <w:p w:rsidRPr="000360B0" w:rsidR="00B27D07" w:rsidP="000360B0" w:rsidRDefault="00B27D07" w14:paraId="76DE3E48" w14:textId="77777777">
            <w:pPr>
              <w:spacing w:line="360" w:lineRule="auto"/>
              <w:jc w:val="both"/>
              <w:rPr>
                <w:rFonts w:ascii="Arial" w:hAnsi="Arial" w:cs="Arial"/>
                <w:sz w:val="24"/>
                <w:szCs w:val="24"/>
              </w:rPr>
            </w:pPr>
            <w:r w:rsidRPr="000360B0">
              <w:rPr>
                <w:rFonts w:ascii="Arial" w:hAnsi="Arial" w:cs="Arial"/>
                <w:sz w:val="24"/>
                <w:szCs w:val="24"/>
              </w:rPr>
              <w:t>4.71</w:t>
            </w:r>
          </w:p>
        </w:tc>
      </w:tr>
      <w:tr w:rsidRPr="000360B0" w:rsidR="00B27D07" w:rsidTr="0042320B" w14:paraId="2FD72214" w14:textId="77777777">
        <w:trPr>
          <w:jc w:val="center"/>
        </w:trPr>
        <w:tc>
          <w:tcPr>
            <w:tcW w:w="1411" w:type="dxa"/>
            <w:shd w:val="clear" w:color="auto" w:fill="EAF2F8"/>
            <w:tcMar>
              <w:top w:w="80" w:type="dxa"/>
              <w:left w:w="100" w:type="dxa"/>
              <w:bottom w:w="80" w:type="dxa"/>
              <w:right w:w="100" w:type="dxa"/>
            </w:tcMar>
            <w:vAlign w:val="center"/>
          </w:tcPr>
          <w:p w:rsidRPr="000360B0" w:rsidR="00B27D07" w:rsidP="000360B0" w:rsidRDefault="00B27D07" w14:paraId="24FCCB60" w14:textId="77777777">
            <w:pPr>
              <w:spacing w:line="360" w:lineRule="auto"/>
              <w:jc w:val="both"/>
              <w:rPr>
                <w:rFonts w:ascii="Arial" w:hAnsi="Arial" w:cs="Arial"/>
                <w:sz w:val="24"/>
                <w:szCs w:val="24"/>
              </w:rPr>
            </w:pPr>
            <w:r w:rsidRPr="000360B0">
              <w:rPr>
                <w:rFonts w:ascii="Arial" w:hAnsi="Arial" w:cs="Arial"/>
                <w:sz w:val="24"/>
                <w:szCs w:val="24"/>
              </w:rPr>
              <w:t>Runtime (minutes)</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1112E6F6" w14:textId="77777777">
            <w:pPr>
              <w:spacing w:line="360" w:lineRule="auto"/>
              <w:jc w:val="both"/>
              <w:rPr>
                <w:rFonts w:ascii="Arial" w:hAnsi="Arial" w:cs="Arial"/>
                <w:sz w:val="24"/>
                <w:szCs w:val="24"/>
              </w:rPr>
            </w:pPr>
            <w:r w:rsidRPr="000360B0">
              <w:rPr>
                <w:rFonts w:ascii="Arial" w:hAnsi="Arial" w:cs="Arial"/>
                <w:sz w:val="24"/>
                <w:szCs w:val="24"/>
              </w:rPr>
              <w:t>10,000</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1D3330FA" w14:textId="77777777">
            <w:pPr>
              <w:spacing w:line="360" w:lineRule="auto"/>
              <w:jc w:val="both"/>
              <w:rPr>
                <w:rFonts w:ascii="Arial" w:hAnsi="Arial" w:cs="Arial"/>
                <w:sz w:val="24"/>
                <w:szCs w:val="24"/>
              </w:rPr>
            </w:pPr>
            <w:r w:rsidRPr="000360B0">
              <w:rPr>
                <w:rFonts w:ascii="Arial" w:hAnsi="Arial" w:cs="Arial"/>
                <w:sz w:val="24"/>
                <w:szCs w:val="24"/>
              </w:rPr>
              <w:t>103.17</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4FEAB6D8" w14:textId="77777777">
            <w:pPr>
              <w:spacing w:line="360" w:lineRule="auto"/>
              <w:jc w:val="both"/>
              <w:rPr>
                <w:rFonts w:ascii="Arial" w:hAnsi="Arial" w:cs="Arial"/>
                <w:sz w:val="24"/>
                <w:szCs w:val="24"/>
              </w:rPr>
            </w:pPr>
            <w:r w:rsidRPr="000360B0">
              <w:rPr>
                <w:rFonts w:ascii="Arial" w:hAnsi="Arial" w:cs="Arial"/>
                <w:sz w:val="24"/>
                <w:szCs w:val="24"/>
              </w:rPr>
              <w:t>99.00</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7A755601" w14:textId="77777777">
            <w:pPr>
              <w:spacing w:line="360" w:lineRule="auto"/>
              <w:jc w:val="both"/>
              <w:rPr>
                <w:rFonts w:ascii="Arial" w:hAnsi="Arial" w:cs="Arial"/>
                <w:sz w:val="24"/>
                <w:szCs w:val="24"/>
              </w:rPr>
            </w:pPr>
            <w:r w:rsidRPr="000360B0">
              <w:rPr>
                <w:rFonts w:ascii="Arial" w:hAnsi="Arial" w:cs="Arial"/>
                <w:sz w:val="24"/>
                <w:szCs w:val="24"/>
              </w:rPr>
              <w:t>38.07</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027166E4" w14:textId="77777777">
            <w:pPr>
              <w:spacing w:line="360" w:lineRule="auto"/>
              <w:jc w:val="both"/>
              <w:rPr>
                <w:rFonts w:ascii="Arial" w:hAnsi="Arial" w:cs="Arial"/>
                <w:sz w:val="24"/>
                <w:szCs w:val="24"/>
              </w:rPr>
            </w:pPr>
            <w:r w:rsidRPr="000360B0">
              <w:rPr>
                <w:rFonts w:ascii="Arial" w:hAnsi="Arial" w:cs="Arial"/>
                <w:sz w:val="24"/>
                <w:szCs w:val="24"/>
              </w:rPr>
              <w:t>2.00</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5384FC7D" w14:textId="77777777">
            <w:pPr>
              <w:spacing w:line="360" w:lineRule="auto"/>
              <w:jc w:val="both"/>
              <w:rPr>
                <w:rFonts w:ascii="Arial" w:hAnsi="Arial" w:cs="Arial"/>
                <w:sz w:val="24"/>
                <w:szCs w:val="24"/>
              </w:rPr>
            </w:pPr>
            <w:r w:rsidRPr="000360B0">
              <w:rPr>
                <w:rFonts w:ascii="Arial" w:hAnsi="Arial" w:cs="Arial"/>
                <w:sz w:val="24"/>
                <w:szCs w:val="24"/>
              </w:rPr>
              <w:t>907.00</w:t>
            </w:r>
          </w:p>
        </w:tc>
      </w:tr>
      <w:tr w:rsidRPr="000360B0" w:rsidR="00B27D07" w:rsidTr="0042320B" w14:paraId="2FD52FC0" w14:textId="77777777">
        <w:trPr>
          <w:jc w:val="center"/>
        </w:trPr>
        <w:tc>
          <w:tcPr>
            <w:tcW w:w="1411" w:type="dxa"/>
            <w:tcMar>
              <w:top w:w="80" w:type="dxa"/>
              <w:left w:w="100" w:type="dxa"/>
              <w:bottom w:w="80" w:type="dxa"/>
              <w:right w:w="100" w:type="dxa"/>
            </w:tcMar>
            <w:vAlign w:val="center"/>
          </w:tcPr>
          <w:p w:rsidRPr="000360B0" w:rsidR="00B27D07" w:rsidP="000360B0" w:rsidRDefault="00B27D07" w14:paraId="6B431B80" w14:textId="77777777">
            <w:pPr>
              <w:spacing w:line="360" w:lineRule="auto"/>
              <w:jc w:val="both"/>
              <w:rPr>
                <w:rFonts w:ascii="Arial" w:hAnsi="Arial" w:cs="Arial"/>
                <w:sz w:val="24"/>
                <w:szCs w:val="24"/>
              </w:rPr>
            </w:pPr>
            <w:r w:rsidRPr="000360B0">
              <w:rPr>
                <w:rFonts w:ascii="Arial" w:hAnsi="Arial" w:cs="Arial"/>
                <w:sz w:val="24"/>
                <w:szCs w:val="24"/>
              </w:rPr>
              <w:t>Watches</w:t>
            </w:r>
          </w:p>
        </w:tc>
        <w:tc>
          <w:tcPr>
            <w:tcW w:w="1411" w:type="dxa"/>
            <w:tcMar>
              <w:top w:w="80" w:type="dxa"/>
              <w:left w:w="100" w:type="dxa"/>
              <w:bottom w:w="80" w:type="dxa"/>
              <w:right w:w="100" w:type="dxa"/>
            </w:tcMar>
            <w:vAlign w:val="center"/>
          </w:tcPr>
          <w:p w:rsidRPr="000360B0" w:rsidR="00B27D07" w:rsidP="000360B0" w:rsidRDefault="00B27D07" w14:paraId="0882ED39" w14:textId="77777777">
            <w:pPr>
              <w:spacing w:line="360" w:lineRule="auto"/>
              <w:jc w:val="both"/>
              <w:rPr>
                <w:rFonts w:ascii="Arial" w:hAnsi="Arial" w:cs="Arial"/>
                <w:sz w:val="24"/>
                <w:szCs w:val="24"/>
              </w:rPr>
            </w:pPr>
            <w:r w:rsidRPr="000360B0">
              <w:rPr>
                <w:rFonts w:ascii="Arial" w:hAnsi="Arial" w:cs="Arial"/>
                <w:sz w:val="24"/>
                <w:szCs w:val="24"/>
              </w:rPr>
              <w:t>10,000</w:t>
            </w:r>
          </w:p>
        </w:tc>
        <w:tc>
          <w:tcPr>
            <w:tcW w:w="1411" w:type="dxa"/>
            <w:tcMar>
              <w:top w:w="80" w:type="dxa"/>
              <w:left w:w="100" w:type="dxa"/>
              <w:bottom w:w="80" w:type="dxa"/>
              <w:right w:w="100" w:type="dxa"/>
            </w:tcMar>
            <w:vAlign w:val="center"/>
          </w:tcPr>
          <w:p w:rsidRPr="000360B0" w:rsidR="00B27D07" w:rsidP="000360B0" w:rsidRDefault="00B27D07" w14:paraId="21D35097" w14:textId="77777777">
            <w:pPr>
              <w:spacing w:line="360" w:lineRule="auto"/>
              <w:jc w:val="both"/>
              <w:rPr>
                <w:rFonts w:ascii="Arial" w:hAnsi="Arial" w:cs="Arial"/>
                <w:sz w:val="24"/>
                <w:szCs w:val="24"/>
              </w:rPr>
            </w:pPr>
            <w:r w:rsidRPr="000360B0">
              <w:rPr>
                <w:rFonts w:ascii="Arial" w:hAnsi="Arial" w:cs="Arial"/>
                <w:sz w:val="24"/>
                <w:szCs w:val="24"/>
              </w:rPr>
              <w:t>170,314.82</w:t>
            </w:r>
          </w:p>
        </w:tc>
        <w:tc>
          <w:tcPr>
            <w:tcW w:w="1411" w:type="dxa"/>
            <w:tcMar>
              <w:top w:w="80" w:type="dxa"/>
              <w:left w:w="100" w:type="dxa"/>
              <w:bottom w:w="80" w:type="dxa"/>
              <w:right w:w="100" w:type="dxa"/>
            </w:tcMar>
            <w:vAlign w:val="center"/>
          </w:tcPr>
          <w:p w:rsidRPr="000360B0" w:rsidR="00B27D07" w:rsidP="000360B0" w:rsidRDefault="00B27D07" w14:paraId="42C78320" w14:textId="77777777">
            <w:pPr>
              <w:spacing w:line="360" w:lineRule="auto"/>
              <w:jc w:val="both"/>
              <w:rPr>
                <w:rFonts w:ascii="Arial" w:hAnsi="Arial" w:cs="Arial"/>
                <w:sz w:val="24"/>
                <w:szCs w:val="24"/>
              </w:rPr>
            </w:pPr>
            <w:r w:rsidRPr="000360B0">
              <w:rPr>
                <w:rFonts w:ascii="Arial" w:hAnsi="Arial" w:cs="Arial"/>
                <w:sz w:val="24"/>
                <w:szCs w:val="24"/>
              </w:rPr>
              <w:t>18,425.00</w:t>
            </w:r>
          </w:p>
        </w:tc>
        <w:tc>
          <w:tcPr>
            <w:tcW w:w="1411" w:type="dxa"/>
            <w:tcMar>
              <w:top w:w="80" w:type="dxa"/>
              <w:left w:w="100" w:type="dxa"/>
              <w:bottom w:w="80" w:type="dxa"/>
              <w:right w:w="100" w:type="dxa"/>
            </w:tcMar>
            <w:vAlign w:val="center"/>
          </w:tcPr>
          <w:p w:rsidRPr="000360B0" w:rsidR="00B27D07" w:rsidP="000360B0" w:rsidRDefault="00B27D07" w14:paraId="7AFE4D65" w14:textId="77777777">
            <w:pPr>
              <w:spacing w:line="360" w:lineRule="auto"/>
              <w:jc w:val="both"/>
              <w:rPr>
                <w:rFonts w:ascii="Arial" w:hAnsi="Arial" w:cs="Arial"/>
                <w:sz w:val="24"/>
                <w:szCs w:val="24"/>
              </w:rPr>
            </w:pPr>
            <w:r w:rsidRPr="000360B0">
              <w:rPr>
                <w:rFonts w:ascii="Arial" w:hAnsi="Arial" w:cs="Arial"/>
                <w:sz w:val="24"/>
                <w:szCs w:val="24"/>
              </w:rPr>
              <w:t>458,532.92</w:t>
            </w:r>
          </w:p>
        </w:tc>
        <w:tc>
          <w:tcPr>
            <w:tcW w:w="1411" w:type="dxa"/>
            <w:tcMar>
              <w:top w:w="80" w:type="dxa"/>
              <w:left w:w="100" w:type="dxa"/>
              <w:bottom w:w="80" w:type="dxa"/>
              <w:right w:w="100" w:type="dxa"/>
            </w:tcMar>
            <w:vAlign w:val="center"/>
          </w:tcPr>
          <w:p w:rsidRPr="000360B0" w:rsidR="00B27D07" w:rsidP="000360B0" w:rsidRDefault="00B27D07" w14:paraId="08EC15AE" w14:textId="77777777">
            <w:pPr>
              <w:spacing w:line="360" w:lineRule="auto"/>
              <w:jc w:val="both"/>
              <w:rPr>
                <w:rFonts w:ascii="Arial" w:hAnsi="Arial" w:cs="Arial"/>
                <w:sz w:val="24"/>
                <w:szCs w:val="24"/>
              </w:rPr>
            </w:pPr>
            <w:r w:rsidRPr="000360B0">
              <w:rPr>
                <w:rFonts w:ascii="Arial" w:hAnsi="Arial" w:cs="Arial"/>
                <w:sz w:val="24"/>
                <w:szCs w:val="24"/>
              </w:rPr>
              <w:t>2.00</w:t>
            </w:r>
          </w:p>
        </w:tc>
        <w:tc>
          <w:tcPr>
            <w:tcW w:w="1411" w:type="dxa"/>
            <w:tcMar>
              <w:top w:w="80" w:type="dxa"/>
              <w:left w:w="100" w:type="dxa"/>
              <w:bottom w:w="80" w:type="dxa"/>
              <w:right w:w="100" w:type="dxa"/>
            </w:tcMar>
            <w:vAlign w:val="center"/>
          </w:tcPr>
          <w:p w:rsidRPr="000360B0" w:rsidR="00B27D07" w:rsidP="000360B0" w:rsidRDefault="00B27D07" w14:paraId="64085C98" w14:textId="77777777">
            <w:pPr>
              <w:spacing w:line="360" w:lineRule="auto"/>
              <w:jc w:val="both"/>
              <w:rPr>
                <w:rFonts w:ascii="Arial" w:hAnsi="Arial" w:cs="Arial"/>
                <w:sz w:val="24"/>
                <w:szCs w:val="24"/>
              </w:rPr>
            </w:pPr>
            <w:r w:rsidRPr="000360B0">
              <w:rPr>
                <w:rFonts w:ascii="Arial" w:hAnsi="Arial" w:cs="Arial"/>
                <w:sz w:val="24"/>
                <w:szCs w:val="24"/>
              </w:rPr>
              <w:t>5,195,503.00</w:t>
            </w:r>
          </w:p>
        </w:tc>
      </w:tr>
    </w:tbl>
    <w:p w:rsidRPr="000360B0" w:rsidR="00B27D07" w:rsidP="000360B0" w:rsidRDefault="00B27D07" w14:paraId="664A3317" w14:textId="77777777">
      <w:pPr>
        <w:spacing w:line="360" w:lineRule="auto"/>
        <w:jc w:val="both"/>
        <w:rPr>
          <w:rFonts w:ascii="Arial" w:hAnsi="Arial" w:cs="Arial"/>
          <w:iCs/>
        </w:rPr>
      </w:pPr>
    </w:p>
    <w:tbl>
      <w:tblPr>
        <w:tblStyle w:val="TableGrid"/>
        <w:tblW w:w="0" w:type="auto"/>
        <w:jc w:val="center"/>
        <w:tblLook w:val="04A0" w:firstRow="1" w:lastRow="0" w:firstColumn="1" w:lastColumn="0" w:noHBand="0" w:noVBand="1"/>
      </w:tblPr>
      <w:tblGrid>
        <w:gridCol w:w="1112"/>
        <w:gridCol w:w="1193"/>
        <w:gridCol w:w="1346"/>
        <w:gridCol w:w="1285"/>
        <w:gridCol w:w="1407"/>
        <w:gridCol w:w="1071"/>
        <w:gridCol w:w="1602"/>
      </w:tblGrid>
      <w:tr w:rsidRPr="000360B0" w:rsidR="00B27D07" w:rsidTr="0042320B" w14:paraId="60A03C07" w14:textId="77777777">
        <w:trPr>
          <w:jc w:val="center"/>
        </w:trPr>
        <w:tc>
          <w:tcPr>
            <w:tcW w:w="1411" w:type="dxa"/>
            <w:shd w:val="clear" w:color="auto" w:fill="EAF2F8"/>
            <w:tcMar>
              <w:top w:w="80" w:type="dxa"/>
              <w:left w:w="100" w:type="dxa"/>
              <w:bottom w:w="80" w:type="dxa"/>
              <w:right w:w="100" w:type="dxa"/>
            </w:tcMar>
            <w:vAlign w:val="center"/>
          </w:tcPr>
          <w:p w:rsidRPr="000360B0" w:rsidR="00B27D07" w:rsidP="000360B0" w:rsidRDefault="00B27D07" w14:paraId="215DD8F6" w14:textId="77777777">
            <w:pPr>
              <w:spacing w:line="360" w:lineRule="auto"/>
              <w:jc w:val="both"/>
              <w:rPr>
                <w:rFonts w:ascii="Arial" w:hAnsi="Arial" w:cs="Arial"/>
                <w:sz w:val="24"/>
                <w:szCs w:val="24"/>
              </w:rPr>
            </w:pPr>
            <w:r w:rsidRPr="000360B0">
              <w:rPr>
                <w:rFonts w:ascii="Arial" w:hAnsi="Arial" w:cs="Arial"/>
                <w:sz w:val="24"/>
                <w:szCs w:val="24"/>
              </w:rPr>
              <w:t>Likes</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28590BFE" w14:textId="77777777">
            <w:pPr>
              <w:spacing w:line="360" w:lineRule="auto"/>
              <w:jc w:val="both"/>
              <w:rPr>
                <w:rFonts w:ascii="Arial" w:hAnsi="Arial" w:cs="Arial"/>
                <w:sz w:val="24"/>
                <w:szCs w:val="24"/>
              </w:rPr>
            </w:pPr>
            <w:r w:rsidRPr="000360B0">
              <w:rPr>
                <w:rFonts w:ascii="Arial" w:hAnsi="Arial" w:cs="Arial"/>
                <w:sz w:val="24"/>
                <w:szCs w:val="24"/>
              </w:rPr>
              <w:t>10,000</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7B2DD2B5" w14:textId="77777777">
            <w:pPr>
              <w:spacing w:line="360" w:lineRule="auto"/>
              <w:jc w:val="both"/>
              <w:rPr>
                <w:rFonts w:ascii="Arial" w:hAnsi="Arial" w:cs="Arial"/>
                <w:sz w:val="24"/>
                <w:szCs w:val="24"/>
              </w:rPr>
            </w:pPr>
            <w:r w:rsidRPr="000360B0">
              <w:rPr>
                <w:rFonts w:ascii="Arial" w:hAnsi="Arial" w:cs="Arial"/>
                <w:sz w:val="24"/>
                <w:szCs w:val="24"/>
              </w:rPr>
              <w:t>43,734.79</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27F955E1" w14:textId="77777777">
            <w:pPr>
              <w:spacing w:line="360" w:lineRule="auto"/>
              <w:jc w:val="both"/>
              <w:rPr>
                <w:rFonts w:ascii="Arial" w:hAnsi="Arial" w:cs="Arial"/>
                <w:sz w:val="24"/>
                <w:szCs w:val="24"/>
              </w:rPr>
            </w:pPr>
            <w:r w:rsidRPr="000360B0">
              <w:rPr>
                <w:rFonts w:ascii="Arial" w:hAnsi="Arial" w:cs="Arial"/>
                <w:sz w:val="24"/>
                <w:szCs w:val="24"/>
              </w:rPr>
              <w:t>3,394.00</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23605069" w14:textId="77777777">
            <w:pPr>
              <w:spacing w:line="360" w:lineRule="auto"/>
              <w:jc w:val="both"/>
              <w:rPr>
                <w:rFonts w:ascii="Arial" w:hAnsi="Arial" w:cs="Arial"/>
                <w:sz w:val="24"/>
                <w:szCs w:val="24"/>
              </w:rPr>
            </w:pPr>
            <w:r w:rsidRPr="000360B0">
              <w:rPr>
                <w:rFonts w:ascii="Arial" w:hAnsi="Arial" w:cs="Arial"/>
                <w:sz w:val="24"/>
                <w:szCs w:val="24"/>
              </w:rPr>
              <w:t>151,531.43</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40F9A469" w14:textId="77777777">
            <w:pPr>
              <w:spacing w:line="360" w:lineRule="auto"/>
              <w:jc w:val="both"/>
              <w:rPr>
                <w:rFonts w:ascii="Arial" w:hAnsi="Arial" w:cs="Arial"/>
                <w:sz w:val="24"/>
                <w:szCs w:val="24"/>
              </w:rPr>
            </w:pPr>
            <w:r w:rsidRPr="000360B0">
              <w:rPr>
                <w:rFonts w:ascii="Arial" w:hAnsi="Arial" w:cs="Arial"/>
                <w:sz w:val="24"/>
                <w:szCs w:val="24"/>
              </w:rPr>
              <w:t>0.00</w:t>
            </w:r>
          </w:p>
        </w:tc>
        <w:tc>
          <w:tcPr>
            <w:tcW w:w="1411" w:type="dxa"/>
            <w:shd w:val="clear" w:color="auto" w:fill="EAF2F8"/>
            <w:tcMar>
              <w:top w:w="80" w:type="dxa"/>
              <w:left w:w="100" w:type="dxa"/>
              <w:bottom w:w="80" w:type="dxa"/>
              <w:right w:w="100" w:type="dxa"/>
            </w:tcMar>
            <w:vAlign w:val="center"/>
          </w:tcPr>
          <w:p w:rsidRPr="000360B0" w:rsidR="00B27D07" w:rsidP="000360B0" w:rsidRDefault="00B27D07" w14:paraId="442528EF" w14:textId="77777777">
            <w:pPr>
              <w:spacing w:line="360" w:lineRule="auto"/>
              <w:jc w:val="both"/>
              <w:rPr>
                <w:rFonts w:ascii="Arial" w:hAnsi="Arial" w:cs="Arial"/>
                <w:sz w:val="24"/>
                <w:szCs w:val="24"/>
              </w:rPr>
            </w:pPr>
            <w:r w:rsidRPr="000360B0">
              <w:rPr>
                <w:rFonts w:ascii="Arial" w:hAnsi="Arial" w:cs="Arial"/>
                <w:sz w:val="24"/>
                <w:szCs w:val="24"/>
              </w:rPr>
              <w:t>2,730,813.00</w:t>
            </w:r>
          </w:p>
        </w:tc>
      </w:tr>
      <w:tr w:rsidRPr="000360B0" w:rsidR="00B27D07" w:rsidTr="0042320B" w14:paraId="0D6DA341" w14:textId="77777777">
        <w:trPr>
          <w:jc w:val="center"/>
        </w:trPr>
        <w:tc>
          <w:tcPr>
            <w:tcW w:w="1411" w:type="dxa"/>
            <w:tcMar>
              <w:top w:w="80" w:type="dxa"/>
              <w:left w:w="100" w:type="dxa"/>
              <w:bottom w:w="80" w:type="dxa"/>
              <w:right w:w="100" w:type="dxa"/>
            </w:tcMar>
            <w:vAlign w:val="center"/>
          </w:tcPr>
          <w:p w:rsidRPr="000360B0" w:rsidR="00B27D07" w:rsidP="000360B0" w:rsidRDefault="00B27D07" w14:paraId="7E2BC543" w14:textId="77777777">
            <w:pPr>
              <w:spacing w:line="360" w:lineRule="auto"/>
              <w:jc w:val="both"/>
              <w:rPr>
                <w:rFonts w:ascii="Arial" w:hAnsi="Arial" w:cs="Arial"/>
                <w:sz w:val="24"/>
                <w:szCs w:val="24"/>
              </w:rPr>
            </w:pPr>
            <w:r w:rsidRPr="000360B0">
              <w:rPr>
                <w:rFonts w:ascii="Arial" w:hAnsi="Arial" w:cs="Arial"/>
                <w:sz w:val="24"/>
                <w:szCs w:val="24"/>
              </w:rPr>
              <w:t>Fans</w:t>
            </w:r>
          </w:p>
        </w:tc>
        <w:tc>
          <w:tcPr>
            <w:tcW w:w="1411" w:type="dxa"/>
            <w:tcMar>
              <w:top w:w="80" w:type="dxa"/>
              <w:left w:w="100" w:type="dxa"/>
              <w:bottom w:w="80" w:type="dxa"/>
              <w:right w:w="100" w:type="dxa"/>
            </w:tcMar>
            <w:vAlign w:val="center"/>
          </w:tcPr>
          <w:p w:rsidRPr="000360B0" w:rsidR="00B27D07" w:rsidP="000360B0" w:rsidRDefault="00B27D07" w14:paraId="703B8AAE" w14:textId="77777777">
            <w:pPr>
              <w:spacing w:line="360" w:lineRule="auto"/>
              <w:jc w:val="both"/>
              <w:rPr>
                <w:rFonts w:ascii="Arial" w:hAnsi="Arial" w:cs="Arial"/>
                <w:sz w:val="24"/>
                <w:szCs w:val="24"/>
              </w:rPr>
            </w:pPr>
            <w:r w:rsidRPr="000360B0">
              <w:rPr>
                <w:rFonts w:ascii="Arial" w:hAnsi="Arial" w:cs="Arial"/>
                <w:sz w:val="24"/>
                <w:szCs w:val="24"/>
              </w:rPr>
              <w:t>10,000</w:t>
            </w:r>
          </w:p>
        </w:tc>
        <w:tc>
          <w:tcPr>
            <w:tcW w:w="1411" w:type="dxa"/>
            <w:tcMar>
              <w:top w:w="80" w:type="dxa"/>
              <w:left w:w="100" w:type="dxa"/>
              <w:bottom w:w="80" w:type="dxa"/>
              <w:right w:w="100" w:type="dxa"/>
            </w:tcMar>
            <w:vAlign w:val="center"/>
          </w:tcPr>
          <w:p w:rsidRPr="000360B0" w:rsidR="00B27D07" w:rsidP="000360B0" w:rsidRDefault="00B27D07" w14:paraId="3744326B" w14:textId="77777777">
            <w:pPr>
              <w:spacing w:line="360" w:lineRule="auto"/>
              <w:jc w:val="both"/>
              <w:rPr>
                <w:rFonts w:ascii="Arial" w:hAnsi="Arial" w:cs="Arial"/>
                <w:sz w:val="24"/>
                <w:szCs w:val="24"/>
              </w:rPr>
            </w:pPr>
            <w:r w:rsidRPr="000360B0">
              <w:rPr>
                <w:rFonts w:ascii="Arial" w:hAnsi="Arial" w:cs="Arial"/>
                <w:sz w:val="24"/>
                <w:szCs w:val="24"/>
              </w:rPr>
              <w:t>1,652.55</w:t>
            </w:r>
          </w:p>
        </w:tc>
        <w:tc>
          <w:tcPr>
            <w:tcW w:w="1411" w:type="dxa"/>
            <w:tcMar>
              <w:top w:w="80" w:type="dxa"/>
              <w:left w:w="100" w:type="dxa"/>
              <w:bottom w:w="80" w:type="dxa"/>
              <w:right w:w="100" w:type="dxa"/>
            </w:tcMar>
            <w:vAlign w:val="center"/>
          </w:tcPr>
          <w:p w:rsidRPr="000360B0" w:rsidR="00B27D07" w:rsidP="000360B0" w:rsidRDefault="00B27D07" w14:paraId="4E4EFA6D" w14:textId="77777777">
            <w:pPr>
              <w:spacing w:line="360" w:lineRule="auto"/>
              <w:jc w:val="both"/>
              <w:rPr>
                <w:rFonts w:ascii="Arial" w:hAnsi="Arial" w:cs="Arial"/>
                <w:sz w:val="24"/>
                <w:szCs w:val="24"/>
              </w:rPr>
            </w:pPr>
            <w:r w:rsidRPr="000360B0">
              <w:rPr>
                <w:rFonts w:ascii="Arial" w:hAnsi="Arial" w:cs="Arial"/>
                <w:sz w:val="24"/>
                <w:szCs w:val="24"/>
              </w:rPr>
              <w:t>24.00</w:t>
            </w:r>
          </w:p>
        </w:tc>
        <w:tc>
          <w:tcPr>
            <w:tcW w:w="1411" w:type="dxa"/>
            <w:tcMar>
              <w:top w:w="80" w:type="dxa"/>
              <w:left w:w="100" w:type="dxa"/>
              <w:bottom w:w="80" w:type="dxa"/>
              <w:right w:w="100" w:type="dxa"/>
            </w:tcMar>
            <w:vAlign w:val="center"/>
          </w:tcPr>
          <w:p w:rsidRPr="000360B0" w:rsidR="00B27D07" w:rsidP="000360B0" w:rsidRDefault="00B27D07" w14:paraId="46EA1358" w14:textId="77777777">
            <w:pPr>
              <w:spacing w:line="360" w:lineRule="auto"/>
              <w:jc w:val="both"/>
              <w:rPr>
                <w:rFonts w:ascii="Arial" w:hAnsi="Arial" w:cs="Arial"/>
                <w:sz w:val="24"/>
                <w:szCs w:val="24"/>
              </w:rPr>
            </w:pPr>
            <w:r w:rsidRPr="000360B0">
              <w:rPr>
                <w:rFonts w:ascii="Arial" w:hAnsi="Arial" w:cs="Arial"/>
                <w:sz w:val="24"/>
                <w:szCs w:val="24"/>
              </w:rPr>
              <w:t>9,368.26</w:t>
            </w:r>
          </w:p>
        </w:tc>
        <w:tc>
          <w:tcPr>
            <w:tcW w:w="1411" w:type="dxa"/>
            <w:tcMar>
              <w:top w:w="80" w:type="dxa"/>
              <w:left w:w="100" w:type="dxa"/>
              <w:bottom w:w="80" w:type="dxa"/>
              <w:right w:w="100" w:type="dxa"/>
            </w:tcMar>
            <w:vAlign w:val="center"/>
          </w:tcPr>
          <w:p w:rsidRPr="000360B0" w:rsidR="00B27D07" w:rsidP="000360B0" w:rsidRDefault="00B27D07" w14:paraId="1CF4F874" w14:textId="77777777">
            <w:pPr>
              <w:spacing w:line="360" w:lineRule="auto"/>
              <w:jc w:val="both"/>
              <w:rPr>
                <w:rFonts w:ascii="Arial" w:hAnsi="Arial" w:cs="Arial"/>
                <w:sz w:val="24"/>
                <w:szCs w:val="24"/>
              </w:rPr>
            </w:pPr>
            <w:r w:rsidRPr="000360B0">
              <w:rPr>
                <w:rFonts w:ascii="Arial" w:hAnsi="Arial" w:cs="Arial"/>
                <w:sz w:val="24"/>
                <w:szCs w:val="24"/>
              </w:rPr>
              <w:t>0.00</w:t>
            </w:r>
          </w:p>
        </w:tc>
        <w:tc>
          <w:tcPr>
            <w:tcW w:w="1411" w:type="dxa"/>
            <w:tcMar>
              <w:top w:w="80" w:type="dxa"/>
              <w:left w:w="100" w:type="dxa"/>
              <w:bottom w:w="80" w:type="dxa"/>
              <w:right w:w="100" w:type="dxa"/>
            </w:tcMar>
            <w:vAlign w:val="center"/>
          </w:tcPr>
          <w:p w:rsidRPr="000360B0" w:rsidR="00B27D07" w:rsidP="000360B0" w:rsidRDefault="00B27D07" w14:paraId="7CEC39AD" w14:textId="77777777">
            <w:pPr>
              <w:spacing w:line="360" w:lineRule="auto"/>
              <w:jc w:val="both"/>
              <w:rPr>
                <w:rFonts w:ascii="Arial" w:hAnsi="Arial" w:cs="Arial"/>
                <w:sz w:val="24"/>
                <w:szCs w:val="24"/>
              </w:rPr>
            </w:pPr>
            <w:r w:rsidRPr="000360B0">
              <w:rPr>
                <w:rFonts w:ascii="Arial" w:hAnsi="Arial" w:cs="Arial"/>
                <w:sz w:val="24"/>
                <w:szCs w:val="24"/>
              </w:rPr>
              <w:t>326,000.00</w:t>
            </w:r>
          </w:p>
        </w:tc>
      </w:tr>
    </w:tbl>
    <w:p w:rsidRPr="000360B0" w:rsidR="00B27D07" w:rsidP="000360B0" w:rsidRDefault="00B27D07" w14:paraId="1F8DA925" w14:textId="77777777">
      <w:pPr>
        <w:spacing w:line="360" w:lineRule="auto"/>
        <w:jc w:val="both"/>
        <w:rPr>
          <w:rFonts w:ascii="Arial" w:hAnsi="Arial" w:cs="Arial"/>
          <w:iCs/>
        </w:rPr>
      </w:pPr>
    </w:p>
    <w:p w:rsidRPr="000360B0" w:rsidR="00B27D07" w:rsidP="000360B0" w:rsidRDefault="00B27D07" w14:paraId="53AC22DD" w14:textId="77777777">
      <w:pPr>
        <w:spacing w:line="360" w:lineRule="auto"/>
        <w:jc w:val="both"/>
        <w:rPr>
          <w:rFonts w:ascii="Arial" w:hAnsi="Arial" w:cs="Arial"/>
          <w:iCs/>
        </w:rPr>
      </w:pPr>
    </w:p>
    <w:p w:rsidRPr="000360B0" w:rsidR="00B27D07" w:rsidP="000360B0" w:rsidRDefault="00B27D07" w14:paraId="5E8C7DB7" w14:textId="77777777">
      <w:pPr>
        <w:spacing w:line="360" w:lineRule="auto"/>
        <w:jc w:val="both"/>
        <w:rPr>
          <w:rFonts w:ascii="Arial" w:hAnsi="Arial" w:cs="Arial"/>
          <w:iCs/>
        </w:rPr>
      </w:pPr>
    </w:p>
    <w:p w:rsidRPr="000360B0" w:rsidR="00B27D07" w:rsidP="000360B0" w:rsidRDefault="00B27D07" w14:paraId="2B6226B4" w14:textId="77777777">
      <w:pPr>
        <w:spacing w:line="360" w:lineRule="auto"/>
        <w:jc w:val="both"/>
        <w:rPr>
          <w:rFonts w:ascii="Arial" w:hAnsi="Arial" w:cs="Arial"/>
          <w:iCs/>
        </w:rPr>
      </w:pPr>
    </w:p>
    <w:p w:rsidRPr="000360B0" w:rsidR="00B27D07" w:rsidP="000360B0" w:rsidRDefault="00B27D07" w14:paraId="3F5C845E" w14:textId="5B4EE8C8">
      <w:pPr>
        <w:spacing w:line="360" w:lineRule="auto"/>
        <w:jc w:val="both"/>
        <w:rPr>
          <w:rFonts w:ascii="Arial" w:hAnsi="Arial" w:cs="Arial"/>
          <w:iCs/>
        </w:rPr>
      </w:pPr>
      <w:r w:rsidRPr="000360B0">
        <w:rPr>
          <w:rFonts w:ascii="Arial" w:hAnsi="Arial" w:cs="Arial"/>
          <w:noProof/>
        </w:rPr>
        <w:drawing>
          <wp:inline distT="0" distB="0" distL="0" distR="0" wp14:anchorId="7D452A4D" wp14:editId="0A712244">
            <wp:extent cx="5731510" cy="358219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rating_histogram.png"/>
                    <pic:cNvPicPr/>
                  </pic:nvPicPr>
                  <pic:blipFill>
                    <a:blip r:embed="rId8"/>
                    <a:stretch>
                      <a:fillRect/>
                    </a:stretch>
                  </pic:blipFill>
                  <pic:spPr>
                    <a:xfrm>
                      <a:off x="0" y="0"/>
                      <a:ext cx="5731510" cy="3582194"/>
                    </a:xfrm>
                    <a:prstGeom prst="rect">
                      <a:avLst/>
                    </a:prstGeom>
                  </pic:spPr>
                </pic:pic>
              </a:graphicData>
            </a:graphic>
          </wp:inline>
        </w:drawing>
      </w:r>
    </w:p>
    <w:p w:rsidRPr="000360B0" w:rsidR="00B27D07" w:rsidP="000360B0" w:rsidRDefault="00B27D07" w14:paraId="0B55C8BE" w14:textId="77777777">
      <w:pPr>
        <w:spacing w:after="100" w:line="360" w:lineRule="auto"/>
        <w:jc w:val="both"/>
        <w:rPr>
          <w:rFonts w:ascii="Arial" w:hAnsi="Arial" w:cs="Arial"/>
        </w:rPr>
      </w:pPr>
      <w:r w:rsidRPr="000360B0">
        <w:rPr>
          <w:rFonts w:ascii="Arial" w:hAnsi="Arial" w:cs="Arial"/>
          <w:b/>
        </w:rPr>
        <w:t>Figure 1. Distribution of average film ratings</w:t>
      </w:r>
    </w:p>
    <w:p w:rsidRPr="000360B0" w:rsidR="00B27D07" w:rsidP="000360B0" w:rsidRDefault="00B27D07" w14:paraId="7502D2EC" w14:textId="2E20E93F">
      <w:pPr>
        <w:pStyle w:val="Heading1"/>
      </w:pPr>
      <w:bookmarkStart w:name="_Toc234920035" w:id="3"/>
      <w:r w:rsidRPr="000360B0">
        <w:t>Trend Analysis and Visualisation</w:t>
      </w:r>
      <w:bookmarkEnd w:id="3"/>
    </w:p>
    <w:p w:rsidRPr="000360B0" w:rsidR="00AE4766" w:rsidP="000360B0" w:rsidRDefault="00AE4766" w14:paraId="737CF664" w14:textId="67E3C72C">
      <w:pPr>
        <w:spacing w:line="360" w:lineRule="auto"/>
        <w:jc w:val="both"/>
        <w:rPr>
          <w:rFonts w:ascii="Arial" w:hAnsi="Arial" w:cs="Arial"/>
          <w:iCs/>
        </w:rPr>
      </w:pPr>
      <w:r w:rsidRPr="000360B0">
        <w:rPr>
          <w:rFonts w:ascii="Arial" w:hAnsi="Arial" w:cs="Arial"/>
          <w:iCs/>
        </w:rPr>
        <w:t xml:space="preserve">The genre analysis revealed a significant gap between the top-rated specialist categories and the high-reach, more mainstream categories. The documentary program in which the country achieved the highest mean rating of 3.64, was followed by history when achieving a 3.53, war when achieving 3.50, music when 3.46, and drama achieving 3.45.  Conversely, genres such as horror (3.01), science fiction (3.04) and action (3.07) all performed badly – they got mean ratings below 3.20 The less popular genres didn’t necessarily get weaker commercial attention in terms of volume. Adventure won the ratings battle around 334169 watches; animation 314699. 23 902 </w:t>
      </w:r>
      <w:r w:rsidRPr="000360B0" w:rsidR="000360B0">
        <w:rPr>
          <w:rFonts w:ascii="Arial" w:hAnsi="Arial" w:cs="Arial"/>
          <w:iCs/>
        </w:rPr>
        <w:t>documentaries</w:t>
      </w:r>
      <w:r w:rsidRPr="000360B0">
        <w:rPr>
          <w:rFonts w:ascii="Arial" w:hAnsi="Arial" w:cs="Arial"/>
          <w:iCs/>
        </w:rPr>
        <w:t>. Similarly, family films received 350,886 watches with an average rating of 3.18. As shown in Figure 2, the 10 most popular genres receive excellent quality ratings for drama and greater reach for adventure and family.</w:t>
      </w:r>
    </w:p>
    <w:p w:rsidRPr="000360B0" w:rsidR="00AE4766" w:rsidP="000360B0" w:rsidRDefault="00AE4766" w14:paraId="1343F29B" w14:textId="26601510">
      <w:pPr>
        <w:spacing w:line="360" w:lineRule="auto"/>
        <w:jc w:val="both"/>
        <w:rPr>
          <w:rFonts w:ascii="Arial" w:hAnsi="Arial" w:cs="Arial"/>
          <w:iCs/>
        </w:rPr>
      </w:pPr>
      <w:proofErr w:type="gramStart"/>
      <w:r w:rsidRPr="000360B0">
        <w:rPr>
          <w:rFonts w:ascii="Arial" w:hAnsi="Arial" w:cs="Arial"/>
          <w:iCs/>
        </w:rPr>
        <w:t>Similarly</w:t>
      </w:r>
      <w:proofErr w:type="gramEnd"/>
      <w:r w:rsidRPr="000360B0">
        <w:rPr>
          <w:rFonts w:ascii="Arial" w:hAnsi="Arial" w:cs="Arial"/>
          <w:iCs/>
        </w:rPr>
        <w:t xml:space="preserve"> another comparison was done on languages. The average English language films had 196,530 watches, 49,385 likes and 1,772 </w:t>
      </w:r>
      <w:proofErr w:type="gramStart"/>
      <w:r w:rsidRPr="000360B0">
        <w:rPr>
          <w:rFonts w:ascii="Arial" w:hAnsi="Arial" w:cs="Arial"/>
          <w:iCs/>
        </w:rPr>
        <w:t>fan</w:t>
      </w:r>
      <w:proofErr w:type="gramEnd"/>
      <w:r w:rsidRPr="000360B0">
        <w:rPr>
          <w:rFonts w:ascii="Arial" w:hAnsi="Arial" w:cs="Arial"/>
          <w:iCs/>
        </w:rPr>
        <w:t>. The average non-English films witnessed 60418 watch 20047 like and 1151 fan. Non-English films secured a higher mean rating of 3.51, compared with 3.21 for English films. The average assessment ratings are shown in Figure 3.</w:t>
      </w:r>
    </w:p>
    <w:p w:rsidRPr="000360B0" w:rsidR="00B27D07" w:rsidP="000360B0" w:rsidRDefault="00AE4766" w14:paraId="0C9A0245" w14:textId="3D3CD76D">
      <w:pPr>
        <w:spacing w:line="360" w:lineRule="auto"/>
        <w:jc w:val="both"/>
        <w:rPr>
          <w:rFonts w:ascii="Arial" w:hAnsi="Arial" w:cs="Arial"/>
          <w:iCs/>
        </w:rPr>
      </w:pPr>
      <w:r w:rsidRPr="000360B0">
        <w:rPr>
          <w:rFonts w:ascii="Arial" w:hAnsi="Arial" w:cs="Arial"/>
          <w:iCs/>
        </w:rPr>
        <w:t xml:space="preserve">The dataset has more exposure in </w:t>
      </w:r>
      <w:r w:rsidRPr="000360B0" w:rsidR="000360B0">
        <w:rPr>
          <w:rFonts w:ascii="Arial" w:hAnsi="Arial" w:cs="Arial"/>
          <w:iCs/>
        </w:rPr>
        <w:t>English,</w:t>
      </w:r>
      <w:r w:rsidRPr="000360B0">
        <w:rPr>
          <w:rFonts w:ascii="Arial" w:hAnsi="Arial" w:cs="Arial"/>
          <w:iCs/>
        </w:rPr>
        <w:t xml:space="preserve"> but that exposure is fully exploited (viewers will pick only globally famous non-English films which is a quality filter effect). As illustrated in figure 4, after the logarithmic transformation, the scatter plot between watches and likes clearly shows a near-linear relationship. This is </w:t>
      </w:r>
      <w:r w:rsidRPr="000360B0" w:rsidR="000360B0">
        <w:rPr>
          <w:rFonts w:ascii="Arial" w:hAnsi="Arial" w:cs="Arial"/>
          <w:iCs/>
        </w:rPr>
        <w:t>not</w:t>
      </w:r>
      <w:r w:rsidRPr="000360B0">
        <w:rPr>
          <w:rFonts w:ascii="Arial" w:hAnsi="Arial" w:cs="Arial"/>
          <w:iCs/>
        </w:rPr>
        <w:t xml:space="preserve"> surprising because likes only </w:t>
      </w:r>
      <w:r w:rsidRPr="000360B0" w:rsidR="000360B0">
        <w:rPr>
          <w:rFonts w:ascii="Arial" w:hAnsi="Arial" w:cs="Arial"/>
          <w:iCs/>
        </w:rPr>
        <w:t>to emerge</w:t>
      </w:r>
      <w:r w:rsidRPr="000360B0">
        <w:rPr>
          <w:rFonts w:ascii="Arial" w:hAnsi="Arial" w:cs="Arial"/>
          <w:iCs/>
        </w:rPr>
        <w:t xml:space="preserve"> after exposure. Nonetheless, this doesn't apply to the converse. This factor alone provides a compelling engagement-to-conversion metric that can be deployed in practice and in theory. Movies that feature above the trend line receive more than the </w:t>
      </w:r>
      <w:r w:rsidRPr="000360B0" w:rsidR="000360B0">
        <w:rPr>
          <w:rFonts w:ascii="Arial" w:hAnsi="Arial" w:cs="Arial"/>
          <w:iCs/>
        </w:rPr>
        <w:t>number</w:t>
      </w:r>
      <w:r w:rsidRPr="000360B0">
        <w:rPr>
          <w:rFonts w:ascii="Arial" w:hAnsi="Arial" w:cs="Arial"/>
          <w:iCs/>
        </w:rPr>
        <w:t xml:space="preserve"> of expected likes for their volume of watches. Further, these may be candidate strong word-of-mouth opportunities. Films that score lower do get reach but not the same positivity. The finding of this paper might argue against mean </w:t>
      </w:r>
      <w:r w:rsidRPr="000360B0" w:rsidR="000360B0">
        <w:rPr>
          <w:rFonts w:ascii="Arial" w:hAnsi="Arial" w:cs="Arial"/>
          <w:iCs/>
        </w:rPr>
        <w:t>rating-based</w:t>
      </w:r>
      <w:r w:rsidRPr="000360B0">
        <w:rPr>
          <w:rFonts w:ascii="Arial" w:hAnsi="Arial" w:cs="Arial"/>
          <w:iCs/>
        </w:rPr>
        <w:t xml:space="preserve"> programming. Genres such as drama, thriller, and comedy can attract a large audience. Documentary, history, and war can attract very specialized segments perhaps for prestige or satisfaction. Earlier investigations regarding film-analytics show that success is multi-dimensional and requires some mix of content, timing and social influence (rather than any </w:t>
      </w:r>
      <w:r w:rsidRPr="000360B0" w:rsidR="000360B0">
        <w:rPr>
          <w:rFonts w:ascii="Arial" w:hAnsi="Arial" w:cs="Arial"/>
          <w:iCs/>
        </w:rPr>
        <w:t>one-off</w:t>
      </w:r>
      <w:r w:rsidRPr="000360B0">
        <w:rPr>
          <w:rFonts w:ascii="Arial" w:hAnsi="Arial" w:cs="Arial"/>
          <w:iCs/>
        </w:rPr>
        <w:t xml:space="preserve"> feature) (Lash and Zhao, 2016; Agarwal et al., 2021).</w:t>
      </w:r>
    </w:p>
    <w:p w:rsidRPr="000360B0" w:rsidR="00B27D07" w:rsidP="000360B0" w:rsidRDefault="00B27D07" w14:paraId="4EFB9713" w14:textId="77777777">
      <w:pPr>
        <w:spacing w:line="360" w:lineRule="auto"/>
        <w:jc w:val="both"/>
        <w:rPr>
          <w:rFonts w:ascii="Arial" w:hAnsi="Arial" w:cs="Arial"/>
          <w:iCs/>
        </w:rPr>
      </w:pPr>
    </w:p>
    <w:p w:rsidRPr="000360B0" w:rsidR="00B27D07" w:rsidP="000360B0" w:rsidRDefault="00B27D07" w14:paraId="310DEF86" w14:textId="7EAAA3FE">
      <w:pPr>
        <w:spacing w:line="360" w:lineRule="auto"/>
        <w:jc w:val="both"/>
        <w:rPr>
          <w:rFonts w:ascii="Arial" w:hAnsi="Arial" w:cs="Arial"/>
          <w:iCs/>
        </w:rPr>
      </w:pPr>
      <w:r w:rsidRPr="000360B0">
        <w:rPr>
          <w:rFonts w:ascii="Arial" w:hAnsi="Arial" w:cs="Arial"/>
          <w:noProof/>
        </w:rPr>
        <w:drawing>
          <wp:inline distT="0" distB="0" distL="0" distR="0" wp14:anchorId="73624FF1" wp14:editId="01BE4FDE">
            <wp:extent cx="5731510" cy="3821007"/>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genre_bar.png"/>
                    <pic:cNvPicPr/>
                  </pic:nvPicPr>
                  <pic:blipFill>
                    <a:blip r:embed="rId9"/>
                    <a:stretch>
                      <a:fillRect/>
                    </a:stretch>
                  </pic:blipFill>
                  <pic:spPr>
                    <a:xfrm>
                      <a:off x="0" y="0"/>
                      <a:ext cx="5731510" cy="3821007"/>
                    </a:xfrm>
                    <a:prstGeom prst="rect">
                      <a:avLst/>
                    </a:prstGeom>
                  </pic:spPr>
                </pic:pic>
              </a:graphicData>
            </a:graphic>
          </wp:inline>
        </w:drawing>
      </w:r>
    </w:p>
    <w:p w:rsidRPr="000360B0" w:rsidR="00B27D07" w:rsidP="000360B0" w:rsidRDefault="00B27D07" w14:paraId="1FD4BF76" w14:textId="77777777">
      <w:pPr>
        <w:spacing w:line="360" w:lineRule="auto"/>
        <w:jc w:val="both"/>
        <w:rPr>
          <w:rFonts w:ascii="Arial" w:hAnsi="Arial" w:cs="Arial"/>
          <w:iCs/>
        </w:rPr>
      </w:pPr>
    </w:p>
    <w:p w:rsidRPr="000360B0" w:rsidR="00B27D07" w:rsidP="000360B0" w:rsidRDefault="00B27D07" w14:paraId="0B5FE8BE" w14:textId="1E7D6719">
      <w:pPr>
        <w:spacing w:line="360" w:lineRule="auto"/>
        <w:jc w:val="both"/>
        <w:rPr>
          <w:rFonts w:ascii="Arial" w:hAnsi="Arial" w:cs="Arial"/>
          <w:b/>
        </w:rPr>
      </w:pPr>
      <w:r w:rsidRPr="000360B0">
        <w:rPr>
          <w:rFonts w:ascii="Arial" w:hAnsi="Arial" w:cs="Arial"/>
          <w:b/>
        </w:rPr>
        <w:t>Figure 2. Mean rating for the ten most common genres</w:t>
      </w:r>
    </w:p>
    <w:p w:rsidRPr="000360B0" w:rsidR="00B27D07" w:rsidP="000360B0" w:rsidRDefault="00B27D07" w14:paraId="4642EEE9" w14:textId="77777777">
      <w:pPr>
        <w:spacing w:line="360" w:lineRule="auto"/>
        <w:jc w:val="both"/>
        <w:rPr>
          <w:rFonts w:ascii="Arial" w:hAnsi="Arial" w:cs="Arial"/>
          <w:b/>
        </w:rPr>
      </w:pPr>
    </w:p>
    <w:p w:rsidRPr="000360B0" w:rsidR="00B27D07" w:rsidP="000360B0" w:rsidRDefault="00B27D07" w14:paraId="3B5B3B9F" w14:textId="77777777">
      <w:pPr>
        <w:spacing w:line="360" w:lineRule="auto"/>
        <w:jc w:val="both"/>
        <w:rPr>
          <w:rFonts w:ascii="Arial" w:hAnsi="Arial" w:cs="Arial"/>
          <w:b/>
        </w:rPr>
      </w:pPr>
    </w:p>
    <w:p w:rsidRPr="000360B0" w:rsidR="00B27D07" w:rsidP="000360B0" w:rsidRDefault="00B27D07" w14:paraId="6249BDA5" w14:textId="77777777">
      <w:pPr>
        <w:spacing w:line="360" w:lineRule="auto"/>
        <w:jc w:val="both"/>
        <w:rPr>
          <w:rFonts w:ascii="Arial" w:hAnsi="Arial" w:cs="Arial"/>
          <w:b/>
        </w:rPr>
      </w:pPr>
    </w:p>
    <w:p w:rsidRPr="000360B0" w:rsidR="00B27D07" w:rsidP="000360B0" w:rsidRDefault="00B27D07" w14:paraId="2AF1F7C1" w14:textId="29F9B3B2">
      <w:pPr>
        <w:spacing w:line="360" w:lineRule="auto"/>
        <w:jc w:val="both"/>
        <w:rPr>
          <w:rFonts w:ascii="Arial" w:hAnsi="Arial" w:cs="Arial"/>
          <w:b/>
        </w:rPr>
      </w:pPr>
      <w:r w:rsidRPr="000360B0">
        <w:rPr>
          <w:rFonts w:ascii="Arial" w:hAnsi="Arial" w:cs="Arial"/>
          <w:noProof/>
        </w:rPr>
        <w:drawing>
          <wp:inline distT="0" distB="0" distL="0" distR="0" wp14:anchorId="6B6F7C44" wp14:editId="61B92F77">
            <wp:extent cx="5731510" cy="318417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language_bar.png"/>
                    <pic:cNvPicPr/>
                  </pic:nvPicPr>
                  <pic:blipFill>
                    <a:blip r:embed="rId10"/>
                    <a:stretch>
                      <a:fillRect/>
                    </a:stretch>
                  </pic:blipFill>
                  <pic:spPr>
                    <a:xfrm>
                      <a:off x="0" y="0"/>
                      <a:ext cx="5731510" cy="3184172"/>
                    </a:xfrm>
                    <a:prstGeom prst="rect">
                      <a:avLst/>
                    </a:prstGeom>
                  </pic:spPr>
                </pic:pic>
              </a:graphicData>
            </a:graphic>
          </wp:inline>
        </w:drawing>
      </w:r>
    </w:p>
    <w:p w:rsidRPr="000360B0" w:rsidR="00B27D07" w:rsidP="000360B0" w:rsidRDefault="00B27D07" w14:paraId="411FBA26" w14:textId="77777777">
      <w:pPr>
        <w:spacing w:after="100" w:line="360" w:lineRule="auto"/>
        <w:jc w:val="both"/>
        <w:rPr>
          <w:rFonts w:ascii="Arial" w:hAnsi="Arial" w:cs="Arial"/>
        </w:rPr>
      </w:pPr>
      <w:r w:rsidRPr="000360B0">
        <w:rPr>
          <w:rFonts w:ascii="Arial" w:hAnsi="Arial" w:cs="Arial"/>
          <w:b/>
        </w:rPr>
        <w:t>Figure 3. Mean rating by the eight most common original languages</w:t>
      </w:r>
    </w:p>
    <w:p w:rsidRPr="000360B0" w:rsidR="00B27D07" w:rsidP="000360B0" w:rsidRDefault="00B27D07" w14:paraId="0B52A426" w14:textId="77777777">
      <w:pPr>
        <w:spacing w:line="360" w:lineRule="auto"/>
        <w:jc w:val="both"/>
        <w:rPr>
          <w:rFonts w:ascii="Arial" w:hAnsi="Arial" w:cs="Arial"/>
          <w:b/>
        </w:rPr>
      </w:pPr>
    </w:p>
    <w:p w:rsidRPr="000360B0" w:rsidR="00B27D07" w:rsidP="000360B0" w:rsidRDefault="00B27D07" w14:paraId="6A49FE65" w14:textId="77777777">
      <w:pPr>
        <w:spacing w:line="360" w:lineRule="auto"/>
        <w:jc w:val="both"/>
        <w:rPr>
          <w:rFonts w:ascii="Arial" w:hAnsi="Arial" w:cs="Arial"/>
          <w:b/>
        </w:rPr>
      </w:pPr>
    </w:p>
    <w:p w:rsidRPr="000360B0" w:rsidR="00B27D07" w:rsidP="000360B0" w:rsidRDefault="00B27D07" w14:paraId="45DB7FF6" w14:textId="77777777">
      <w:pPr>
        <w:spacing w:line="360" w:lineRule="auto"/>
        <w:jc w:val="both"/>
        <w:rPr>
          <w:rFonts w:ascii="Arial" w:hAnsi="Arial" w:cs="Arial"/>
          <w:b/>
        </w:rPr>
      </w:pPr>
    </w:p>
    <w:p w:rsidRPr="000360B0" w:rsidR="00B27D07" w:rsidP="000360B0" w:rsidRDefault="00B27D07" w14:paraId="01C47352" w14:textId="6888CD2E">
      <w:pPr>
        <w:spacing w:line="360" w:lineRule="auto"/>
        <w:jc w:val="both"/>
        <w:rPr>
          <w:rFonts w:ascii="Arial" w:hAnsi="Arial" w:cs="Arial"/>
          <w:b/>
        </w:rPr>
      </w:pPr>
      <w:r w:rsidRPr="000360B0">
        <w:rPr>
          <w:rFonts w:ascii="Arial" w:hAnsi="Arial" w:cs="Arial"/>
          <w:noProof/>
        </w:rPr>
        <w:drawing>
          <wp:inline distT="0" distB="0" distL="0" distR="0" wp14:anchorId="633446FC" wp14:editId="056E8074">
            <wp:extent cx="5731510" cy="3582194"/>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watches_likes_scatter.png"/>
                    <pic:cNvPicPr/>
                  </pic:nvPicPr>
                  <pic:blipFill>
                    <a:blip r:embed="rId11"/>
                    <a:stretch>
                      <a:fillRect/>
                    </a:stretch>
                  </pic:blipFill>
                  <pic:spPr>
                    <a:xfrm>
                      <a:off x="0" y="0"/>
                      <a:ext cx="5731510" cy="3582194"/>
                    </a:xfrm>
                    <a:prstGeom prst="rect">
                      <a:avLst/>
                    </a:prstGeom>
                  </pic:spPr>
                </pic:pic>
              </a:graphicData>
            </a:graphic>
          </wp:inline>
        </w:drawing>
      </w:r>
    </w:p>
    <w:p w:rsidRPr="000360B0" w:rsidR="00B27D07" w:rsidP="000360B0" w:rsidRDefault="00B27D07" w14:paraId="5E323B4A" w14:textId="77777777">
      <w:pPr>
        <w:spacing w:after="100" w:line="360" w:lineRule="auto"/>
        <w:jc w:val="both"/>
        <w:rPr>
          <w:rFonts w:ascii="Arial" w:hAnsi="Arial" w:cs="Arial"/>
          <w:b/>
        </w:rPr>
      </w:pPr>
      <w:r w:rsidRPr="000360B0">
        <w:rPr>
          <w:rFonts w:ascii="Arial" w:hAnsi="Arial" w:cs="Arial"/>
          <w:b/>
        </w:rPr>
        <w:t>Figure 4. Log-transformed relationship between watches and likes</w:t>
      </w:r>
    </w:p>
    <w:p w:rsidRPr="000360B0" w:rsidR="00B27D07" w:rsidP="000360B0" w:rsidRDefault="00B27D07" w14:paraId="12E0310C" w14:textId="77777777">
      <w:pPr>
        <w:spacing w:after="100" w:line="360" w:lineRule="auto"/>
        <w:jc w:val="both"/>
        <w:rPr>
          <w:rFonts w:ascii="Arial" w:hAnsi="Arial" w:cs="Arial"/>
          <w:b/>
        </w:rPr>
      </w:pPr>
    </w:p>
    <w:p w:rsidRPr="000360B0" w:rsidR="00B27D07" w:rsidP="000360B0" w:rsidRDefault="00B27D07" w14:paraId="7D89A7E0" w14:textId="77777777">
      <w:pPr>
        <w:spacing w:after="100" w:line="360" w:lineRule="auto"/>
        <w:jc w:val="both"/>
        <w:rPr>
          <w:rFonts w:ascii="Arial" w:hAnsi="Arial" w:cs="Arial"/>
          <w:b/>
        </w:rPr>
      </w:pPr>
    </w:p>
    <w:p w:rsidRPr="000360B0" w:rsidR="00B27D07" w:rsidP="000360B0" w:rsidRDefault="00B27D07" w14:paraId="2BB6F0C3" w14:textId="719D7F89">
      <w:pPr>
        <w:spacing w:after="100" w:line="360" w:lineRule="auto"/>
        <w:jc w:val="both"/>
        <w:rPr>
          <w:rFonts w:ascii="Arial" w:hAnsi="Arial" w:cs="Arial"/>
        </w:rPr>
      </w:pPr>
      <w:r w:rsidRPr="000360B0">
        <w:rPr>
          <w:rFonts w:ascii="Arial" w:hAnsi="Arial" w:cs="Arial"/>
          <w:noProof/>
        </w:rPr>
        <w:drawing>
          <wp:inline distT="0" distB="0" distL="0" distR="0" wp14:anchorId="4232B1CA" wp14:editId="26093A9F">
            <wp:extent cx="5731510" cy="4093403"/>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5_language_boxplot.png"/>
                    <pic:cNvPicPr/>
                  </pic:nvPicPr>
                  <pic:blipFill>
                    <a:blip r:embed="rId12"/>
                    <a:stretch>
                      <a:fillRect/>
                    </a:stretch>
                  </pic:blipFill>
                  <pic:spPr>
                    <a:xfrm>
                      <a:off x="0" y="0"/>
                      <a:ext cx="5731510" cy="4093403"/>
                    </a:xfrm>
                    <a:prstGeom prst="rect">
                      <a:avLst/>
                    </a:prstGeom>
                  </pic:spPr>
                </pic:pic>
              </a:graphicData>
            </a:graphic>
          </wp:inline>
        </w:drawing>
      </w:r>
    </w:p>
    <w:p w:rsidRPr="000360B0" w:rsidR="00B27D07" w:rsidP="000360B0" w:rsidRDefault="00B27D07" w14:paraId="4ED2DBF6" w14:textId="77777777">
      <w:pPr>
        <w:spacing w:after="100" w:line="360" w:lineRule="auto"/>
        <w:jc w:val="both"/>
        <w:rPr>
          <w:rFonts w:ascii="Arial" w:hAnsi="Arial" w:cs="Arial"/>
        </w:rPr>
      </w:pPr>
      <w:r w:rsidRPr="000360B0">
        <w:rPr>
          <w:rFonts w:ascii="Arial" w:hAnsi="Arial" w:cs="Arial"/>
          <w:b/>
        </w:rPr>
        <w:t>Figure 5. Average ratings for English and non-English films</w:t>
      </w:r>
    </w:p>
    <w:p w:rsidRPr="000360B0" w:rsidR="00B27D07" w:rsidP="000360B0" w:rsidRDefault="00B27D07" w14:paraId="0A4D5C04" w14:textId="7682245A">
      <w:pPr>
        <w:pStyle w:val="Heading1"/>
      </w:pPr>
      <w:bookmarkStart w:name="_Toc234920036" w:id="4"/>
      <w:r w:rsidRPr="000360B0">
        <w:t>Statistical Analysis</w:t>
      </w:r>
      <w:bookmarkEnd w:id="4"/>
    </w:p>
    <w:p w:rsidRPr="000360B0" w:rsidR="00AE4766" w:rsidP="000360B0" w:rsidRDefault="00AE4766" w14:paraId="5E275443" w14:textId="79B991CB">
      <w:pPr>
        <w:spacing w:line="360" w:lineRule="auto"/>
        <w:jc w:val="both"/>
        <w:rPr>
          <w:rFonts w:ascii="Arial" w:hAnsi="Arial" w:cs="Arial"/>
        </w:rPr>
      </w:pPr>
      <w:r w:rsidRPr="000360B0">
        <w:rPr>
          <w:rFonts w:ascii="Arial" w:hAnsi="Arial" w:cs="Arial"/>
        </w:rPr>
        <w:t xml:space="preserve">An independent-samples Welch t-test was used to see if the mean ratings differed for English versus non-English films. Welch’s test was employed as the size of the groups studied were unequal and it does not need equal variance. The average rating for English films is 3.21 while that of the other language films is 3.51. While the 48,088 English films were rated out of 5 on an average of 3.27, the 25,031 non-English films built up a score of 3.51 on an average. The difference was statistically significant, </w:t>
      </w:r>
      <w:proofErr w:type="gramStart"/>
      <w:r w:rsidRPr="000360B0">
        <w:rPr>
          <w:rFonts w:ascii="Arial" w:hAnsi="Arial" w:cs="Arial"/>
        </w:rPr>
        <w:t>t(</w:t>
      </w:r>
      <w:proofErr w:type="gramEnd"/>
      <w:r w:rsidRPr="000360B0">
        <w:rPr>
          <w:rFonts w:ascii="Arial" w:hAnsi="Arial" w:cs="Arial"/>
        </w:rPr>
        <w:t>3219.60) = -24.88, p &lt; .001. There was a moderate effect size (Cohen's d = -0.58). Consequently, we reject the null hypothesis: non-English films in the dataset receive ratings roughly .30 points higher. Statistical significance should not be dismissed as a by-product of a large sample, as effect size indicates a substantive difference although selection bias precludes a causal language interpretation. We used correlation analysis to look at the relationships between rating, runtime, watches, likes and fans. Due to the non-uniformity of the engagement variables, Spearman coefficients offer a robust interpretation.  Watches and likes were almost perfectly associated (</w:t>
      </w:r>
      <w:proofErr w:type="spellStart"/>
      <w:r w:rsidRPr="000360B0">
        <w:rPr>
          <w:rFonts w:ascii="Arial" w:hAnsi="Arial" w:cs="Arial"/>
        </w:rPr>
        <w:t>rhos</w:t>
      </w:r>
      <w:proofErr w:type="spellEnd"/>
      <w:r w:rsidRPr="000360B0">
        <w:rPr>
          <w:rFonts w:ascii="Arial" w:hAnsi="Arial" w:cs="Arial"/>
        </w:rPr>
        <w:t xml:space="preserve"> = .984, p &lt; .001); watches and fans were also very strongly associated (rho = .910), as were likes and fans (rho = .943).</w:t>
      </w:r>
    </w:p>
    <w:p w:rsidRPr="000360B0" w:rsidR="00AE4766" w:rsidP="000360B0" w:rsidRDefault="00AE4766" w14:paraId="1D282893" w14:textId="03126569">
      <w:pPr>
        <w:spacing w:line="360" w:lineRule="auto"/>
        <w:jc w:val="both"/>
        <w:rPr>
          <w:rFonts w:ascii="Arial" w:hAnsi="Arial" w:cs="Arial"/>
        </w:rPr>
      </w:pPr>
      <w:r w:rsidRPr="000360B0">
        <w:rPr>
          <w:rFonts w:ascii="Arial" w:hAnsi="Arial" w:cs="Arial"/>
        </w:rPr>
        <w:t>The data revealed that the average rating was moderately positively correlated with fans (rho = 480) and likes (rho = 401). The correlation was weaker for watches (rho = 274) and runtime (rho = 229). There was a moderate correlation between runtime and number of watches (ρ = .362) and likes received (ρ = .357). Consequently, longer films tend to have more engagement, but the runtime itself is not a particularly strong correlate of</w:t>
      </w:r>
      <w:r w:rsidRPr="000360B0">
        <w:rPr>
          <w:rFonts w:ascii="Arial" w:hAnsi="Arial" w:cs="Arial"/>
        </w:rPr>
        <w:t>.</w:t>
      </w:r>
    </w:p>
    <w:p w:rsidRPr="000360B0" w:rsidR="00AE4766" w:rsidP="000360B0" w:rsidRDefault="00AE4766" w14:paraId="262303FF" w14:textId="2D6AF618">
      <w:pPr>
        <w:spacing w:line="360" w:lineRule="auto"/>
        <w:jc w:val="both"/>
        <w:rPr>
          <w:rFonts w:ascii="Arial" w:hAnsi="Arial" w:cs="Arial"/>
        </w:rPr>
      </w:pPr>
      <w:r w:rsidRPr="000360B0">
        <w:rPr>
          <w:rFonts w:ascii="Arial" w:hAnsi="Arial" w:cs="Arial"/>
        </w:rPr>
        <w:t xml:space="preserve">Due to the skew of the ratings, a multiple regression predicted average ratings based on the log-transformed watches, likes and fans as well as the runtime and dummy for </w:t>
      </w:r>
      <w:r w:rsidRPr="000360B0" w:rsidR="000360B0">
        <w:rPr>
          <w:rFonts w:ascii="Arial" w:hAnsi="Arial" w:cs="Arial"/>
        </w:rPr>
        <w:t>English</w:t>
      </w:r>
      <w:r w:rsidRPr="000360B0">
        <w:rPr>
          <w:rFonts w:ascii="Arial" w:hAnsi="Arial" w:cs="Arial"/>
        </w:rPr>
        <w:t xml:space="preserve"> language. The model explained a substantial percentage of the variance in ratings, with </w:t>
      </w:r>
      <w:proofErr w:type="gramStart"/>
      <w:r w:rsidRPr="000360B0">
        <w:rPr>
          <w:rFonts w:ascii="Arial" w:hAnsi="Arial" w:cs="Arial"/>
        </w:rPr>
        <w:t>F(</w:t>
      </w:r>
      <w:proofErr w:type="gramEnd"/>
      <w:r w:rsidRPr="000360B0">
        <w:rPr>
          <w:rFonts w:ascii="Arial" w:hAnsi="Arial" w:cs="Arial"/>
        </w:rPr>
        <w:t>5, 9994) 4237.39, p &lt;.001 and adjusted R2 = .679. Log likes were a significant predictor, B =.730, p &lt;.001, as were log fans, B =.078, p &lt;.001, and runtime, B =.0011, p &lt;.001. After adjustment, the rating showed a negative association with the English language, B = -.101, p &lt;.001.  When likes and fans were controlled the log watches became negative, B = -.799, p &lt;.001.</w:t>
      </w:r>
    </w:p>
    <w:p w:rsidRPr="000360B0" w:rsidR="00AE4766" w:rsidP="000360B0" w:rsidRDefault="00AE4766" w14:paraId="285D0B88" w14:textId="77777777">
      <w:pPr>
        <w:spacing w:line="360" w:lineRule="auto"/>
        <w:jc w:val="both"/>
        <w:rPr>
          <w:rFonts w:ascii="Arial" w:hAnsi="Arial" w:cs="Arial"/>
        </w:rPr>
      </w:pPr>
      <w:r w:rsidRPr="000360B0">
        <w:rPr>
          <w:rFonts w:ascii="Arial" w:hAnsi="Arial" w:cs="Arial"/>
        </w:rPr>
        <w:t>This doesn’t mean that viewing causes a dip in ratings. Rather, it shows suppression from the very high overlap in watches and likes, as can be seen by visualising their positive singular correlations.</w:t>
      </w:r>
    </w:p>
    <w:p w:rsidR="00B27D07" w:rsidP="000360B0" w:rsidRDefault="00AE4766" w14:paraId="71A505D5" w14:textId="5DAC7AB7">
      <w:pPr>
        <w:spacing w:line="360" w:lineRule="auto"/>
        <w:jc w:val="both"/>
        <w:rPr>
          <w:rFonts w:ascii="Arial" w:hAnsi="Arial" w:cs="Arial"/>
        </w:rPr>
      </w:pPr>
      <w:r w:rsidRPr="000360B0">
        <w:rPr>
          <w:rFonts w:ascii="Arial" w:hAnsi="Arial" w:cs="Arial"/>
        </w:rPr>
        <w:t xml:space="preserve"> Likes being there for fixed number of times, increase in watches means lower like to watch conversion. Multicollinearity should be </w:t>
      </w:r>
      <w:r w:rsidRPr="000360B0" w:rsidR="000360B0">
        <w:rPr>
          <w:rFonts w:ascii="Arial" w:hAnsi="Arial" w:cs="Arial"/>
        </w:rPr>
        <w:t>considered</w:t>
      </w:r>
      <w:r w:rsidRPr="000360B0">
        <w:rPr>
          <w:rFonts w:ascii="Arial" w:hAnsi="Arial" w:cs="Arial"/>
        </w:rPr>
        <w:t>. Engagement ratios' simpler models or separate models are likely advantageous for operational forecasting.</w:t>
      </w:r>
    </w:p>
    <w:p w:rsidR="000360B0" w:rsidP="000360B0" w:rsidRDefault="000360B0" w14:paraId="0AFCF6FF" w14:textId="77777777">
      <w:pPr>
        <w:spacing w:line="360" w:lineRule="auto"/>
        <w:jc w:val="both"/>
        <w:rPr>
          <w:rFonts w:ascii="Arial" w:hAnsi="Arial" w:cs="Arial"/>
        </w:rPr>
      </w:pPr>
    </w:p>
    <w:p w:rsidR="000360B0" w:rsidP="000360B0" w:rsidRDefault="000360B0" w14:paraId="782E0AB4" w14:textId="77777777">
      <w:pPr>
        <w:spacing w:line="360" w:lineRule="auto"/>
        <w:jc w:val="both"/>
        <w:rPr>
          <w:rFonts w:ascii="Arial" w:hAnsi="Arial" w:cs="Arial"/>
        </w:rPr>
      </w:pPr>
    </w:p>
    <w:p w:rsidRPr="000360B0" w:rsidR="000360B0" w:rsidP="000360B0" w:rsidRDefault="000360B0" w14:paraId="35C27801" w14:textId="77777777">
      <w:pPr>
        <w:spacing w:line="360" w:lineRule="auto"/>
        <w:jc w:val="both"/>
        <w:rPr>
          <w:rFonts w:ascii="Arial" w:hAnsi="Arial" w:cs="Arial"/>
        </w:rPr>
      </w:pPr>
    </w:p>
    <w:p w:rsidRPr="000360B0" w:rsidR="00B27D07" w:rsidP="000360B0" w:rsidRDefault="00B27D07" w14:paraId="6B8220F3" w14:textId="77777777">
      <w:pPr>
        <w:spacing w:line="360" w:lineRule="auto"/>
        <w:jc w:val="both"/>
        <w:rPr>
          <w:rFonts w:ascii="Arial" w:hAnsi="Arial" w:cs="Arial"/>
          <w:b/>
        </w:rPr>
      </w:pPr>
    </w:p>
    <w:p w:rsidRPr="000360B0" w:rsidR="00B27D07" w:rsidP="000360B0" w:rsidRDefault="00B27D07" w14:paraId="79FB0D0B" w14:textId="77777777">
      <w:pPr>
        <w:spacing w:after="100" w:line="360" w:lineRule="auto"/>
        <w:jc w:val="both"/>
        <w:rPr>
          <w:rFonts w:ascii="Arial" w:hAnsi="Arial" w:cs="Arial"/>
        </w:rPr>
      </w:pPr>
      <w:r w:rsidRPr="000360B0">
        <w:rPr>
          <w:rFonts w:ascii="Arial" w:hAnsi="Arial" w:cs="Arial"/>
          <w:b/>
        </w:rPr>
        <w:t>Table 2. Key inferential statistics</w:t>
      </w:r>
    </w:p>
    <w:tbl>
      <w:tblPr>
        <w:tblStyle w:val="TableGrid"/>
        <w:tblW w:w="0" w:type="auto"/>
        <w:jc w:val="center"/>
        <w:tblLook w:val="04A0" w:firstRow="1" w:lastRow="0" w:firstColumn="1" w:lastColumn="0" w:noHBand="0" w:noVBand="1"/>
      </w:tblPr>
      <w:tblGrid>
        <w:gridCol w:w="3015"/>
        <w:gridCol w:w="3012"/>
        <w:gridCol w:w="2989"/>
      </w:tblGrid>
      <w:tr w:rsidRPr="000360B0" w:rsidR="00B27D07" w:rsidTr="0042320B" w14:paraId="685C35C1" w14:textId="77777777">
        <w:trPr>
          <w:tblHeader/>
          <w:jc w:val="center"/>
        </w:trPr>
        <w:tc>
          <w:tcPr>
            <w:tcW w:w="3293" w:type="dxa"/>
            <w:shd w:val="clear" w:color="auto" w:fill="1F4E78"/>
            <w:tcMar>
              <w:top w:w="80" w:type="dxa"/>
              <w:left w:w="100" w:type="dxa"/>
              <w:bottom w:w="80" w:type="dxa"/>
              <w:right w:w="100" w:type="dxa"/>
            </w:tcMar>
            <w:vAlign w:val="center"/>
          </w:tcPr>
          <w:p w:rsidRPr="000360B0" w:rsidR="00B27D07" w:rsidP="000360B0" w:rsidRDefault="00B27D07" w14:paraId="2F306006" w14:textId="77777777">
            <w:pPr>
              <w:spacing w:line="360" w:lineRule="auto"/>
              <w:jc w:val="both"/>
              <w:rPr>
                <w:rFonts w:ascii="Arial" w:hAnsi="Arial" w:cs="Arial"/>
                <w:sz w:val="24"/>
                <w:szCs w:val="24"/>
              </w:rPr>
            </w:pPr>
            <w:r w:rsidRPr="000360B0">
              <w:rPr>
                <w:rFonts w:ascii="Arial" w:hAnsi="Arial" w:cs="Arial"/>
                <w:b/>
                <w:color w:val="FFFFFF"/>
                <w:sz w:val="24"/>
                <w:szCs w:val="24"/>
              </w:rPr>
              <w:t>Analysis</w:t>
            </w:r>
          </w:p>
        </w:tc>
        <w:tc>
          <w:tcPr>
            <w:tcW w:w="3293" w:type="dxa"/>
            <w:shd w:val="clear" w:color="auto" w:fill="1F4E78"/>
            <w:tcMar>
              <w:top w:w="80" w:type="dxa"/>
              <w:left w:w="100" w:type="dxa"/>
              <w:bottom w:w="80" w:type="dxa"/>
              <w:right w:w="100" w:type="dxa"/>
            </w:tcMar>
            <w:vAlign w:val="center"/>
          </w:tcPr>
          <w:p w:rsidRPr="000360B0" w:rsidR="00B27D07" w:rsidP="000360B0" w:rsidRDefault="00B27D07" w14:paraId="6DE097ED" w14:textId="77777777">
            <w:pPr>
              <w:spacing w:line="360" w:lineRule="auto"/>
              <w:jc w:val="both"/>
              <w:rPr>
                <w:rFonts w:ascii="Arial" w:hAnsi="Arial" w:cs="Arial"/>
                <w:sz w:val="24"/>
                <w:szCs w:val="24"/>
              </w:rPr>
            </w:pPr>
            <w:r w:rsidRPr="000360B0">
              <w:rPr>
                <w:rFonts w:ascii="Arial" w:hAnsi="Arial" w:cs="Arial"/>
                <w:b/>
                <w:color w:val="FFFFFF"/>
                <w:sz w:val="24"/>
                <w:szCs w:val="24"/>
              </w:rPr>
              <w:t>Statistic</w:t>
            </w:r>
          </w:p>
        </w:tc>
        <w:tc>
          <w:tcPr>
            <w:tcW w:w="3293" w:type="dxa"/>
            <w:shd w:val="clear" w:color="auto" w:fill="1F4E78"/>
            <w:tcMar>
              <w:top w:w="80" w:type="dxa"/>
              <w:left w:w="100" w:type="dxa"/>
              <w:bottom w:w="80" w:type="dxa"/>
              <w:right w:w="100" w:type="dxa"/>
            </w:tcMar>
            <w:vAlign w:val="center"/>
          </w:tcPr>
          <w:p w:rsidRPr="000360B0" w:rsidR="00B27D07" w:rsidP="000360B0" w:rsidRDefault="00B27D07" w14:paraId="5C313F74" w14:textId="77777777">
            <w:pPr>
              <w:spacing w:line="360" w:lineRule="auto"/>
              <w:jc w:val="both"/>
              <w:rPr>
                <w:rFonts w:ascii="Arial" w:hAnsi="Arial" w:cs="Arial"/>
                <w:sz w:val="24"/>
                <w:szCs w:val="24"/>
              </w:rPr>
            </w:pPr>
            <w:r w:rsidRPr="000360B0">
              <w:rPr>
                <w:rFonts w:ascii="Arial" w:hAnsi="Arial" w:cs="Arial"/>
                <w:b/>
                <w:color w:val="FFFFFF"/>
                <w:sz w:val="24"/>
                <w:szCs w:val="24"/>
              </w:rPr>
              <w:t>Result</w:t>
            </w:r>
          </w:p>
        </w:tc>
      </w:tr>
      <w:tr w:rsidRPr="000360B0" w:rsidR="00B27D07" w:rsidTr="0042320B" w14:paraId="27E056CB" w14:textId="77777777">
        <w:trPr>
          <w:jc w:val="center"/>
        </w:trPr>
        <w:tc>
          <w:tcPr>
            <w:tcW w:w="3293" w:type="dxa"/>
            <w:tcMar>
              <w:top w:w="80" w:type="dxa"/>
              <w:left w:w="100" w:type="dxa"/>
              <w:bottom w:w="80" w:type="dxa"/>
              <w:right w:w="100" w:type="dxa"/>
            </w:tcMar>
            <w:vAlign w:val="center"/>
          </w:tcPr>
          <w:p w:rsidRPr="000360B0" w:rsidR="00B27D07" w:rsidP="000360B0" w:rsidRDefault="00B27D07" w14:paraId="34872D8B" w14:textId="77777777">
            <w:pPr>
              <w:spacing w:line="360" w:lineRule="auto"/>
              <w:jc w:val="both"/>
              <w:rPr>
                <w:rFonts w:ascii="Arial" w:hAnsi="Arial" w:cs="Arial"/>
                <w:sz w:val="24"/>
                <w:szCs w:val="24"/>
              </w:rPr>
            </w:pPr>
            <w:r w:rsidRPr="000360B0">
              <w:rPr>
                <w:rFonts w:ascii="Arial" w:hAnsi="Arial" w:cs="Arial"/>
                <w:sz w:val="24"/>
                <w:szCs w:val="24"/>
              </w:rPr>
              <w:t>Welch t-test</w:t>
            </w:r>
          </w:p>
        </w:tc>
        <w:tc>
          <w:tcPr>
            <w:tcW w:w="3293" w:type="dxa"/>
            <w:tcMar>
              <w:top w:w="80" w:type="dxa"/>
              <w:left w:w="100" w:type="dxa"/>
              <w:bottom w:w="80" w:type="dxa"/>
              <w:right w:w="100" w:type="dxa"/>
            </w:tcMar>
            <w:vAlign w:val="center"/>
          </w:tcPr>
          <w:p w:rsidRPr="000360B0" w:rsidR="00B27D07" w:rsidP="000360B0" w:rsidRDefault="00B27D07" w14:paraId="40EAEDB6" w14:textId="77777777">
            <w:pPr>
              <w:spacing w:line="360" w:lineRule="auto"/>
              <w:jc w:val="both"/>
              <w:rPr>
                <w:rFonts w:ascii="Arial" w:hAnsi="Arial" w:cs="Arial"/>
                <w:sz w:val="24"/>
                <w:szCs w:val="24"/>
              </w:rPr>
            </w:pPr>
            <w:proofErr w:type="gramStart"/>
            <w:r w:rsidRPr="000360B0">
              <w:rPr>
                <w:rFonts w:ascii="Arial" w:hAnsi="Arial" w:cs="Arial"/>
                <w:sz w:val="24"/>
                <w:szCs w:val="24"/>
              </w:rPr>
              <w:t>t(</w:t>
            </w:r>
            <w:proofErr w:type="gramEnd"/>
            <w:r w:rsidRPr="000360B0">
              <w:rPr>
                <w:rFonts w:ascii="Arial" w:hAnsi="Arial" w:cs="Arial"/>
                <w:sz w:val="24"/>
                <w:szCs w:val="24"/>
              </w:rPr>
              <w:t>3219.60)</w:t>
            </w:r>
          </w:p>
        </w:tc>
        <w:tc>
          <w:tcPr>
            <w:tcW w:w="3293" w:type="dxa"/>
            <w:tcMar>
              <w:top w:w="80" w:type="dxa"/>
              <w:left w:w="100" w:type="dxa"/>
              <w:bottom w:w="80" w:type="dxa"/>
              <w:right w:w="100" w:type="dxa"/>
            </w:tcMar>
            <w:vAlign w:val="center"/>
          </w:tcPr>
          <w:p w:rsidRPr="000360B0" w:rsidR="00B27D07" w:rsidP="000360B0" w:rsidRDefault="00B27D07" w14:paraId="0FAE2C26" w14:textId="77777777">
            <w:pPr>
              <w:spacing w:line="360" w:lineRule="auto"/>
              <w:jc w:val="both"/>
              <w:rPr>
                <w:rFonts w:ascii="Arial" w:hAnsi="Arial" w:cs="Arial"/>
                <w:sz w:val="24"/>
                <w:szCs w:val="24"/>
              </w:rPr>
            </w:pPr>
            <w:r w:rsidRPr="000360B0">
              <w:rPr>
                <w:rFonts w:ascii="Arial" w:hAnsi="Arial" w:cs="Arial"/>
                <w:sz w:val="24"/>
                <w:szCs w:val="24"/>
              </w:rPr>
              <w:t>-24.88, p &lt; .001</w:t>
            </w:r>
          </w:p>
        </w:tc>
      </w:tr>
      <w:tr w:rsidRPr="000360B0" w:rsidR="00B27D07" w:rsidTr="0042320B" w14:paraId="62B1EAD1" w14:textId="77777777">
        <w:trPr>
          <w:jc w:val="center"/>
        </w:trPr>
        <w:tc>
          <w:tcPr>
            <w:tcW w:w="3293" w:type="dxa"/>
            <w:shd w:val="clear" w:color="auto" w:fill="EAF2F8"/>
            <w:tcMar>
              <w:top w:w="80" w:type="dxa"/>
              <w:left w:w="100" w:type="dxa"/>
              <w:bottom w:w="80" w:type="dxa"/>
              <w:right w:w="100" w:type="dxa"/>
            </w:tcMar>
            <w:vAlign w:val="center"/>
          </w:tcPr>
          <w:p w:rsidRPr="000360B0" w:rsidR="00B27D07" w:rsidP="000360B0" w:rsidRDefault="00B27D07" w14:paraId="646E6AEF" w14:textId="77777777">
            <w:pPr>
              <w:spacing w:line="360" w:lineRule="auto"/>
              <w:jc w:val="both"/>
              <w:rPr>
                <w:rFonts w:ascii="Arial" w:hAnsi="Arial" w:cs="Arial"/>
                <w:sz w:val="24"/>
                <w:szCs w:val="24"/>
              </w:rPr>
            </w:pPr>
            <w:r w:rsidRPr="000360B0">
              <w:rPr>
                <w:rFonts w:ascii="Arial" w:hAnsi="Arial" w:cs="Arial"/>
                <w:sz w:val="24"/>
                <w:szCs w:val="24"/>
              </w:rPr>
              <w:t>Effect size</w:t>
            </w:r>
          </w:p>
        </w:tc>
        <w:tc>
          <w:tcPr>
            <w:tcW w:w="3293" w:type="dxa"/>
            <w:shd w:val="clear" w:color="auto" w:fill="EAF2F8"/>
            <w:tcMar>
              <w:top w:w="80" w:type="dxa"/>
              <w:left w:w="100" w:type="dxa"/>
              <w:bottom w:w="80" w:type="dxa"/>
              <w:right w:w="100" w:type="dxa"/>
            </w:tcMar>
            <w:vAlign w:val="center"/>
          </w:tcPr>
          <w:p w:rsidRPr="000360B0" w:rsidR="00B27D07" w:rsidP="000360B0" w:rsidRDefault="00B27D07" w14:paraId="7B092DB5" w14:textId="77777777">
            <w:pPr>
              <w:spacing w:line="360" w:lineRule="auto"/>
              <w:jc w:val="both"/>
              <w:rPr>
                <w:rFonts w:ascii="Arial" w:hAnsi="Arial" w:cs="Arial"/>
                <w:sz w:val="24"/>
                <w:szCs w:val="24"/>
              </w:rPr>
            </w:pPr>
            <w:r w:rsidRPr="000360B0">
              <w:rPr>
                <w:rFonts w:ascii="Arial" w:hAnsi="Arial" w:cs="Arial"/>
                <w:sz w:val="24"/>
                <w:szCs w:val="24"/>
              </w:rPr>
              <w:t>Cohen’s d</w:t>
            </w:r>
          </w:p>
        </w:tc>
        <w:tc>
          <w:tcPr>
            <w:tcW w:w="3293" w:type="dxa"/>
            <w:shd w:val="clear" w:color="auto" w:fill="EAF2F8"/>
            <w:tcMar>
              <w:top w:w="80" w:type="dxa"/>
              <w:left w:w="100" w:type="dxa"/>
              <w:bottom w:w="80" w:type="dxa"/>
              <w:right w:w="100" w:type="dxa"/>
            </w:tcMar>
            <w:vAlign w:val="center"/>
          </w:tcPr>
          <w:p w:rsidRPr="000360B0" w:rsidR="00B27D07" w:rsidP="000360B0" w:rsidRDefault="00B27D07" w14:paraId="2A2B859F" w14:textId="77777777">
            <w:pPr>
              <w:spacing w:line="360" w:lineRule="auto"/>
              <w:jc w:val="both"/>
              <w:rPr>
                <w:rFonts w:ascii="Arial" w:hAnsi="Arial" w:cs="Arial"/>
                <w:sz w:val="24"/>
                <w:szCs w:val="24"/>
              </w:rPr>
            </w:pPr>
            <w:r w:rsidRPr="000360B0">
              <w:rPr>
                <w:rFonts w:ascii="Arial" w:hAnsi="Arial" w:cs="Arial"/>
                <w:sz w:val="24"/>
                <w:szCs w:val="24"/>
              </w:rPr>
              <w:t>-0.58</w:t>
            </w:r>
          </w:p>
        </w:tc>
      </w:tr>
      <w:tr w:rsidRPr="000360B0" w:rsidR="00B27D07" w:rsidTr="0042320B" w14:paraId="0B770703" w14:textId="77777777">
        <w:trPr>
          <w:jc w:val="center"/>
        </w:trPr>
        <w:tc>
          <w:tcPr>
            <w:tcW w:w="3293" w:type="dxa"/>
            <w:tcMar>
              <w:top w:w="80" w:type="dxa"/>
              <w:left w:w="100" w:type="dxa"/>
              <w:bottom w:w="80" w:type="dxa"/>
              <w:right w:w="100" w:type="dxa"/>
            </w:tcMar>
            <w:vAlign w:val="center"/>
          </w:tcPr>
          <w:p w:rsidRPr="000360B0" w:rsidR="00B27D07" w:rsidP="000360B0" w:rsidRDefault="00B27D07" w14:paraId="5E8A4DC2" w14:textId="77777777">
            <w:pPr>
              <w:spacing w:line="360" w:lineRule="auto"/>
              <w:jc w:val="both"/>
              <w:rPr>
                <w:rFonts w:ascii="Arial" w:hAnsi="Arial" w:cs="Arial"/>
                <w:sz w:val="24"/>
                <w:szCs w:val="24"/>
              </w:rPr>
            </w:pPr>
            <w:r w:rsidRPr="000360B0">
              <w:rPr>
                <w:rFonts w:ascii="Arial" w:hAnsi="Arial" w:cs="Arial"/>
                <w:sz w:val="24"/>
                <w:szCs w:val="24"/>
              </w:rPr>
              <w:t>Spearman correlation</w:t>
            </w:r>
          </w:p>
        </w:tc>
        <w:tc>
          <w:tcPr>
            <w:tcW w:w="3293" w:type="dxa"/>
            <w:tcMar>
              <w:top w:w="80" w:type="dxa"/>
              <w:left w:w="100" w:type="dxa"/>
              <w:bottom w:w="80" w:type="dxa"/>
              <w:right w:w="100" w:type="dxa"/>
            </w:tcMar>
            <w:vAlign w:val="center"/>
          </w:tcPr>
          <w:p w:rsidRPr="000360B0" w:rsidR="00B27D07" w:rsidP="000360B0" w:rsidRDefault="00B27D07" w14:paraId="7AD5F2A6" w14:textId="77777777">
            <w:pPr>
              <w:spacing w:line="360" w:lineRule="auto"/>
              <w:jc w:val="both"/>
              <w:rPr>
                <w:rFonts w:ascii="Arial" w:hAnsi="Arial" w:cs="Arial"/>
                <w:sz w:val="24"/>
                <w:szCs w:val="24"/>
              </w:rPr>
            </w:pPr>
            <w:r w:rsidRPr="000360B0">
              <w:rPr>
                <w:rFonts w:ascii="Arial" w:hAnsi="Arial" w:cs="Arial"/>
                <w:sz w:val="24"/>
                <w:szCs w:val="24"/>
              </w:rPr>
              <w:t>Watches–Likes</w:t>
            </w:r>
          </w:p>
        </w:tc>
        <w:tc>
          <w:tcPr>
            <w:tcW w:w="3293" w:type="dxa"/>
            <w:tcMar>
              <w:top w:w="80" w:type="dxa"/>
              <w:left w:w="100" w:type="dxa"/>
              <w:bottom w:w="80" w:type="dxa"/>
              <w:right w:w="100" w:type="dxa"/>
            </w:tcMar>
            <w:vAlign w:val="center"/>
          </w:tcPr>
          <w:p w:rsidRPr="000360B0" w:rsidR="00B27D07" w:rsidP="000360B0" w:rsidRDefault="00B27D07" w14:paraId="7CCACF13" w14:textId="77777777">
            <w:pPr>
              <w:spacing w:line="360" w:lineRule="auto"/>
              <w:jc w:val="both"/>
              <w:rPr>
                <w:rFonts w:ascii="Arial" w:hAnsi="Arial" w:cs="Arial"/>
                <w:sz w:val="24"/>
                <w:szCs w:val="24"/>
              </w:rPr>
            </w:pPr>
            <w:r w:rsidRPr="000360B0">
              <w:rPr>
                <w:rFonts w:ascii="Arial" w:hAnsi="Arial" w:cs="Arial"/>
                <w:sz w:val="24"/>
                <w:szCs w:val="24"/>
              </w:rPr>
              <w:t>ρ = .984, p &lt; .001</w:t>
            </w:r>
          </w:p>
        </w:tc>
      </w:tr>
      <w:tr w:rsidRPr="000360B0" w:rsidR="00B27D07" w:rsidTr="0042320B" w14:paraId="3BDCE8AB" w14:textId="77777777">
        <w:trPr>
          <w:jc w:val="center"/>
        </w:trPr>
        <w:tc>
          <w:tcPr>
            <w:tcW w:w="3293" w:type="dxa"/>
            <w:shd w:val="clear" w:color="auto" w:fill="EAF2F8"/>
            <w:tcMar>
              <w:top w:w="80" w:type="dxa"/>
              <w:left w:w="100" w:type="dxa"/>
              <w:bottom w:w="80" w:type="dxa"/>
              <w:right w:w="100" w:type="dxa"/>
            </w:tcMar>
            <w:vAlign w:val="center"/>
          </w:tcPr>
          <w:p w:rsidRPr="000360B0" w:rsidR="00B27D07" w:rsidP="000360B0" w:rsidRDefault="00B27D07" w14:paraId="7054C259" w14:textId="77777777">
            <w:pPr>
              <w:spacing w:line="360" w:lineRule="auto"/>
              <w:jc w:val="both"/>
              <w:rPr>
                <w:rFonts w:ascii="Arial" w:hAnsi="Arial" w:cs="Arial"/>
                <w:sz w:val="24"/>
                <w:szCs w:val="24"/>
              </w:rPr>
            </w:pPr>
            <w:r w:rsidRPr="000360B0">
              <w:rPr>
                <w:rFonts w:ascii="Arial" w:hAnsi="Arial" w:cs="Arial"/>
                <w:sz w:val="24"/>
                <w:szCs w:val="24"/>
              </w:rPr>
              <w:t>Spearman correlation</w:t>
            </w:r>
          </w:p>
        </w:tc>
        <w:tc>
          <w:tcPr>
            <w:tcW w:w="3293" w:type="dxa"/>
            <w:shd w:val="clear" w:color="auto" w:fill="EAF2F8"/>
            <w:tcMar>
              <w:top w:w="80" w:type="dxa"/>
              <w:left w:w="100" w:type="dxa"/>
              <w:bottom w:w="80" w:type="dxa"/>
              <w:right w:w="100" w:type="dxa"/>
            </w:tcMar>
            <w:vAlign w:val="center"/>
          </w:tcPr>
          <w:p w:rsidRPr="000360B0" w:rsidR="00B27D07" w:rsidP="000360B0" w:rsidRDefault="00B27D07" w14:paraId="7EB0BC60" w14:textId="77777777">
            <w:pPr>
              <w:spacing w:line="360" w:lineRule="auto"/>
              <w:jc w:val="both"/>
              <w:rPr>
                <w:rFonts w:ascii="Arial" w:hAnsi="Arial" w:cs="Arial"/>
                <w:sz w:val="24"/>
                <w:szCs w:val="24"/>
              </w:rPr>
            </w:pPr>
            <w:r w:rsidRPr="000360B0">
              <w:rPr>
                <w:rFonts w:ascii="Arial" w:hAnsi="Arial" w:cs="Arial"/>
                <w:sz w:val="24"/>
                <w:szCs w:val="24"/>
              </w:rPr>
              <w:t>Rating–Fans</w:t>
            </w:r>
          </w:p>
        </w:tc>
        <w:tc>
          <w:tcPr>
            <w:tcW w:w="3293" w:type="dxa"/>
            <w:shd w:val="clear" w:color="auto" w:fill="EAF2F8"/>
            <w:tcMar>
              <w:top w:w="80" w:type="dxa"/>
              <w:left w:w="100" w:type="dxa"/>
              <w:bottom w:w="80" w:type="dxa"/>
              <w:right w:w="100" w:type="dxa"/>
            </w:tcMar>
            <w:vAlign w:val="center"/>
          </w:tcPr>
          <w:p w:rsidRPr="000360B0" w:rsidR="00B27D07" w:rsidP="000360B0" w:rsidRDefault="00B27D07" w14:paraId="5D37AC61" w14:textId="77777777">
            <w:pPr>
              <w:spacing w:line="360" w:lineRule="auto"/>
              <w:jc w:val="both"/>
              <w:rPr>
                <w:rFonts w:ascii="Arial" w:hAnsi="Arial" w:cs="Arial"/>
                <w:sz w:val="24"/>
                <w:szCs w:val="24"/>
              </w:rPr>
            </w:pPr>
            <w:r w:rsidRPr="000360B0">
              <w:rPr>
                <w:rFonts w:ascii="Arial" w:hAnsi="Arial" w:cs="Arial"/>
                <w:sz w:val="24"/>
                <w:szCs w:val="24"/>
              </w:rPr>
              <w:t>ρ = .480, p &lt; .001</w:t>
            </w:r>
          </w:p>
        </w:tc>
      </w:tr>
      <w:tr w:rsidRPr="000360B0" w:rsidR="00B27D07" w:rsidTr="0042320B" w14:paraId="7A532941" w14:textId="77777777">
        <w:trPr>
          <w:jc w:val="center"/>
        </w:trPr>
        <w:tc>
          <w:tcPr>
            <w:tcW w:w="3293" w:type="dxa"/>
            <w:tcMar>
              <w:top w:w="80" w:type="dxa"/>
              <w:left w:w="100" w:type="dxa"/>
              <w:bottom w:w="80" w:type="dxa"/>
              <w:right w:w="100" w:type="dxa"/>
            </w:tcMar>
            <w:vAlign w:val="center"/>
          </w:tcPr>
          <w:p w:rsidRPr="000360B0" w:rsidR="00B27D07" w:rsidP="000360B0" w:rsidRDefault="00B27D07" w14:paraId="24D6C363" w14:textId="77777777">
            <w:pPr>
              <w:spacing w:line="360" w:lineRule="auto"/>
              <w:jc w:val="both"/>
              <w:rPr>
                <w:rFonts w:ascii="Arial" w:hAnsi="Arial" w:cs="Arial"/>
                <w:sz w:val="24"/>
                <w:szCs w:val="24"/>
              </w:rPr>
            </w:pPr>
            <w:r w:rsidRPr="000360B0">
              <w:rPr>
                <w:rFonts w:ascii="Arial" w:hAnsi="Arial" w:cs="Arial"/>
                <w:sz w:val="24"/>
                <w:szCs w:val="24"/>
              </w:rPr>
              <w:t>Multiple regression</w:t>
            </w:r>
          </w:p>
        </w:tc>
        <w:tc>
          <w:tcPr>
            <w:tcW w:w="3293" w:type="dxa"/>
            <w:tcMar>
              <w:top w:w="80" w:type="dxa"/>
              <w:left w:w="100" w:type="dxa"/>
              <w:bottom w:w="80" w:type="dxa"/>
              <w:right w:w="100" w:type="dxa"/>
            </w:tcMar>
            <w:vAlign w:val="center"/>
          </w:tcPr>
          <w:p w:rsidRPr="000360B0" w:rsidR="00B27D07" w:rsidP="000360B0" w:rsidRDefault="00B27D07" w14:paraId="5E126995" w14:textId="77777777">
            <w:pPr>
              <w:spacing w:line="360" w:lineRule="auto"/>
              <w:jc w:val="both"/>
              <w:rPr>
                <w:rFonts w:ascii="Arial" w:hAnsi="Arial" w:cs="Arial"/>
                <w:sz w:val="24"/>
                <w:szCs w:val="24"/>
              </w:rPr>
            </w:pPr>
            <w:r w:rsidRPr="000360B0">
              <w:rPr>
                <w:rFonts w:ascii="Arial" w:hAnsi="Arial" w:cs="Arial"/>
                <w:sz w:val="24"/>
                <w:szCs w:val="24"/>
              </w:rPr>
              <w:t>Model fit</w:t>
            </w:r>
          </w:p>
        </w:tc>
        <w:tc>
          <w:tcPr>
            <w:tcW w:w="3293" w:type="dxa"/>
            <w:tcMar>
              <w:top w:w="80" w:type="dxa"/>
              <w:left w:w="100" w:type="dxa"/>
              <w:bottom w:w="80" w:type="dxa"/>
              <w:right w:w="100" w:type="dxa"/>
            </w:tcMar>
            <w:vAlign w:val="center"/>
          </w:tcPr>
          <w:p w:rsidRPr="000360B0" w:rsidR="00B27D07" w:rsidP="000360B0" w:rsidRDefault="00B27D07" w14:paraId="036950F3" w14:textId="77777777">
            <w:pPr>
              <w:spacing w:line="360" w:lineRule="auto"/>
              <w:jc w:val="both"/>
              <w:rPr>
                <w:rFonts w:ascii="Arial" w:hAnsi="Arial" w:cs="Arial"/>
                <w:sz w:val="24"/>
                <w:szCs w:val="24"/>
              </w:rPr>
            </w:pPr>
            <w:proofErr w:type="gramStart"/>
            <w:r w:rsidRPr="000360B0">
              <w:rPr>
                <w:rFonts w:ascii="Arial" w:hAnsi="Arial" w:cs="Arial"/>
                <w:sz w:val="24"/>
                <w:szCs w:val="24"/>
              </w:rPr>
              <w:t>F(</w:t>
            </w:r>
            <w:proofErr w:type="gramEnd"/>
            <w:r w:rsidRPr="000360B0">
              <w:rPr>
                <w:rFonts w:ascii="Arial" w:hAnsi="Arial" w:cs="Arial"/>
                <w:sz w:val="24"/>
                <w:szCs w:val="24"/>
              </w:rPr>
              <w:t>5, 9994) = 4237.39, p &lt; .001</w:t>
            </w:r>
          </w:p>
        </w:tc>
      </w:tr>
      <w:tr w:rsidRPr="000360B0" w:rsidR="00B27D07" w:rsidTr="0042320B" w14:paraId="751FA9E7" w14:textId="77777777">
        <w:trPr>
          <w:jc w:val="center"/>
        </w:trPr>
        <w:tc>
          <w:tcPr>
            <w:tcW w:w="3293" w:type="dxa"/>
            <w:shd w:val="clear" w:color="auto" w:fill="EAF2F8"/>
            <w:tcMar>
              <w:top w:w="80" w:type="dxa"/>
              <w:left w:w="100" w:type="dxa"/>
              <w:bottom w:w="80" w:type="dxa"/>
              <w:right w:w="100" w:type="dxa"/>
            </w:tcMar>
            <w:vAlign w:val="center"/>
          </w:tcPr>
          <w:p w:rsidRPr="000360B0" w:rsidR="00B27D07" w:rsidP="000360B0" w:rsidRDefault="00B27D07" w14:paraId="63629E8B" w14:textId="77777777">
            <w:pPr>
              <w:spacing w:line="360" w:lineRule="auto"/>
              <w:jc w:val="both"/>
              <w:rPr>
                <w:rFonts w:ascii="Arial" w:hAnsi="Arial" w:cs="Arial"/>
                <w:sz w:val="24"/>
                <w:szCs w:val="24"/>
              </w:rPr>
            </w:pPr>
            <w:r w:rsidRPr="000360B0">
              <w:rPr>
                <w:rFonts w:ascii="Arial" w:hAnsi="Arial" w:cs="Arial"/>
                <w:sz w:val="24"/>
                <w:szCs w:val="24"/>
              </w:rPr>
              <w:t>Multiple regression</w:t>
            </w:r>
          </w:p>
        </w:tc>
        <w:tc>
          <w:tcPr>
            <w:tcW w:w="3293" w:type="dxa"/>
            <w:shd w:val="clear" w:color="auto" w:fill="EAF2F8"/>
            <w:tcMar>
              <w:top w:w="80" w:type="dxa"/>
              <w:left w:w="100" w:type="dxa"/>
              <w:bottom w:w="80" w:type="dxa"/>
              <w:right w:w="100" w:type="dxa"/>
            </w:tcMar>
            <w:vAlign w:val="center"/>
          </w:tcPr>
          <w:p w:rsidRPr="000360B0" w:rsidR="00B27D07" w:rsidP="000360B0" w:rsidRDefault="00B27D07" w14:paraId="5969251E" w14:textId="77777777">
            <w:pPr>
              <w:spacing w:line="360" w:lineRule="auto"/>
              <w:jc w:val="both"/>
              <w:rPr>
                <w:rFonts w:ascii="Arial" w:hAnsi="Arial" w:cs="Arial"/>
                <w:sz w:val="24"/>
                <w:szCs w:val="24"/>
              </w:rPr>
            </w:pPr>
            <w:r w:rsidRPr="000360B0">
              <w:rPr>
                <w:rFonts w:ascii="Arial" w:hAnsi="Arial" w:cs="Arial"/>
                <w:sz w:val="24"/>
                <w:szCs w:val="24"/>
              </w:rPr>
              <w:t>Explained variance</w:t>
            </w:r>
          </w:p>
        </w:tc>
        <w:tc>
          <w:tcPr>
            <w:tcW w:w="3293" w:type="dxa"/>
            <w:shd w:val="clear" w:color="auto" w:fill="EAF2F8"/>
            <w:tcMar>
              <w:top w:w="80" w:type="dxa"/>
              <w:left w:w="100" w:type="dxa"/>
              <w:bottom w:w="80" w:type="dxa"/>
              <w:right w:w="100" w:type="dxa"/>
            </w:tcMar>
            <w:vAlign w:val="center"/>
          </w:tcPr>
          <w:p w:rsidRPr="000360B0" w:rsidR="00B27D07" w:rsidP="000360B0" w:rsidRDefault="00B27D07" w14:paraId="31C1DBF2" w14:textId="77777777">
            <w:pPr>
              <w:spacing w:line="360" w:lineRule="auto"/>
              <w:jc w:val="both"/>
              <w:rPr>
                <w:rFonts w:ascii="Arial" w:hAnsi="Arial" w:cs="Arial"/>
                <w:sz w:val="24"/>
                <w:szCs w:val="24"/>
              </w:rPr>
            </w:pPr>
            <w:r w:rsidRPr="000360B0">
              <w:rPr>
                <w:rFonts w:ascii="Arial" w:hAnsi="Arial" w:cs="Arial"/>
                <w:sz w:val="24"/>
                <w:szCs w:val="24"/>
              </w:rPr>
              <w:t>R² = .679; adjusted R² = .679</w:t>
            </w:r>
          </w:p>
        </w:tc>
      </w:tr>
    </w:tbl>
    <w:p w:rsidRPr="000360B0" w:rsidR="00B27D07" w:rsidP="000360B0" w:rsidRDefault="00B27D07" w14:paraId="5AC5FEB3" w14:textId="77777777">
      <w:pPr>
        <w:spacing w:after="0" w:line="360" w:lineRule="auto"/>
        <w:jc w:val="both"/>
        <w:rPr>
          <w:rFonts w:ascii="Arial" w:hAnsi="Arial" w:cs="Arial"/>
        </w:rPr>
      </w:pPr>
    </w:p>
    <w:p w:rsidRPr="000360B0" w:rsidR="00B27D07" w:rsidP="000360B0" w:rsidRDefault="00B27D07" w14:paraId="2869B2BF" w14:textId="77777777">
      <w:pPr>
        <w:spacing w:line="360" w:lineRule="auto"/>
        <w:jc w:val="both"/>
        <w:rPr>
          <w:rFonts w:ascii="Arial" w:hAnsi="Arial" w:cs="Arial"/>
          <w:b/>
        </w:rPr>
      </w:pPr>
    </w:p>
    <w:p w:rsidRPr="000360B0" w:rsidR="00B27D07" w:rsidP="000360B0" w:rsidRDefault="00B27D07" w14:paraId="0B58D34F" w14:textId="77777777">
      <w:pPr>
        <w:pStyle w:val="Heading1"/>
      </w:pPr>
      <w:bookmarkStart w:name="_Toc234920037" w:id="5"/>
      <w:r w:rsidRPr="000360B0">
        <w:t>Insights, Recommendations and Limitations</w:t>
      </w:r>
      <w:bookmarkEnd w:id="5"/>
    </w:p>
    <w:p w:rsidRPr="000360B0" w:rsidR="004A1EE8" w:rsidP="000360B0" w:rsidRDefault="004A1EE8" w14:paraId="1371C5E0" w14:textId="77777777">
      <w:pPr>
        <w:spacing w:line="360" w:lineRule="auto"/>
        <w:jc w:val="both"/>
        <w:rPr>
          <w:rFonts w:ascii="Arial" w:hAnsi="Arial" w:cs="Arial"/>
        </w:rPr>
      </w:pPr>
      <w:r w:rsidRPr="000360B0">
        <w:rPr>
          <w:rFonts w:ascii="Arial" w:hAnsi="Arial" w:cs="Arial"/>
        </w:rPr>
        <w:t>Successful titles should create blends of different types of value. Titles in the English language reach more audiences but non-English titles get more rating on average.</w:t>
      </w:r>
    </w:p>
    <w:p w:rsidRPr="000360B0" w:rsidR="004A1EE8" w:rsidP="000360B0" w:rsidRDefault="004A1EE8" w14:paraId="0EC0E0CB" w14:textId="77777777">
      <w:pPr>
        <w:spacing w:line="360" w:lineRule="auto"/>
        <w:jc w:val="both"/>
        <w:rPr>
          <w:rFonts w:ascii="Arial" w:hAnsi="Arial" w:cs="Arial"/>
        </w:rPr>
      </w:pPr>
      <w:r w:rsidRPr="000360B0">
        <w:rPr>
          <w:rFonts w:ascii="Arial" w:hAnsi="Arial" w:cs="Arial"/>
        </w:rPr>
        <w:t xml:space="preserve"> Documentaries, mysteries and war have strong ratings, while adventure, animation and family have broad engagement. As likes and fans are more connected to rating than raw watches, it follows that conversion and loyalty are better indicators of quality than sheer exposure. Distribution services and streaming platforms must use a segmented portfolio strategy.</w:t>
      </w:r>
    </w:p>
    <w:p w:rsidRPr="000360B0" w:rsidR="004A1EE8" w:rsidP="000360B0" w:rsidRDefault="004A1EE8" w14:paraId="7CECCB12" w14:textId="008284A6">
      <w:pPr>
        <w:spacing w:line="360" w:lineRule="auto"/>
        <w:jc w:val="both"/>
        <w:rPr>
          <w:rFonts w:ascii="Arial" w:hAnsi="Arial" w:cs="Arial"/>
        </w:rPr>
      </w:pPr>
      <w:r w:rsidRPr="000360B0">
        <w:rPr>
          <w:rFonts w:ascii="Arial" w:hAnsi="Arial" w:cs="Arial"/>
        </w:rPr>
        <w:t xml:space="preserve"> Initially, the high-rated yet under-watched non-English and documentary titles should get better subtitling, dubbing, multilingual metadata and personalised recommendation placement. This can widen reach without assuming anything about English-language production being the only way to satisfy audiences.</w:t>
      </w:r>
    </w:p>
    <w:p w:rsidRPr="000360B0" w:rsidR="004A1EE8" w:rsidP="000360B0" w:rsidRDefault="004A1EE8" w14:paraId="23377677" w14:textId="566D2607">
      <w:pPr>
        <w:spacing w:line="360" w:lineRule="auto"/>
        <w:jc w:val="both"/>
        <w:rPr>
          <w:rFonts w:ascii="Arial" w:hAnsi="Arial" w:cs="Arial"/>
        </w:rPr>
      </w:pPr>
      <w:r w:rsidRPr="000360B0">
        <w:rPr>
          <w:rFonts w:ascii="Arial" w:hAnsi="Arial" w:cs="Arial"/>
        </w:rPr>
        <w:t xml:space="preserve">Additionally, platforms should track the conversion rate from like-to-watch and fan-to-watch. Movies that have high volumes but low conversion need a different marketing strategy or recommendation position. On the other hand, movies that boast impressive conversion need to be promoted for a longer </w:t>
      </w:r>
      <w:r w:rsidRPr="000360B0" w:rsidR="000360B0">
        <w:rPr>
          <w:rFonts w:ascii="Arial" w:hAnsi="Arial" w:cs="Arial"/>
        </w:rPr>
        <w:t>period</w:t>
      </w:r>
      <w:r w:rsidRPr="000360B0">
        <w:rPr>
          <w:rFonts w:ascii="Arial" w:hAnsi="Arial" w:cs="Arial"/>
        </w:rPr>
        <w:t xml:space="preserve">. Third, genre dashboards should distinguish audience scale from satisfaction </w:t>
      </w:r>
      <w:r w:rsidRPr="000360B0" w:rsidR="000360B0">
        <w:rPr>
          <w:rFonts w:ascii="Arial" w:hAnsi="Arial" w:cs="Arial"/>
        </w:rPr>
        <w:t>to</w:t>
      </w:r>
      <w:r w:rsidRPr="000360B0">
        <w:rPr>
          <w:rFonts w:ascii="Arial" w:hAnsi="Arial" w:cs="Arial"/>
        </w:rPr>
        <w:t xml:space="preserve"> avoid confusion between prestige, retention and acquisition objectives. Another operational suggestion is to create a balanced scorecard for each movie. Watch volume, like-to-watch conversion, fan-to-watch conversion, average rating and uncertainty based on number of ratings should be there.</w:t>
      </w:r>
    </w:p>
    <w:p w:rsidRPr="000360B0" w:rsidR="004A1EE8" w:rsidP="000360B0" w:rsidRDefault="004A1EE8" w14:paraId="21C86FB3" w14:textId="77777777">
      <w:pPr>
        <w:spacing w:line="360" w:lineRule="auto"/>
        <w:jc w:val="both"/>
        <w:rPr>
          <w:rFonts w:ascii="Arial" w:hAnsi="Arial" w:cs="Arial"/>
        </w:rPr>
      </w:pPr>
    </w:p>
    <w:p w:rsidRPr="000360B0" w:rsidR="004A1EE8" w:rsidP="000360B0" w:rsidRDefault="004A1EE8" w14:paraId="2B0D74DE" w14:textId="71C41D03">
      <w:pPr>
        <w:spacing w:line="360" w:lineRule="auto"/>
        <w:jc w:val="both"/>
        <w:rPr>
          <w:rFonts w:ascii="Arial" w:hAnsi="Arial" w:cs="Arial"/>
        </w:rPr>
      </w:pPr>
      <w:r w:rsidRPr="000360B0">
        <w:rPr>
          <w:rFonts w:ascii="Arial" w:hAnsi="Arial" w:cs="Arial"/>
        </w:rPr>
        <w:t>It would stop a film with a limited number of viewers with enthusiasm from comparison with a mass-audience release. For acquisition processes, you could use language and genre filters to find comparable titles, making more relevant and fairer decisions. You should also consider engagement over time for campaign evaluation. If the number of watches is increasing rapidly, but the increase in likes is not matching this pace, it may indicate that people are becoming aware of the content but are not satisfied with it. On the other hand, increasing fan conversion might imply that the audience is valuable and resilient. These can influence destining, the homepage and the budget for localisation.</w:t>
      </w:r>
    </w:p>
    <w:p w:rsidRPr="000360B0" w:rsidR="004A1EE8" w:rsidP="000360B0" w:rsidRDefault="004A1EE8" w14:paraId="03455359" w14:textId="4C7F8914">
      <w:pPr>
        <w:spacing w:line="360" w:lineRule="auto"/>
        <w:jc w:val="both"/>
        <w:rPr>
          <w:rFonts w:ascii="Arial" w:hAnsi="Arial" w:cs="Arial"/>
        </w:rPr>
      </w:pPr>
      <w:r w:rsidRPr="000360B0">
        <w:rPr>
          <w:rFonts w:ascii="Arial" w:hAnsi="Arial" w:cs="Arial"/>
        </w:rPr>
        <w:t xml:space="preserve">Analytics should be viewed as a supplement rather than a substitute for editorial judgment. </w:t>
      </w:r>
      <w:r w:rsidRPr="000360B0" w:rsidR="000360B0">
        <w:rPr>
          <w:rFonts w:ascii="Arial" w:hAnsi="Arial" w:cs="Arial"/>
        </w:rPr>
        <w:t>We</w:t>
      </w:r>
      <w:r w:rsidRPr="000360B0">
        <w:rPr>
          <w:rFonts w:ascii="Arial" w:hAnsi="Arial" w:cs="Arial"/>
        </w:rPr>
        <w:t xml:space="preserve"> cannot always assume that an assessment of creative originality and cultural value will be derived from previous audience behaviour.</w:t>
      </w:r>
    </w:p>
    <w:p w:rsidRPr="000360B0" w:rsidR="00B27D07" w:rsidP="000360B0" w:rsidRDefault="004A1EE8" w14:paraId="52869A62" w14:textId="744AB9BA">
      <w:pPr>
        <w:spacing w:line="360" w:lineRule="auto"/>
        <w:jc w:val="both"/>
        <w:rPr>
          <w:rFonts w:ascii="Arial" w:hAnsi="Arial" w:cs="Arial"/>
        </w:rPr>
      </w:pPr>
      <w:r w:rsidRPr="000360B0">
        <w:rPr>
          <w:rFonts w:ascii="Arial" w:hAnsi="Arial" w:cs="Arial"/>
        </w:rPr>
        <w:t xml:space="preserve">There are limitations to analysis. Because data are observational, correlation and regression do not prove causation. The movie release year, budget, spend on marketing, number of countries available in, number of awards, cast worth, and viewer </w:t>
      </w:r>
      <w:r w:rsidRPr="000360B0" w:rsidR="000360B0">
        <w:rPr>
          <w:rFonts w:ascii="Arial" w:hAnsi="Arial" w:cs="Arial"/>
        </w:rPr>
        <w:t>age is</w:t>
      </w:r>
      <w:r w:rsidRPr="000360B0">
        <w:rPr>
          <w:rFonts w:ascii="Arial" w:hAnsi="Arial" w:cs="Arial"/>
        </w:rPr>
        <w:t xml:space="preserve"> missing. Future research should incorporate time, cost, and demographic variables; test for genre differences (ANOVA); and test models on a holdout sample. Analysis shows use of cleaned behavioural data can facilitate more focused acquisition, localisation and recommendation decision but still managers to combine judgement with analytics.</w:t>
      </w:r>
    </w:p>
    <w:p w:rsidR="004A1EE8" w:rsidP="000360B0" w:rsidRDefault="004A1EE8" w14:paraId="70985E58" w14:textId="77777777">
      <w:pPr>
        <w:spacing w:line="360" w:lineRule="auto"/>
        <w:jc w:val="both"/>
        <w:rPr>
          <w:rFonts w:ascii="Arial" w:hAnsi="Arial" w:cs="Arial"/>
          <w:b/>
        </w:rPr>
      </w:pPr>
    </w:p>
    <w:p w:rsidR="000360B0" w:rsidP="000360B0" w:rsidRDefault="000360B0" w14:paraId="2C1D6A41" w14:textId="77777777">
      <w:pPr>
        <w:spacing w:line="360" w:lineRule="auto"/>
        <w:jc w:val="both"/>
        <w:rPr>
          <w:rFonts w:ascii="Arial" w:hAnsi="Arial" w:cs="Arial"/>
          <w:b/>
        </w:rPr>
      </w:pPr>
    </w:p>
    <w:p w:rsidR="000360B0" w:rsidP="000360B0" w:rsidRDefault="000360B0" w14:paraId="3C343308" w14:textId="77777777">
      <w:pPr>
        <w:spacing w:line="360" w:lineRule="auto"/>
        <w:jc w:val="both"/>
        <w:rPr>
          <w:rFonts w:ascii="Arial" w:hAnsi="Arial" w:cs="Arial"/>
          <w:b/>
        </w:rPr>
      </w:pPr>
    </w:p>
    <w:p w:rsidRPr="000360B0" w:rsidR="000360B0" w:rsidP="000360B0" w:rsidRDefault="000360B0" w14:paraId="2DD46B16" w14:textId="77777777">
      <w:pPr>
        <w:spacing w:line="360" w:lineRule="auto"/>
        <w:jc w:val="both"/>
        <w:rPr>
          <w:rFonts w:ascii="Arial" w:hAnsi="Arial" w:cs="Arial"/>
          <w:b/>
        </w:rPr>
      </w:pPr>
    </w:p>
    <w:p w:rsidRPr="000360B0" w:rsidR="00B27D07" w:rsidP="000360B0" w:rsidRDefault="00B27D07" w14:paraId="0824ADCB" w14:textId="69EB4294">
      <w:pPr>
        <w:pStyle w:val="Heading1"/>
      </w:pPr>
      <w:bookmarkStart w:name="_Toc234920038" w:id="6"/>
      <w:r w:rsidRPr="000360B0">
        <w:t>References</w:t>
      </w:r>
      <w:r w:rsidRPr="000360B0" w:rsidR="000360B0">
        <w:t>:</w:t>
      </w:r>
      <w:bookmarkEnd w:id="6"/>
    </w:p>
    <w:p w:rsidRPr="000360B0" w:rsidR="004A1EE8" w:rsidP="000360B0" w:rsidRDefault="004A1EE8" w14:paraId="3659C0B6" w14:textId="77777777">
      <w:pPr>
        <w:spacing w:line="360" w:lineRule="auto"/>
        <w:jc w:val="both"/>
        <w:rPr>
          <w:rFonts w:ascii="Arial" w:hAnsi="Arial" w:cs="Arial"/>
        </w:rPr>
      </w:pPr>
    </w:p>
    <w:p w:rsidRPr="000360B0" w:rsidR="004A1EE8" w:rsidP="000360B0" w:rsidRDefault="004A1EE8" w14:paraId="5A64E09E" w14:textId="13D1926E">
      <w:pPr>
        <w:spacing w:line="360" w:lineRule="auto"/>
        <w:jc w:val="both"/>
        <w:rPr>
          <w:rFonts w:ascii="Arial" w:hAnsi="Arial" w:cs="Arial"/>
          <w:iCs/>
        </w:rPr>
      </w:pPr>
      <w:r w:rsidRPr="000360B0">
        <w:rPr>
          <w:rFonts w:ascii="Arial" w:hAnsi="Arial" w:cs="Arial"/>
          <w:iCs/>
        </w:rPr>
        <w:t xml:space="preserve">Agarwal, M., Venugopal, S., Kashyap, R. and Bharathi, R. (2021) ‘A comprehensive study on various statistical techniques for prediction of movie success’, </w:t>
      </w:r>
      <w:proofErr w:type="spellStart"/>
      <w:r w:rsidRPr="000360B0">
        <w:rPr>
          <w:rFonts w:ascii="Arial" w:hAnsi="Arial" w:cs="Arial"/>
          <w:i/>
          <w:iCs/>
        </w:rPr>
        <w:t>arXiv</w:t>
      </w:r>
      <w:proofErr w:type="spellEnd"/>
      <w:r w:rsidRPr="000360B0">
        <w:rPr>
          <w:rFonts w:ascii="Arial" w:hAnsi="Arial" w:cs="Arial"/>
          <w:iCs/>
        </w:rPr>
        <w:t xml:space="preserve">. Available at: </w:t>
      </w:r>
      <w:hyperlink w:tgtFrame="_new" w:history="1" r:id="rId13">
        <w:r w:rsidRPr="000360B0">
          <w:rPr>
            <w:rStyle w:val="Hyperlink"/>
            <w:rFonts w:ascii="Arial" w:hAnsi="Arial" w:cs="Arial"/>
            <w:iCs/>
          </w:rPr>
          <w:t>https://arxiv.org/abs/2112.00395</w:t>
        </w:r>
      </w:hyperlink>
      <w:r w:rsidRPr="000360B0">
        <w:rPr>
          <w:rFonts w:ascii="Arial" w:hAnsi="Arial" w:cs="Arial"/>
          <w:iCs/>
        </w:rPr>
        <w:t xml:space="preserve"> </w:t>
      </w:r>
    </w:p>
    <w:p w:rsidRPr="000360B0" w:rsidR="004A1EE8" w:rsidP="000360B0" w:rsidRDefault="004A1EE8" w14:paraId="6B09FB9E" w14:textId="77777777">
      <w:pPr>
        <w:spacing w:line="360" w:lineRule="auto"/>
        <w:jc w:val="both"/>
        <w:rPr>
          <w:rFonts w:ascii="Arial" w:hAnsi="Arial" w:cs="Arial"/>
          <w:iCs/>
        </w:rPr>
      </w:pPr>
      <w:r w:rsidRPr="000360B0">
        <w:rPr>
          <w:rFonts w:ascii="Arial" w:hAnsi="Arial" w:cs="Arial"/>
          <w:iCs/>
        </w:rPr>
        <w:t xml:space="preserve">Field, A. (2018) </w:t>
      </w:r>
      <w:r w:rsidRPr="000360B0">
        <w:rPr>
          <w:rFonts w:ascii="Arial" w:hAnsi="Arial" w:cs="Arial"/>
          <w:i/>
          <w:iCs/>
        </w:rPr>
        <w:t>Discovering Statistics Using IBM SPSS Statistics</w:t>
      </w:r>
      <w:r w:rsidRPr="000360B0">
        <w:rPr>
          <w:rFonts w:ascii="Arial" w:hAnsi="Arial" w:cs="Arial"/>
          <w:iCs/>
        </w:rPr>
        <w:t xml:space="preserve">. 5th </w:t>
      </w:r>
      <w:proofErr w:type="spellStart"/>
      <w:r w:rsidRPr="000360B0">
        <w:rPr>
          <w:rFonts w:ascii="Arial" w:hAnsi="Arial" w:cs="Arial"/>
          <w:iCs/>
        </w:rPr>
        <w:t>edn</w:t>
      </w:r>
      <w:proofErr w:type="spellEnd"/>
      <w:r w:rsidRPr="000360B0">
        <w:rPr>
          <w:rFonts w:ascii="Arial" w:hAnsi="Arial" w:cs="Arial"/>
          <w:iCs/>
        </w:rPr>
        <w:t>. London: Sage Publications.</w:t>
      </w:r>
    </w:p>
    <w:p w:rsidRPr="000360B0" w:rsidR="004A1EE8" w:rsidP="000360B0" w:rsidRDefault="004A1EE8" w14:paraId="7906BDA7" w14:textId="77777777">
      <w:pPr>
        <w:spacing w:line="360" w:lineRule="auto"/>
        <w:jc w:val="both"/>
        <w:rPr>
          <w:rFonts w:ascii="Arial" w:hAnsi="Arial" w:cs="Arial"/>
          <w:iCs/>
        </w:rPr>
      </w:pPr>
      <w:r w:rsidRPr="000360B0">
        <w:rPr>
          <w:rFonts w:ascii="Arial" w:hAnsi="Arial" w:cs="Arial"/>
          <w:iCs/>
        </w:rPr>
        <w:t xml:space="preserve">Fu, Q., Easton, J.M. and Janes, A. (2024) ‘Understanding data quality in a data-driven industry context’, </w:t>
      </w:r>
      <w:r w:rsidRPr="000360B0">
        <w:rPr>
          <w:rFonts w:ascii="Arial" w:hAnsi="Arial" w:cs="Arial"/>
          <w:i/>
          <w:iCs/>
        </w:rPr>
        <w:t>Journal of Industrial Information Integration</w:t>
      </w:r>
      <w:r w:rsidRPr="000360B0">
        <w:rPr>
          <w:rFonts w:ascii="Arial" w:hAnsi="Arial" w:cs="Arial"/>
          <w:iCs/>
        </w:rPr>
        <w:t>, 39, p. 100578.</w:t>
      </w:r>
    </w:p>
    <w:p w:rsidRPr="000360B0" w:rsidR="004A1EE8" w:rsidP="000360B0" w:rsidRDefault="004A1EE8" w14:paraId="12A6A72F" w14:textId="77777777">
      <w:pPr>
        <w:spacing w:line="360" w:lineRule="auto"/>
        <w:jc w:val="both"/>
        <w:rPr>
          <w:rFonts w:ascii="Arial" w:hAnsi="Arial" w:cs="Arial"/>
          <w:iCs/>
        </w:rPr>
      </w:pPr>
      <w:r w:rsidRPr="000360B0">
        <w:rPr>
          <w:rFonts w:ascii="Arial" w:hAnsi="Arial" w:cs="Arial"/>
          <w:iCs/>
        </w:rPr>
        <w:t xml:space="preserve">Hair, J.F., Black, W.C., Babin, B.J. and Anderson, R.E. (2019) </w:t>
      </w:r>
      <w:r w:rsidRPr="000360B0">
        <w:rPr>
          <w:rFonts w:ascii="Arial" w:hAnsi="Arial" w:cs="Arial"/>
          <w:i/>
          <w:iCs/>
        </w:rPr>
        <w:t>Multivariate Data Analysis</w:t>
      </w:r>
      <w:r w:rsidRPr="000360B0">
        <w:rPr>
          <w:rFonts w:ascii="Arial" w:hAnsi="Arial" w:cs="Arial"/>
          <w:iCs/>
        </w:rPr>
        <w:t xml:space="preserve">. 8th </w:t>
      </w:r>
      <w:proofErr w:type="spellStart"/>
      <w:r w:rsidRPr="000360B0">
        <w:rPr>
          <w:rFonts w:ascii="Arial" w:hAnsi="Arial" w:cs="Arial"/>
          <w:iCs/>
        </w:rPr>
        <w:t>edn</w:t>
      </w:r>
      <w:proofErr w:type="spellEnd"/>
      <w:r w:rsidRPr="000360B0">
        <w:rPr>
          <w:rFonts w:ascii="Arial" w:hAnsi="Arial" w:cs="Arial"/>
          <w:iCs/>
        </w:rPr>
        <w:t>. Andover: Cengage Learning.</w:t>
      </w:r>
    </w:p>
    <w:p w:rsidRPr="000360B0" w:rsidR="004A1EE8" w:rsidP="000360B0" w:rsidRDefault="004A1EE8" w14:paraId="1E685EC3" w14:textId="1CBFAC95">
      <w:pPr>
        <w:spacing w:line="360" w:lineRule="auto"/>
        <w:jc w:val="both"/>
        <w:rPr>
          <w:rFonts w:ascii="Arial" w:hAnsi="Arial" w:cs="Arial"/>
          <w:iCs/>
        </w:rPr>
      </w:pPr>
      <w:r w:rsidRPr="000360B0">
        <w:rPr>
          <w:rFonts w:ascii="Arial" w:hAnsi="Arial" w:cs="Arial"/>
          <w:iCs/>
        </w:rPr>
        <w:t xml:space="preserve">IBM (2026) </w:t>
      </w:r>
      <w:r w:rsidRPr="000360B0">
        <w:rPr>
          <w:rFonts w:ascii="Arial" w:hAnsi="Arial" w:cs="Arial"/>
          <w:i/>
          <w:iCs/>
        </w:rPr>
        <w:t>IBM SPSS Statistics Documentation: Independent-Samples T Test</w:t>
      </w:r>
      <w:r w:rsidRPr="000360B0">
        <w:rPr>
          <w:rFonts w:ascii="Arial" w:hAnsi="Arial" w:cs="Arial"/>
          <w:iCs/>
        </w:rPr>
        <w:t xml:space="preserve">. Available at: </w:t>
      </w:r>
      <w:hyperlink w:tgtFrame="_new" w:history="1" r:id="rId14">
        <w:r w:rsidRPr="000360B0">
          <w:rPr>
            <w:rStyle w:val="Hyperlink"/>
            <w:rFonts w:ascii="Arial" w:hAnsi="Arial" w:cs="Arial"/>
            <w:iCs/>
          </w:rPr>
          <w:t>https://www.ibm.com/docs/en/spss-statistics</w:t>
        </w:r>
      </w:hyperlink>
      <w:r w:rsidRPr="000360B0">
        <w:rPr>
          <w:rFonts w:ascii="Arial" w:hAnsi="Arial" w:cs="Arial"/>
          <w:iCs/>
        </w:rPr>
        <w:t xml:space="preserve"> </w:t>
      </w:r>
    </w:p>
    <w:p w:rsidRPr="000360B0" w:rsidR="004A1EE8" w:rsidP="000360B0" w:rsidRDefault="004A1EE8" w14:paraId="25082A85" w14:textId="77777777">
      <w:pPr>
        <w:spacing w:line="360" w:lineRule="auto"/>
        <w:jc w:val="both"/>
        <w:rPr>
          <w:rFonts w:ascii="Arial" w:hAnsi="Arial" w:cs="Arial"/>
          <w:iCs/>
        </w:rPr>
      </w:pPr>
      <w:r w:rsidRPr="000360B0">
        <w:rPr>
          <w:rFonts w:ascii="Arial" w:hAnsi="Arial" w:cs="Arial"/>
          <w:iCs/>
        </w:rPr>
        <w:t xml:space="preserve">Lash, M.T. and Zhao, K. (2016) ‘Early predictions of movie success: The who, what, and when of profitability’, </w:t>
      </w:r>
      <w:r w:rsidRPr="000360B0">
        <w:rPr>
          <w:rFonts w:ascii="Arial" w:hAnsi="Arial" w:cs="Arial"/>
          <w:i/>
          <w:iCs/>
        </w:rPr>
        <w:t>Journal of Management Information Systems</w:t>
      </w:r>
      <w:r w:rsidRPr="000360B0">
        <w:rPr>
          <w:rFonts w:ascii="Arial" w:hAnsi="Arial" w:cs="Arial"/>
          <w:iCs/>
        </w:rPr>
        <w:t>, 33(3), pp. 874–903.</w:t>
      </w:r>
    </w:p>
    <w:p w:rsidRPr="000360B0" w:rsidR="004A1EE8" w:rsidP="000360B0" w:rsidRDefault="004A1EE8" w14:paraId="4553F553" w14:textId="77777777">
      <w:pPr>
        <w:spacing w:line="360" w:lineRule="auto"/>
        <w:jc w:val="both"/>
        <w:rPr>
          <w:rFonts w:ascii="Arial" w:hAnsi="Arial" w:cs="Arial"/>
          <w:iCs/>
        </w:rPr>
      </w:pPr>
      <w:r w:rsidRPr="000360B0">
        <w:rPr>
          <w:rFonts w:ascii="Arial" w:hAnsi="Arial" w:cs="Arial"/>
          <w:iCs/>
        </w:rPr>
        <w:t xml:space="preserve">Li, L., Lin, J., Turel, O., Liu, P. and Luo, X. (2022) ‘The impact of big data analytics usage on decision-making quality’, </w:t>
      </w:r>
      <w:r w:rsidRPr="000360B0">
        <w:rPr>
          <w:rFonts w:ascii="Arial" w:hAnsi="Arial" w:cs="Arial"/>
          <w:i/>
          <w:iCs/>
        </w:rPr>
        <w:t>Technological Forecasting and Social Change</w:t>
      </w:r>
      <w:r w:rsidRPr="000360B0">
        <w:rPr>
          <w:rFonts w:ascii="Arial" w:hAnsi="Arial" w:cs="Arial"/>
          <w:iCs/>
        </w:rPr>
        <w:t>, 175, p. 121355.</w:t>
      </w:r>
    </w:p>
    <w:p w:rsidRPr="000360B0" w:rsidR="004A1EE8" w:rsidP="000360B0" w:rsidRDefault="004A1EE8" w14:paraId="40F75628" w14:textId="77777777">
      <w:pPr>
        <w:spacing w:line="360" w:lineRule="auto"/>
        <w:jc w:val="both"/>
        <w:rPr>
          <w:rFonts w:ascii="Arial" w:hAnsi="Arial" w:cs="Arial"/>
          <w:iCs/>
        </w:rPr>
      </w:pPr>
      <w:proofErr w:type="spellStart"/>
      <w:r w:rsidRPr="000360B0">
        <w:rPr>
          <w:rFonts w:ascii="Arial" w:hAnsi="Arial" w:cs="Arial"/>
          <w:iCs/>
        </w:rPr>
        <w:t>Ridzuan</w:t>
      </w:r>
      <w:proofErr w:type="spellEnd"/>
      <w:r w:rsidRPr="000360B0">
        <w:rPr>
          <w:rFonts w:ascii="Arial" w:hAnsi="Arial" w:cs="Arial"/>
          <w:iCs/>
        </w:rPr>
        <w:t xml:space="preserve">, F. and Zainon, W.M.N.W. (2024) ‘A review on data quality dimensions for big data’, </w:t>
      </w:r>
      <w:r w:rsidRPr="000360B0">
        <w:rPr>
          <w:rFonts w:ascii="Arial" w:hAnsi="Arial" w:cs="Arial"/>
          <w:i/>
          <w:iCs/>
        </w:rPr>
        <w:t>Procedia Computer Science</w:t>
      </w:r>
      <w:r w:rsidRPr="000360B0">
        <w:rPr>
          <w:rFonts w:ascii="Arial" w:hAnsi="Arial" w:cs="Arial"/>
          <w:iCs/>
        </w:rPr>
        <w:t>, 234, pp. 341–348.</w:t>
      </w:r>
    </w:p>
    <w:p w:rsidRPr="000360B0" w:rsidR="004A1EE8" w:rsidP="000360B0" w:rsidRDefault="004A1EE8" w14:paraId="6BB110AC" w14:textId="77777777">
      <w:pPr>
        <w:spacing w:line="360" w:lineRule="auto"/>
        <w:jc w:val="both"/>
        <w:rPr>
          <w:rFonts w:ascii="Arial" w:hAnsi="Arial" w:cs="Arial"/>
          <w:iCs/>
        </w:rPr>
      </w:pPr>
      <w:r w:rsidRPr="000360B0">
        <w:rPr>
          <w:rFonts w:ascii="Arial" w:hAnsi="Arial" w:cs="Arial"/>
          <w:iCs/>
        </w:rPr>
        <w:t xml:space="preserve">Saunders, M., Lewis, P. and Thornhill, A. (2023) </w:t>
      </w:r>
      <w:r w:rsidRPr="000360B0">
        <w:rPr>
          <w:rFonts w:ascii="Arial" w:hAnsi="Arial" w:cs="Arial"/>
          <w:i/>
          <w:iCs/>
        </w:rPr>
        <w:t>Research Methods for Business Students</w:t>
      </w:r>
      <w:r w:rsidRPr="000360B0">
        <w:rPr>
          <w:rFonts w:ascii="Arial" w:hAnsi="Arial" w:cs="Arial"/>
          <w:iCs/>
        </w:rPr>
        <w:t xml:space="preserve">. 9th </w:t>
      </w:r>
      <w:proofErr w:type="spellStart"/>
      <w:r w:rsidRPr="000360B0">
        <w:rPr>
          <w:rFonts w:ascii="Arial" w:hAnsi="Arial" w:cs="Arial"/>
          <w:iCs/>
        </w:rPr>
        <w:t>edn</w:t>
      </w:r>
      <w:proofErr w:type="spellEnd"/>
      <w:r w:rsidRPr="000360B0">
        <w:rPr>
          <w:rFonts w:ascii="Arial" w:hAnsi="Arial" w:cs="Arial"/>
          <w:iCs/>
        </w:rPr>
        <w:t>. Harlow: Pearson.</w:t>
      </w:r>
    </w:p>
    <w:p w:rsidRPr="000360B0" w:rsidR="004A1EE8" w:rsidP="000360B0" w:rsidRDefault="004A1EE8" w14:paraId="02D99604" w14:textId="77777777">
      <w:pPr>
        <w:spacing w:line="360" w:lineRule="auto"/>
        <w:jc w:val="both"/>
        <w:rPr>
          <w:rFonts w:ascii="Arial" w:hAnsi="Arial" w:cs="Arial"/>
          <w:iCs/>
        </w:rPr>
      </w:pPr>
      <w:r w:rsidRPr="000360B0">
        <w:rPr>
          <w:rFonts w:ascii="Arial" w:hAnsi="Arial" w:cs="Arial"/>
          <w:iCs/>
        </w:rPr>
        <w:t xml:space="preserve">Wieder, B. and </w:t>
      </w:r>
      <w:proofErr w:type="spellStart"/>
      <w:r w:rsidRPr="000360B0">
        <w:rPr>
          <w:rFonts w:ascii="Arial" w:hAnsi="Arial" w:cs="Arial"/>
          <w:iCs/>
        </w:rPr>
        <w:t>Ossimitz</w:t>
      </w:r>
      <w:proofErr w:type="spellEnd"/>
      <w:r w:rsidRPr="000360B0">
        <w:rPr>
          <w:rFonts w:ascii="Arial" w:hAnsi="Arial" w:cs="Arial"/>
          <w:iCs/>
        </w:rPr>
        <w:t xml:space="preserve">, M.-L. (2015) ‘The impact of business intelligence on the quality of decision making’, </w:t>
      </w:r>
      <w:r w:rsidRPr="000360B0">
        <w:rPr>
          <w:rFonts w:ascii="Arial" w:hAnsi="Arial" w:cs="Arial"/>
          <w:i/>
          <w:iCs/>
        </w:rPr>
        <w:t>Procedia Computer Science</w:t>
      </w:r>
      <w:r w:rsidRPr="000360B0">
        <w:rPr>
          <w:rFonts w:ascii="Arial" w:hAnsi="Arial" w:cs="Arial"/>
          <w:iCs/>
        </w:rPr>
        <w:t>, 64, pp. 1163–1171.</w:t>
      </w:r>
    </w:p>
    <w:p w:rsidRPr="000360B0" w:rsidR="00B27D07" w:rsidP="000360B0" w:rsidRDefault="00B27D07" w14:paraId="4C2C3947" w14:textId="77777777">
      <w:pPr>
        <w:spacing w:line="360" w:lineRule="auto"/>
        <w:jc w:val="both"/>
        <w:rPr>
          <w:rFonts w:ascii="Arial" w:hAnsi="Arial" w:cs="Arial"/>
          <w:iCs/>
        </w:rPr>
      </w:pPr>
    </w:p>
    <w:sectPr w:rsidRPr="000360B0" w:rsidR="00B27D07">
      <w:foot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60C4" w:rsidP="00B27D07" w:rsidRDefault="00E860C4" w14:paraId="6392D174" w14:textId="77777777">
      <w:pPr>
        <w:spacing w:after="0" w:line="240" w:lineRule="auto"/>
      </w:pPr>
      <w:r>
        <w:separator/>
      </w:r>
    </w:p>
  </w:endnote>
  <w:endnote w:type="continuationSeparator" w:id="0">
    <w:p w:rsidR="00E860C4" w:rsidP="00B27D07" w:rsidRDefault="00E860C4" w14:paraId="77378C2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265407"/>
      <w:docPartObj>
        <w:docPartGallery w:val="Page Numbers (Bottom of Page)"/>
        <w:docPartUnique/>
      </w:docPartObj>
    </w:sdtPr>
    <w:sdtContent>
      <w:p w:rsidR="00B27D07" w:rsidRDefault="00B27D07" w14:paraId="651293AF" w14:textId="0650CE42">
        <w:pPr>
          <w:pStyle w:val="Footer"/>
          <w:jc w:val="center"/>
        </w:pPr>
        <w:r>
          <w:fldChar w:fldCharType="begin"/>
        </w:r>
        <w:r>
          <w:instrText>PAGE   \* MERGEFORMAT</w:instrText>
        </w:r>
        <w:r>
          <w:fldChar w:fldCharType="separate"/>
        </w:r>
        <w:r>
          <w:t>2</w:t>
        </w:r>
        <w:r>
          <w:fldChar w:fldCharType="end"/>
        </w:r>
      </w:p>
    </w:sdtContent>
  </w:sdt>
  <w:p w:rsidR="00B27D07" w:rsidRDefault="00B27D07" w14:paraId="673F0D4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60C4" w:rsidP="00B27D07" w:rsidRDefault="00E860C4" w14:paraId="0556D330" w14:textId="77777777">
      <w:pPr>
        <w:spacing w:after="0" w:line="240" w:lineRule="auto"/>
      </w:pPr>
      <w:r>
        <w:separator/>
      </w:r>
    </w:p>
  </w:footnote>
  <w:footnote w:type="continuationSeparator" w:id="0">
    <w:p w:rsidR="00E860C4" w:rsidP="00B27D07" w:rsidRDefault="00E860C4" w14:paraId="1DC9DAF5"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D07"/>
    <w:rsid w:val="000360B0"/>
    <w:rsid w:val="004A1EE8"/>
    <w:rsid w:val="00706F93"/>
    <w:rsid w:val="00951857"/>
    <w:rsid w:val="00A929BF"/>
    <w:rsid w:val="00AE4766"/>
    <w:rsid w:val="00B27D07"/>
    <w:rsid w:val="00B357D4"/>
    <w:rsid w:val="00D86751"/>
    <w:rsid w:val="00E860C4"/>
    <w:rsid w:val="01E740DA"/>
    <w:rsid w:val="02E6AAF8"/>
    <w:rsid w:val="0597F0BF"/>
    <w:rsid w:val="07F7D23B"/>
    <w:rsid w:val="155DA97A"/>
    <w:rsid w:val="1D40C0A5"/>
    <w:rsid w:val="20B28895"/>
    <w:rsid w:val="272FD7CA"/>
    <w:rsid w:val="29FB7398"/>
    <w:rsid w:val="3524442A"/>
    <w:rsid w:val="376271C7"/>
    <w:rsid w:val="3837B76B"/>
    <w:rsid w:val="4689FE37"/>
    <w:rsid w:val="48C3BE19"/>
    <w:rsid w:val="522F15EF"/>
    <w:rsid w:val="53377BB8"/>
    <w:rsid w:val="57E318FB"/>
    <w:rsid w:val="6BF27B30"/>
    <w:rsid w:val="6C62D07A"/>
    <w:rsid w:val="6DEA4DFF"/>
    <w:rsid w:val="762A17B6"/>
    <w:rsid w:val="781645D8"/>
    <w:rsid w:val="79883E85"/>
    <w:rsid w:val="79E48F4A"/>
    <w:rsid w:val="7F533F6F"/>
    <w:rsid w:val="7F76D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F0D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9B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929B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929B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929B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929B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929B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929B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929B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styleId="QuoteChar" w:customStyle="1">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B27D0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7D07"/>
  </w:style>
  <w:style w:type="paragraph" w:styleId="Footer">
    <w:name w:val="footer"/>
    <w:basedOn w:val="Normal"/>
    <w:link w:val="FooterChar"/>
    <w:uiPriority w:val="99"/>
    <w:unhideWhenUsed/>
    <w:rsid w:val="00B27D0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7D07"/>
  </w:style>
  <w:style w:type="table" w:styleId="TableGrid">
    <w:name w:val="Table Grid"/>
    <w:basedOn w:val="TableNormal"/>
    <w:uiPriority w:val="59"/>
    <w:rsid w:val="00B27D07"/>
    <w:pPr>
      <w:spacing w:after="0" w:line="240" w:lineRule="auto"/>
    </w:pPr>
    <w:rPr>
      <w:rFonts w:eastAsiaTheme="minorEastAsia"/>
      <w:kern w:val="0"/>
      <w:sz w:val="22"/>
      <w:szCs w:val="22"/>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4A1EE8"/>
    <w:rPr>
      <w:color w:val="467886" w:themeColor="hyperlink"/>
      <w:u w:val="single"/>
    </w:rPr>
  </w:style>
  <w:style w:type="character" w:styleId="UnresolvedMention">
    <w:name w:val="Unresolved Mention"/>
    <w:basedOn w:val="DefaultParagraphFont"/>
    <w:uiPriority w:val="99"/>
    <w:semiHidden/>
    <w:unhideWhenUsed/>
    <w:rsid w:val="004A1EE8"/>
    <w:rPr>
      <w:color w:val="605E5C"/>
      <w:shd w:val="clear" w:color="auto" w:fill="E1DFDD"/>
    </w:rPr>
  </w:style>
  <w:style w:type="paragraph" w:styleId="TOCHeading">
    <w:name w:val="TOC Heading"/>
    <w:basedOn w:val="Heading1"/>
    <w:next w:val="Normal"/>
    <w:uiPriority w:val="39"/>
    <w:unhideWhenUsed/>
    <w:qFormat/>
    <w:rsid w:val="000360B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360B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arxiv.org/abs/2112.00395" TargetMode="Externa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image" Target="media/image6.png"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ibm.com/docs/en/spss-statistics"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89A8A-C4F4-4E0B-99A1-42BC64C4268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Adrian Merisan (2226309)</lastModifiedBy>
  <revision>4</revision>
  <dcterms:created xsi:type="dcterms:W3CDTF">2026-07-14T08:23:00.0000000Z</dcterms:created>
  <dcterms:modified xsi:type="dcterms:W3CDTF">2026-07-19T11:41:18.9931266Z</dcterms:modified>
</coreProperties>
</file>