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5" w14:textId="1C896051" w:rsidR="00A5212E" w:rsidRDefault="00A5212E" w:rsidP="00736696">
      <w:pPr>
        <w:pStyle w:val="Title"/>
        <w:rPr>
          <w:b/>
          <w:bCs/>
        </w:rPr>
      </w:pPr>
      <w:bookmarkStart w:id="0" w:name="_879iz04e850a" w:colFirst="0" w:colLast="0"/>
      <w:bookmarkStart w:id="1" w:name="_k3xpsh9cpee2" w:colFirst="0" w:colLast="0"/>
      <w:bookmarkStart w:id="2" w:name="_r9u5yud5a191" w:colFirst="0" w:colLast="0"/>
      <w:bookmarkStart w:id="3" w:name="_qiowmhrsl239" w:colFirst="0" w:colLast="0"/>
      <w:bookmarkEnd w:id="0"/>
      <w:bookmarkEnd w:id="1"/>
      <w:bookmarkEnd w:id="2"/>
      <w:bookmarkEnd w:id="3"/>
    </w:p>
    <w:p w14:paraId="00000006" w14:textId="77777777" w:rsidR="00A5212E" w:rsidRDefault="00674780">
      <w:pPr>
        <w:pStyle w:val="Title"/>
        <w:jc w:val="center"/>
        <w:rPr>
          <w:b/>
          <w:bCs/>
        </w:rPr>
      </w:pPr>
      <w:bookmarkStart w:id="4" w:name="_oj1t9xt19o65" w:colFirst="0" w:colLast="0"/>
      <w:bookmarkEnd w:id="4"/>
      <w:r>
        <w:rPr>
          <w:b/>
          <w:bCs/>
        </w:rPr>
        <w:t xml:space="preserve">Case Study Report: </w:t>
      </w:r>
      <w:proofErr w:type="spellStart"/>
      <w:r>
        <w:rPr>
          <w:b/>
          <w:bCs/>
        </w:rPr>
        <w:t>Mrs</w:t>
      </w:r>
      <w:proofErr w:type="spellEnd"/>
      <w:r>
        <w:rPr>
          <w:b/>
          <w:bCs/>
        </w:rPr>
        <w:t xml:space="preserve"> Mann</w:t>
      </w:r>
    </w:p>
    <w:p w14:paraId="00000007" w14:textId="77777777" w:rsidR="00A5212E" w:rsidRDefault="00A5212E">
      <w:pPr>
        <w:spacing w:line="360" w:lineRule="auto"/>
        <w:jc w:val="both"/>
      </w:pPr>
    </w:p>
    <w:p w14:paraId="00000008" w14:textId="77777777" w:rsidR="00A5212E" w:rsidRDefault="00A5212E">
      <w:pPr>
        <w:spacing w:line="360" w:lineRule="auto"/>
        <w:jc w:val="both"/>
      </w:pPr>
    </w:p>
    <w:p w14:paraId="00000009" w14:textId="3FD71E61" w:rsidR="00A5212E" w:rsidRDefault="00674780">
      <w:pPr>
        <w:spacing w:line="360" w:lineRule="auto"/>
        <w:jc w:val="both"/>
      </w:pPr>
      <w:r>
        <w:t xml:space="preserve">Student name: </w:t>
      </w:r>
      <w:r w:rsidR="00CD28EA">
        <w:t xml:space="preserve">Anila </w:t>
      </w:r>
      <w:proofErr w:type="spellStart"/>
      <w:r w:rsidR="00CD28EA">
        <w:t>mansoor</w:t>
      </w:r>
      <w:proofErr w:type="spellEnd"/>
      <w:r w:rsidR="00CD28EA">
        <w:t xml:space="preserve"> </w:t>
      </w:r>
    </w:p>
    <w:p w14:paraId="0000000A" w14:textId="5536E554" w:rsidR="00A5212E" w:rsidRDefault="00674780">
      <w:pPr>
        <w:spacing w:line="360" w:lineRule="auto"/>
        <w:jc w:val="both"/>
      </w:pPr>
      <w:r>
        <w:t xml:space="preserve">Student ID number: </w:t>
      </w:r>
      <w:r w:rsidR="00CD28EA">
        <w:t>2433628</w:t>
      </w:r>
    </w:p>
    <w:p w14:paraId="0000000B" w14:textId="77777777" w:rsidR="00A5212E" w:rsidRDefault="00674780">
      <w:pPr>
        <w:spacing w:line="360" w:lineRule="auto"/>
        <w:jc w:val="both"/>
      </w:pPr>
      <w:proofErr w:type="spellStart"/>
      <w:r>
        <w:t>Programme</w:t>
      </w:r>
      <w:proofErr w:type="spellEnd"/>
      <w:r>
        <w:t xml:space="preserve">: Certificate of Higher Education Skills for the Workplace (Health &amp; Social Care) </w:t>
      </w:r>
    </w:p>
    <w:p w14:paraId="0000000C" w14:textId="77777777" w:rsidR="00A5212E" w:rsidRDefault="00674780">
      <w:pPr>
        <w:spacing w:line="360" w:lineRule="auto"/>
        <w:jc w:val="both"/>
      </w:pPr>
      <w:r>
        <w:t xml:space="preserve">Module: Introduction to Health and Social Care </w:t>
      </w:r>
    </w:p>
    <w:p w14:paraId="0000000D" w14:textId="77777777" w:rsidR="00A5212E" w:rsidRPr="00CD28EA" w:rsidRDefault="00674780">
      <w:pPr>
        <w:spacing w:line="360" w:lineRule="auto"/>
        <w:jc w:val="both"/>
        <w:rPr>
          <w:lang w:val="fr-FR"/>
        </w:rPr>
      </w:pPr>
      <w:r w:rsidRPr="00CD28EA">
        <w:rPr>
          <w:lang w:val="fr-FR"/>
        </w:rPr>
        <w:t xml:space="preserve">Module code: LCHS4003 </w:t>
      </w:r>
    </w:p>
    <w:p w14:paraId="0000000E" w14:textId="44F4B1AD" w:rsidR="00A5212E" w:rsidRPr="00CD28EA" w:rsidRDefault="00674780">
      <w:pPr>
        <w:spacing w:line="360" w:lineRule="auto"/>
        <w:jc w:val="both"/>
        <w:rPr>
          <w:lang w:val="en-GB"/>
        </w:rPr>
      </w:pPr>
      <w:r w:rsidRPr="00CD28EA">
        <w:rPr>
          <w:lang w:val="en-GB"/>
        </w:rPr>
        <w:t xml:space="preserve">Lecturer: </w:t>
      </w:r>
      <w:r w:rsidR="00CD28EA" w:rsidRPr="00CD28EA">
        <w:rPr>
          <w:lang w:val="en-GB"/>
        </w:rPr>
        <w:t>A</w:t>
      </w:r>
      <w:r w:rsidR="00CD28EA">
        <w:rPr>
          <w:lang w:val="en-GB"/>
        </w:rPr>
        <w:t>ishat Bakra</w:t>
      </w:r>
    </w:p>
    <w:p w14:paraId="0000000F" w14:textId="77777777" w:rsidR="00A5212E" w:rsidRPr="00CD28EA" w:rsidRDefault="00A5212E">
      <w:pPr>
        <w:spacing w:line="360" w:lineRule="auto"/>
        <w:jc w:val="both"/>
        <w:rPr>
          <w:lang w:val="en-GB"/>
        </w:rPr>
      </w:pPr>
    </w:p>
    <w:p w14:paraId="00000010" w14:textId="77777777" w:rsidR="00A5212E" w:rsidRPr="00CD28EA" w:rsidRDefault="00A5212E">
      <w:pPr>
        <w:spacing w:line="360" w:lineRule="auto"/>
        <w:jc w:val="both"/>
        <w:rPr>
          <w:lang w:val="en-GB"/>
        </w:rPr>
      </w:pPr>
    </w:p>
    <w:p w14:paraId="00000011" w14:textId="77777777" w:rsidR="00A5212E" w:rsidRPr="00CD28EA" w:rsidRDefault="00A5212E">
      <w:pPr>
        <w:spacing w:line="360" w:lineRule="auto"/>
        <w:jc w:val="both"/>
        <w:rPr>
          <w:lang w:val="en-GB"/>
        </w:rPr>
      </w:pPr>
    </w:p>
    <w:p w14:paraId="00000012" w14:textId="77777777" w:rsidR="00A5212E" w:rsidRPr="00CD28EA" w:rsidRDefault="00A5212E">
      <w:pPr>
        <w:spacing w:line="360" w:lineRule="auto"/>
        <w:jc w:val="both"/>
        <w:rPr>
          <w:lang w:val="en-GB"/>
        </w:rPr>
      </w:pPr>
    </w:p>
    <w:p w14:paraId="00000013" w14:textId="77777777" w:rsidR="00A5212E" w:rsidRPr="00CD28EA" w:rsidRDefault="00A5212E">
      <w:pPr>
        <w:spacing w:line="360" w:lineRule="auto"/>
        <w:jc w:val="both"/>
        <w:rPr>
          <w:lang w:val="en-GB"/>
        </w:rPr>
      </w:pPr>
    </w:p>
    <w:p w14:paraId="00000014" w14:textId="77777777" w:rsidR="00A5212E" w:rsidRPr="00CD28EA" w:rsidRDefault="00A5212E">
      <w:pPr>
        <w:spacing w:line="360" w:lineRule="auto"/>
        <w:jc w:val="both"/>
        <w:rPr>
          <w:lang w:val="en-GB"/>
        </w:rPr>
      </w:pPr>
    </w:p>
    <w:p w14:paraId="00000015" w14:textId="77777777" w:rsidR="00A5212E" w:rsidRPr="00CD28EA" w:rsidRDefault="00A5212E">
      <w:pPr>
        <w:spacing w:line="360" w:lineRule="auto"/>
        <w:jc w:val="both"/>
        <w:rPr>
          <w:lang w:val="en-GB"/>
        </w:rPr>
      </w:pPr>
    </w:p>
    <w:p w14:paraId="00000016" w14:textId="77777777" w:rsidR="00A5212E" w:rsidRPr="00CD28EA" w:rsidRDefault="00A5212E">
      <w:pPr>
        <w:spacing w:line="360" w:lineRule="auto"/>
        <w:jc w:val="both"/>
        <w:rPr>
          <w:lang w:val="en-GB"/>
        </w:rPr>
      </w:pPr>
    </w:p>
    <w:p w14:paraId="00000017" w14:textId="77777777" w:rsidR="00A5212E" w:rsidRPr="00CD28EA" w:rsidRDefault="00A5212E">
      <w:pPr>
        <w:spacing w:line="360" w:lineRule="auto"/>
        <w:jc w:val="both"/>
        <w:rPr>
          <w:lang w:val="en-GB"/>
        </w:rPr>
      </w:pPr>
    </w:p>
    <w:p w14:paraId="00000018" w14:textId="77777777" w:rsidR="00A5212E" w:rsidRPr="00CD28EA" w:rsidRDefault="00A5212E">
      <w:pPr>
        <w:spacing w:line="360" w:lineRule="auto"/>
        <w:jc w:val="both"/>
        <w:rPr>
          <w:lang w:val="en-GB"/>
        </w:rPr>
      </w:pPr>
    </w:p>
    <w:p w14:paraId="00000019" w14:textId="77777777" w:rsidR="00A5212E" w:rsidRPr="00CD28EA" w:rsidRDefault="00A5212E">
      <w:pPr>
        <w:spacing w:line="360" w:lineRule="auto"/>
        <w:jc w:val="both"/>
        <w:rPr>
          <w:lang w:val="en-GB"/>
        </w:rPr>
      </w:pPr>
    </w:p>
    <w:p w14:paraId="0000001A" w14:textId="77777777" w:rsidR="00A5212E" w:rsidRPr="00CD28EA" w:rsidRDefault="00A5212E">
      <w:pPr>
        <w:spacing w:line="360" w:lineRule="auto"/>
        <w:jc w:val="both"/>
        <w:rPr>
          <w:lang w:val="en-GB"/>
        </w:rPr>
      </w:pPr>
    </w:p>
    <w:p w14:paraId="0000001B" w14:textId="77777777" w:rsidR="00A5212E" w:rsidRPr="00CD28EA" w:rsidRDefault="00A5212E">
      <w:pPr>
        <w:spacing w:line="360" w:lineRule="auto"/>
        <w:jc w:val="both"/>
        <w:rPr>
          <w:lang w:val="en-GB"/>
        </w:rPr>
      </w:pPr>
    </w:p>
    <w:p w14:paraId="0000001C" w14:textId="745C1D64" w:rsidR="00A5212E" w:rsidRPr="00CD28EA" w:rsidRDefault="00A5212E">
      <w:pPr>
        <w:spacing w:line="360" w:lineRule="auto"/>
        <w:jc w:val="both"/>
        <w:rPr>
          <w:lang w:val="en-GB"/>
        </w:rPr>
      </w:pPr>
    </w:p>
    <w:p w14:paraId="0CE08563" w14:textId="0BD8C841" w:rsidR="00736696" w:rsidRPr="00CD28EA" w:rsidRDefault="00736696">
      <w:pPr>
        <w:spacing w:line="360" w:lineRule="auto"/>
        <w:jc w:val="both"/>
        <w:rPr>
          <w:lang w:val="en-GB"/>
        </w:rPr>
      </w:pPr>
    </w:p>
    <w:p w14:paraId="16870E4D" w14:textId="4B9C4821" w:rsidR="00736696" w:rsidRPr="00CD28EA" w:rsidRDefault="00736696">
      <w:pPr>
        <w:spacing w:line="360" w:lineRule="auto"/>
        <w:jc w:val="both"/>
        <w:rPr>
          <w:lang w:val="en-GB"/>
        </w:rPr>
      </w:pPr>
    </w:p>
    <w:p w14:paraId="45880848" w14:textId="32AF6DA4" w:rsidR="00736696" w:rsidRPr="00CD28EA" w:rsidRDefault="00736696">
      <w:pPr>
        <w:spacing w:line="360" w:lineRule="auto"/>
        <w:jc w:val="both"/>
        <w:rPr>
          <w:lang w:val="en-GB"/>
        </w:rPr>
      </w:pPr>
    </w:p>
    <w:p w14:paraId="0F0DFD34" w14:textId="2D01FCA2" w:rsidR="00736696" w:rsidRPr="00CD28EA" w:rsidRDefault="00736696">
      <w:pPr>
        <w:spacing w:line="360" w:lineRule="auto"/>
        <w:jc w:val="both"/>
        <w:rPr>
          <w:lang w:val="en-GB"/>
        </w:rPr>
      </w:pPr>
    </w:p>
    <w:p w14:paraId="4045ABB8" w14:textId="2BD77E8E" w:rsidR="00736696" w:rsidRPr="00CD28EA" w:rsidRDefault="00736696">
      <w:pPr>
        <w:spacing w:line="360" w:lineRule="auto"/>
        <w:jc w:val="both"/>
        <w:rPr>
          <w:lang w:val="en-GB"/>
        </w:rPr>
      </w:pPr>
    </w:p>
    <w:p w14:paraId="051ED6DF" w14:textId="462C19FD" w:rsidR="00736696" w:rsidRPr="00CD28EA" w:rsidRDefault="00736696">
      <w:pPr>
        <w:spacing w:line="360" w:lineRule="auto"/>
        <w:jc w:val="both"/>
        <w:rPr>
          <w:lang w:val="en-GB"/>
        </w:rPr>
      </w:pPr>
    </w:p>
    <w:p w14:paraId="24EDD8AD" w14:textId="77777777" w:rsidR="00736696" w:rsidRPr="00CD28EA" w:rsidRDefault="00736696">
      <w:pPr>
        <w:spacing w:line="360" w:lineRule="auto"/>
        <w:jc w:val="both"/>
        <w:rPr>
          <w:lang w:val="en-GB"/>
        </w:rPr>
      </w:pPr>
    </w:p>
    <w:p w14:paraId="0000001D" w14:textId="77777777" w:rsidR="00A5212E" w:rsidRPr="00CD28EA" w:rsidRDefault="00A5212E">
      <w:pPr>
        <w:spacing w:line="360" w:lineRule="auto"/>
        <w:jc w:val="both"/>
        <w:rPr>
          <w:lang w:val="en-GB"/>
        </w:rPr>
      </w:pPr>
    </w:p>
    <w:p w14:paraId="0000001E" w14:textId="77777777" w:rsidR="00A5212E" w:rsidRDefault="00674780">
      <w:pPr>
        <w:spacing w:line="360" w:lineRule="auto"/>
        <w:jc w:val="center"/>
        <w:rPr>
          <w:b/>
          <w:bCs/>
          <w:sz w:val="26"/>
          <w:szCs w:val="26"/>
        </w:rPr>
      </w:pPr>
      <w:r>
        <w:rPr>
          <w:b/>
          <w:bCs/>
          <w:sz w:val="26"/>
          <w:szCs w:val="26"/>
        </w:rPr>
        <w:lastRenderedPageBreak/>
        <w:t>Table of Contents</w:t>
      </w:r>
    </w:p>
    <w:sdt>
      <w:sdtPr>
        <w:id w:val="392005954"/>
        <w:docPartObj>
          <w:docPartGallery w:val="Table of Contents"/>
          <w:docPartUnique/>
        </w:docPartObj>
      </w:sdtPr>
      <w:sdtEndPr/>
      <w:sdtContent>
        <w:p w14:paraId="0000001F" w14:textId="77777777" w:rsidR="00A5212E" w:rsidRDefault="00674780">
          <w:pPr>
            <w:widowControl w:val="0"/>
            <w:tabs>
              <w:tab w:val="right" w:pos="12000"/>
            </w:tabs>
            <w:spacing w:before="60" w:line="360" w:lineRule="auto"/>
            <w:rPr>
              <w:b/>
              <w:bCs/>
              <w:color w:val="000000"/>
            </w:rPr>
          </w:pPr>
          <w:r>
            <w:fldChar w:fldCharType="begin"/>
          </w:r>
          <w:r>
            <w:instrText xml:space="preserve"> TOC \h \u \z \t "Heading 1,1,Heading 2,2,Heading 3,3,Heading 4,4,Heading 5,5,Heading 6,6,"</w:instrText>
          </w:r>
          <w:r>
            <w:fldChar w:fldCharType="separate"/>
          </w:r>
          <w:hyperlink w:anchor="_an2ch1fh8v89">
            <w:r>
              <w:rPr>
                <w:b/>
                <w:bCs/>
                <w:color w:val="000000"/>
              </w:rPr>
              <w:t>Introduction</w:t>
            </w:r>
            <w:r>
              <w:rPr>
                <w:b/>
                <w:bCs/>
                <w:color w:val="000000"/>
              </w:rPr>
              <w:tab/>
              <w:t>3</w:t>
            </w:r>
          </w:hyperlink>
        </w:p>
        <w:p w14:paraId="00000021" w14:textId="25008367" w:rsidR="00A5212E" w:rsidRDefault="00674780" w:rsidP="00CD28EA">
          <w:pPr>
            <w:widowControl w:val="0"/>
            <w:tabs>
              <w:tab w:val="right" w:pos="12000"/>
            </w:tabs>
            <w:spacing w:before="60" w:line="360" w:lineRule="auto"/>
          </w:pPr>
          <w:hyperlink w:anchor="_eyz5juu5ouns">
            <w:r>
              <w:rPr>
                <w:b/>
                <w:bCs/>
                <w:color w:val="000000"/>
              </w:rPr>
              <w:t>1. Effective Communication</w:t>
            </w:r>
            <w:r>
              <w:rPr>
                <w:b/>
                <w:bCs/>
                <w:color w:val="000000"/>
              </w:rPr>
              <w:tab/>
              <w:t>3</w:t>
            </w:r>
          </w:hyperlink>
        </w:p>
        <w:p w14:paraId="4E20E5E3" w14:textId="4E6849BD" w:rsidR="00CD28EA" w:rsidRDefault="00CD28EA" w:rsidP="00CD28EA">
          <w:pPr>
            <w:widowControl w:val="0"/>
            <w:tabs>
              <w:tab w:val="right" w:pos="12000"/>
            </w:tabs>
            <w:spacing w:before="60" w:line="360" w:lineRule="auto"/>
            <w:rPr>
              <w:color w:val="000000"/>
            </w:rPr>
          </w:pPr>
          <w:r>
            <w:t>BERLO Model communication :</w:t>
          </w:r>
        </w:p>
        <w:p w14:paraId="00000022" w14:textId="77777777" w:rsidR="00A5212E" w:rsidRDefault="00674780">
          <w:pPr>
            <w:widowControl w:val="0"/>
            <w:tabs>
              <w:tab w:val="right" w:pos="12000"/>
            </w:tabs>
            <w:spacing w:before="60" w:line="360" w:lineRule="auto"/>
            <w:rPr>
              <w:b/>
              <w:bCs/>
              <w:color w:val="000000"/>
            </w:rPr>
          </w:pPr>
          <w:hyperlink w:anchor="_z1fuorveao1n">
            <w:r>
              <w:rPr>
                <w:b/>
                <w:bCs/>
                <w:color w:val="000000"/>
              </w:rPr>
              <w:t>2. Administrative and Record-Keeping Skills</w:t>
            </w:r>
            <w:r>
              <w:rPr>
                <w:b/>
                <w:bCs/>
                <w:color w:val="000000"/>
              </w:rPr>
              <w:tab/>
              <w:t>5</w:t>
            </w:r>
          </w:hyperlink>
        </w:p>
        <w:p w14:paraId="00000023" w14:textId="77777777" w:rsidR="00A5212E" w:rsidRDefault="00674780">
          <w:pPr>
            <w:widowControl w:val="0"/>
            <w:tabs>
              <w:tab w:val="right" w:pos="12000"/>
            </w:tabs>
            <w:spacing w:before="60" w:line="360" w:lineRule="auto"/>
            <w:rPr>
              <w:b/>
              <w:bCs/>
              <w:color w:val="000000"/>
            </w:rPr>
          </w:pPr>
          <w:hyperlink w:anchor="_ipkp4fob39yo">
            <w:r>
              <w:rPr>
                <w:b/>
                <w:bCs/>
                <w:color w:val="000000"/>
              </w:rPr>
              <w:t>3. Collaborative and Multi-Agency Working</w:t>
            </w:r>
            <w:r>
              <w:rPr>
                <w:b/>
                <w:bCs/>
                <w:color w:val="000000"/>
              </w:rPr>
              <w:tab/>
              <w:t>6</w:t>
            </w:r>
          </w:hyperlink>
        </w:p>
        <w:p w14:paraId="00000024" w14:textId="77777777" w:rsidR="00A5212E" w:rsidRDefault="00674780">
          <w:pPr>
            <w:widowControl w:val="0"/>
            <w:tabs>
              <w:tab w:val="right" w:pos="12000"/>
            </w:tabs>
            <w:spacing w:before="60" w:line="360" w:lineRule="auto"/>
            <w:rPr>
              <w:b/>
              <w:bCs/>
              <w:color w:val="000000"/>
            </w:rPr>
          </w:pPr>
          <w:hyperlink w:anchor="_hbcuxc2xckpj">
            <w:r>
              <w:rPr>
                <w:b/>
                <w:bCs/>
                <w:color w:val="000000"/>
              </w:rPr>
              <w:t>Conclusion</w:t>
            </w:r>
            <w:r>
              <w:rPr>
                <w:b/>
                <w:bCs/>
                <w:color w:val="000000"/>
              </w:rPr>
              <w:tab/>
              <w:t>7</w:t>
            </w:r>
          </w:hyperlink>
        </w:p>
        <w:p w14:paraId="00000025" w14:textId="77777777" w:rsidR="00A5212E" w:rsidRDefault="00674780">
          <w:pPr>
            <w:widowControl w:val="0"/>
            <w:tabs>
              <w:tab w:val="right" w:pos="12000"/>
            </w:tabs>
            <w:spacing w:before="60" w:line="360" w:lineRule="auto"/>
            <w:rPr>
              <w:b/>
              <w:bCs/>
              <w:color w:val="000000"/>
            </w:rPr>
          </w:pPr>
          <w:hyperlink w:anchor="_n81kmrrncr1g">
            <w:r>
              <w:rPr>
                <w:b/>
                <w:bCs/>
                <w:color w:val="000000"/>
              </w:rPr>
              <w:t>References</w:t>
            </w:r>
            <w:r>
              <w:rPr>
                <w:b/>
                <w:bCs/>
                <w:color w:val="000000"/>
              </w:rPr>
              <w:tab/>
              <w:t>8</w:t>
            </w:r>
          </w:hyperlink>
          <w:r>
            <w:fldChar w:fldCharType="end"/>
          </w:r>
        </w:p>
      </w:sdtContent>
    </w:sdt>
    <w:p w14:paraId="00000026" w14:textId="77777777" w:rsidR="00A5212E" w:rsidRDefault="00A5212E">
      <w:pPr>
        <w:spacing w:line="360" w:lineRule="auto"/>
        <w:jc w:val="both"/>
      </w:pPr>
    </w:p>
    <w:p w14:paraId="00000027" w14:textId="77777777" w:rsidR="00A5212E" w:rsidRDefault="00A5212E">
      <w:pPr>
        <w:pStyle w:val="Heading1"/>
        <w:spacing w:line="360" w:lineRule="auto"/>
        <w:jc w:val="both"/>
        <w:rPr>
          <w:b/>
          <w:bCs/>
          <w:sz w:val="22"/>
          <w:szCs w:val="22"/>
        </w:rPr>
      </w:pPr>
      <w:bookmarkStart w:id="5" w:name="_fnc83ntcbdyc" w:colFirst="0" w:colLast="0"/>
      <w:bookmarkEnd w:id="5"/>
    </w:p>
    <w:p w14:paraId="00000028" w14:textId="77777777" w:rsidR="00A5212E" w:rsidRDefault="00A5212E">
      <w:pPr>
        <w:pStyle w:val="Heading1"/>
        <w:spacing w:line="360" w:lineRule="auto"/>
        <w:jc w:val="both"/>
        <w:rPr>
          <w:b/>
          <w:bCs/>
          <w:sz w:val="22"/>
          <w:szCs w:val="22"/>
        </w:rPr>
      </w:pPr>
      <w:bookmarkStart w:id="6" w:name="_rqddtwx0gxak" w:colFirst="0" w:colLast="0"/>
      <w:bookmarkEnd w:id="6"/>
    </w:p>
    <w:p w14:paraId="00000029" w14:textId="77777777" w:rsidR="00A5212E" w:rsidRDefault="00A5212E">
      <w:pPr>
        <w:pStyle w:val="Heading1"/>
        <w:spacing w:line="360" w:lineRule="auto"/>
        <w:jc w:val="both"/>
        <w:rPr>
          <w:b/>
          <w:bCs/>
          <w:sz w:val="22"/>
          <w:szCs w:val="22"/>
        </w:rPr>
      </w:pPr>
      <w:bookmarkStart w:id="7" w:name="_fhrqefmv34i4" w:colFirst="0" w:colLast="0"/>
      <w:bookmarkEnd w:id="7"/>
    </w:p>
    <w:p w14:paraId="0000002A" w14:textId="77777777" w:rsidR="00A5212E" w:rsidRDefault="00A5212E">
      <w:pPr>
        <w:pStyle w:val="Heading1"/>
        <w:spacing w:line="360" w:lineRule="auto"/>
        <w:jc w:val="both"/>
        <w:rPr>
          <w:b/>
          <w:bCs/>
          <w:sz w:val="22"/>
          <w:szCs w:val="22"/>
        </w:rPr>
      </w:pPr>
      <w:bookmarkStart w:id="8" w:name="_rwi6kuxex7rg" w:colFirst="0" w:colLast="0"/>
      <w:bookmarkEnd w:id="8"/>
    </w:p>
    <w:p w14:paraId="0000002B" w14:textId="77777777" w:rsidR="00A5212E" w:rsidRDefault="00A5212E">
      <w:pPr>
        <w:pStyle w:val="Heading1"/>
        <w:spacing w:line="360" w:lineRule="auto"/>
        <w:jc w:val="both"/>
        <w:rPr>
          <w:b/>
          <w:bCs/>
          <w:sz w:val="22"/>
          <w:szCs w:val="22"/>
        </w:rPr>
      </w:pPr>
      <w:bookmarkStart w:id="9" w:name="_3s0vuo8uyjoe" w:colFirst="0" w:colLast="0"/>
      <w:bookmarkEnd w:id="9"/>
    </w:p>
    <w:p w14:paraId="0000002C" w14:textId="77777777" w:rsidR="00A5212E" w:rsidRDefault="00A5212E">
      <w:pPr>
        <w:pStyle w:val="Heading1"/>
        <w:spacing w:line="360" w:lineRule="auto"/>
        <w:jc w:val="both"/>
        <w:rPr>
          <w:b/>
          <w:bCs/>
          <w:sz w:val="22"/>
          <w:szCs w:val="22"/>
        </w:rPr>
      </w:pPr>
      <w:bookmarkStart w:id="10" w:name="_1z0y5vlc91dk" w:colFirst="0" w:colLast="0"/>
      <w:bookmarkEnd w:id="10"/>
    </w:p>
    <w:p w14:paraId="0000002D" w14:textId="77777777" w:rsidR="00A5212E" w:rsidRDefault="00A5212E">
      <w:pPr>
        <w:pStyle w:val="Heading1"/>
        <w:spacing w:line="360" w:lineRule="auto"/>
        <w:jc w:val="both"/>
        <w:rPr>
          <w:b/>
          <w:bCs/>
          <w:sz w:val="22"/>
          <w:szCs w:val="22"/>
        </w:rPr>
      </w:pPr>
      <w:bookmarkStart w:id="11" w:name="_eh14s33wg8a6" w:colFirst="0" w:colLast="0"/>
      <w:bookmarkEnd w:id="11"/>
    </w:p>
    <w:p w14:paraId="0000002E" w14:textId="77777777" w:rsidR="00A5212E" w:rsidRDefault="00A5212E">
      <w:pPr>
        <w:pStyle w:val="Heading1"/>
        <w:spacing w:line="360" w:lineRule="auto"/>
        <w:jc w:val="both"/>
        <w:rPr>
          <w:b/>
          <w:bCs/>
          <w:sz w:val="22"/>
          <w:szCs w:val="22"/>
        </w:rPr>
      </w:pPr>
      <w:bookmarkStart w:id="12" w:name="_7j7fhx1n2vsl" w:colFirst="0" w:colLast="0"/>
      <w:bookmarkEnd w:id="12"/>
    </w:p>
    <w:p w14:paraId="0000002F" w14:textId="77777777" w:rsidR="00A5212E" w:rsidRDefault="00A5212E">
      <w:pPr>
        <w:pStyle w:val="Heading1"/>
        <w:spacing w:line="360" w:lineRule="auto"/>
        <w:jc w:val="both"/>
        <w:rPr>
          <w:b/>
          <w:bCs/>
          <w:sz w:val="22"/>
          <w:szCs w:val="22"/>
        </w:rPr>
      </w:pPr>
      <w:bookmarkStart w:id="13" w:name="_928tz7yr1ucb" w:colFirst="0" w:colLast="0"/>
      <w:bookmarkEnd w:id="13"/>
    </w:p>
    <w:p w14:paraId="00000030" w14:textId="77777777" w:rsidR="00A5212E" w:rsidRDefault="00A5212E"/>
    <w:p w14:paraId="00000031" w14:textId="77777777" w:rsidR="00A5212E" w:rsidRDefault="00A5212E">
      <w:pPr>
        <w:pStyle w:val="Heading1"/>
        <w:spacing w:line="360" w:lineRule="auto"/>
        <w:jc w:val="both"/>
        <w:rPr>
          <w:b/>
          <w:bCs/>
          <w:sz w:val="22"/>
          <w:szCs w:val="22"/>
        </w:rPr>
      </w:pPr>
      <w:bookmarkStart w:id="14" w:name="_aysejlynb9ev" w:colFirst="0" w:colLast="0"/>
      <w:bookmarkEnd w:id="14"/>
    </w:p>
    <w:p w14:paraId="00000032" w14:textId="77777777" w:rsidR="00A5212E" w:rsidRDefault="00A5212E"/>
    <w:p w14:paraId="00000033" w14:textId="77777777" w:rsidR="00A5212E" w:rsidRDefault="00674780">
      <w:pPr>
        <w:pStyle w:val="Heading1"/>
        <w:spacing w:line="360" w:lineRule="auto"/>
        <w:jc w:val="both"/>
        <w:rPr>
          <w:b/>
          <w:bCs/>
          <w:sz w:val="22"/>
          <w:szCs w:val="22"/>
        </w:rPr>
      </w:pPr>
      <w:bookmarkStart w:id="15" w:name="_an2ch1fh8v89" w:colFirst="0" w:colLast="0"/>
      <w:bookmarkEnd w:id="15"/>
      <w:r>
        <w:rPr>
          <w:b/>
          <w:bCs/>
          <w:sz w:val="22"/>
          <w:szCs w:val="22"/>
        </w:rPr>
        <w:lastRenderedPageBreak/>
        <w:t>Introduction</w:t>
      </w:r>
    </w:p>
    <w:p w14:paraId="00000034" w14:textId="6352409D" w:rsidR="00A5212E" w:rsidRDefault="00674780">
      <w:pPr>
        <w:spacing w:line="360" w:lineRule="auto"/>
        <w:jc w:val="both"/>
      </w:pPr>
      <w:r>
        <w:t xml:space="preserve">This report presents a case study of a 72-year-old woman, </w:t>
      </w:r>
      <w:proofErr w:type="spellStart"/>
      <w:r>
        <w:t>Mrs</w:t>
      </w:r>
      <w:proofErr w:type="spellEnd"/>
      <w:r>
        <w:t xml:space="preserve"> Mann, who has recently left the hospital following hip replacement surgery. She is alone and her domiciliary care is twice a day, supplemented by her daughter, her general practitioner (GP) and a community physiotherapist</w:t>
      </w:r>
      <w:r w:rsidR="00736696">
        <w:t xml:space="preserve"> (Malik et al., 2022)</w:t>
      </w:r>
      <w:r>
        <w:t xml:space="preserve">. The communication challenges have been caused by the fact that </w:t>
      </w:r>
      <w:proofErr w:type="spellStart"/>
      <w:r>
        <w:t>Mrs</w:t>
      </w:r>
      <w:proofErr w:type="spellEnd"/>
      <w:r>
        <w:t xml:space="preserve"> Mann speaks Urdu as her mother tongue, and a recent case involving drug refusal brought about flaws in documentation and communication among specialists. The case also represents general difficulties encountered in health and social-care practice where the ability to communicate effectively, keep accurate records and work as a team is critical to patient safety and continuity of care. Three aspects will be discussed in this report: effective communication within the Equality Act 2010 with </w:t>
      </w:r>
      <w:proofErr w:type="spellStart"/>
      <w:r>
        <w:t>Mrs</w:t>
      </w:r>
      <w:proofErr w:type="spellEnd"/>
      <w:r>
        <w:t xml:space="preserve"> Mann and her family, the importance of administrative and record-keeping skills under the Data Protection Act 2018, and working in collaboration with other agencies to provide a person-</w:t>
      </w:r>
      <w:proofErr w:type="spellStart"/>
      <w:r>
        <w:t>centred</w:t>
      </w:r>
      <w:proofErr w:type="spellEnd"/>
      <w:r>
        <w:t xml:space="preserve"> approach</w:t>
      </w:r>
      <w:r w:rsidR="00783B8B">
        <w:t xml:space="preserve"> (Vuong et al., 2025)</w:t>
      </w:r>
      <w:r>
        <w:t>.</w:t>
      </w:r>
    </w:p>
    <w:p w14:paraId="00000035" w14:textId="77777777" w:rsidR="00A5212E" w:rsidRDefault="00674780">
      <w:pPr>
        <w:pStyle w:val="Heading1"/>
        <w:numPr>
          <w:ilvl w:val="0"/>
          <w:numId w:val="2"/>
        </w:numPr>
        <w:spacing w:line="360" w:lineRule="auto"/>
        <w:jc w:val="both"/>
        <w:rPr>
          <w:b/>
          <w:bCs/>
          <w:sz w:val="22"/>
          <w:szCs w:val="22"/>
        </w:rPr>
      </w:pPr>
      <w:bookmarkStart w:id="16" w:name="_eyz5juu5ouns" w:colFirst="0" w:colLast="0"/>
      <w:bookmarkEnd w:id="16"/>
      <w:r>
        <w:rPr>
          <w:b/>
          <w:bCs/>
          <w:sz w:val="22"/>
          <w:szCs w:val="22"/>
        </w:rPr>
        <w:t>Effective Communication</w:t>
      </w:r>
    </w:p>
    <w:p w14:paraId="00000036" w14:textId="0FAC1492" w:rsidR="00A5212E" w:rsidRDefault="00674780">
      <w:pPr>
        <w:spacing w:line="360" w:lineRule="auto"/>
        <w:jc w:val="both"/>
      </w:pPr>
      <w:r>
        <w:t>Safe, compassionate and person-</w:t>
      </w:r>
      <w:proofErr w:type="spellStart"/>
      <w:r>
        <w:t>centred</w:t>
      </w:r>
      <w:proofErr w:type="spellEnd"/>
      <w:r>
        <w:t xml:space="preserve"> care is built on communication. In the case of </w:t>
      </w:r>
      <w:proofErr w:type="spellStart"/>
      <w:r>
        <w:t>Mrs</w:t>
      </w:r>
      <w:proofErr w:type="spellEnd"/>
      <w:r>
        <w:t xml:space="preserve"> Mann, it is important that all the members of the care team understand clearly the needs, preferences, and progress of her recovery. Ineffective communication, in turn, may result in clinical mistakes, a lack of medication change requests, and diminished service trust</w:t>
      </w:r>
      <w:r w:rsidR="00783B8B">
        <w:t xml:space="preserve"> (</w:t>
      </w:r>
      <w:r w:rsidR="00783B8B" w:rsidRPr="00783B8B">
        <w:t>Alhur</w:t>
      </w:r>
      <w:r w:rsidR="00783B8B">
        <w:t xml:space="preserve"> et al., 2024)</w:t>
      </w:r>
      <w:r>
        <w:t>.</w:t>
      </w:r>
    </w:p>
    <w:p w14:paraId="00000037" w14:textId="77777777" w:rsidR="00A5212E" w:rsidRDefault="00674780">
      <w:pPr>
        <w:spacing w:line="360" w:lineRule="auto"/>
        <w:jc w:val="both"/>
      </w:pPr>
      <w:r>
        <w:t xml:space="preserve">Since English is not the native language of </w:t>
      </w:r>
      <w:proofErr w:type="spellStart"/>
      <w:r>
        <w:t>Mrs</w:t>
      </w:r>
      <w:proofErr w:type="spellEnd"/>
      <w:r>
        <w:t xml:space="preserve"> Mann, carers should consider </w:t>
      </w:r>
      <w:proofErr w:type="spellStart"/>
      <w:r>
        <w:t>practising</w:t>
      </w:r>
      <w:proofErr w:type="spellEnd"/>
      <w:r>
        <w:t xml:space="preserve"> inclusive communication that is consistent with the Equality Act 2010, which stipulates that services should be free of discrimination and encourage equal access (Legislation.gov.uk, 2010). Language should not be a barrier to access to safe care. By availing information in a format that she can understand (through translation of documents or through the services of an interpreter) she will be able to engage in decision-making about her rehabilitation. Culturally sensitive language should also be employed where a carer does not make assumptions about dietary, religious or family norms.</w:t>
      </w:r>
    </w:p>
    <w:p w14:paraId="00000038" w14:textId="77777777" w:rsidR="00A5212E" w:rsidRDefault="00674780">
      <w:pPr>
        <w:spacing w:line="360" w:lineRule="auto"/>
        <w:jc w:val="both"/>
        <w:rPr>
          <w:b/>
          <w:bCs/>
        </w:rPr>
      </w:pPr>
      <w:r>
        <w:rPr>
          <w:b/>
          <w:bCs/>
        </w:rPr>
        <w:t>BERLO Model of Communication:</w:t>
      </w:r>
    </w:p>
    <w:p w14:paraId="00000039" w14:textId="77777777" w:rsidR="00A5212E" w:rsidRDefault="00674780">
      <w:pPr>
        <w:spacing w:line="360" w:lineRule="auto"/>
        <w:jc w:val="both"/>
      </w:pPr>
      <w:r>
        <w:t xml:space="preserve">Regarding the case of </w:t>
      </w:r>
      <w:proofErr w:type="spellStart"/>
      <w:r>
        <w:t>Mrs</w:t>
      </w:r>
      <w:proofErr w:type="spellEnd"/>
      <w:r>
        <w:t xml:space="preserve"> Mann, SMCR model of communication developed by Berlo indicates the influence of every step of the communication process on her safety and wellbeing. In this regard, the source, which is the carers, GP and physiotherapist, should be keen to see that the message is correct and readable (e.g. information about her medication, physiotherapy exercises, </w:t>
      </w:r>
      <w:r>
        <w:lastRenderedPageBreak/>
        <w:t xml:space="preserve">or dietary advice). Because first language of </w:t>
      </w:r>
      <w:proofErr w:type="spellStart"/>
      <w:r>
        <w:t>Mrs</w:t>
      </w:r>
      <w:proofErr w:type="spellEnd"/>
      <w:r>
        <w:t xml:space="preserve"> Mann is Urdu, the inability to adjust the communication to her language requirements might lead to severe misunderstanding, as it happened in the previous case when the drug refusal was caused by the inability to explain things clearly. The care team can make sure that the message is well encoded in a manner she understands by means of an interpreter or presenting her with written materials that have been translated. This methodology supports the equality act 2010 in that </w:t>
      </w:r>
      <w:proofErr w:type="spellStart"/>
      <w:r>
        <w:t>Mrs</w:t>
      </w:r>
      <w:proofErr w:type="spellEnd"/>
      <w:r>
        <w:t xml:space="preserve"> Mann is not deprived of a language barrier and that she is in a position to contribute effectively to her own care decisions.</w:t>
      </w:r>
    </w:p>
    <w:p w14:paraId="0000003A" w14:textId="17A45961" w:rsidR="00A5212E" w:rsidRDefault="00674780">
      <w:pPr>
        <w:spacing w:line="360" w:lineRule="auto"/>
        <w:jc w:val="both"/>
      </w:pPr>
      <w:r>
        <w:t xml:space="preserve">The communication medium, whether a face-to-face or written communication or even digital communication medium, should also be well selected to fit the case of </w:t>
      </w:r>
      <w:proofErr w:type="spellStart"/>
      <w:r>
        <w:t>Mrs</w:t>
      </w:r>
      <w:proofErr w:type="spellEnd"/>
      <w:r>
        <w:t xml:space="preserve"> Mann. As an example, verbal communication when backed up with translated leaflets or pictorial materials could assist in enforcing the knowledge when paying a visit to the home. </w:t>
      </w:r>
      <w:proofErr w:type="spellStart"/>
      <w:r>
        <w:t>Mrs</w:t>
      </w:r>
      <w:proofErr w:type="spellEnd"/>
      <w:r>
        <w:t xml:space="preserve"> Mann as a receiver should be made to give feedback or it can be her daughter who can play the role of communication link or interpreter to the receiver to ensure that there is correct interpretation of information. Such a feedback loop becomes necessary to avoid additional communication failures and establish trust between </w:t>
      </w:r>
      <w:proofErr w:type="spellStart"/>
      <w:r>
        <w:t>Mrs</w:t>
      </w:r>
      <w:proofErr w:type="spellEnd"/>
      <w:r>
        <w:t xml:space="preserve"> Mann and her care providers. Using the Berlo model, the care team can develop a two-way and person-</w:t>
      </w:r>
      <w:proofErr w:type="spellStart"/>
      <w:r>
        <w:t>centred</w:t>
      </w:r>
      <w:proofErr w:type="spellEnd"/>
      <w:r>
        <w:t xml:space="preserve"> communication process that makes </w:t>
      </w:r>
      <w:proofErr w:type="spellStart"/>
      <w:r>
        <w:t>Mrs</w:t>
      </w:r>
      <w:proofErr w:type="spellEnd"/>
      <w:r>
        <w:t xml:space="preserve"> Mann feel heard, respected, and completely informed about her recovery- which would eventually yield greater benefits to her experience and clinical outcomes</w:t>
      </w:r>
      <w:r w:rsidR="00783B8B">
        <w:t xml:space="preserve"> (</w:t>
      </w:r>
      <w:r w:rsidR="00783B8B" w:rsidRPr="00783B8B">
        <w:t>O'Toole, 2024</w:t>
      </w:r>
      <w:r w:rsidR="00783B8B">
        <w:t>)</w:t>
      </w:r>
      <w:r>
        <w:t>.</w:t>
      </w:r>
    </w:p>
    <w:p w14:paraId="0000003B" w14:textId="77777777" w:rsidR="00A5212E" w:rsidRDefault="00674780">
      <w:pPr>
        <w:pStyle w:val="Heading1"/>
        <w:numPr>
          <w:ilvl w:val="0"/>
          <w:numId w:val="2"/>
        </w:numPr>
        <w:spacing w:line="360" w:lineRule="auto"/>
        <w:jc w:val="both"/>
        <w:rPr>
          <w:b/>
          <w:bCs/>
          <w:sz w:val="22"/>
          <w:szCs w:val="22"/>
        </w:rPr>
      </w:pPr>
      <w:bookmarkStart w:id="17" w:name="_z1fuorveao1n" w:colFirst="0" w:colLast="0"/>
      <w:bookmarkEnd w:id="17"/>
      <w:r>
        <w:rPr>
          <w:b/>
          <w:bCs/>
          <w:sz w:val="22"/>
          <w:szCs w:val="22"/>
        </w:rPr>
        <w:t>Administrative and Record-Keeping Skills</w:t>
      </w:r>
    </w:p>
    <w:p w14:paraId="0000003C" w14:textId="4F479824" w:rsidR="00A5212E" w:rsidRDefault="00674780">
      <w:pPr>
        <w:spacing w:line="360" w:lineRule="auto"/>
        <w:jc w:val="both"/>
      </w:pPr>
      <w:r>
        <w:t>Proper record-keeping is a legal, professional and ethical obligation. During domiciliary care, documentation is a chronological representation of all interventions, assessments and observations, which are vital in continuity and patient safety</w:t>
      </w:r>
      <w:r w:rsidR="00783B8B">
        <w:t xml:space="preserve"> (</w:t>
      </w:r>
      <w:proofErr w:type="spellStart"/>
      <w:r w:rsidR="00783B8B" w:rsidRPr="00783B8B">
        <w:t>Sekanina</w:t>
      </w:r>
      <w:proofErr w:type="spellEnd"/>
      <w:r w:rsidR="00783B8B">
        <w:t xml:space="preserve"> et al., 2024)</w:t>
      </w:r>
      <w:r>
        <w:t xml:space="preserve">. The case of </w:t>
      </w:r>
      <w:proofErr w:type="spellStart"/>
      <w:r>
        <w:t>Mrs</w:t>
      </w:r>
      <w:proofErr w:type="spellEnd"/>
      <w:r>
        <w:t xml:space="preserve"> Mann and the medication-delay incident that occurred recently explains how a lack of consistency in records may have a direct negative impact on the quality of care.</w:t>
      </w:r>
    </w:p>
    <w:p w14:paraId="0000003D" w14:textId="77777777" w:rsidR="00A5212E" w:rsidRDefault="00674780">
      <w:pPr>
        <w:spacing w:line="360" w:lineRule="auto"/>
        <w:jc w:val="both"/>
      </w:pPr>
      <w:r>
        <w:t xml:space="preserve">Proper administration means that written and electronic information must be complete, factual, dated, and signed. Each entry must indicate the care given, any alteration in the condition of </w:t>
      </w:r>
      <w:proofErr w:type="spellStart"/>
      <w:r>
        <w:t>Mrs</w:t>
      </w:r>
      <w:proofErr w:type="spellEnd"/>
      <w:r>
        <w:t xml:space="preserve"> Mann and interaction with other professionals. Documented accountability helps in audit trails and protects both the service user and the practitioners in the course of an investigation or a review.</w:t>
      </w:r>
    </w:p>
    <w:p w14:paraId="0000003E" w14:textId="77777777" w:rsidR="00A5212E" w:rsidRDefault="00674780">
      <w:pPr>
        <w:spacing w:line="360" w:lineRule="auto"/>
        <w:jc w:val="both"/>
      </w:pPr>
      <w:r>
        <w:t xml:space="preserve">The Data Protection Act 2018 regulates the way personal data should be processed. It demands that all information on </w:t>
      </w:r>
      <w:proofErr w:type="spellStart"/>
      <w:r>
        <w:t>Mrs</w:t>
      </w:r>
      <w:proofErr w:type="spellEnd"/>
      <w:r>
        <w:t xml:space="preserve"> Mann be done in accordance with the law, fairly, and in a transparent manner (Legislation.gov.uk, 2018). The information needs to be gathered to serve a particular purpose, it needs to be accurate and up to date, it needs to be stored in a secure way and as long as required. Domiciliary-care workers should keep paper records in locked cabinets and also </w:t>
      </w:r>
      <w:r>
        <w:lastRenderedPageBreak/>
        <w:t xml:space="preserve">password protect electronic systems to avoid </w:t>
      </w:r>
      <w:proofErr w:type="spellStart"/>
      <w:r>
        <w:t>unauthorised</w:t>
      </w:r>
      <w:proofErr w:type="spellEnd"/>
      <w:r>
        <w:t xml:space="preserve"> access. The disclosure of information to her daughter, GP, or physiotherapist must be solely on the need to know basis, and the choice of </w:t>
      </w:r>
      <w:proofErr w:type="spellStart"/>
      <w:r>
        <w:t>Mrs</w:t>
      </w:r>
      <w:proofErr w:type="spellEnd"/>
      <w:r>
        <w:t xml:space="preserve"> Mann. It is also guided by Caldicott Principles, which believe that sharing patient information must be right and justified to enhance care delivery (NHS Digital, 2021). To illustrate this, it is welcome to share with the physiotherapist any pain or mobility issues, but any personal information that does not relate directly to the therapy is a violation of confidentiality.</w:t>
      </w:r>
    </w:p>
    <w:p w14:paraId="0000003F" w14:textId="77777777" w:rsidR="00A5212E" w:rsidRDefault="00674780">
      <w:pPr>
        <w:spacing w:line="360" w:lineRule="auto"/>
        <w:jc w:val="both"/>
      </w:pPr>
      <w:r>
        <w:t xml:space="preserve">The Health and Social Care Act 2012 also mandates that providers have integrated information systems that facilitate the safe exchange of data amongst health and social-care agencies (Department of Health, 2012). The lapse in communication that occurred in the case of </w:t>
      </w:r>
      <w:proofErr w:type="spellStart"/>
      <w:r>
        <w:t>Mrs</w:t>
      </w:r>
      <w:proofErr w:type="spellEnd"/>
      <w:r>
        <w:t xml:space="preserve"> Mann could have been avoided with the use of digital care plans made available to her GP, physiotherapist, and care agency. Human error can be eliminated by training employees on the use of electronic record systems and by having daily documentation audits.</w:t>
      </w:r>
    </w:p>
    <w:p w14:paraId="00000040" w14:textId="5CC0F517" w:rsidR="00A5212E" w:rsidRDefault="00674780">
      <w:pPr>
        <w:spacing w:line="360" w:lineRule="auto"/>
        <w:jc w:val="both"/>
      </w:pPr>
      <w:r>
        <w:t xml:space="preserve">Time management, </w:t>
      </w:r>
      <w:proofErr w:type="spellStart"/>
      <w:r>
        <w:t>organisation</w:t>
      </w:r>
      <w:proofErr w:type="spellEnd"/>
      <w:r>
        <w:t xml:space="preserve"> and paying attention to details are also part of administrative competence. Records must be filled on a visit-to-visit basis to guarantee timely record keeping by carers. To ensure that corrective measures are taken promptly, supervisors should watch the care logs routinely to identify any patterns, including missed entries or discrepancies. Fundamentally, good administration is not paper based; it protects the rights of patients, upholds the law and is fundamental in making clinical decisions. The principles of the Data protection act and Caldicott guidance will ensure confidentiality and integrity throughout the multidisciplinary care pathway of </w:t>
      </w:r>
      <w:proofErr w:type="spellStart"/>
      <w:r>
        <w:t>Mrs</w:t>
      </w:r>
      <w:proofErr w:type="spellEnd"/>
      <w:r>
        <w:t xml:space="preserve"> Mann</w:t>
      </w:r>
      <w:r w:rsidR="00783B8B">
        <w:t xml:space="preserve"> (Abela, 2023)</w:t>
      </w:r>
      <w:r>
        <w:t>.</w:t>
      </w:r>
    </w:p>
    <w:p w14:paraId="00000041" w14:textId="77777777" w:rsidR="00A5212E" w:rsidRDefault="00674780">
      <w:pPr>
        <w:pStyle w:val="Heading1"/>
        <w:numPr>
          <w:ilvl w:val="0"/>
          <w:numId w:val="2"/>
        </w:numPr>
        <w:spacing w:line="360" w:lineRule="auto"/>
        <w:jc w:val="both"/>
        <w:rPr>
          <w:b/>
          <w:bCs/>
          <w:sz w:val="22"/>
          <w:szCs w:val="22"/>
        </w:rPr>
      </w:pPr>
      <w:bookmarkStart w:id="18" w:name="_ipkp4fob39yo" w:colFirst="0" w:colLast="0"/>
      <w:bookmarkEnd w:id="18"/>
      <w:r>
        <w:rPr>
          <w:b/>
          <w:bCs/>
          <w:sz w:val="22"/>
          <w:szCs w:val="22"/>
        </w:rPr>
        <w:t xml:space="preserve">Collaborative and Multi-Agency Working </w:t>
      </w:r>
    </w:p>
    <w:p w14:paraId="00000042" w14:textId="77777777" w:rsidR="00A5212E" w:rsidRDefault="00674780">
      <w:pPr>
        <w:spacing w:line="360" w:lineRule="auto"/>
        <w:jc w:val="both"/>
      </w:pPr>
      <w:r>
        <w:t xml:space="preserve">The care of </w:t>
      </w:r>
      <w:proofErr w:type="spellStart"/>
      <w:r>
        <w:t>Mrs</w:t>
      </w:r>
      <w:proofErr w:type="spellEnd"/>
      <w:r>
        <w:t xml:space="preserve"> Mann includes several professionals: her GP, community physiotherapist, and domiciliary carers, with each person possessing some special knowledge. Co-operative work will provide her with a holistic, coordinated, and needs-</w:t>
      </w:r>
      <w:proofErr w:type="spellStart"/>
      <w:r>
        <w:t>centred</w:t>
      </w:r>
      <w:proofErr w:type="spellEnd"/>
      <w:r>
        <w:t xml:space="preserve"> recovery. The rehabilitation of the patient requires the participation of one professional who cannot do everything, so collaboration is essential.</w:t>
      </w:r>
    </w:p>
    <w:p w14:paraId="00000043" w14:textId="77777777" w:rsidR="00A5212E" w:rsidRDefault="00674780">
      <w:pPr>
        <w:spacing w:line="360" w:lineRule="auto"/>
        <w:jc w:val="both"/>
      </w:pPr>
      <w:r>
        <w:t xml:space="preserve">Successful teamwork starts with common interests. Everyone should come into an agreement on the care plan and rehabilitation targets as well as the risk-management strategies in the case of </w:t>
      </w:r>
      <w:proofErr w:type="spellStart"/>
      <w:r>
        <w:t>Mrs</w:t>
      </w:r>
      <w:proofErr w:type="spellEnd"/>
      <w:r>
        <w:t xml:space="preserve"> Mann. Professionals can share updates and discover care gaps or duplications in care through regular multi-disciplinary meetings (MDTs) or virtual case conferences. An example is when the physiotherapist notifies carers of decreased mobility, the carers can adjust support schedules and the GP can provide a review of pain medication. Collaboration is rooted in open and respectful communication. The Integrated Care Approach advanced by the NHS Long Term </w:t>
      </w:r>
      <w:r>
        <w:lastRenderedPageBreak/>
        <w:t>Plan should be embraced by professionals and promote integrated services across the health and social-care sectors (NHS, 2019). Secure messaging systems and digital care records can enhance the flow of information across agencies.</w:t>
      </w:r>
    </w:p>
    <w:p w14:paraId="00000044" w14:textId="77777777" w:rsidR="00A5212E" w:rsidRDefault="00674780">
      <w:pPr>
        <w:spacing w:line="360" w:lineRule="auto"/>
        <w:jc w:val="both"/>
      </w:pPr>
      <w:r>
        <w:t xml:space="preserve">Issues that are likely to be encountered are role confusion, divergent work priorities, and lack of time to communicate. They can be overcome by defining roles, inter-professional training, and reflection through supervision. Information exchange during handovers or referrals can be </w:t>
      </w:r>
      <w:proofErr w:type="spellStart"/>
      <w:r>
        <w:t>standardised</w:t>
      </w:r>
      <w:proofErr w:type="spellEnd"/>
      <w:r>
        <w:t xml:space="preserve"> by using the SBAR framework (Situation, Background, Assessment, Recommendation), which </w:t>
      </w:r>
      <w:proofErr w:type="spellStart"/>
      <w:r>
        <w:t>minimises</w:t>
      </w:r>
      <w:proofErr w:type="spellEnd"/>
      <w:r>
        <w:t xml:space="preserve"> misunderstanding (NHS Improvement, 2018). </w:t>
      </w:r>
    </w:p>
    <w:p w14:paraId="00000045" w14:textId="03AE57AA" w:rsidR="00A5212E" w:rsidRDefault="00674780">
      <w:pPr>
        <w:spacing w:line="360" w:lineRule="auto"/>
        <w:jc w:val="both"/>
      </w:pPr>
      <w:r>
        <w:t xml:space="preserve">Mutual respect and trust is also essential. Carers should not have the fear of being judged when they are presenting their concerns to GPs or physiotherapists. Adoption of a no blame culture will enable errors to be communicated freely and joint efforts to make improvements to the system. Finally inter-professional collaboration will provide continuity of care, patient safety and help </w:t>
      </w:r>
      <w:proofErr w:type="spellStart"/>
      <w:r>
        <w:t>Mrs</w:t>
      </w:r>
      <w:proofErr w:type="spellEnd"/>
      <w:r>
        <w:t xml:space="preserve"> Mann physically and emotionally as she heals back home</w:t>
      </w:r>
      <w:r w:rsidR="001576CF">
        <w:t xml:space="preserve"> (</w:t>
      </w:r>
      <w:proofErr w:type="spellStart"/>
      <w:r w:rsidR="001576CF">
        <w:t>Amarneh</w:t>
      </w:r>
      <w:proofErr w:type="spellEnd"/>
      <w:r w:rsidR="001576CF">
        <w:t xml:space="preserve"> </w:t>
      </w:r>
      <w:r w:rsidR="001576CF" w:rsidRPr="001576CF">
        <w:t xml:space="preserve">and Al </w:t>
      </w:r>
      <w:proofErr w:type="spellStart"/>
      <w:r w:rsidR="001576CF" w:rsidRPr="001576CF">
        <w:t>Nobani</w:t>
      </w:r>
      <w:proofErr w:type="spellEnd"/>
      <w:r w:rsidR="001576CF" w:rsidRPr="001576CF">
        <w:t>, 2022</w:t>
      </w:r>
      <w:r w:rsidR="001576CF">
        <w:t>)</w:t>
      </w:r>
      <w:r>
        <w:t>.</w:t>
      </w:r>
    </w:p>
    <w:p w14:paraId="00000046" w14:textId="77777777" w:rsidR="00A5212E" w:rsidRDefault="00674780">
      <w:pPr>
        <w:pStyle w:val="Heading1"/>
        <w:spacing w:line="360" w:lineRule="auto"/>
        <w:jc w:val="both"/>
        <w:rPr>
          <w:sz w:val="22"/>
          <w:szCs w:val="22"/>
        </w:rPr>
      </w:pPr>
      <w:bookmarkStart w:id="19" w:name="_hbcuxc2xckpj" w:colFirst="0" w:colLast="0"/>
      <w:bookmarkEnd w:id="19"/>
      <w:r>
        <w:rPr>
          <w:b/>
          <w:bCs/>
          <w:sz w:val="22"/>
          <w:szCs w:val="22"/>
        </w:rPr>
        <w:t xml:space="preserve">Conclusion </w:t>
      </w:r>
    </w:p>
    <w:p w14:paraId="00000047" w14:textId="1E8D0B0C" w:rsidR="00A5212E" w:rsidRDefault="00674780">
      <w:pPr>
        <w:spacing w:line="360" w:lineRule="auto"/>
        <w:jc w:val="both"/>
      </w:pPr>
      <w:proofErr w:type="spellStart"/>
      <w:r>
        <w:t>Mrs</w:t>
      </w:r>
      <w:proofErr w:type="spellEnd"/>
      <w:r>
        <w:t xml:space="preserve"> Mann illustrates how effective communication, good administrative practice and teamwork all combine to identify the quality of care. Language barriers necessitate the use of culturally sensitive approaches that are informed by the Equality Act 2010 and organized frameworks like the SOLER to ensure dignity and understanding. To maintain confidentiality and avoid incidences such as delayed medication, precise, legal record-keeping in accordance with the Data Protection Act 2018 is required. Similarly, the multi-agency approach among carers, GPs and physiotherapists facilitates continuity, safety and rehabilitation success. To provide person-</w:t>
      </w:r>
      <w:proofErr w:type="spellStart"/>
      <w:r>
        <w:t>centred</w:t>
      </w:r>
      <w:proofErr w:type="spellEnd"/>
      <w:r>
        <w:t xml:space="preserve">, safe, and equitable care to service users such as </w:t>
      </w:r>
      <w:proofErr w:type="spellStart"/>
      <w:r>
        <w:t>Mrs</w:t>
      </w:r>
      <w:proofErr w:type="spellEnd"/>
      <w:r>
        <w:t xml:space="preserve"> Mann, the three dimensions, namely communication, documentation, and teamwork must integrate into the daily practice of health and social-care professionals</w:t>
      </w:r>
      <w:r w:rsidR="001576CF">
        <w:t xml:space="preserve"> (Tahsin et al., 2023)</w:t>
      </w:r>
      <w:r>
        <w:t>.</w:t>
      </w:r>
    </w:p>
    <w:p w14:paraId="00000048" w14:textId="77777777" w:rsidR="00A5212E" w:rsidRDefault="00A5212E">
      <w:pPr>
        <w:spacing w:line="360" w:lineRule="auto"/>
        <w:jc w:val="both"/>
      </w:pPr>
    </w:p>
    <w:p w14:paraId="00000049" w14:textId="77777777" w:rsidR="00A5212E" w:rsidRDefault="00A5212E">
      <w:pPr>
        <w:spacing w:line="360" w:lineRule="auto"/>
        <w:jc w:val="both"/>
      </w:pPr>
    </w:p>
    <w:p w14:paraId="0000004A" w14:textId="77777777" w:rsidR="00A5212E" w:rsidRDefault="00A5212E">
      <w:pPr>
        <w:spacing w:line="360" w:lineRule="auto"/>
        <w:jc w:val="both"/>
      </w:pPr>
    </w:p>
    <w:p w14:paraId="0000004B" w14:textId="77777777" w:rsidR="00A5212E" w:rsidRDefault="00A5212E">
      <w:pPr>
        <w:spacing w:line="360" w:lineRule="auto"/>
        <w:jc w:val="both"/>
      </w:pPr>
    </w:p>
    <w:p w14:paraId="0000004C" w14:textId="77777777" w:rsidR="00A5212E" w:rsidRDefault="00A5212E">
      <w:pPr>
        <w:spacing w:line="360" w:lineRule="auto"/>
        <w:jc w:val="both"/>
      </w:pPr>
    </w:p>
    <w:p w14:paraId="0000004D" w14:textId="77777777" w:rsidR="00A5212E" w:rsidRDefault="00A5212E">
      <w:pPr>
        <w:spacing w:line="360" w:lineRule="auto"/>
        <w:jc w:val="both"/>
      </w:pPr>
    </w:p>
    <w:p w14:paraId="0000004E" w14:textId="77777777" w:rsidR="00A5212E" w:rsidRDefault="00A5212E">
      <w:pPr>
        <w:spacing w:line="360" w:lineRule="auto"/>
        <w:jc w:val="both"/>
      </w:pPr>
    </w:p>
    <w:p w14:paraId="0000004F" w14:textId="77777777" w:rsidR="00A5212E" w:rsidRDefault="00674780">
      <w:pPr>
        <w:pStyle w:val="Heading1"/>
        <w:spacing w:line="360" w:lineRule="auto"/>
        <w:jc w:val="both"/>
        <w:rPr>
          <w:b/>
          <w:bCs/>
          <w:sz w:val="22"/>
          <w:szCs w:val="22"/>
        </w:rPr>
      </w:pPr>
      <w:bookmarkStart w:id="20" w:name="_n81kmrrncr1g" w:colFirst="0" w:colLast="0"/>
      <w:bookmarkEnd w:id="20"/>
      <w:r>
        <w:rPr>
          <w:b/>
          <w:bCs/>
          <w:sz w:val="22"/>
          <w:szCs w:val="22"/>
        </w:rPr>
        <w:lastRenderedPageBreak/>
        <w:t>References</w:t>
      </w:r>
    </w:p>
    <w:p w14:paraId="256EDFA6" w14:textId="77777777" w:rsidR="001576CF" w:rsidRDefault="001576CF" w:rsidP="001576CF">
      <w:pPr>
        <w:numPr>
          <w:ilvl w:val="0"/>
          <w:numId w:val="1"/>
        </w:numPr>
        <w:spacing w:after="240" w:line="360" w:lineRule="auto"/>
        <w:jc w:val="both"/>
      </w:pPr>
      <w:r>
        <w:t>Abela, S., 2023. Data protection and freedom of information. In Leadership and Management in Healthcare: A Guide for Medical and Dental Practitioners (pp. 103-107). Cham: Springer International Publishing.</w:t>
      </w:r>
    </w:p>
    <w:p w14:paraId="2986B3DB" w14:textId="77777777" w:rsidR="001576CF" w:rsidRDefault="001576CF" w:rsidP="001576CF">
      <w:pPr>
        <w:numPr>
          <w:ilvl w:val="0"/>
          <w:numId w:val="1"/>
        </w:numPr>
        <w:spacing w:after="240" w:line="360" w:lineRule="auto"/>
        <w:jc w:val="both"/>
      </w:pPr>
      <w:r>
        <w:t>Alhur, A., Alhur, A.A., Al-</w:t>
      </w:r>
      <w:proofErr w:type="spellStart"/>
      <w:r>
        <w:t>Rowais</w:t>
      </w:r>
      <w:proofErr w:type="spellEnd"/>
      <w:r>
        <w:t>, D., Asiri, S., Muslim, H., Alotaibi, D., Al-</w:t>
      </w:r>
      <w:proofErr w:type="spellStart"/>
      <w:r>
        <w:t>Rowais</w:t>
      </w:r>
      <w:proofErr w:type="spellEnd"/>
      <w:r>
        <w:t>, B., Alotaibi, F., Al-</w:t>
      </w:r>
      <w:proofErr w:type="spellStart"/>
      <w:r>
        <w:t>Hussayein</w:t>
      </w:r>
      <w:proofErr w:type="spellEnd"/>
      <w:r>
        <w:t>, S., Alamri, A. and Faya, B., 2024. Enhancing patient safety through effective interprofessional communication: A focus on medication error prevention. Cureus, 16(4).</w:t>
      </w:r>
    </w:p>
    <w:p w14:paraId="2FAE9627" w14:textId="77777777" w:rsidR="001576CF" w:rsidRDefault="001576CF" w:rsidP="001576CF">
      <w:pPr>
        <w:numPr>
          <w:ilvl w:val="0"/>
          <w:numId w:val="1"/>
        </w:numPr>
        <w:spacing w:after="240" w:line="360" w:lineRule="auto"/>
        <w:jc w:val="both"/>
      </w:pPr>
      <w:proofErr w:type="spellStart"/>
      <w:r>
        <w:t>Amarneh</w:t>
      </w:r>
      <w:proofErr w:type="spellEnd"/>
      <w:r>
        <w:t xml:space="preserve">, B.H. and Al </w:t>
      </w:r>
      <w:proofErr w:type="spellStart"/>
      <w:r>
        <w:t>Nobani</w:t>
      </w:r>
      <w:proofErr w:type="spellEnd"/>
      <w:r>
        <w:t xml:space="preserve">, F., 2022. The influence of physician-nurse collaboration on patient safety culture. </w:t>
      </w:r>
      <w:proofErr w:type="spellStart"/>
      <w:r>
        <w:t>Heliyon</w:t>
      </w:r>
      <w:proofErr w:type="spellEnd"/>
      <w:r>
        <w:t>, 8(9).</w:t>
      </w:r>
    </w:p>
    <w:p w14:paraId="57C3157B" w14:textId="77777777" w:rsidR="001576CF" w:rsidRDefault="001576CF">
      <w:pPr>
        <w:numPr>
          <w:ilvl w:val="0"/>
          <w:numId w:val="1"/>
        </w:numPr>
        <w:spacing w:before="240" w:line="360" w:lineRule="auto"/>
        <w:jc w:val="both"/>
      </w:pPr>
      <w:r>
        <w:t xml:space="preserve">Department of Health (2012) </w:t>
      </w:r>
      <w:r>
        <w:rPr>
          <w:i/>
          <w:iCs/>
        </w:rPr>
        <w:t>Health and Social Care Act 2012.</w:t>
      </w:r>
      <w:r>
        <w:t xml:space="preserve"> Available at: </w:t>
      </w:r>
      <w:hyperlink r:id="rId11">
        <w:r>
          <w:rPr>
            <w:color w:val="1155CC"/>
            <w:u w:val="single"/>
          </w:rPr>
          <w:t>https://www.legislation.gov.uk/ukpga/2012/7/contents/enacted</w:t>
        </w:r>
      </w:hyperlink>
      <w:r>
        <w:t xml:space="preserve">  (Accessed: 5 October 2025).</w:t>
      </w:r>
    </w:p>
    <w:p w14:paraId="721BFC2D" w14:textId="77777777" w:rsidR="001576CF" w:rsidRDefault="001576CF">
      <w:pPr>
        <w:numPr>
          <w:ilvl w:val="0"/>
          <w:numId w:val="1"/>
        </w:numPr>
        <w:spacing w:line="360" w:lineRule="auto"/>
        <w:jc w:val="both"/>
      </w:pPr>
      <w:r>
        <w:t xml:space="preserve">Egan, G. (1998) </w:t>
      </w:r>
      <w:r>
        <w:rPr>
          <w:i/>
          <w:iCs/>
        </w:rPr>
        <w:t>The Skilled Helper: A Problem-Management Approach to Helping.</w:t>
      </w:r>
      <w:r>
        <w:t xml:space="preserve"> 6th </w:t>
      </w:r>
      <w:proofErr w:type="spellStart"/>
      <w:r>
        <w:t>edn</w:t>
      </w:r>
      <w:proofErr w:type="spellEnd"/>
      <w:r>
        <w:t>. Pacific Grove: Brooks/Cole.</w:t>
      </w:r>
    </w:p>
    <w:p w14:paraId="36A64B26" w14:textId="77777777" w:rsidR="001576CF" w:rsidRDefault="001576CF">
      <w:pPr>
        <w:numPr>
          <w:ilvl w:val="0"/>
          <w:numId w:val="1"/>
        </w:numPr>
        <w:spacing w:line="360" w:lineRule="auto"/>
        <w:jc w:val="both"/>
      </w:pPr>
      <w:r>
        <w:t xml:space="preserve">Legislation.gov.uk (2010) </w:t>
      </w:r>
      <w:r>
        <w:rPr>
          <w:i/>
          <w:iCs/>
        </w:rPr>
        <w:t>Equality Act 2010.</w:t>
      </w:r>
      <w:r>
        <w:t xml:space="preserve"> Available at: </w:t>
      </w:r>
      <w:hyperlink r:id="rId12">
        <w:r>
          <w:rPr>
            <w:color w:val="1155CC"/>
            <w:u w:val="single"/>
          </w:rPr>
          <w:t>https://www.legislation.gov.uk/ukpga/2010/15/contents</w:t>
        </w:r>
      </w:hyperlink>
      <w:r>
        <w:t xml:space="preserve">  (Accessed: 5 October 2025).</w:t>
      </w:r>
    </w:p>
    <w:p w14:paraId="249DD3F0" w14:textId="77777777" w:rsidR="001576CF" w:rsidRDefault="001576CF">
      <w:pPr>
        <w:numPr>
          <w:ilvl w:val="0"/>
          <w:numId w:val="1"/>
        </w:numPr>
        <w:spacing w:line="360" w:lineRule="auto"/>
        <w:jc w:val="both"/>
      </w:pPr>
      <w:r>
        <w:t xml:space="preserve">Legislation.gov.uk (2018) </w:t>
      </w:r>
      <w:r>
        <w:rPr>
          <w:i/>
          <w:iCs/>
        </w:rPr>
        <w:t>Data Protection Act 2018.</w:t>
      </w:r>
      <w:r>
        <w:t xml:space="preserve"> Available at: </w:t>
      </w:r>
      <w:hyperlink r:id="rId13">
        <w:r>
          <w:rPr>
            <w:color w:val="1155CC"/>
            <w:u w:val="single"/>
          </w:rPr>
          <w:t>https://www.legislation.gov.uk/ukpga/2018/12/contents</w:t>
        </w:r>
      </w:hyperlink>
      <w:r>
        <w:t xml:space="preserve">  (Accessed: 5 October 2025).</w:t>
      </w:r>
    </w:p>
    <w:p w14:paraId="55D85D93" w14:textId="77777777" w:rsidR="001576CF" w:rsidRDefault="001576CF" w:rsidP="001576CF">
      <w:pPr>
        <w:numPr>
          <w:ilvl w:val="0"/>
          <w:numId w:val="1"/>
        </w:numPr>
        <w:spacing w:after="240" w:line="360" w:lineRule="auto"/>
        <w:jc w:val="both"/>
      </w:pPr>
      <w:r>
        <w:t xml:space="preserve">Malik, A.T., Jain, N., Frantz, T.L., Quatman, C.E., </w:t>
      </w:r>
      <w:proofErr w:type="spellStart"/>
      <w:r>
        <w:t>Phieffer</w:t>
      </w:r>
      <w:proofErr w:type="spellEnd"/>
      <w:r>
        <w:t>, L.S., Ly, T.V. and Khan, S.N., 2022. Discharge to inpatient care facilities following hip fracture surgery: incidence, risk factors, and 30-day post-discharge outcomes. Hip International, 32(1), pp.131-139.</w:t>
      </w:r>
    </w:p>
    <w:p w14:paraId="688AC3DD" w14:textId="77777777" w:rsidR="001576CF" w:rsidRDefault="001576CF">
      <w:pPr>
        <w:numPr>
          <w:ilvl w:val="0"/>
          <w:numId w:val="1"/>
        </w:numPr>
        <w:spacing w:line="360" w:lineRule="auto"/>
        <w:jc w:val="both"/>
      </w:pPr>
      <w:r>
        <w:t xml:space="preserve">NHS (2019) </w:t>
      </w:r>
      <w:r>
        <w:rPr>
          <w:i/>
          <w:iCs/>
        </w:rPr>
        <w:t>The NHS Long Term Plan.</w:t>
      </w:r>
      <w:r>
        <w:t xml:space="preserve"> Available at: </w:t>
      </w:r>
      <w:hyperlink r:id="rId14">
        <w:r>
          <w:rPr>
            <w:color w:val="1155CC"/>
            <w:u w:val="single"/>
          </w:rPr>
          <w:t>https://www.longtermplan.nhs.uk/</w:t>
        </w:r>
      </w:hyperlink>
      <w:r>
        <w:t xml:space="preserve"> (Accessed: 5 October 2025).</w:t>
      </w:r>
    </w:p>
    <w:p w14:paraId="2E88F1F8" w14:textId="77777777" w:rsidR="001576CF" w:rsidRDefault="001576CF">
      <w:pPr>
        <w:numPr>
          <w:ilvl w:val="0"/>
          <w:numId w:val="1"/>
        </w:numPr>
        <w:spacing w:line="360" w:lineRule="auto"/>
        <w:jc w:val="both"/>
      </w:pPr>
      <w:r>
        <w:t xml:space="preserve">NHS Digital (2021) </w:t>
      </w:r>
      <w:r>
        <w:rPr>
          <w:i/>
          <w:iCs/>
        </w:rPr>
        <w:t>The Caldicott Principles.</w:t>
      </w:r>
      <w:r>
        <w:t xml:space="preserve"> Available at: </w:t>
      </w:r>
      <w:hyperlink r:id="rId15">
        <w:r>
          <w:rPr>
            <w:color w:val="1155CC"/>
            <w:u w:val="single"/>
          </w:rPr>
          <w:t>https://digital.nhs.uk/data-and-information/keeping-data-safe/the-caldicott-principles</w:t>
        </w:r>
      </w:hyperlink>
      <w:r>
        <w:t xml:space="preserve">  (Accessed: 5 October 2025).</w:t>
      </w:r>
    </w:p>
    <w:p w14:paraId="56B77429" w14:textId="77777777" w:rsidR="001576CF" w:rsidRDefault="001576CF">
      <w:pPr>
        <w:numPr>
          <w:ilvl w:val="0"/>
          <w:numId w:val="1"/>
        </w:numPr>
        <w:spacing w:line="360" w:lineRule="auto"/>
        <w:jc w:val="both"/>
      </w:pPr>
      <w:r>
        <w:t xml:space="preserve">NHS England (2022) </w:t>
      </w:r>
      <w:r>
        <w:rPr>
          <w:i/>
          <w:iCs/>
        </w:rPr>
        <w:t>Guidance on Interpreting and Translation Services.</w:t>
      </w:r>
      <w:r>
        <w:t xml:space="preserve"> Available at: </w:t>
      </w:r>
      <w:hyperlink r:id="rId16">
        <w:r>
          <w:rPr>
            <w:color w:val="1155CC"/>
            <w:u w:val="single"/>
          </w:rPr>
          <w:t>https://www.england.nhs.uk/long-read/guidance-on-interpreting-and-translation-services/</w:t>
        </w:r>
      </w:hyperlink>
      <w:r>
        <w:t xml:space="preserve"> (Accessed: 5 October 2025).</w:t>
      </w:r>
    </w:p>
    <w:p w14:paraId="56F02428" w14:textId="77777777" w:rsidR="001576CF" w:rsidRDefault="001576CF">
      <w:pPr>
        <w:numPr>
          <w:ilvl w:val="0"/>
          <w:numId w:val="1"/>
        </w:numPr>
        <w:spacing w:after="240" w:line="360" w:lineRule="auto"/>
        <w:jc w:val="both"/>
      </w:pPr>
      <w:r>
        <w:t xml:space="preserve">NHS Improvement (2018) </w:t>
      </w:r>
      <w:r>
        <w:rPr>
          <w:i/>
          <w:iCs/>
        </w:rPr>
        <w:t>SBAR – Situation, Background, Assessment, Recommendation: A Communication Tool for Healthcare Professionals.</w:t>
      </w:r>
      <w:r>
        <w:t xml:space="preserve"> Available at: </w:t>
      </w:r>
      <w:hyperlink r:id="rId17">
        <w:r>
          <w:rPr>
            <w:color w:val="1155CC"/>
            <w:u w:val="single"/>
          </w:rPr>
          <w:t>https://improvement.nhs.uk/resources/sbar-communication-tool/</w:t>
        </w:r>
      </w:hyperlink>
      <w:r>
        <w:t xml:space="preserve">  (Accessed: 5 October 2025).</w:t>
      </w:r>
    </w:p>
    <w:p w14:paraId="55A7F583" w14:textId="77777777" w:rsidR="001576CF" w:rsidRDefault="001576CF" w:rsidP="001576CF">
      <w:pPr>
        <w:numPr>
          <w:ilvl w:val="0"/>
          <w:numId w:val="1"/>
        </w:numPr>
        <w:spacing w:after="240" w:line="360" w:lineRule="auto"/>
        <w:jc w:val="both"/>
      </w:pPr>
      <w:r>
        <w:t>O'Toole, G., 2024. Communication-E-Book: Core Interpersonal Skills for Healthcare Professionals. Elsevier Health Sciences.</w:t>
      </w:r>
    </w:p>
    <w:p w14:paraId="27827A68" w14:textId="77777777" w:rsidR="001576CF" w:rsidRDefault="001576CF" w:rsidP="001576CF">
      <w:pPr>
        <w:numPr>
          <w:ilvl w:val="0"/>
          <w:numId w:val="1"/>
        </w:numPr>
        <w:spacing w:after="240" w:line="360" w:lineRule="auto"/>
        <w:jc w:val="both"/>
      </w:pPr>
      <w:proofErr w:type="spellStart"/>
      <w:r w:rsidRPr="00CD28EA">
        <w:rPr>
          <w:lang w:val="de-DE"/>
        </w:rPr>
        <w:t>Sekanina</w:t>
      </w:r>
      <w:proofErr w:type="spellEnd"/>
      <w:r w:rsidRPr="00CD28EA">
        <w:rPr>
          <w:lang w:val="de-DE"/>
        </w:rPr>
        <w:t xml:space="preserve">, U., Tetzlaff, B., Mazur, A., Huckle, T., Kühn, A., Dano, R., Höckelmann, C., Scherer, M., Balzer, K., Köpke, S. and Hummers, E., 2024. </w:t>
      </w:r>
      <w:r>
        <w:t>Interprofessional collaboration in the home care setting: perspectives of people receiving home care, relatives, nurses, general practitioners, and therapists—results of a qualitative analysis. BMC Primary Care, 25(1), p.79.</w:t>
      </w:r>
    </w:p>
    <w:p w14:paraId="539EBD20" w14:textId="77777777" w:rsidR="001576CF" w:rsidRDefault="001576CF" w:rsidP="001576CF">
      <w:pPr>
        <w:numPr>
          <w:ilvl w:val="0"/>
          <w:numId w:val="1"/>
        </w:numPr>
        <w:spacing w:after="240" w:line="360" w:lineRule="auto"/>
        <w:jc w:val="both"/>
      </w:pPr>
      <w:r>
        <w:t xml:space="preserve">Tahsin, F., Armas, A., </w:t>
      </w:r>
      <w:proofErr w:type="spellStart"/>
      <w:r>
        <w:t>Kirakalaprathapan</w:t>
      </w:r>
      <w:proofErr w:type="spellEnd"/>
      <w:r>
        <w:t>, A., Kadu, M., Sritharan, J. and Steele Gray, C., 2023. Information and Communications Technologies Enabling Integrated Primary Care for Patients With Complex Care Needs: Scoping Review. Journal of Medical Internet Research, 25(1).</w:t>
      </w:r>
    </w:p>
    <w:p w14:paraId="0BCA4A32" w14:textId="77777777" w:rsidR="001576CF" w:rsidRDefault="001576CF" w:rsidP="001576CF">
      <w:pPr>
        <w:numPr>
          <w:ilvl w:val="0"/>
          <w:numId w:val="1"/>
        </w:numPr>
        <w:spacing w:after="240" w:line="360" w:lineRule="auto"/>
        <w:jc w:val="both"/>
      </w:pPr>
      <w:r>
        <w:t>Vuong, K., Barraclough, F., Bakhit, M., Magin, P. and Stephen, C., 2025. Interprofessional collaboration in general practice. The Journal of Primary Health Care.</w:t>
      </w:r>
    </w:p>
    <w:p w14:paraId="00000058" w14:textId="77777777" w:rsidR="00A5212E" w:rsidRDefault="00A5212E">
      <w:pPr>
        <w:spacing w:line="360" w:lineRule="auto"/>
        <w:jc w:val="both"/>
      </w:pPr>
    </w:p>
    <w:sectPr w:rsidR="00A5212E">
      <w:foot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ADC5D3" w14:textId="77777777" w:rsidR="00674780" w:rsidRDefault="00674780">
      <w:pPr>
        <w:spacing w:line="240" w:lineRule="auto"/>
      </w:pPr>
      <w:r>
        <w:separator/>
      </w:r>
    </w:p>
  </w:endnote>
  <w:endnote w:type="continuationSeparator" w:id="0">
    <w:p w14:paraId="0EF8A67D" w14:textId="77777777" w:rsidR="00674780" w:rsidRDefault="006747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2E1322C-B723-4BAB-8768-1D0A97BC4F2C}"/>
  </w:font>
  <w:font w:name="Cambria">
    <w:panose1 w:val="02040503050406030204"/>
    <w:charset w:val="00"/>
    <w:family w:val="roman"/>
    <w:pitch w:val="variable"/>
    <w:sig w:usb0="E00006FF" w:usb1="420024FF" w:usb2="02000000" w:usb3="00000000" w:csb0="0000019F" w:csb1="00000000"/>
    <w:embedRegular r:id="rId2" w:fontKey="{AB8BC16C-038D-423E-B534-846A55A2AD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9" w14:textId="4EB2CB2F" w:rsidR="00A5212E" w:rsidRDefault="00674780">
    <w:pPr>
      <w:jc w:val="right"/>
    </w:pPr>
    <w:r>
      <w:fldChar w:fldCharType="begin"/>
    </w:r>
    <w:r>
      <w:instrText>PAGE</w:instrText>
    </w:r>
    <w:r>
      <w:fldChar w:fldCharType="separate"/>
    </w:r>
    <w:r w:rsidR="001576CF">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9CFDA" w14:textId="77777777" w:rsidR="00674780" w:rsidRDefault="00674780">
      <w:pPr>
        <w:spacing w:line="240" w:lineRule="auto"/>
      </w:pPr>
      <w:r>
        <w:separator/>
      </w:r>
    </w:p>
  </w:footnote>
  <w:footnote w:type="continuationSeparator" w:id="0">
    <w:p w14:paraId="514C4F8F" w14:textId="77777777" w:rsidR="00674780" w:rsidRDefault="0067478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3B0AD7"/>
    <w:multiLevelType w:val="multilevel"/>
    <w:tmpl w:val="393C0C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6306929"/>
    <w:multiLevelType w:val="multilevel"/>
    <w:tmpl w:val="2810617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93229340">
    <w:abstractNumId w:val="1"/>
  </w:num>
  <w:num w:numId="2" w16cid:durableId="949243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12E"/>
    <w:rsid w:val="001576CF"/>
    <w:rsid w:val="001F5162"/>
    <w:rsid w:val="00674780"/>
    <w:rsid w:val="00736696"/>
    <w:rsid w:val="00783B8B"/>
    <w:rsid w:val="00A5212E"/>
    <w:rsid w:val="00CD2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C769D"/>
  <w15:docId w15:val="{1E3B6A36-CD04-495D-94B7-0AC49E628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pga/2018/12/content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egislation.gov.uk/ukpga/2010/15/contents" TargetMode="External"/><Relationship Id="rId17" Type="http://schemas.openxmlformats.org/officeDocument/2006/relationships/hyperlink" Target="https://improvement.nhs.uk/resources/sbar-communication-tool/" TargetMode="External"/><Relationship Id="rId2" Type="http://schemas.openxmlformats.org/officeDocument/2006/relationships/customXml" Target="../customXml/item2.xml"/><Relationship Id="rId16" Type="http://schemas.openxmlformats.org/officeDocument/2006/relationships/hyperlink" Target="https://www.england.nhs.uk/long-read/guidance-on-interpreting-and-translation-servic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2012/7/contents/enacted" TargetMode="External"/><Relationship Id="rId5" Type="http://schemas.openxmlformats.org/officeDocument/2006/relationships/numbering" Target="numbering.xml"/><Relationship Id="rId15" Type="http://schemas.openxmlformats.org/officeDocument/2006/relationships/hyperlink" Target="https://digital.nhs.uk/data-and-information/keeping-data-safe/the-caldicott-principle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ongtermplan.nhs.uk/"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dc7ccdb7e816805507cc8ea3e8d27fb9">
  <xsd:schema xmlns:xsd="http://www.w3.org/2001/XMLSchema" xmlns:xs="http://www.w3.org/2001/XMLSchema" xmlns:p="http://schemas.microsoft.com/office/2006/metadata/properties" xmlns:ns3="f799553d-1ac0-48da-9ae3-fe400ced9c3b" targetNamespace="http://schemas.microsoft.com/office/2006/metadata/properties" ma:root="true" ma:fieldsID="86366cc2c6ca14c1325b360024b2c3e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8017CA-FD9A-440A-9F9F-F2B29B929653}">
  <ds:schemaRefs>
    <ds:schemaRef ds:uri="http://schemas.openxmlformats.org/officeDocument/2006/bibliography"/>
  </ds:schemaRefs>
</ds:datastoreItem>
</file>

<file path=customXml/itemProps2.xml><?xml version="1.0" encoding="utf-8"?>
<ds:datastoreItem xmlns:ds="http://schemas.openxmlformats.org/officeDocument/2006/customXml" ds:itemID="{82275766-EB28-4D0C-9692-E4CFF1195B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D5F921-92FE-4624-BA3B-E755C8CD536B}">
  <ds:schemaRefs>
    <ds:schemaRef ds:uri="http://schemas.microsoft.com/sharepoint/v3/contenttype/forms"/>
  </ds:schemaRefs>
</ds:datastoreItem>
</file>

<file path=customXml/itemProps4.xml><?xml version="1.0" encoding="utf-8"?>
<ds:datastoreItem xmlns:ds="http://schemas.openxmlformats.org/officeDocument/2006/customXml" ds:itemID="{2A1FC689-A645-4A26-8BFD-FA763A2F5DBC}">
  <ds:schemaRefs>
    <ds:schemaRef ds:uri="http://purl.org/dc/dcmitype/"/>
    <ds:schemaRef ds:uri="http://schemas.microsoft.com/office/2006/documentManagement/types"/>
    <ds:schemaRef ds:uri="http://purl.org/dc/terms/"/>
    <ds:schemaRef ds:uri="f799553d-1ac0-48da-9ae3-fe400ced9c3b"/>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2250</Words>
  <Characters>12829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emann</dc:creator>
  <cp:lastModifiedBy>Anila Mansoor (2433628)</cp:lastModifiedBy>
  <cp:revision>2</cp:revision>
  <dcterms:created xsi:type="dcterms:W3CDTF">2025-11-16T19:20:00Z</dcterms:created>
  <dcterms:modified xsi:type="dcterms:W3CDTF">2025-11-16T19:20:00Z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