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diagrams/data10.xml" ContentType="application/vnd.openxmlformats-officedocument.drawingml.diagramData+xml"/>
  <Override PartName="/word/diagrams/layout10.xml" ContentType="application/vnd.openxmlformats-officedocument.drawingml.diagramLayout+xml"/>
  <Override PartName="/word/diagrams/quickStyle10.xml" ContentType="application/vnd.openxmlformats-officedocument.drawingml.diagramStyle+xml"/>
  <Override PartName="/word/diagrams/colors10.xml" ContentType="application/vnd.openxmlformats-officedocument.drawingml.diagramColors+xml"/>
  <Override PartName="/word/diagrams/drawing10.xml" ContentType="application/vnd.ms-office.drawingml.diagramDrawing+xml"/>
  <Override PartName="/word/diagrams/data11.xml" ContentType="application/vnd.openxmlformats-officedocument.drawingml.diagramData+xml"/>
  <Override PartName="/word/diagrams/layout11.xml" ContentType="application/vnd.openxmlformats-officedocument.drawingml.diagramLayout+xml"/>
  <Override PartName="/word/diagrams/quickStyle11.xml" ContentType="application/vnd.openxmlformats-officedocument.drawingml.diagramStyle+xml"/>
  <Override PartName="/word/diagrams/colors11.xml" ContentType="application/vnd.openxmlformats-officedocument.drawingml.diagramColors+xml"/>
  <Override PartName="/word/diagrams/drawing1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07899" w14:textId="77777777" w:rsidR="00A13FD2" w:rsidRPr="00A13FD2" w:rsidRDefault="00A13FD2" w:rsidP="00A13FD2">
      <w:pPr>
        <w:spacing w:line="360" w:lineRule="auto"/>
        <w:jc w:val="center"/>
        <w:rPr>
          <w:rFonts w:ascii="Times New Roman" w:eastAsia="Arial" w:hAnsi="Times New Roman" w:cs="Times New Roman"/>
          <w:b/>
          <w:color w:val="000000" w:themeColor="text1"/>
          <w:kern w:val="0"/>
          <w:sz w:val="32"/>
          <w:szCs w:val="32"/>
          <w:lang w:eastAsia="en-US" w:bidi="ar-SA"/>
          <w14:ligatures w14:val="none"/>
        </w:rPr>
      </w:pPr>
    </w:p>
    <w:p w14:paraId="60BF3BE7" w14:textId="77777777" w:rsidR="00A13FD2" w:rsidRPr="00A13FD2" w:rsidRDefault="00A13FD2" w:rsidP="00A13FD2">
      <w:pPr>
        <w:spacing w:line="360" w:lineRule="auto"/>
        <w:jc w:val="center"/>
        <w:rPr>
          <w:rFonts w:ascii="Times New Roman" w:eastAsia="Arial" w:hAnsi="Times New Roman" w:cs="Times New Roman"/>
          <w:b/>
          <w:color w:val="000000" w:themeColor="text1"/>
          <w:kern w:val="0"/>
          <w:sz w:val="32"/>
          <w:szCs w:val="32"/>
          <w:lang w:val="en-US" w:eastAsia="en-US" w:bidi="ar-SA"/>
          <w14:ligatures w14:val="none"/>
        </w:rPr>
      </w:pPr>
    </w:p>
    <w:p w14:paraId="236A0135" w14:textId="77777777" w:rsidR="00A13FD2" w:rsidRPr="00A13FD2" w:rsidRDefault="00A13FD2" w:rsidP="00A13FD2">
      <w:pPr>
        <w:spacing w:line="360" w:lineRule="auto"/>
        <w:jc w:val="center"/>
        <w:rPr>
          <w:rFonts w:ascii="Times New Roman" w:eastAsia="Arial" w:hAnsi="Times New Roman" w:cs="Times New Roman"/>
          <w:b/>
          <w:color w:val="000000" w:themeColor="text1"/>
          <w:kern w:val="0"/>
          <w:sz w:val="32"/>
          <w:szCs w:val="32"/>
          <w:lang w:val="en-US" w:eastAsia="en-US" w:bidi="ar-SA"/>
          <w14:ligatures w14:val="none"/>
        </w:rPr>
      </w:pPr>
    </w:p>
    <w:p w14:paraId="34BD247F" w14:textId="77777777" w:rsidR="00A13FD2" w:rsidRPr="00A13FD2" w:rsidRDefault="00A13FD2" w:rsidP="00A13FD2">
      <w:pPr>
        <w:spacing w:line="360" w:lineRule="auto"/>
        <w:jc w:val="center"/>
        <w:rPr>
          <w:rFonts w:ascii="Times New Roman" w:eastAsia="Arial" w:hAnsi="Times New Roman" w:cs="Times New Roman"/>
          <w:b/>
          <w:color w:val="000000" w:themeColor="text1"/>
          <w:kern w:val="0"/>
          <w:sz w:val="32"/>
          <w:szCs w:val="32"/>
          <w:lang w:val="en-US" w:eastAsia="en-US" w:bidi="ar-SA"/>
          <w14:ligatures w14:val="none"/>
        </w:rPr>
      </w:pPr>
    </w:p>
    <w:p w14:paraId="572DF899" w14:textId="77777777" w:rsidR="00A13FD2" w:rsidRPr="00A13FD2" w:rsidRDefault="00A13FD2" w:rsidP="00A13FD2">
      <w:pPr>
        <w:spacing w:line="360" w:lineRule="auto"/>
        <w:jc w:val="center"/>
        <w:rPr>
          <w:rFonts w:ascii="Times New Roman" w:eastAsia="Arial" w:hAnsi="Times New Roman" w:cs="Times New Roman"/>
          <w:b/>
          <w:color w:val="000000" w:themeColor="text1"/>
          <w:kern w:val="0"/>
          <w:sz w:val="32"/>
          <w:szCs w:val="32"/>
          <w:lang w:val="en-US" w:eastAsia="en-US" w:bidi="ar-SA"/>
          <w14:ligatures w14:val="none"/>
        </w:rPr>
      </w:pPr>
    </w:p>
    <w:p w14:paraId="19A6E4F8" w14:textId="77777777" w:rsidR="00A13FD2" w:rsidRPr="00A13FD2" w:rsidRDefault="00A13FD2" w:rsidP="00A13FD2">
      <w:pPr>
        <w:spacing w:line="360" w:lineRule="auto"/>
        <w:jc w:val="center"/>
        <w:rPr>
          <w:rFonts w:ascii="Times New Roman" w:eastAsia="Arial" w:hAnsi="Times New Roman" w:cs="Times New Roman"/>
          <w:b/>
          <w:color w:val="000000" w:themeColor="text1"/>
          <w:kern w:val="0"/>
          <w:sz w:val="32"/>
          <w:szCs w:val="32"/>
          <w:lang w:val="en-US" w:eastAsia="en-US" w:bidi="ar-SA"/>
          <w14:ligatures w14:val="none"/>
        </w:rPr>
      </w:pPr>
    </w:p>
    <w:p w14:paraId="32AABA56" w14:textId="77777777" w:rsidR="00A13FD2" w:rsidRPr="00A13FD2" w:rsidRDefault="00A13FD2" w:rsidP="00A13FD2">
      <w:pPr>
        <w:spacing w:line="360" w:lineRule="auto"/>
        <w:jc w:val="center"/>
        <w:rPr>
          <w:rFonts w:ascii="Times New Roman" w:eastAsia="Arial" w:hAnsi="Times New Roman" w:cs="Times New Roman"/>
          <w:b/>
          <w:color w:val="000000" w:themeColor="text1"/>
          <w:kern w:val="0"/>
          <w:sz w:val="32"/>
          <w:szCs w:val="32"/>
          <w:lang w:val="en-US" w:eastAsia="en-US" w:bidi="ar-SA"/>
          <w14:ligatures w14:val="none"/>
        </w:rPr>
      </w:pPr>
    </w:p>
    <w:p w14:paraId="5ABB5094" w14:textId="77777777" w:rsidR="00A13FD2" w:rsidRPr="00A13FD2" w:rsidRDefault="00A13FD2" w:rsidP="00A13FD2">
      <w:pPr>
        <w:spacing w:line="360" w:lineRule="auto"/>
        <w:jc w:val="center"/>
        <w:rPr>
          <w:rFonts w:ascii="Times New Roman" w:eastAsia="Arial" w:hAnsi="Times New Roman" w:cs="Times New Roman"/>
          <w:b/>
          <w:color w:val="000000" w:themeColor="text1"/>
          <w:kern w:val="0"/>
          <w:sz w:val="32"/>
          <w:szCs w:val="32"/>
          <w:lang w:val="en-US" w:eastAsia="en-US" w:bidi="ar-SA"/>
          <w14:ligatures w14:val="none"/>
        </w:rPr>
      </w:pPr>
    </w:p>
    <w:p w14:paraId="5F0F27B6" w14:textId="77777777" w:rsidR="00A13FD2" w:rsidRPr="00A13FD2" w:rsidRDefault="00A13FD2" w:rsidP="00A13FD2">
      <w:pPr>
        <w:spacing w:line="360" w:lineRule="auto"/>
        <w:jc w:val="center"/>
        <w:rPr>
          <w:rFonts w:ascii="Times New Roman" w:eastAsia="Arial" w:hAnsi="Times New Roman" w:cs="Times New Roman"/>
          <w:b/>
          <w:color w:val="000000" w:themeColor="text1"/>
          <w:kern w:val="0"/>
          <w:sz w:val="32"/>
          <w:szCs w:val="32"/>
          <w:lang w:val="en-US" w:eastAsia="en-US" w:bidi="ar-SA"/>
          <w14:ligatures w14:val="none"/>
        </w:rPr>
      </w:pPr>
    </w:p>
    <w:p w14:paraId="63736B2C" w14:textId="77777777" w:rsidR="00A13FD2" w:rsidRPr="00A13FD2" w:rsidRDefault="00A13FD2" w:rsidP="00A13FD2">
      <w:pPr>
        <w:spacing w:line="360" w:lineRule="auto"/>
        <w:jc w:val="center"/>
        <w:rPr>
          <w:rFonts w:ascii="Times New Roman" w:eastAsia="Arial" w:hAnsi="Times New Roman" w:cs="Times New Roman"/>
          <w:b/>
          <w:color w:val="000000" w:themeColor="text1"/>
          <w:kern w:val="0"/>
          <w:sz w:val="32"/>
          <w:szCs w:val="32"/>
          <w:lang w:val="en-US" w:eastAsia="en-US" w:bidi="ar-SA"/>
          <w14:ligatures w14:val="none"/>
        </w:rPr>
      </w:pPr>
      <w:r w:rsidRPr="00A13FD2">
        <w:rPr>
          <w:rFonts w:ascii="Times New Roman" w:eastAsia="Arial" w:hAnsi="Times New Roman" w:cs="Times New Roman"/>
          <w:b/>
          <w:color w:val="000000" w:themeColor="text1"/>
          <w:kern w:val="0"/>
          <w:sz w:val="32"/>
          <w:szCs w:val="32"/>
          <w:lang w:val="en-US" w:eastAsia="en-US" w:bidi="ar-SA"/>
          <w14:ligatures w14:val="none"/>
        </w:rPr>
        <w:t>EXPLORING WAYS TO MANAGE CULTURAL DIVERSITY IN CROSS-BORDER MERGERS IN ASIA FOR THE</w:t>
      </w:r>
    </w:p>
    <w:p w14:paraId="5DE37310" w14:textId="77777777" w:rsidR="00A13FD2" w:rsidRPr="00A13FD2" w:rsidRDefault="00A13FD2" w:rsidP="00A13FD2">
      <w:pPr>
        <w:spacing w:line="360" w:lineRule="auto"/>
        <w:jc w:val="center"/>
        <w:rPr>
          <w:rFonts w:ascii="Times New Roman" w:eastAsia="Arial" w:hAnsi="Times New Roman" w:cs="Times New Roman"/>
          <w:b/>
          <w:color w:val="000000" w:themeColor="text1"/>
          <w:kern w:val="0"/>
          <w:sz w:val="32"/>
          <w:szCs w:val="32"/>
          <w:lang w:val="en-US" w:eastAsia="en-US" w:bidi="ar-SA"/>
          <w14:ligatures w14:val="none"/>
        </w:rPr>
      </w:pPr>
      <w:r w:rsidRPr="00A13FD2">
        <w:rPr>
          <w:rFonts w:ascii="Times New Roman" w:eastAsia="Arial" w:hAnsi="Times New Roman" w:cs="Times New Roman"/>
          <w:b/>
          <w:color w:val="000000" w:themeColor="text1"/>
          <w:kern w:val="0"/>
          <w:sz w:val="32"/>
          <w:szCs w:val="32"/>
          <w:lang w:val="en-US" w:eastAsia="en-US" w:bidi="ar-SA"/>
          <w14:ligatures w14:val="none"/>
        </w:rPr>
        <w:t>UK BASED COMPANIES</w:t>
      </w:r>
    </w:p>
    <w:p w14:paraId="79C22538" w14:textId="77777777" w:rsidR="00A13FD2" w:rsidRPr="00A13FD2" w:rsidRDefault="00A13FD2" w:rsidP="00A13FD2">
      <w:pPr>
        <w:spacing w:line="360" w:lineRule="auto"/>
        <w:jc w:val="center"/>
        <w:rPr>
          <w:rFonts w:ascii="Times New Roman" w:eastAsia="Arial" w:hAnsi="Times New Roman" w:cs="Times New Roman"/>
          <w:color w:val="000000" w:themeColor="text1"/>
          <w:kern w:val="0"/>
          <w:sz w:val="24"/>
          <w:szCs w:val="24"/>
          <w:lang w:val="en-US" w:eastAsia="en-US" w:bidi="ar-SA"/>
          <w14:ligatures w14:val="none"/>
        </w:rPr>
      </w:pPr>
    </w:p>
    <w:p w14:paraId="281AD194" w14:textId="77777777" w:rsidR="00A13FD2" w:rsidRPr="00A13FD2" w:rsidRDefault="00A13FD2" w:rsidP="00A13FD2">
      <w:pPr>
        <w:spacing w:line="276" w:lineRule="auto"/>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br w:type="page"/>
      </w:r>
    </w:p>
    <w:p w14:paraId="27E6D463" w14:textId="77777777" w:rsidR="00A13FD2" w:rsidRPr="00A13FD2" w:rsidRDefault="00A13FD2" w:rsidP="00A13FD2">
      <w:pPr>
        <w:spacing w:line="360" w:lineRule="auto"/>
        <w:jc w:val="center"/>
        <w:rPr>
          <w:rFonts w:ascii="Arial" w:eastAsia="Arial" w:hAnsi="Arial" w:cs="Arial"/>
          <w:color w:val="000000" w:themeColor="text1"/>
          <w:kern w:val="0"/>
          <w:szCs w:val="22"/>
          <w:lang w:val="en-US" w:eastAsia="en-US" w:bidi="ar-SA"/>
          <w14:ligatures w14:val="none"/>
        </w:rPr>
      </w:pPr>
      <w:r w:rsidRPr="00A13FD2">
        <w:rPr>
          <w:rFonts w:ascii="Times New Roman" w:eastAsia="Times New Roman" w:hAnsi="Times New Roman" w:cs="Arial"/>
          <w:noProof/>
          <w:color w:val="000000" w:themeColor="text1"/>
          <w:kern w:val="0"/>
          <w:sz w:val="24"/>
          <w:szCs w:val="24"/>
          <w:lang w:val="en-US" w:eastAsia="en-US" w:bidi="ar-SA"/>
          <w14:ligatures w14:val="none"/>
        </w:rPr>
        <w:lastRenderedPageBreak/>
        <w:drawing>
          <wp:inline distT="0" distB="0" distL="0" distR="0" wp14:anchorId="54449671" wp14:editId="664C50EE">
            <wp:extent cx="2474595" cy="998210"/>
            <wp:effectExtent l="0" t="0" r="0" b="0"/>
            <wp:docPr id="79466624"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476496" cy="998977"/>
                    </a:xfrm>
                    <a:prstGeom prst="rect">
                      <a:avLst/>
                    </a:prstGeom>
                    <a:noFill/>
                    <a:ln>
                      <a:noFill/>
                      <a:prstDash/>
                    </a:ln>
                  </pic:spPr>
                </pic:pic>
              </a:graphicData>
            </a:graphic>
          </wp:inline>
        </w:drawing>
      </w:r>
    </w:p>
    <w:p w14:paraId="5D6EA797" w14:textId="77777777" w:rsidR="00A13FD2" w:rsidRPr="00A13FD2" w:rsidRDefault="00A13FD2" w:rsidP="00A13FD2">
      <w:pPr>
        <w:spacing w:line="360" w:lineRule="auto"/>
        <w:jc w:val="both"/>
        <w:rPr>
          <w:rFonts w:ascii="Arial" w:eastAsia="Arial" w:hAnsi="Arial" w:cs="Arial"/>
          <w:b/>
          <w:color w:val="000000" w:themeColor="text1"/>
          <w:kern w:val="0"/>
          <w:sz w:val="24"/>
          <w:szCs w:val="24"/>
          <w:lang w:bidi="ar-SA"/>
          <w14:ligatures w14:val="none"/>
        </w:rPr>
      </w:pPr>
    </w:p>
    <w:p w14:paraId="79202C96" w14:textId="77777777" w:rsidR="00A13FD2" w:rsidRPr="00A13FD2" w:rsidRDefault="00A13FD2" w:rsidP="00A13FD2">
      <w:pPr>
        <w:spacing w:line="360" w:lineRule="auto"/>
        <w:jc w:val="both"/>
        <w:rPr>
          <w:rFonts w:ascii="Arial" w:eastAsia="Arial" w:hAnsi="Arial" w:cs="Arial"/>
          <w:b/>
          <w:color w:val="000000" w:themeColor="text1"/>
          <w:kern w:val="0"/>
          <w:sz w:val="24"/>
          <w:szCs w:val="24"/>
          <w:lang w:bidi="ar-SA"/>
          <w14:ligatures w14:val="none"/>
        </w:rPr>
      </w:pPr>
    </w:p>
    <w:p w14:paraId="625B6370" w14:textId="77777777" w:rsidR="00A13FD2" w:rsidRPr="00A13FD2" w:rsidRDefault="00A13FD2" w:rsidP="00A13FD2">
      <w:pPr>
        <w:spacing w:line="360" w:lineRule="auto"/>
        <w:jc w:val="both"/>
        <w:rPr>
          <w:rFonts w:ascii="Arial" w:eastAsia="Arial" w:hAnsi="Arial" w:cs="Arial"/>
          <w:b/>
          <w:color w:val="000000" w:themeColor="text1"/>
          <w:kern w:val="0"/>
          <w:sz w:val="24"/>
          <w:szCs w:val="24"/>
          <w:lang w:bidi="ar-SA"/>
          <w14:ligatures w14:val="none"/>
        </w:rPr>
      </w:pPr>
    </w:p>
    <w:p w14:paraId="67029D92" w14:textId="77777777" w:rsidR="00A13FD2" w:rsidRPr="00A13FD2" w:rsidRDefault="00A13FD2" w:rsidP="00A13FD2">
      <w:pPr>
        <w:spacing w:line="360" w:lineRule="auto"/>
        <w:jc w:val="both"/>
        <w:rPr>
          <w:rFonts w:ascii="Arial" w:eastAsia="Arial" w:hAnsi="Arial" w:cs="Arial"/>
          <w:b/>
          <w:color w:val="000000" w:themeColor="text1"/>
          <w:kern w:val="0"/>
          <w:sz w:val="24"/>
          <w:szCs w:val="24"/>
          <w:lang w:bidi="ar-SA"/>
          <w14:ligatures w14:val="none"/>
        </w:rPr>
      </w:pPr>
    </w:p>
    <w:p w14:paraId="6A63DABB" w14:textId="77777777" w:rsidR="00A13FD2" w:rsidRPr="00A13FD2" w:rsidRDefault="00A13FD2" w:rsidP="00A13FD2">
      <w:pPr>
        <w:spacing w:line="360" w:lineRule="auto"/>
        <w:jc w:val="both"/>
        <w:rPr>
          <w:rFonts w:ascii="Arial" w:eastAsia="Arial" w:hAnsi="Arial" w:cs="Arial"/>
          <w:b/>
          <w:color w:val="000000" w:themeColor="text1"/>
          <w:kern w:val="0"/>
          <w:sz w:val="24"/>
          <w:szCs w:val="24"/>
          <w:lang w:bidi="ar-SA"/>
          <w14:ligatures w14:val="none"/>
        </w:rPr>
      </w:pPr>
      <w:r w:rsidRPr="00A13FD2">
        <w:rPr>
          <w:rFonts w:ascii="Arial" w:eastAsia="Arial" w:hAnsi="Arial" w:cs="Arial"/>
          <w:b/>
          <w:color w:val="000000" w:themeColor="text1"/>
          <w:kern w:val="0"/>
          <w:sz w:val="24"/>
          <w:szCs w:val="24"/>
          <w:lang w:bidi="ar-SA"/>
          <w14:ligatures w14:val="none"/>
        </w:rPr>
        <w:t xml:space="preserve">  Name:                                                        Purva Panchal </w:t>
      </w:r>
    </w:p>
    <w:p w14:paraId="13CB18F8" w14:textId="77777777" w:rsidR="00A13FD2" w:rsidRPr="00A13FD2" w:rsidRDefault="00A13FD2" w:rsidP="00A13FD2">
      <w:pPr>
        <w:spacing w:line="360" w:lineRule="auto"/>
        <w:jc w:val="both"/>
        <w:rPr>
          <w:rFonts w:ascii="Arial" w:eastAsia="Arial" w:hAnsi="Arial" w:cs="Arial"/>
          <w:b/>
          <w:color w:val="000000" w:themeColor="text1"/>
          <w:kern w:val="0"/>
          <w:sz w:val="24"/>
          <w:szCs w:val="24"/>
          <w:lang w:bidi="ar-SA"/>
          <w14:ligatures w14:val="none"/>
        </w:rPr>
      </w:pPr>
    </w:p>
    <w:p w14:paraId="71899E2F" w14:textId="77777777" w:rsidR="00A13FD2" w:rsidRPr="00A13FD2" w:rsidRDefault="00A13FD2" w:rsidP="00A13FD2">
      <w:pPr>
        <w:spacing w:line="360" w:lineRule="auto"/>
        <w:jc w:val="both"/>
        <w:rPr>
          <w:rFonts w:ascii="Arial" w:eastAsia="Arial" w:hAnsi="Arial" w:cs="Arial"/>
          <w:b/>
          <w:color w:val="000000" w:themeColor="text1"/>
          <w:kern w:val="0"/>
          <w:sz w:val="24"/>
          <w:szCs w:val="24"/>
          <w:lang w:bidi="ar-SA"/>
          <w14:ligatures w14:val="none"/>
        </w:rPr>
      </w:pPr>
      <w:r w:rsidRPr="00A13FD2">
        <w:rPr>
          <w:rFonts w:ascii="Arial" w:eastAsia="Arial" w:hAnsi="Arial" w:cs="Arial"/>
          <w:b/>
          <w:color w:val="000000" w:themeColor="text1"/>
          <w:kern w:val="0"/>
          <w:sz w:val="24"/>
          <w:szCs w:val="24"/>
          <w:lang w:bidi="ar-SA"/>
          <w14:ligatures w14:val="none"/>
        </w:rPr>
        <w:t xml:space="preserve">  Student ID:                                                2208753(</w:t>
      </w:r>
      <w:hyperlink r:id="rId8" w:history="1">
        <w:r w:rsidRPr="00A13FD2">
          <w:rPr>
            <w:rFonts w:ascii="Arial" w:eastAsia="Arial" w:hAnsi="Arial" w:cs="Arial"/>
            <w:b/>
            <w:color w:val="0563C1" w:themeColor="hyperlink"/>
            <w:kern w:val="0"/>
            <w:sz w:val="24"/>
            <w:szCs w:val="24"/>
            <w:u w:val="single"/>
            <w:lang w:bidi="ar-SA"/>
            <w14:ligatures w14:val="none"/>
          </w:rPr>
          <w:t>2208753@student.uwtsd.ac.uk</w:t>
        </w:r>
      </w:hyperlink>
      <w:r w:rsidRPr="00A13FD2">
        <w:rPr>
          <w:rFonts w:ascii="Arial" w:eastAsia="Arial" w:hAnsi="Arial" w:cs="Arial"/>
          <w:b/>
          <w:color w:val="000000" w:themeColor="text1"/>
          <w:kern w:val="0"/>
          <w:sz w:val="24"/>
          <w:szCs w:val="24"/>
          <w:lang w:bidi="ar-SA"/>
          <w14:ligatures w14:val="none"/>
        </w:rPr>
        <w:t>)</w:t>
      </w:r>
    </w:p>
    <w:p w14:paraId="478664D7" w14:textId="77777777" w:rsidR="00A13FD2" w:rsidRPr="00A13FD2" w:rsidRDefault="00A13FD2" w:rsidP="00A13FD2">
      <w:pPr>
        <w:spacing w:line="360" w:lineRule="auto"/>
        <w:jc w:val="both"/>
        <w:rPr>
          <w:rFonts w:ascii="Arial" w:eastAsia="Arial" w:hAnsi="Arial" w:cs="Arial"/>
          <w:b/>
          <w:color w:val="000000" w:themeColor="text1"/>
          <w:kern w:val="0"/>
          <w:sz w:val="24"/>
          <w:szCs w:val="24"/>
          <w:lang w:bidi="ar-SA"/>
          <w14:ligatures w14:val="none"/>
        </w:rPr>
      </w:pPr>
    </w:p>
    <w:tbl>
      <w:tblPr>
        <w:tblW w:w="9016" w:type="dxa"/>
        <w:tblLayout w:type="fixed"/>
        <w:tblCellMar>
          <w:left w:w="10" w:type="dxa"/>
          <w:right w:w="10" w:type="dxa"/>
        </w:tblCellMar>
        <w:tblLook w:val="0000" w:firstRow="0" w:lastRow="0" w:firstColumn="0" w:lastColumn="0" w:noHBand="0" w:noVBand="0"/>
      </w:tblPr>
      <w:tblGrid>
        <w:gridCol w:w="4508"/>
        <w:gridCol w:w="4508"/>
      </w:tblGrid>
      <w:tr w:rsidR="00A13FD2" w:rsidRPr="00A13FD2" w14:paraId="480B039D" w14:textId="77777777" w:rsidTr="00DE6539">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09D75803" w14:textId="77777777" w:rsidR="00A13FD2" w:rsidRPr="00A13FD2" w:rsidRDefault="00A13FD2" w:rsidP="00A13FD2">
            <w:pPr>
              <w:spacing w:line="480" w:lineRule="auto"/>
              <w:jc w:val="both"/>
              <w:rPr>
                <w:rFonts w:ascii="Arial" w:eastAsia="Arial" w:hAnsi="Arial" w:cs="Arial"/>
                <w:b/>
                <w:color w:val="000000" w:themeColor="text1"/>
                <w:kern w:val="0"/>
                <w:sz w:val="24"/>
                <w:szCs w:val="24"/>
                <w:lang w:bidi="ar-SA"/>
                <w14:ligatures w14:val="none"/>
              </w:rPr>
            </w:pPr>
            <w:r w:rsidRPr="00A13FD2">
              <w:rPr>
                <w:rFonts w:ascii="Arial" w:eastAsia="Arial" w:hAnsi="Arial" w:cs="Arial"/>
                <w:b/>
                <w:color w:val="000000" w:themeColor="text1"/>
                <w:kern w:val="0"/>
                <w:sz w:val="24"/>
                <w:szCs w:val="24"/>
                <w:lang w:bidi="ar-SA"/>
                <w14:ligatures w14:val="none"/>
              </w:rPr>
              <w:t>Module Title:</w:t>
            </w: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25581EA4" w14:textId="77777777" w:rsidR="00A13FD2" w:rsidRPr="00A13FD2" w:rsidRDefault="00A13FD2" w:rsidP="00A13FD2">
            <w:pPr>
              <w:spacing w:line="480" w:lineRule="auto"/>
              <w:jc w:val="both"/>
              <w:rPr>
                <w:rFonts w:ascii="Arial" w:eastAsia="Arial" w:hAnsi="Arial" w:cs="Arial"/>
                <w:b/>
                <w:color w:val="000000" w:themeColor="text1"/>
                <w:kern w:val="0"/>
                <w:sz w:val="24"/>
                <w:szCs w:val="24"/>
                <w:lang w:bidi="ar-SA"/>
                <w14:ligatures w14:val="none"/>
              </w:rPr>
            </w:pPr>
            <w:r w:rsidRPr="00A13FD2">
              <w:rPr>
                <w:rFonts w:ascii="Arial" w:eastAsia="Arial" w:hAnsi="Arial" w:cs="Arial"/>
                <w:b/>
                <w:color w:val="000000" w:themeColor="text1"/>
                <w:kern w:val="0"/>
                <w:sz w:val="24"/>
                <w:szCs w:val="24"/>
                <w:lang w:bidi="ar-SA"/>
                <w14:ligatures w14:val="none"/>
              </w:rPr>
              <w:t xml:space="preserve">Dissertation </w:t>
            </w:r>
          </w:p>
          <w:p w14:paraId="409C5238" w14:textId="77777777" w:rsidR="00A13FD2" w:rsidRPr="00A13FD2" w:rsidRDefault="00A13FD2" w:rsidP="00A13FD2">
            <w:pPr>
              <w:spacing w:line="480" w:lineRule="auto"/>
              <w:jc w:val="both"/>
              <w:rPr>
                <w:rFonts w:ascii="Arial" w:eastAsia="Arial" w:hAnsi="Arial" w:cs="Arial"/>
                <w:b/>
                <w:color w:val="000000" w:themeColor="text1"/>
                <w:kern w:val="0"/>
                <w:sz w:val="24"/>
                <w:szCs w:val="24"/>
                <w:lang w:bidi="ar-SA"/>
                <w14:ligatures w14:val="none"/>
              </w:rPr>
            </w:pPr>
          </w:p>
        </w:tc>
      </w:tr>
      <w:tr w:rsidR="00A13FD2" w:rsidRPr="00A13FD2" w14:paraId="52AD948F" w14:textId="77777777" w:rsidTr="00DE6539">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69966CA2" w14:textId="77777777" w:rsidR="00A13FD2" w:rsidRPr="00A13FD2" w:rsidRDefault="00A13FD2" w:rsidP="00A13FD2">
            <w:pPr>
              <w:spacing w:line="480" w:lineRule="auto"/>
              <w:jc w:val="both"/>
              <w:rPr>
                <w:rFonts w:ascii="Arial" w:eastAsia="Arial" w:hAnsi="Arial" w:cs="Arial"/>
                <w:b/>
                <w:color w:val="000000" w:themeColor="text1"/>
                <w:kern w:val="0"/>
                <w:sz w:val="24"/>
                <w:szCs w:val="24"/>
                <w:lang w:bidi="ar-SA"/>
                <w14:ligatures w14:val="none"/>
              </w:rPr>
            </w:pPr>
            <w:r w:rsidRPr="00A13FD2">
              <w:rPr>
                <w:rFonts w:ascii="Arial" w:eastAsia="Arial" w:hAnsi="Arial" w:cs="Arial"/>
                <w:b/>
                <w:color w:val="000000" w:themeColor="text1"/>
                <w:kern w:val="0"/>
                <w:sz w:val="24"/>
                <w:szCs w:val="24"/>
                <w:lang w:bidi="ar-SA"/>
                <w14:ligatures w14:val="none"/>
              </w:rPr>
              <w:t>Module Code:</w:t>
            </w: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4AD27172" w14:textId="77777777" w:rsidR="00A13FD2" w:rsidRPr="00A13FD2" w:rsidRDefault="00A13FD2" w:rsidP="00A13FD2">
            <w:pPr>
              <w:spacing w:line="480" w:lineRule="auto"/>
              <w:jc w:val="both"/>
              <w:rPr>
                <w:rFonts w:ascii="Arial" w:eastAsia="Arial" w:hAnsi="Arial" w:cs="Arial"/>
                <w:b/>
                <w:color w:val="000000" w:themeColor="text1"/>
                <w:kern w:val="0"/>
                <w:sz w:val="24"/>
                <w:szCs w:val="24"/>
                <w:lang w:bidi="ar-SA"/>
                <w14:ligatures w14:val="none"/>
              </w:rPr>
            </w:pPr>
            <w:r w:rsidRPr="00A13FD2">
              <w:rPr>
                <w:rFonts w:ascii="Arial" w:eastAsia="Arial" w:hAnsi="Arial" w:cs="Arial"/>
                <w:b/>
                <w:color w:val="000000" w:themeColor="text1"/>
                <w:kern w:val="0"/>
                <w:sz w:val="24"/>
                <w:szCs w:val="24"/>
                <w:lang w:bidi="ar-SA"/>
                <w14:ligatures w14:val="none"/>
              </w:rPr>
              <w:t>LCMB7020</w:t>
            </w:r>
          </w:p>
          <w:p w14:paraId="06570027" w14:textId="77777777" w:rsidR="00A13FD2" w:rsidRPr="00A13FD2" w:rsidRDefault="00A13FD2" w:rsidP="00A13FD2">
            <w:pPr>
              <w:spacing w:line="480" w:lineRule="auto"/>
              <w:jc w:val="both"/>
              <w:rPr>
                <w:rFonts w:ascii="Arial" w:eastAsia="Arial" w:hAnsi="Arial" w:cs="Arial"/>
                <w:b/>
                <w:color w:val="000000" w:themeColor="text1"/>
                <w:kern w:val="0"/>
                <w:sz w:val="24"/>
                <w:szCs w:val="24"/>
                <w:lang w:bidi="ar-SA"/>
                <w14:ligatures w14:val="none"/>
              </w:rPr>
            </w:pPr>
          </w:p>
        </w:tc>
      </w:tr>
      <w:tr w:rsidR="00A13FD2" w:rsidRPr="00A13FD2" w14:paraId="4716D051" w14:textId="77777777" w:rsidTr="00DE6539">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68291B39" w14:textId="77777777" w:rsidR="00A13FD2" w:rsidRPr="00A13FD2" w:rsidRDefault="00A13FD2" w:rsidP="00A13FD2">
            <w:pPr>
              <w:spacing w:line="480" w:lineRule="auto"/>
              <w:jc w:val="both"/>
              <w:rPr>
                <w:rFonts w:ascii="Arial" w:eastAsia="Arial" w:hAnsi="Arial" w:cs="Arial"/>
                <w:b/>
                <w:color w:val="000000" w:themeColor="text1"/>
                <w:kern w:val="0"/>
                <w:sz w:val="24"/>
                <w:szCs w:val="24"/>
                <w:lang w:bidi="ar-SA"/>
                <w14:ligatures w14:val="none"/>
              </w:rPr>
            </w:pPr>
            <w:r w:rsidRPr="00A13FD2">
              <w:rPr>
                <w:rFonts w:ascii="Arial" w:eastAsia="Arial" w:hAnsi="Arial" w:cs="Arial"/>
                <w:b/>
                <w:color w:val="000000" w:themeColor="text1"/>
                <w:kern w:val="0"/>
                <w:sz w:val="24"/>
                <w:szCs w:val="24"/>
                <w:lang w:bidi="ar-SA"/>
                <w14:ligatures w14:val="none"/>
              </w:rPr>
              <w:t xml:space="preserve">Course: </w:t>
            </w: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0C063B6B" w14:textId="77777777" w:rsidR="00A13FD2" w:rsidRPr="00A13FD2" w:rsidRDefault="00A13FD2" w:rsidP="00A13FD2">
            <w:pPr>
              <w:spacing w:line="480" w:lineRule="auto"/>
              <w:jc w:val="both"/>
              <w:rPr>
                <w:rFonts w:ascii="Arial" w:eastAsia="Arial" w:hAnsi="Arial" w:cs="Arial"/>
                <w:b/>
                <w:color w:val="000000" w:themeColor="text1"/>
                <w:kern w:val="0"/>
                <w:sz w:val="24"/>
                <w:szCs w:val="24"/>
                <w:lang w:bidi="ar-SA"/>
                <w14:ligatures w14:val="none"/>
              </w:rPr>
            </w:pPr>
            <w:r w:rsidRPr="00A13FD2">
              <w:rPr>
                <w:rFonts w:ascii="Arial" w:eastAsia="Arial" w:hAnsi="Arial" w:cs="Arial"/>
                <w:b/>
                <w:color w:val="000000" w:themeColor="text1"/>
                <w:kern w:val="0"/>
                <w:sz w:val="24"/>
                <w:szCs w:val="24"/>
                <w:lang w:bidi="ar-SA"/>
                <w14:ligatures w14:val="none"/>
              </w:rPr>
              <w:t xml:space="preserve">MASTER OF BUSINESS ADMINISTRATION </w:t>
            </w:r>
          </w:p>
          <w:p w14:paraId="662225F3" w14:textId="77777777" w:rsidR="00A13FD2" w:rsidRPr="00A13FD2" w:rsidRDefault="00A13FD2" w:rsidP="00A13FD2">
            <w:pPr>
              <w:spacing w:line="480" w:lineRule="auto"/>
              <w:jc w:val="both"/>
              <w:rPr>
                <w:rFonts w:ascii="Arial" w:eastAsia="Arial" w:hAnsi="Arial" w:cs="Arial"/>
                <w:b/>
                <w:color w:val="000000" w:themeColor="text1"/>
                <w:kern w:val="0"/>
                <w:sz w:val="24"/>
                <w:szCs w:val="24"/>
                <w:lang w:bidi="ar-SA"/>
                <w14:ligatures w14:val="none"/>
              </w:rPr>
            </w:pPr>
          </w:p>
        </w:tc>
      </w:tr>
      <w:tr w:rsidR="00A13FD2" w:rsidRPr="00A13FD2" w14:paraId="3BCB68B0" w14:textId="77777777" w:rsidTr="00DE6539">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14282A0" w14:textId="77777777" w:rsidR="00A13FD2" w:rsidRPr="00A13FD2" w:rsidRDefault="00A13FD2" w:rsidP="00A13FD2">
            <w:pPr>
              <w:spacing w:line="480" w:lineRule="auto"/>
              <w:jc w:val="both"/>
              <w:rPr>
                <w:rFonts w:ascii="Arial" w:eastAsia="Arial" w:hAnsi="Arial" w:cs="Arial"/>
                <w:b/>
                <w:color w:val="000000" w:themeColor="text1"/>
                <w:kern w:val="0"/>
                <w:sz w:val="24"/>
                <w:szCs w:val="24"/>
                <w:lang w:bidi="ar-SA"/>
                <w14:ligatures w14:val="none"/>
              </w:rPr>
            </w:pPr>
            <w:r w:rsidRPr="00A13FD2">
              <w:rPr>
                <w:rFonts w:ascii="Arial" w:eastAsia="Arial" w:hAnsi="Arial" w:cs="Arial"/>
                <w:b/>
                <w:color w:val="000000" w:themeColor="text1"/>
                <w:kern w:val="0"/>
                <w:sz w:val="24"/>
                <w:szCs w:val="24"/>
                <w:lang w:bidi="ar-SA"/>
                <w14:ligatures w14:val="none"/>
              </w:rPr>
              <w:t>Dissertation topic:</w:t>
            </w: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7F9A0DBC" w14:textId="77777777" w:rsidR="00A13FD2" w:rsidRPr="00A13FD2" w:rsidRDefault="00A13FD2" w:rsidP="00A13FD2">
            <w:pPr>
              <w:spacing w:line="360" w:lineRule="auto"/>
              <w:jc w:val="center"/>
              <w:rPr>
                <w:rFonts w:ascii="Arial" w:eastAsia="Arial" w:hAnsi="Arial" w:cs="Arial"/>
                <w:b/>
                <w:color w:val="000000" w:themeColor="text1"/>
                <w:kern w:val="0"/>
                <w:sz w:val="24"/>
                <w:szCs w:val="24"/>
                <w:lang w:val="en-US" w:eastAsia="en-US" w:bidi="ar-SA"/>
                <w14:ligatures w14:val="none"/>
              </w:rPr>
            </w:pPr>
            <w:r w:rsidRPr="00A13FD2">
              <w:rPr>
                <w:rFonts w:ascii="Arial" w:eastAsia="Arial" w:hAnsi="Arial" w:cs="Arial"/>
                <w:b/>
                <w:color w:val="000000" w:themeColor="text1"/>
                <w:kern w:val="0"/>
                <w:sz w:val="24"/>
                <w:szCs w:val="24"/>
                <w:lang w:val="en-US" w:eastAsia="en-US" w:bidi="ar-SA"/>
                <w14:ligatures w14:val="none"/>
              </w:rPr>
              <w:t>Exploring ways to manage cultural diversity in cross-border mergers in Asia for the Uk based companies.</w:t>
            </w:r>
          </w:p>
          <w:p w14:paraId="540DEECA" w14:textId="77777777" w:rsidR="00A13FD2" w:rsidRPr="00A13FD2" w:rsidRDefault="00A13FD2" w:rsidP="00A13FD2">
            <w:pPr>
              <w:spacing w:line="360" w:lineRule="auto"/>
              <w:jc w:val="center"/>
              <w:rPr>
                <w:rFonts w:ascii="Times New Roman" w:eastAsia="Arial" w:hAnsi="Times New Roman" w:cs="Times New Roman"/>
                <w:color w:val="000000" w:themeColor="text1"/>
                <w:kern w:val="0"/>
                <w:sz w:val="24"/>
                <w:szCs w:val="24"/>
                <w:lang w:val="en-US" w:eastAsia="en-US" w:bidi="ar-SA"/>
                <w14:ligatures w14:val="none"/>
              </w:rPr>
            </w:pPr>
          </w:p>
          <w:p w14:paraId="358EA136" w14:textId="77777777" w:rsidR="00A13FD2" w:rsidRPr="00A13FD2" w:rsidRDefault="00A13FD2" w:rsidP="00A13FD2">
            <w:pPr>
              <w:spacing w:line="480" w:lineRule="auto"/>
              <w:jc w:val="both"/>
              <w:rPr>
                <w:rFonts w:ascii="Arial" w:eastAsia="Arial" w:hAnsi="Arial" w:cs="Arial"/>
                <w:b/>
                <w:color w:val="000000" w:themeColor="text1"/>
                <w:kern w:val="0"/>
                <w:sz w:val="24"/>
                <w:szCs w:val="24"/>
                <w:lang w:bidi="ar-SA"/>
                <w14:ligatures w14:val="none"/>
              </w:rPr>
            </w:pPr>
          </w:p>
        </w:tc>
      </w:tr>
      <w:tr w:rsidR="00A13FD2" w:rsidRPr="00A13FD2" w14:paraId="4D99C7CE" w14:textId="77777777" w:rsidTr="00DE6539">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057BFA23" w14:textId="77777777" w:rsidR="00A13FD2" w:rsidRPr="00A13FD2" w:rsidRDefault="00A13FD2" w:rsidP="00A13FD2">
            <w:pPr>
              <w:spacing w:line="480" w:lineRule="auto"/>
              <w:jc w:val="both"/>
              <w:rPr>
                <w:rFonts w:ascii="Arial" w:eastAsia="Arial" w:hAnsi="Arial" w:cs="Arial"/>
                <w:b/>
                <w:color w:val="000000" w:themeColor="text1"/>
                <w:kern w:val="0"/>
                <w:sz w:val="24"/>
                <w:szCs w:val="24"/>
                <w:lang w:bidi="ar-SA"/>
                <w14:ligatures w14:val="none"/>
              </w:rPr>
            </w:pPr>
            <w:r w:rsidRPr="00A13FD2">
              <w:rPr>
                <w:rFonts w:ascii="Arial" w:eastAsia="Arial" w:hAnsi="Arial" w:cs="Arial"/>
                <w:b/>
                <w:color w:val="000000" w:themeColor="text1"/>
                <w:kern w:val="0"/>
                <w:sz w:val="24"/>
                <w:szCs w:val="24"/>
                <w:lang w:bidi="ar-SA"/>
                <w14:ligatures w14:val="none"/>
              </w:rPr>
              <w:t>Lecturer:</w:t>
            </w:r>
          </w:p>
          <w:p w14:paraId="0037CE29" w14:textId="77777777" w:rsidR="00A13FD2" w:rsidRPr="00A13FD2" w:rsidRDefault="00A13FD2" w:rsidP="00A13FD2">
            <w:pPr>
              <w:spacing w:line="480" w:lineRule="auto"/>
              <w:jc w:val="both"/>
              <w:rPr>
                <w:rFonts w:ascii="Arial" w:eastAsia="Arial" w:hAnsi="Arial" w:cs="Arial"/>
                <w:b/>
                <w:color w:val="000000" w:themeColor="text1"/>
                <w:kern w:val="0"/>
                <w:sz w:val="24"/>
                <w:szCs w:val="24"/>
                <w:lang w:bidi="ar-SA"/>
                <w14:ligatures w14:val="none"/>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77ECAC45" w14:textId="77777777" w:rsidR="00A13FD2" w:rsidRPr="00A13FD2" w:rsidRDefault="00A13FD2" w:rsidP="00A13FD2">
            <w:pPr>
              <w:spacing w:line="480" w:lineRule="auto"/>
              <w:jc w:val="both"/>
              <w:rPr>
                <w:rFonts w:ascii="Arial" w:eastAsia="Arial" w:hAnsi="Arial" w:cs="Arial"/>
                <w:b/>
                <w:color w:val="000000" w:themeColor="text1"/>
                <w:kern w:val="0"/>
                <w:sz w:val="24"/>
                <w:szCs w:val="24"/>
                <w:lang w:bidi="ar-SA"/>
                <w14:ligatures w14:val="none"/>
              </w:rPr>
            </w:pPr>
            <w:r w:rsidRPr="00A13FD2">
              <w:rPr>
                <w:rFonts w:ascii="Arial" w:eastAsia="Arial" w:hAnsi="Arial" w:cs="Arial"/>
                <w:b/>
                <w:color w:val="000000" w:themeColor="text1"/>
                <w:kern w:val="0"/>
                <w:sz w:val="24"/>
                <w:szCs w:val="24"/>
                <w:lang w:bidi="ar-SA"/>
                <w14:ligatures w14:val="none"/>
              </w:rPr>
              <w:t>Dr. Jaya Gopalkrishnan</w:t>
            </w:r>
          </w:p>
        </w:tc>
      </w:tr>
    </w:tbl>
    <w:p w14:paraId="1F9311EA" w14:textId="77777777" w:rsidR="00A13FD2" w:rsidRPr="00A13FD2" w:rsidRDefault="00A13FD2" w:rsidP="00A13FD2">
      <w:pPr>
        <w:pageBreakBefore/>
        <w:spacing w:line="360" w:lineRule="auto"/>
        <w:jc w:val="both"/>
        <w:rPr>
          <w:rFonts w:ascii="Arial" w:eastAsia="Arial" w:hAnsi="Arial" w:cs="Arial"/>
          <w:color w:val="000000" w:themeColor="text1"/>
          <w:kern w:val="0"/>
          <w:szCs w:val="22"/>
          <w:lang w:val="en-US" w:eastAsia="en-US" w:bidi="ar-SA"/>
          <w14:ligatures w14:val="none"/>
        </w:rPr>
      </w:pPr>
    </w:p>
    <w:p w14:paraId="6822FCF2" w14:textId="77777777" w:rsidR="00A13FD2" w:rsidRPr="00A13FD2" w:rsidRDefault="00A13FD2" w:rsidP="00A13FD2">
      <w:pPr>
        <w:spacing w:after="120" w:line="360" w:lineRule="auto"/>
        <w:jc w:val="both"/>
        <w:rPr>
          <w:rFonts w:ascii="Arial" w:eastAsia="Arial" w:hAnsi="Arial" w:cs="Arial"/>
          <w:b/>
          <w:color w:val="000000" w:themeColor="text1"/>
          <w:kern w:val="0"/>
          <w:sz w:val="24"/>
          <w:szCs w:val="24"/>
          <w:lang w:bidi="ar-SA"/>
          <w14:ligatures w14:val="none"/>
        </w:rPr>
      </w:pPr>
    </w:p>
    <w:p w14:paraId="214EBFEF" w14:textId="77777777" w:rsidR="00A13FD2" w:rsidRPr="00A13FD2" w:rsidRDefault="00A13FD2" w:rsidP="00A13FD2">
      <w:pPr>
        <w:pBdr>
          <w:top w:val="single" w:sz="4" w:space="1" w:color="000000"/>
          <w:left w:val="single" w:sz="4" w:space="4" w:color="000000"/>
          <w:bottom w:val="single" w:sz="4" w:space="1" w:color="000000"/>
          <w:right w:val="single" w:sz="4" w:space="4" w:color="000000"/>
        </w:pBdr>
        <w:spacing w:after="120" w:line="360" w:lineRule="auto"/>
        <w:jc w:val="center"/>
        <w:rPr>
          <w:rFonts w:ascii="Arial" w:eastAsia="Arial" w:hAnsi="Arial" w:cs="Arial"/>
          <w:color w:val="000000" w:themeColor="text1"/>
          <w:kern w:val="0"/>
          <w:szCs w:val="22"/>
          <w:lang w:val="en-US" w:eastAsia="en-US" w:bidi="ar-SA"/>
          <w14:ligatures w14:val="none"/>
        </w:rPr>
      </w:pPr>
      <w:r w:rsidRPr="00A13FD2">
        <w:rPr>
          <w:rFonts w:ascii="Times New Roman" w:eastAsia="Times New Roman" w:hAnsi="Times New Roman" w:cs="Arial"/>
          <w:noProof/>
          <w:color w:val="000000" w:themeColor="text1"/>
          <w:kern w:val="0"/>
          <w:sz w:val="24"/>
          <w:szCs w:val="24"/>
          <w:lang w:val="en-US" w:eastAsia="en-US" w:bidi="ar-SA"/>
          <w14:ligatures w14:val="none"/>
        </w:rPr>
        <w:drawing>
          <wp:inline distT="0" distB="0" distL="0" distR="0" wp14:anchorId="18C9992C" wp14:editId="0905F73E">
            <wp:extent cx="1854202" cy="761996"/>
            <wp:effectExtent l="0" t="0" r="0" b="4"/>
            <wp:docPr id="1758868599"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854202" cy="761996"/>
                    </a:xfrm>
                    <a:prstGeom prst="rect">
                      <a:avLst/>
                    </a:prstGeom>
                    <a:noFill/>
                    <a:ln>
                      <a:noFill/>
                      <a:prstDash/>
                    </a:ln>
                  </pic:spPr>
                </pic:pic>
              </a:graphicData>
            </a:graphic>
          </wp:inline>
        </w:drawing>
      </w:r>
    </w:p>
    <w:p w14:paraId="6525FC81" w14:textId="77777777" w:rsidR="00A13FD2" w:rsidRPr="00A13FD2" w:rsidRDefault="00A13FD2" w:rsidP="00A13FD2">
      <w:pPr>
        <w:pBdr>
          <w:top w:val="single" w:sz="4" w:space="1" w:color="000000"/>
          <w:left w:val="single" w:sz="4" w:space="4" w:color="000000"/>
          <w:bottom w:val="single" w:sz="4" w:space="1" w:color="000000"/>
          <w:right w:val="single" w:sz="4" w:space="4" w:color="000000"/>
        </w:pBdr>
        <w:spacing w:after="120" w:line="360" w:lineRule="auto"/>
        <w:jc w:val="center"/>
        <w:rPr>
          <w:rFonts w:ascii="Arial" w:eastAsia="Arial" w:hAnsi="Arial" w:cs="Arial"/>
          <w:color w:val="000000" w:themeColor="text1"/>
          <w:kern w:val="0"/>
          <w:szCs w:val="22"/>
          <w:lang w:val="en-US" w:eastAsia="en-US" w:bidi="ar-SA"/>
          <w14:ligatures w14:val="none"/>
        </w:rPr>
      </w:pPr>
      <w:r w:rsidRPr="00A13FD2">
        <w:rPr>
          <w:rFonts w:ascii="Arial" w:eastAsia="Arial" w:hAnsi="Arial" w:cs="Arial"/>
          <w:b/>
          <w:noProof/>
          <w:color w:val="000000" w:themeColor="text1"/>
          <w:kern w:val="0"/>
          <w:sz w:val="24"/>
          <w:szCs w:val="24"/>
          <w:lang w:bidi="ar-SA"/>
          <w14:ligatures w14:val="none"/>
        </w:rPr>
        <mc:AlternateContent>
          <mc:Choice Requires="wpi">
            <w:drawing>
              <wp:anchor distT="0" distB="0" distL="114300" distR="114300" simplePos="0" relativeHeight="251660288" behindDoc="0" locked="0" layoutInCell="1" allowOverlap="1" wp14:anchorId="44EAB939" wp14:editId="7BD0A648">
                <wp:simplePos x="0" y="0"/>
                <wp:positionH relativeFrom="column">
                  <wp:posOffset>396720</wp:posOffset>
                </wp:positionH>
                <wp:positionV relativeFrom="paragraph">
                  <wp:posOffset>167950</wp:posOffset>
                </wp:positionV>
                <wp:extent cx="360" cy="360"/>
                <wp:effectExtent l="38100" t="38100" r="38100" b="38100"/>
                <wp:wrapNone/>
                <wp:docPr id="29" name="Ink 29"/>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type w14:anchorId="2CF67B7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9" o:spid="_x0000_s1026" type="#_x0000_t75" style="position:absolute;margin-left:30.9pt;margin-top:12.85pt;width:.75pt;height:.7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LOGSv8MBAABmBAAAEAAAAGRycy9pbmsvaW5rMS54bWy0&#10;k8FO4zAQhu9IvIPlPXChiZ22pBuRcqIS0iKhhZXYY0hMYxHble007dvvxHHdIMqeQJEie+z5PfP5&#10;9/XNTjRoy7ThSuaYRgQjJktVcbnO8Z+n1WSBkbGFrIpGSZbjPTP4Znl+ds3lm2gy+CNQkKYfiSbH&#10;tbWbLI67rou6aaT0Ok4ImcZ38u3+F176rIq9csktHGkOoVJJy3a2F8t4lePS7kjYD9qPqtUlC8t9&#10;RJfHHVYXJVspLQobFOtCStYgWQio+xkju9/AgMM5a6YxEhwaniQRnaWzxe1PCBS7HI/mLZRooBKB&#10;49Oaf79Bc/VRsy9rmqRXKUa+pIpt+5pixzz7vPcHrTZMW86OmAcofmGPymHu+AygNDOqafu7wWhb&#10;NC0go4SALfzZND4B5KMesPlSPeDyqd64uPdofHtjDh5asNThai0XDIwuNsFj1oBwH3602j2HhCTT&#10;CSUTmj7RRUaSjMyiOaWjq/AuPmi+6NbUQe9FH/3qVgK1obOOV7YO0ElEknmgPmZ+KrdmfF3b/yb7&#10;xl128M6Jl+jshHwnv9lrjn+4x4hc5hBwrRBEUTKbp/PLC9J/7/wYTgDQy38AAAD//wMAUEsDBBQA&#10;BgAIAAAAIQAJa0Uc3wAAAAwBAAAPAAAAZHJzL2Rvd25yZXYueG1sTI/BTsMwEETvSPyDtUjcqNNU&#10;JFUap0JU5cQBCh/gxtskxV6H2E3C37Oc6GWl0Whm35Tb2Vkx4hA6TwqWiwQEUu1NR42Cz4/9wxpE&#10;iJqMtp5QwQ8G2Fa3N6UujJ/oHcdDbASXUCi0gjbGvpAy1C06HRa+R2Lv5AenI8uhkWbQE5c7K9Mk&#10;yaTTHfGHVvf43GL9dbg4Ba9T82bH8y7mifffcr9+QUmpUvd3827D52kDIuIc/xPwt4H5oWKwo7+Q&#10;CcIqyJaMHxWkjzkI9rPVCsSRdZ6CrEp5PaL6B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C5DQfBrAQAAAwMAAA4AAAAAAAAAAAAAAAAAPAIAAGRycy9lMm9E&#10;b2MueG1sUEsBAi0AFAAGAAgAAAAhACzhkr/DAQAAZgQAABAAAAAAAAAAAAAAAAAA0wMAAGRycy9p&#10;bmsvaW5rMS54bWxQSwECLQAUAAYACAAAACEACWtFHN8AAAAMAQAADwAAAAAAAAAAAAAAAADEBQAA&#10;ZHJzL2Rvd25yZXYueG1sUEsBAi0AFAAGAAgAAAAhAHkYvJ2/AAAAIQEAABkAAAAAAAAAAAAAAAAA&#10;0AYAAGRycy9fcmVscy9lMm9Eb2MueG1sLnJlbHNQSwUGAAAAAAYABgB4AQAAxgcAAAAA&#10;">
                <v:imagedata r:id="rId10" o:title=""/>
              </v:shape>
            </w:pict>
          </mc:Fallback>
        </mc:AlternateContent>
      </w:r>
      <w:r w:rsidRPr="00A13FD2">
        <w:rPr>
          <w:rFonts w:ascii="Arial" w:eastAsia="Arial" w:hAnsi="Arial" w:cs="Arial"/>
          <w:b/>
          <w:color w:val="000000" w:themeColor="text1"/>
          <w:kern w:val="0"/>
          <w:sz w:val="24"/>
          <w:szCs w:val="24"/>
          <w:lang w:bidi="ar-SA"/>
          <w14:ligatures w14:val="none"/>
        </w:rPr>
        <w:t>Master’s Degrees by Examination and Dissertation</w:t>
      </w:r>
    </w:p>
    <w:p w14:paraId="7D54C20B" w14:textId="77777777" w:rsidR="00A13FD2" w:rsidRPr="00A13FD2" w:rsidRDefault="00A13FD2" w:rsidP="00A13FD2">
      <w:pPr>
        <w:pBdr>
          <w:top w:val="single" w:sz="4" w:space="1" w:color="000000"/>
          <w:left w:val="single" w:sz="4" w:space="4" w:color="000000"/>
          <w:bottom w:val="single" w:sz="4" w:space="1" w:color="000000"/>
          <w:right w:val="single" w:sz="4" w:space="4" w:color="000000"/>
        </w:pBdr>
        <w:spacing w:after="120" w:line="360" w:lineRule="auto"/>
        <w:jc w:val="center"/>
        <w:rPr>
          <w:rFonts w:ascii="Arial" w:eastAsia="Arial" w:hAnsi="Arial" w:cs="Arial"/>
          <w:color w:val="000000" w:themeColor="text1"/>
          <w:kern w:val="0"/>
          <w:szCs w:val="22"/>
          <w:lang w:val="en-US" w:eastAsia="en-US" w:bidi="ar-SA"/>
          <w14:ligatures w14:val="none"/>
        </w:rPr>
      </w:pPr>
      <w:r w:rsidRPr="00A13FD2">
        <w:rPr>
          <w:rFonts w:ascii="Arial" w:eastAsia="Arial" w:hAnsi="Arial" w:cs="Arial"/>
          <w:b/>
          <w:color w:val="000000" w:themeColor="text1"/>
          <w:kern w:val="0"/>
          <w:sz w:val="24"/>
          <w:szCs w:val="24"/>
          <w:lang w:bidi="ar-SA"/>
          <w14:ligatures w14:val="none"/>
        </w:rPr>
        <w:t>Declaration Form</w:t>
      </w:r>
      <w:r w:rsidRPr="00A13FD2">
        <w:rPr>
          <w:rFonts w:ascii="Arial" w:eastAsia="Arial" w:hAnsi="Arial" w:cs="Arial"/>
          <w:color w:val="000000" w:themeColor="text1"/>
          <w:kern w:val="0"/>
          <w:sz w:val="24"/>
          <w:szCs w:val="24"/>
          <w:lang w:bidi="ar-SA"/>
          <w14:ligatures w14:val="none"/>
        </w:rPr>
        <w:t>.</w:t>
      </w:r>
    </w:p>
    <w:p w14:paraId="37A51064" w14:textId="77777777" w:rsidR="00A13FD2" w:rsidRPr="00A13FD2" w:rsidRDefault="00A13FD2" w:rsidP="00A13FD2">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color w:val="000000" w:themeColor="text1"/>
          <w:kern w:val="0"/>
          <w:sz w:val="24"/>
          <w:szCs w:val="24"/>
          <w:lang w:bidi="ar-SA"/>
          <w14:ligatures w14:val="none"/>
        </w:rPr>
      </w:pPr>
      <w:r w:rsidRPr="00A13FD2">
        <w:rPr>
          <w:rFonts w:ascii="Arial" w:eastAsia="Arial" w:hAnsi="Arial" w:cs="Arial"/>
          <w:color w:val="000000" w:themeColor="text1"/>
          <w:kern w:val="0"/>
          <w:sz w:val="24"/>
          <w:szCs w:val="24"/>
          <w:lang w:bidi="ar-SA"/>
          <w14:ligatures w14:val="none"/>
        </w:rPr>
        <w:t>1. This work has not previously been accepted in substance for any degree and is not being concurrently submitted in candidature for any degree.</w:t>
      </w:r>
    </w:p>
    <w:p w14:paraId="5272917C" w14:textId="0D93BF76" w:rsidR="00A13FD2" w:rsidRPr="00A13FD2" w:rsidRDefault="008C1E31" w:rsidP="00A13FD2">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color w:val="000000" w:themeColor="text1"/>
          <w:kern w:val="0"/>
          <w:sz w:val="24"/>
          <w:szCs w:val="24"/>
          <w:lang w:bidi="ar-SA"/>
          <w14:ligatures w14:val="none"/>
        </w:rPr>
      </w:pPr>
      <w:r w:rsidRPr="00A13FD2">
        <w:rPr>
          <w:rFonts w:ascii="Arial" w:eastAsia="Arial" w:hAnsi="Arial" w:cs="Arial"/>
          <w:color w:val="000000" w:themeColor="text1"/>
          <w:kern w:val="0"/>
          <w:sz w:val="24"/>
          <w:szCs w:val="24"/>
          <w:lang w:bidi="ar-SA"/>
          <w14:ligatures w14:val="none"/>
        </w:rPr>
        <w:t>Signed :</w:t>
      </w:r>
      <w:r>
        <w:rPr>
          <w:rFonts w:ascii="Arial" w:eastAsia="Arial" w:hAnsi="Arial" w:cs="Arial"/>
          <w:color w:val="000000" w:themeColor="text1"/>
          <w:kern w:val="0"/>
          <w:sz w:val="24"/>
          <w:szCs w:val="24"/>
          <w:lang w:bidi="ar-SA"/>
          <w14:ligatures w14:val="none"/>
        </w:rPr>
        <w:t xml:space="preserve"> Purva Panchal </w:t>
      </w:r>
    </w:p>
    <w:p w14:paraId="104434FD" w14:textId="732AE6CF" w:rsidR="00A13FD2" w:rsidRPr="00A13FD2" w:rsidRDefault="007126C8" w:rsidP="00A13FD2">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color w:val="000000" w:themeColor="text1"/>
          <w:kern w:val="0"/>
          <w:sz w:val="24"/>
          <w:szCs w:val="24"/>
          <w:lang w:bidi="ar-SA"/>
          <w14:ligatures w14:val="none"/>
        </w:rPr>
      </w:pPr>
      <w:r>
        <w:rPr>
          <w:rFonts w:ascii="Arial" w:eastAsia="Arial" w:hAnsi="Arial" w:cs="Arial"/>
          <w:noProof/>
          <w:color w:val="000000" w:themeColor="text1"/>
          <w:kern w:val="0"/>
          <w:sz w:val="24"/>
          <w:szCs w:val="24"/>
          <w:lang w:bidi="ar-SA"/>
        </w:rPr>
        <mc:AlternateContent>
          <mc:Choice Requires="wpi">
            <w:drawing>
              <wp:anchor distT="0" distB="0" distL="114300" distR="114300" simplePos="0" relativeHeight="251661312" behindDoc="0" locked="0" layoutInCell="1" allowOverlap="1" wp14:anchorId="32D8B628" wp14:editId="7A912580">
                <wp:simplePos x="0" y="0"/>
                <wp:positionH relativeFrom="column">
                  <wp:posOffset>1139760</wp:posOffset>
                </wp:positionH>
                <wp:positionV relativeFrom="paragraph">
                  <wp:posOffset>190390</wp:posOffset>
                </wp:positionV>
                <wp:extent cx="360" cy="360"/>
                <wp:effectExtent l="38100" t="38100" r="38100" b="38100"/>
                <wp:wrapNone/>
                <wp:docPr id="15" name="Ink 15"/>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type w14:anchorId="361CF97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5" o:spid="_x0000_s1026" type="#_x0000_t75" style="position:absolute;margin-left:89.4pt;margin-top:14.65pt;width:.75pt;height:.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5DQfBrAQAAAwMAAA4AAABkcnMvZTJvRG9jLnhtbJxSQW7CMBC8V+of&#13;&#10;LN9LEkAIRSQciipxaMuhfYDr2MRq7I3WDgm/7yZAgVZVJS7WelaendnxYtnZiu0UegMu48ko5kw5&#13;&#10;CYVx24y/vz09zDnzQbhCVOBUxvfK82V+f7do61SNoYSqUMiIxPm0rTNehlCnUeRlqazwI6iVo6YG&#13;&#10;tCLQFbdRgaIldltF4zieRS1gUSNI5T2hq0OT5wO/1kqGV629CqzK+HQyJnnhVCAVszkhH8ciyhci&#13;&#10;3aKoSyOPksQNiqwwjgR8U61EEKxB84vKGongQYeRBBuB1kaqwQ85S+Ifztbus3eVTGWDqQQXlAsb&#13;&#10;geG0u6Fxywhb0QbaZygoHdEE4EdGWs//YRxEr0A2lvQcEkFViUDfwZem9pxhaoqM47pIzvrd7vHs&#13;&#10;YINnXy/XDUokOlr+60mn0fbLJiWsyzjFue/PIUvVBSYJnMwIloT3xQXn4e1pwsVSaexVfJf3XtLF&#13;&#10;382/AAAA//8DAFBLAwQUAAYACAAAACEANbbwc8MBAABmBAAAEAAAAGRycy9pbmsvaW5rMS54bWy0&#13;&#10;k81O6zAQhfdIvINlFmxo4vyUloiUFZWQLhK6cCVYhsQ0FrFd2U7Tvv2dOK4bRGEFihTZY8/xzOfj&#13;&#10;65stb9CGKs2kyHEUEIyoKGXFxCrH/56WkzlG2hSiKhopaI53VOObxenJNRPvvMngj0BB6H7EmxzX&#13;&#10;xqyzMOy6LuiSQKpVGBOShHfi/f4PXrisir4xwQwcqfehUgpDt6YXy1iV49Jsid8P2o+yVSX1y31E&#13;&#10;lYcdRhUlXUrFC+MV60II2iBRcKj7GSOzW8OAwTkrqjDiDBqexEGUztL57RUEim2OR/MWStRQCcfh&#13;&#10;cc2XX9Bcftbsy0ri2eUMI1dSRTd9TaFlnn3d+4OSa6oMowfMAxS3sEPlMLd8BlCKatm0/d1gtCma&#13;&#10;FpBFhIAt3NlReATIZz1g86N6wOVLvXFxH9G49sYcHDRvqf3VGsYpGJ2vvceMBuE+/GiUfQ4xiZNJ&#13;&#10;RCbR1VM0zdIkS+dBlFyOrsK5eK/5qlpde71XdfCrXfHUhs46VpnaQycBiaee+pj5sdyaslVtvk12&#13;&#10;jdts750jL9HaCblO/tK3HJ/Zx4hs5hCwrRBEUJxOZ9OLc9J/H/zoTwDQi/8AAAD//wMAUEsDBBQA&#13;&#10;BgAIAAAAIQDluYxD3wAAAA4BAAAPAAAAZHJzL2Rvd25yZXYueG1sTI/BTsMwDIbvSLxDZKTdWEIn&#13;&#10;sdA1ndCmceIAgwfIGtMWGqc0WVveHu8EF8u/bP/+/mI7+06MOMQ2kIG7pQKBVAXXUm3g/e1wq0HE&#13;&#10;ZMnZLhAa+MEI2/L6qrC5CxO94nhMtWATirk10KTU51LGqkFv4zL0SDz7CIO3ieVQSzfYic19JzOl&#13;&#10;7qW3LfGHxva4a7D6Op69geepfunGz31aqxC+5UE/oaTMmMXNvN9wedyASDinvwu4ZGB+KBnsFM7k&#13;&#10;ouhYrzXzJwPZwwrEZUErbk4GVkqDLAv5P0b5Cw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C5DQfBrAQAAAwMAAA4AAAAAAAAAAAAAAAAAPAIAAGRycy9lMm9E&#13;&#10;b2MueG1sUEsBAi0AFAAGAAgAAAAhADW28HPDAQAAZgQAABAAAAAAAAAAAAAAAAAA0wMAAGRycy9p&#13;&#10;bmsvaW5rMS54bWxQSwECLQAUAAYACAAAACEA5bmMQ98AAAAOAQAADwAAAAAAAAAAAAAAAADEBQAA&#13;&#10;ZHJzL2Rvd25yZXYueG1sUEsBAi0AFAAGAAgAAAAhAHkYvJ2/AAAAIQEAABkAAAAAAAAAAAAAAAAA&#13;&#10;0AYAAGRycy9fcmVscy9lMm9Eb2MueG1sLnJlbHNQSwUGAAAAAAYABgB4AQAAxgcAAAAA&#13;&#10;">
                <v:imagedata r:id="rId12" o:title=""/>
              </v:shape>
            </w:pict>
          </mc:Fallback>
        </mc:AlternateContent>
      </w:r>
      <w:r w:rsidR="00A13FD2" w:rsidRPr="00A13FD2">
        <w:rPr>
          <w:rFonts w:ascii="Arial" w:eastAsia="Arial" w:hAnsi="Arial" w:cs="Arial"/>
          <w:noProof/>
          <w:color w:val="000000" w:themeColor="text1"/>
          <w:kern w:val="0"/>
          <w:sz w:val="24"/>
          <w:szCs w:val="24"/>
          <w:lang w:bidi="ar-SA"/>
          <w14:ligatures w14:val="none"/>
        </w:rPr>
        <mc:AlternateContent>
          <mc:Choice Requires="wpi">
            <w:drawing>
              <wp:anchor distT="0" distB="0" distL="114300" distR="114300" simplePos="0" relativeHeight="251659264" behindDoc="0" locked="0" layoutInCell="1" allowOverlap="1" wp14:anchorId="0E880B8D" wp14:editId="142FC936">
                <wp:simplePos x="0" y="0"/>
                <wp:positionH relativeFrom="column">
                  <wp:posOffset>1622160</wp:posOffset>
                </wp:positionH>
                <wp:positionV relativeFrom="paragraph">
                  <wp:posOffset>326740</wp:posOffset>
                </wp:positionV>
                <wp:extent cx="360" cy="360"/>
                <wp:effectExtent l="38100" t="38100" r="38100" b="38100"/>
                <wp:wrapNone/>
                <wp:docPr id="28" name="Ink 28"/>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2316B67A" id="Ink 28" o:spid="_x0000_s1026" type="#_x0000_t75" style="position:absolute;margin-left:127.4pt;margin-top:25.4pt;width:.75pt;height:.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mfsX2sMBAABmBAAAEAAAAGRycy9pbmsvaW5rMS54bWy0&#10;k11v2yAUhu8n9T8gdrGbxQY7qVOrTq8aadImTf2QukvXpjGqgQhwnPz7HWNCXDXt1SZLFhw4L+c8&#10;vFzf7EWLdkwbrmSBaUQwYrJSNZebAj8+rGdLjIwtZV22SrICH5jBN6uLL9dcvoo2hz8CBWmGkWgL&#10;3Fi7zeO47/uoTyOlN3FCSBr/kK+/fuKVz6rZC5fcwpHmGKqUtGxvB7Gc1wWu7J6E/aB9rzpdsbA8&#10;RHR12mF1WbG10qK0QbEppWQtkqWAup8wsoctDDics2EaI8Gh4VkS0Xk2X95eQaDcF3gy76BEA5UI&#10;HJ/X/PMfNNfvNYey0iS7zDDyJdVsN9QUO+b5x73/1mrLtOXshHmE4hcOqBrnjs8ISjOj2m64G4x2&#10;ZdsBMkoI2MKfTeMzQN7rAZt/qgdcPtSbFvcWjW9vysFDC5Y6Xq3lgoHRxTZ4zBoQHsL3VrvnkJAk&#10;nVEyo9kDXeYkyUkaXVEyuQrv4qPms+5ME/Se9cmvbiVQGzvreW2bAJ1EJFkE6lPm53IbxjeN/TTZ&#10;N+6yg3fOvERnJ+Q7uWMvBf7qHiNymWPAtUIRRcl8kS2+fyPD98aP4QQAvfoLAAD//wMAUEsDBBQA&#10;BgAIAAAAIQDCWVvr4AAAAA4BAAAPAAAAZHJzL2Rvd25yZXYueG1sTI/PTsMwDMbvSLxDZCRuLCGj&#10;Y+qaTohpnDjA4AGyxrSFxilN1pa3x5zYxZb/ff59xXb2nRhxiG0gA7cLBQKpCq6l2sD72/5mDSIm&#10;S852gdDAD0bYlpcXhc1dmOgVx0OqBYtQzK2BJqU+lzJWDXobF6FH4tlHGLxNXA61dIOdWNx3Uiu1&#10;kt62xB8a2+Njg9XX4eQNPE/1Szd+7tK9CuFb7tdPKEkbc3017zYcHjYgEs7p/wL+PDA/lAx2DCdy&#10;UXQGdHbH/MlApjjzgs5WSxBHbuglyLKQ5zbKX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uQ0HwawEAAAMDAAAOAAAAAAAAAAAAAAAAADwCAABkcnMvZTJv&#10;RG9jLnhtbFBLAQItABQABgAIAAAAIQCZ+xfawwEAAGYEAAAQAAAAAAAAAAAAAAAAANMDAABkcnMv&#10;aW5rL2luazEueG1sUEsBAi0AFAAGAAgAAAAhAMJZW+vgAAAADgEAAA8AAAAAAAAAAAAAAAAAxAUA&#10;AGRycy9kb3ducmV2LnhtbFBLAQItABQABgAIAAAAIQB5GLydvwAAACEBAAAZAAAAAAAAAAAAAAAA&#10;ANEGAABkcnMvX3JlbHMvZTJvRG9jLnhtbC5yZWxzUEsFBgAAAAAGAAYAeAEAAMcHAAAAAA==&#10;">
                <v:imagedata r:id="rId10" o:title=""/>
              </v:shape>
            </w:pict>
          </mc:Fallback>
        </mc:AlternateContent>
      </w:r>
      <w:r w:rsidR="00A13FD2" w:rsidRPr="00A13FD2">
        <w:rPr>
          <w:rFonts w:ascii="Arial" w:eastAsia="Arial" w:hAnsi="Arial" w:cs="Arial"/>
          <w:color w:val="000000" w:themeColor="text1"/>
          <w:kern w:val="0"/>
          <w:sz w:val="24"/>
          <w:szCs w:val="24"/>
          <w:lang w:bidi="ar-SA"/>
          <w14:ligatures w14:val="none"/>
        </w:rPr>
        <w:t xml:space="preserve">Date    </w:t>
      </w:r>
      <w:r w:rsidR="008C1E31" w:rsidRPr="00A13FD2">
        <w:rPr>
          <w:rFonts w:ascii="Arial" w:eastAsia="Arial" w:hAnsi="Arial" w:cs="Arial"/>
          <w:color w:val="000000" w:themeColor="text1"/>
          <w:kern w:val="0"/>
          <w:sz w:val="24"/>
          <w:szCs w:val="24"/>
          <w:lang w:bidi="ar-SA"/>
          <w14:ligatures w14:val="none"/>
        </w:rPr>
        <w:t xml:space="preserve"> :</w:t>
      </w:r>
      <w:r w:rsidR="00FE3F4E">
        <w:rPr>
          <w:rFonts w:ascii="Arial" w:eastAsia="Arial" w:hAnsi="Arial" w:cs="Arial"/>
          <w:color w:val="000000" w:themeColor="text1"/>
          <w:kern w:val="0"/>
          <w:sz w:val="24"/>
          <w:szCs w:val="24"/>
          <w:lang w:bidi="ar-SA"/>
          <w14:ligatures w14:val="none"/>
        </w:rPr>
        <w:t xml:space="preserve"> </w:t>
      </w:r>
      <w:r w:rsidR="00FE3F4E">
        <w:rPr>
          <w:rFonts w:ascii="Arial" w:eastAsia="Arial" w:hAnsi="Arial" w:cs="Arial"/>
          <w:color w:val="000000" w:themeColor="text1"/>
          <w:kern w:val="0"/>
          <w:sz w:val="24"/>
          <w:szCs w:val="24"/>
          <w:lang w:bidi="ar-SA"/>
          <w14:ligatures w14:val="none"/>
        </w:rPr>
        <w:t>19/10/23</w:t>
      </w:r>
    </w:p>
    <w:p w14:paraId="23B199D1" w14:textId="77777777" w:rsidR="00A13FD2" w:rsidRPr="00A13FD2" w:rsidRDefault="00A13FD2" w:rsidP="00A13FD2">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color w:val="000000" w:themeColor="text1"/>
          <w:kern w:val="0"/>
          <w:sz w:val="24"/>
          <w:szCs w:val="24"/>
          <w:lang w:bidi="ar-SA"/>
          <w14:ligatures w14:val="none"/>
        </w:rPr>
      </w:pPr>
    </w:p>
    <w:p w14:paraId="6F669A79" w14:textId="77777777" w:rsidR="00A13FD2" w:rsidRPr="00A13FD2" w:rsidRDefault="00A13FD2" w:rsidP="00A13FD2">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color w:val="000000" w:themeColor="text1"/>
          <w:kern w:val="0"/>
          <w:sz w:val="24"/>
          <w:szCs w:val="24"/>
          <w:lang w:bidi="ar-SA"/>
          <w14:ligatures w14:val="none"/>
        </w:rPr>
      </w:pPr>
      <w:r w:rsidRPr="00A13FD2">
        <w:rPr>
          <w:rFonts w:ascii="Arial" w:eastAsia="Arial" w:hAnsi="Arial" w:cs="Arial"/>
          <w:color w:val="000000" w:themeColor="text1"/>
          <w:kern w:val="0"/>
          <w:sz w:val="24"/>
          <w:szCs w:val="24"/>
          <w:lang w:bidi="ar-SA"/>
          <w14:ligatures w14:val="none"/>
        </w:rPr>
        <w:t>2. This dissertation is being submitted in partial fulfilment of the requirements for the degree of Master in Business Administration.</w:t>
      </w:r>
    </w:p>
    <w:p w14:paraId="4E4112F6" w14:textId="781A3065" w:rsidR="00A13FD2" w:rsidRPr="00A13FD2" w:rsidRDefault="00A13FD2" w:rsidP="00A13FD2">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color w:val="000000" w:themeColor="text1"/>
          <w:kern w:val="0"/>
          <w:sz w:val="24"/>
          <w:szCs w:val="24"/>
          <w:lang w:bidi="ar-SA"/>
          <w14:ligatures w14:val="none"/>
        </w:rPr>
      </w:pPr>
      <w:r w:rsidRPr="00A13FD2">
        <w:rPr>
          <w:rFonts w:ascii="Arial" w:eastAsia="Arial" w:hAnsi="Arial" w:cs="Arial"/>
          <w:color w:val="000000" w:themeColor="text1"/>
          <w:kern w:val="0"/>
          <w:sz w:val="24"/>
          <w:szCs w:val="24"/>
          <w:lang w:bidi="ar-SA"/>
          <w14:ligatures w14:val="none"/>
        </w:rPr>
        <w:t>Signed  :</w:t>
      </w:r>
      <w:r w:rsidR="008C1E31">
        <w:rPr>
          <w:rFonts w:ascii="Arial" w:eastAsia="Arial" w:hAnsi="Arial" w:cs="Arial"/>
          <w:color w:val="000000" w:themeColor="text1"/>
          <w:kern w:val="0"/>
          <w:sz w:val="24"/>
          <w:szCs w:val="24"/>
          <w:lang w:bidi="ar-SA"/>
          <w14:ligatures w14:val="none"/>
        </w:rPr>
        <w:t xml:space="preserve"> </w:t>
      </w:r>
      <w:r w:rsidR="008C1E31">
        <w:rPr>
          <w:rFonts w:ascii="Arial" w:eastAsia="Arial" w:hAnsi="Arial" w:cs="Arial"/>
          <w:color w:val="000000" w:themeColor="text1"/>
          <w:kern w:val="0"/>
          <w:sz w:val="24"/>
          <w:szCs w:val="24"/>
          <w:lang w:bidi="ar-SA"/>
          <w14:ligatures w14:val="none"/>
        </w:rPr>
        <w:t xml:space="preserve">Purva Panchal </w:t>
      </w:r>
    </w:p>
    <w:p w14:paraId="31813CB6" w14:textId="1422FE36" w:rsidR="00A13FD2" w:rsidRPr="00A13FD2" w:rsidRDefault="00A13FD2" w:rsidP="00A13FD2">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color w:val="000000" w:themeColor="text1"/>
          <w:kern w:val="0"/>
          <w:sz w:val="24"/>
          <w:szCs w:val="24"/>
          <w:lang w:bidi="ar-SA"/>
          <w14:ligatures w14:val="none"/>
        </w:rPr>
      </w:pPr>
      <w:r w:rsidRPr="00A13FD2">
        <w:rPr>
          <w:rFonts w:ascii="Arial" w:eastAsia="Arial" w:hAnsi="Arial" w:cs="Arial"/>
          <w:color w:val="000000" w:themeColor="text1"/>
          <w:kern w:val="0"/>
          <w:sz w:val="24"/>
          <w:szCs w:val="24"/>
          <w:lang w:bidi="ar-SA"/>
          <w14:ligatures w14:val="none"/>
        </w:rPr>
        <w:t>Date       :</w:t>
      </w:r>
      <w:r w:rsidR="00FE3F4E" w:rsidRPr="00FE3F4E">
        <w:rPr>
          <w:rFonts w:ascii="Arial" w:eastAsia="Arial" w:hAnsi="Arial" w:cs="Arial"/>
          <w:color w:val="000000" w:themeColor="text1"/>
          <w:kern w:val="0"/>
          <w:sz w:val="24"/>
          <w:szCs w:val="24"/>
          <w:lang w:bidi="ar-SA"/>
          <w14:ligatures w14:val="none"/>
        </w:rPr>
        <w:t xml:space="preserve"> </w:t>
      </w:r>
      <w:r w:rsidR="00FE3F4E">
        <w:rPr>
          <w:rFonts w:ascii="Arial" w:eastAsia="Arial" w:hAnsi="Arial" w:cs="Arial"/>
          <w:color w:val="000000" w:themeColor="text1"/>
          <w:kern w:val="0"/>
          <w:sz w:val="24"/>
          <w:szCs w:val="24"/>
          <w:lang w:bidi="ar-SA"/>
          <w14:ligatures w14:val="none"/>
        </w:rPr>
        <w:t>19/10/23</w:t>
      </w:r>
    </w:p>
    <w:p w14:paraId="4602E7AF" w14:textId="77777777" w:rsidR="00A13FD2" w:rsidRPr="00A13FD2" w:rsidRDefault="00A13FD2" w:rsidP="00A13FD2">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color w:val="000000" w:themeColor="text1"/>
          <w:kern w:val="0"/>
          <w:sz w:val="24"/>
          <w:szCs w:val="24"/>
          <w:lang w:bidi="ar-SA"/>
          <w14:ligatures w14:val="none"/>
        </w:rPr>
      </w:pPr>
      <w:r w:rsidRPr="00A13FD2">
        <w:rPr>
          <w:rFonts w:ascii="Arial" w:eastAsia="Arial" w:hAnsi="Arial" w:cs="Arial"/>
          <w:color w:val="000000" w:themeColor="text1"/>
          <w:kern w:val="0"/>
          <w:sz w:val="24"/>
          <w:szCs w:val="24"/>
          <w:lang w:bidi="ar-SA"/>
          <w14:ligatures w14:val="none"/>
        </w:rPr>
        <w:t xml:space="preserve"> 3. This dissertation is the result of my own independent work/investigation, except where otherwise stated.</w:t>
      </w:r>
    </w:p>
    <w:p w14:paraId="787F0F0B" w14:textId="77777777" w:rsidR="00A13FD2" w:rsidRPr="00A13FD2" w:rsidRDefault="00A13FD2" w:rsidP="00A13FD2">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color w:val="000000" w:themeColor="text1"/>
          <w:kern w:val="0"/>
          <w:sz w:val="24"/>
          <w:szCs w:val="24"/>
          <w:lang w:bidi="ar-SA"/>
          <w14:ligatures w14:val="none"/>
        </w:rPr>
      </w:pPr>
      <w:r w:rsidRPr="00A13FD2">
        <w:rPr>
          <w:rFonts w:ascii="Arial" w:eastAsia="Arial" w:hAnsi="Arial" w:cs="Arial"/>
          <w:color w:val="000000" w:themeColor="text1"/>
          <w:kern w:val="0"/>
          <w:sz w:val="24"/>
          <w:szCs w:val="24"/>
          <w:lang w:bidi="ar-SA"/>
          <w14:ligatures w14:val="none"/>
        </w:rPr>
        <w:t xml:space="preserve">Other sources are acknowledged by footnotes giving explicit references. </w:t>
      </w:r>
    </w:p>
    <w:p w14:paraId="3D711D78" w14:textId="77777777" w:rsidR="00A13FD2" w:rsidRPr="00A13FD2" w:rsidRDefault="00A13FD2" w:rsidP="00A13FD2">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color w:val="000000" w:themeColor="text1"/>
          <w:kern w:val="0"/>
          <w:sz w:val="24"/>
          <w:szCs w:val="24"/>
          <w:lang w:bidi="ar-SA"/>
          <w14:ligatures w14:val="none"/>
        </w:rPr>
      </w:pPr>
      <w:r w:rsidRPr="00A13FD2">
        <w:rPr>
          <w:rFonts w:ascii="Arial" w:eastAsia="Arial" w:hAnsi="Arial" w:cs="Arial"/>
          <w:color w:val="000000" w:themeColor="text1"/>
          <w:kern w:val="0"/>
          <w:sz w:val="24"/>
          <w:szCs w:val="24"/>
          <w:lang w:bidi="ar-SA"/>
          <w14:ligatures w14:val="none"/>
        </w:rPr>
        <w:t>A bibliography is appended.</w:t>
      </w:r>
    </w:p>
    <w:p w14:paraId="378463D4" w14:textId="76D6FF51" w:rsidR="00A13FD2" w:rsidRPr="00A13FD2" w:rsidRDefault="00A13FD2" w:rsidP="00A13FD2">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color w:val="000000" w:themeColor="text1"/>
          <w:kern w:val="0"/>
          <w:sz w:val="24"/>
          <w:szCs w:val="24"/>
          <w:lang w:bidi="ar-SA"/>
          <w14:ligatures w14:val="none"/>
        </w:rPr>
      </w:pPr>
      <w:r w:rsidRPr="00A13FD2">
        <w:rPr>
          <w:rFonts w:ascii="Arial" w:eastAsia="Arial" w:hAnsi="Arial" w:cs="Arial"/>
          <w:color w:val="000000" w:themeColor="text1"/>
          <w:kern w:val="0"/>
          <w:sz w:val="24"/>
          <w:szCs w:val="24"/>
          <w:lang w:bidi="ar-SA"/>
          <w14:ligatures w14:val="none"/>
        </w:rPr>
        <w:t xml:space="preserve">Signed </w:t>
      </w:r>
      <w:r w:rsidR="00040ACC" w:rsidRPr="00A13FD2">
        <w:rPr>
          <w:rFonts w:ascii="Arial" w:eastAsia="Arial" w:hAnsi="Arial" w:cs="Arial"/>
          <w:color w:val="000000" w:themeColor="text1"/>
          <w:kern w:val="0"/>
          <w:sz w:val="24"/>
          <w:szCs w:val="24"/>
          <w:lang w:bidi="ar-SA"/>
          <w14:ligatures w14:val="none"/>
        </w:rPr>
        <w:t>candidate :</w:t>
      </w:r>
      <w:r w:rsidRPr="00A13FD2">
        <w:rPr>
          <w:rFonts w:ascii="Arial" w:eastAsia="Arial" w:hAnsi="Arial" w:cs="Arial"/>
          <w:noProof/>
          <w:color w:val="000000" w:themeColor="text1"/>
          <w:kern w:val="0"/>
          <w:sz w:val="24"/>
          <w:szCs w:val="24"/>
          <w:lang w:bidi="ar-SA"/>
          <w14:ligatures w14:val="none"/>
        </w:rPr>
        <w:t xml:space="preserve"> </w:t>
      </w:r>
      <w:r w:rsidR="008C1E31">
        <w:rPr>
          <w:rFonts w:ascii="Arial" w:eastAsia="Arial" w:hAnsi="Arial" w:cs="Arial"/>
          <w:color w:val="000000" w:themeColor="text1"/>
          <w:kern w:val="0"/>
          <w:sz w:val="24"/>
          <w:szCs w:val="24"/>
          <w:lang w:bidi="ar-SA"/>
          <w14:ligatures w14:val="none"/>
        </w:rPr>
        <w:t xml:space="preserve">Purva Panchal </w:t>
      </w:r>
    </w:p>
    <w:p w14:paraId="6CF690AF" w14:textId="6AC897DC" w:rsidR="00A13FD2" w:rsidRPr="00A13FD2" w:rsidRDefault="00A13FD2" w:rsidP="00A13FD2">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color w:val="000000" w:themeColor="text1"/>
          <w:kern w:val="0"/>
          <w:sz w:val="24"/>
          <w:szCs w:val="24"/>
          <w:lang w:bidi="ar-SA"/>
          <w14:ligatures w14:val="none"/>
        </w:rPr>
      </w:pPr>
      <w:r w:rsidRPr="00A13FD2">
        <w:rPr>
          <w:rFonts w:ascii="Arial" w:eastAsia="Arial" w:hAnsi="Arial" w:cs="Arial"/>
          <w:color w:val="000000" w:themeColor="text1"/>
          <w:kern w:val="0"/>
          <w:sz w:val="24"/>
          <w:szCs w:val="24"/>
          <w:lang w:bidi="ar-SA"/>
          <w14:ligatures w14:val="none"/>
        </w:rPr>
        <w:t xml:space="preserve">Date:  </w:t>
      </w:r>
      <w:r w:rsidR="00FE3F4E">
        <w:rPr>
          <w:rFonts w:ascii="Arial" w:eastAsia="Arial" w:hAnsi="Arial" w:cs="Arial"/>
          <w:color w:val="000000" w:themeColor="text1"/>
          <w:kern w:val="0"/>
          <w:sz w:val="24"/>
          <w:szCs w:val="24"/>
          <w:lang w:bidi="ar-SA"/>
          <w14:ligatures w14:val="none"/>
        </w:rPr>
        <w:t>19/10/23</w:t>
      </w:r>
    </w:p>
    <w:p w14:paraId="4A196D27" w14:textId="77777777" w:rsidR="00A13FD2" w:rsidRPr="00A13FD2" w:rsidRDefault="00A13FD2" w:rsidP="00A13FD2">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color w:val="000000" w:themeColor="text1"/>
          <w:kern w:val="0"/>
          <w:szCs w:val="22"/>
          <w:lang w:val="en-US" w:eastAsia="en-US" w:bidi="ar-SA"/>
          <w14:ligatures w14:val="none"/>
        </w:rPr>
      </w:pPr>
    </w:p>
    <w:p w14:paraId="4C7D5A71" w14:textId="77777777" w:rsidR="00A13FD2" w:rsidRPr="00A13FD2" w:rsidRDefault="00A13FD2" w:rsidP="00A13FD2">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color w:val="000000" w:themeColor="text1"/>
          <w:kern w:val="0"/>
          <w:sz w:val="24"/>
          <w:szCs w:val="24"/>
          <w:lang w:bidi="ar-SA"/>
          <w14:ligatures w14:val="none"/>
        </w:rPr>
      </w:pPr>
      <w:r w:rsidRPr="00A13FD2">
        <w:rPr>
          <w:rFonts w:ascii="Arial" w:eastAsia="Arial" w:hAnsi="Arial" w:cs="Arial"/>
          <w:color w:val="000000" w:themeColor="text1"/>
          <w:kern w:val="0"/>
          <w:sz w:val="24"/>
          <w:szCs w:val="24"/>
          <w:lang w:bidi="ar-SA"/>
          <w14:ligatures w14:val="none"/>
        </w:rPr>
        <w:t xml:space="preserve">4. I hereby give consent for my dissertation, if accepted, to be available for photocopying,  inter- library loan, and for deposit in the University’s digital repository </w:t>
      </w:r>
    </w:p>
    <w:p w14:paraId="000382C3" w14:textId="1F78AD70" w:rsidR="00A13FD2" w:rsidRPr="00A13FD2" w:rsidRDefault="00A13FD2" w:rsidP="00A13FD2">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color w:val="000000" w:themeColor="text1"/>
          <w:kern w:val="0"/>
          <w:sz w:val="24"/>
          <w:szCs w:val="24"/>
          <w:lang w:bidi="ar-SA"/>
          <w14:ligatures w14:val="none"/>
        </w:rPr>
      </w:pPr>
      <w:r w:rsidRPr="00A13FD2">
        <w:rPr>
          <w:rFonts w:ascii="Arial" w:eastAsia="Arial" w:hAnsi="Arial" w:cs="Arial"/>
          <w:color w:val="000000" w:themeColor="text1"/>
          <w:kern w:val="0"/>
          <w:sz w:val="24"/>
          <w:szCs w:val="24"/>
          <w:lang w:bidi="ar-SA"/>
          <w14:ligatures w14:val="none"/>
        </w:rPr>
        <w:t>Signed (candidate) :</w:t>
      </w:r>
      <w:r w:rsidRPr="00A13FD2">
        <w:rPr>
          <w:rFonts w:ascii="Arial" w:eastAsia="Arial" w:hAnsi="Arial" w:cs="Arial"/>
          <w:noProof/>
          <w:color w:val="000000" w:themeColor="text1"/>
          <w:kern w:val="0"/>
          <w:sz w:val="24"/>
          <w:szCs w:val="24"/>
          <w:lang w:bidi="ar-SA"/>
          <w14:ligatures w14:val="none"/>
        </w:rPr>
        <w:t xml:space="preserve"> </w:t>
      </w:r>
      <w:r w:rsidR="00040ACC">
        <w:rPr>
          <w:rFonts w:ascii="Arial" w:eastAsia="Arial" w:hAnsi="Arial" w:cs="Arial"/>
          <w:color w:val="000000" w:themeColor="text1"/>
          <w:kern w:val="0"/>
          <w:sz w:val="24"/>
          <w:szCs w:val="24"/>
          <w:lang w:bidi="ar-SA"/>
          <w14:ligatures w14:val="none"/>
        </w:rPr>
        <w:t xml:space="preserve">Purva Panchal </w:t>
      </w:r>
    </w:p>
    <w:p w14:paraId="21BC20EC" w14:textId="2EF1DD01" w:rsidR="00A13FD2" w:rsidRPr="00A13FD2" w:rsidRDefault="00A13FD2" w:rsidP="00A13FD2">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color w:val="000000" w:themeColor="text1"/>
          <w:kern w:val="0"/>
          <w:sz w:val="24"/>
          <w:szCs w:val="24"/>
          <w:lang w:bidi="ar-SA"/>
          <w14:ligatures w14:val="none"/>
        </w:rPr>
      </w:pPr>
      <w:r w:rsidRPr="00A13FD2">
        <w:rPr>
          <w:rFonts w:ascii="Arial" w:eastAsia="Arial" w:hAnsi="Arial" w:cs="Arial"/>
          <w:color w:val="000000" w:themeColor="text1"/>
          <w:kern w:val="0"/>
          <w:sz w:val="24"/>
          <w:szCs w:val="24"/>
          <w:lang w:bidi="ar-SA"/>
          <w14:ligatures w14:val="none"/>
        </w:rPr>
        <w:lastRenderedPageBreak/>
        <w:t>Date :</w:t>
      </w:r>
      <w:r w:rsidR="00FE3F4E" w:rsidRPr="00FE3F4E">
        <w:rPr>
          <w:rFonts w:ascii="Arial" w:eastAsia="Arial" w:hAnsi="Arial" w:cs="Arial"/>
          <w:color w:val="000000" w:themeColor="text1"/>
          <w:kern w:val="0"/>
          <w:sz w:val="24"/>
          <w:szCs w:val="24"/>
          <w:lang w:bidi="ar-SA"/>
          <w14:ligatures w14:val="none"/>
        </w:rPr>
        <w:t xml:space="preserve"> </w:t>
      </w:r>
      <w:r w:rsidR="00FE3F4E">
        <w:rPr>
          <w:rFonts w:ascii="Arial" w:eastAsia="Arial" w:hAnsi="Arial" w:cs="Arial"/>
          <w:color w:val="000000" w:themeColor="text1"/>
          <w:kern w:val="0"/>
          <w:sz w:val="24"/>
          <w:szCs w:val="24"/>
          <w:lang w:bidi="ar-SA"/>
          <w14:ligatures w14:val="none"/>
        </w:rPr>
        <w:t>19/10/23</w:t>
      </w:r>
    </w:p>
    <w:p w14:paraId="4947CC69" w14:textId="77777777" w:rsidR="00A13FD2" w:rsidRPr="00A13FD2" w:rsidRDefault="00A13FD2" w:rsidP="00A13FD2">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color w:val="000000" w:themeColor="text1"/>
          <w:kern w:val="0"/>
          <w:sz w:val="24"/>
          <w:szCs w:val="24"/>
          <w:lang w:bidi="ar-SA"/>
          <w14:ligatures w14:val="none"/>
        </w:rPr>
      </w:pPr>
    </w:p>
    <w:p w14:paraId="6279B52B" w14:textId="77777777" w:rsidR="00A13FD2" w:rsidRPr="00A13FD2" w:rsidRDefault="00A13FD2" w:rsidP="00A13FD2">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color w:val="000000" w:themeColor="text1"/>
          <w:kern w:val="0"/>
          <w:sz w:val="24"/>
          <w:szCs w:val="24"/>
          <w:lang w:bidi="ar-SA"/>
          <w14:ligatures w14:val="none"/>
        </w:rPr>
      </w:pPr>
    </w:p>
    <w:p w14:paraId="72280CC2" w14:textId="77777777" w:rsidR="00A13FD2" w:rsidRPr="00A13FD2" w:rsidRDefault="00A13FD2" w:rsidP="00A13FD2">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color w:val="000000" w:themeColor="text1"/>
          <w:kern w:val="0"/>
          <w:szCs w:val="22"/>
          <w:lang w:val="en-US" w:eastAsia="en-US" w:bidi="ar-SA"/>
          <w14:ligatures w14:val="none"/>
        </w:rPr>
      </w:pPr>
      <w:r w:rsidRPr="00A13FD2">
        <w:rPr>
          <w:rFonts w:ascii="Arial" w:eastAsia="Arial" w:hAnsi="Arial" w:cs="Arial"/>
          <w:b/>
          <w:color w:val="000000" w:themeColor="text1"/>
          <w:kern w:val="0"/>
          <w:sz w:val="24"/>
          <w:szCs w:val="24"/>
          <w:lang w:bidi="ar-SA"/>
          <w14:ligatures w14:val="none"/>
        </w:rPr>
        <w:t>Supervisor’s Declaration</w:t>
      </w:r>
      <w:r w:rsidRPr="00A13FD2">
        <w:rPr>
          <w:rFonts w:ascii="Arial" w:eastAsia="Arial" w:hAnsi="Arial" w:cs="Arial"/>
          <w:color w:val="000000" w:themeColor="text1"/>
          <w:kern w:val="0"/>
          <w:sz w:val="24"/>
          <w:szCs w:val="24"/>
          <w:lang w:bidi="ar-SA"/>
          <w14:ligatures w14:val="none"/>
        </w:rPr>
        <w:t>.</w:t>
      </w:r>
    </w:p>
    <w:p w14:paraId="057E5C07" w14:textId="77777777" w:rsidR="00A13FD2" w:rsidRPr="00A13FD2" w:rsidRDefault="00A13FD2" w:rsidP="00A13FD2">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color w:val="000000" w:themeColor="text1"/>
          <w:kern w:val="0"/>
          <w:sz w:val="24"/>
          <w:szCs w:val="24"/>
          <w:lang w:bidi="ar-SA"/>
          <w14:ligatures w14:val="none"/>
        </w:rPr>
      </w:pPr>
      <w:r w:rsidRPr="00A13FD2">
        <w:rPr>
          <w:rFonts w:ascii="Arial" w:eastAsia="Arial" w:hAnsi="Arial" w:cs="Arial"/>
          <w:color w:val="000000" w:themeColor="text1"/>
          <w:kern w:val="0"/>
          <w:sz w:val="24"/>
          <w:szCs w:val="24"/>
          <w:lang w:bidi="ar-SA"/>
          <w14:ligatures w14:val="none"/>
        </w:rPr>
        <w:t>I am satisfied that this work is the result of the student’s own efforts.</w:t>
      </w:r>
    </w:p>
    <w:p w14:paraId="5B9D1B15" w14:textId="208421E9" w:rsidR="00A13FD2" w:rsidRPr="00A13FD2" w:rsidRDefault="00A13FD2" w:rsidP="00A13FD2">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color w:val="000000" w:themeColor="text1"/>
          <w:kern w:val="0"/>
          <w:sz w:val="24"/>
          <w:szCs w:val="24"/>
          <w:lang w:bidi="ar-SA"/>
          <w14:ligatures w14:val="none"/>
        </w:rPr>
      </w:pPr>
      <w:r w:rsidRPr="00A13FD2">
        <w:rPr>
          <w:rFonts w:ascii="Arial" w:eastAsia="Arial" w:hAnsi="Arial" w:cs="Arial"/>
          <w:color w:val="000000" w:themeColor="text1"/>
          <w:kern w:val="0"/>
          <w:sz w:val="24"/>
          <w:szCs w:val="24"/>
          <w:lang w:bidi="ar-SA"/>
          <w14:ligatures w14:val="none"/>
        </w:rPr>
        <w:t xml:space="preserve">Signed :   </w:t>
      </w:r>
      <w:r w:rsidR="00F75C83">
        <w:rPr>
          <w:rFonts w:ascii="Arial" w:eastAsia="Arial" w:hAnsi="Arial" w:cs="Arial"/>
          <w:color w:val="000000" w:themeColor="text1"/>
          <w:kern w:val="0"/>
          <w:sz w:val="24"/>
          <w:szCs w:val="24"/>
          <w:lang w:bidi="ar-SA"/>
          <w14:ligatures w14:val="none"/>
        </w:rPr>
        <w:t>Dr Jaya Gopalkrishnan</w:t>
      </w:r>
    </w:p>
    <w:p w14:paraId="3524EAB8" w14:textId="3D1CC648" w:rsidR="00A13FD2" w:rsidRPr="00A13FD2" w:rsidRDefault="00A13FD2" w:rsidP="00A13FD2">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color w:val="000000" w:themeColor="text1"/>
          <w:kern w:val="0"/>
          <w:sz w:val="24"/>
          <w:szCs w:val="24"/>
          <w:lang w:bidi="ar-SA"/>
          <w14:ligatures w14:val="none"/>
        </w:rPr>
      </w:pPr>
      <w:r w:rsidRPr="00A13FD2">
        <w:rPr>
          <w:rFonts w:ascii="Arial" w:eastAsia="Arial" w:hAnsi="Arial" w:cs="Arial"/>
          <w:color w:val="000000" w:themeColor="text1"/>
          <w:kern w:val="0"/>
          <w:sz w:val="24"/>
          <w:szCs w:val="24"/>
          <w:lang w:bidi="ar-SA"/>
          <w14:ligatures w14:val="none"/>
        </w:rPr>
        <w:t>Date:</w:t>
      </w:r>
      <w:r w:rsidR="00F75C83">
        <w:rPr>
          <w:rFonts w:ascii="Arial" w:eastAsia="Arial" w:hAnsi="Arial" w:cs="Arial"/>
          <w:color w:val="000000" w:themeColor="text1"/>
          <w:kern w:val="0"/>
          <w:sz w:val="24"/>
          <w:szCs w:val="24"/>
          <w:lang w:bidi="ar-SA"/>
          <w14:ligatures w14:val="none"/>
        </w:rPr>
        <w:t>19/10/23</w:t>
      </w:r>
    </w:p>
    <w:p w14:paraId="644D5282" w14:textId="77777777" w:rsidR="00A13FD2" w:rsidRPr="00A13FD2" w:rsidRDefault="00A13FD2" w:rsidP="00A13FD2">
      <w:pPr>
        <w:pBdr>
          <w:top w:val="single" w:sz="2" w:space="31" w:color="FFFFFF" w:shadow="1"/>
          <w:left w:val="single" w:sz="2" w:space="31" w:color="FFFFFF" w:shadow="1"/>
          <w:bottom w:val="single" w:sz="2" w:space="31" w:color="FFFFFF" w:shadow="1"/>
          <w:right w:val="single" w:sz="2" w:space="31" w:color="FFFFFF" w:shadow="1"/>
        </w:pBdr>
        <w:spacing w:line="360" w:lineRule="auto"/>
        <w:rPr>
          <w:rFonts w:ascii="Arial" w:eastAsia="Arial" w:hAnsi="Arial" w:cs="Arial"/>
          <w:i/>
          <w:color w:val="000000" w:themeColor="text1"/>
          <w:kern w:val="0"/>
          <w:sz w:val="24"/>
          <w:szCs w:val="24"/>
          <w:lang w:bidi="ar-SA"/>
          <w14:ligatures w14:val="none"/>
        </w:rPr>
      </w:pPr>
    </w:p>
    <w:p w14:paraId="056331E0" w14:textId="77777777" w:rsidR="00A13FD2" w:rsidRPr="00A13FD2" w:rsidRDefault="00A13FD2" w:rsidP="00A13FD2">
      <w:pPr>
        <w:pageBreakBefore/>
        <w:spacing w:line="276" w:lineRule="auto"/>
        <w:rPr>
          <w:rFonts w:ascii="Arial" w:eastAsia="Arial" w:hAnsi="Arial" w:cs="Arial"/>
          <w:color w:val="000000" w:themeColor="text1"/>
          <w:kern w:val="0"/>
          <w:szCs w:val="22"/>
          <w:lang w:val="en-US" w:eastAsia="en-US" w:bidi="ar-SA"/>
          <w14:ligatures w14:val="none"/>
        </w:rPr>
      </w:pPr>
    </w:p>
    <w:p w14:paraId="497D2063" w14:textId="77777777" w:rsidR="00A13FD2" w:rsidRPr="00A13FD2" w:rsidRDefault="00A13FD2" w:rsidP="00A13FD2">
      <w:pPr>
        <w:spacing w:after="120" w:line="360" w:lineRule="auto"/>
        <w:jc w:val="both"/>
        <w:rPr>
          <w:rFonts w:ascii="Arial" w:eastAsia="Arial" w:hAnsi="Arial" w:cs="Arial"/>
          <w:b/>
          <w:color w:val="000000" w:themeColor="text1"/>
          <w:kern w:val="0"/>
          <w:sz w:val="24"/>
          <w:szCs w:val="24"/>
          <w:lang w:bidi="ar-SA"/>
          <w14:ligatures w14:val="none"/>
        </w:rPr>
      </w:pPr>
    </w:p>
    <w:p w14:paraId="605050C7" w14:textId="77777777" w:rsidR="00A13FD2" w:rsidRPr="00A13FD2" w:rsidRDefault="00A13FD2" w:rsidP="00A13FD2">
      <w:pPr>
        <w:spacing w:line="360" w:lineRule="auto"/>
        <w:jc w:val="center"/>
        <w:rPr>
          <w:rFonts w:ascii="Arial" w:eastAsia="Arial" w:hAnsi="Arial" w:cs="Arial"/>
          <w:b/>
          <w:color w:val="000000" w:themeColor="text1"/>
          <w:kern w:val="0"/>
          <w:sz w:val="24"/>
          <w:szCs w:val="24"/>
          <w:lang w:bidi="ar-SA"/>
          <w14:ligatures w14:val="none"/>
        </w:rPr>
      </w:pPr>
      <w:r w:rsidRPr="00A13FD2">
        <w:rPr>
          <w:rFonts w:ascii="Arial" w:eastAsia="Arial" w:hAnsi="Arial" w:cs="Arial"/>
          <w:b/>
          <w:color w:val="000000" w:themeColor="text1"/>
          <w:kern w:val="0"/>
          <w:sz w:val="24"/>
          <w:szCs w:val="24"/>
          <w:lang w:bidi="ar-SA"/>
          <w14:ligatures w14:val="none"/>
        </w:rPr>
        <w:t>University of Wales: Trinity Saint David</w:t>
      </w:r>
    </w:p>
    <w:p w14:paraId="0437C1D5" w14:textId="77777777" w:rsidR="00A13FD2" w:rsidRPr="00A13FD2" w:rsidRDefault="00A13FD2" w:rsidP="00A13FD2">
      <w:pPr>
        <w:spacing w:line="360" w:lineRule="auto"/>
        <w:jc w:val="center"/>
        <w:rPr>
          <w:rFonts w:ascii="Arial" w:eastAsia="Arial" w:hAnsi="Arial" w:cs="Arial"/>
          <w:color w:val="000000" w:themeColor="text1"/>
          <w:kern w:val="0"/>
          <w:szCs w:val="22"/>
          <w:lang w:val="en-US" w:eastAsia="en-US" w:bidi="ar-SA"/>
          <w14:ligatures w14:val="none"/>
        </w:rPr>
      </w:pPr>
      <w:r w:rsidRPr="00A13FD2">
        <w:rPr>
          <w:rFonts w:ascii="Arial" w:eastAsia="Arial" w:hAnsi="Arial" w:cs="Arial"/>
          <w:b/>
          <w:color w:val="000000" w:themeColor="text1"/>
          <w:kern w:val="0"/>
          <w:sz w:val="24"/>
          <w:szCs w:val="24"/>
          <w:lang w:bidi="ar-SA"/>
          <w14:ligatures w14:val="none"/>
        </w:rPr>
        <w:t>E-Thesis Deposit Agreement</w:t>
      </w:r>
    </w:p>
    <w:p w14:paraId="6A13AC31" w14:textId="77777777" w:rsidR="00A13FD2" w:rsidRPr="00A13FD2" w:rsidRDefault="00A13FD2" w:rsidP="00A13FD2">
      <w:pPr>
        <w:spacing w:line="360" w:lineRule="auto"/>
        <w:jc w:val="both"/>
        <w:rPr>
          <w:rFonts w:ascii="Arial" w:eastAsia="Arial" w:hAnsi="Arial" w:cs="Arial"/>
          <w:b/>
          <w:color w:val="000000" w:themeColor="text1"/>
          <w:kern w:val="0"/>
          <w:sz w:val="24"/>
          <w:szCs w:val="24"/>
          <w:lang w:bidi="ar-SA"/>
          <w14:ligatures w14:val="none"/>
        </w:rPr>
      </w:pPr>
    </w:p>
    <w:p w14:paraId="0FC1CD43" w14:textId="77777777" w:rsidR="00A13FD2" w:rsidRPr="00A13FD2" w:rsidRDefault="00A13FD2" w:rsidP="00A13FD2">
      <w:pPr>
        <w:spacing w:line="360" w:lineRule="auto"/>
        <w:jc w:val="both"/>
        <w:rPr>
          <w:rFonts w:ascii="Arial" w:eastAsia="Arial" w:hAnsi="Arial" w:cs="Arial"/>
          <w:b/>
          <w:color w:val="000000" w:themeColor="text1"/>
          <w:kern w:val="0"/>
          <w:sz w:val="24"/>
          <w:szCs w:val="24"/>
          <w:lang w:bidi="ar-SA"/>
          <w14:ligatures w14:val="none"/>
        </w:rPr>
      </w:pPr>
      <w:r w:rsidRPr="00A13FD2">
        <w:rPr>
          <w:rFonts w:ascii="Arial" w:eastAsia="Arial" w:hAnsi="Arial" w:cs="Arial"/>
          <w:b/>
          <w:color w:val="000000" w:themeColor="text1"/>
          <w:kern w:val="0"/>
          <w:sz w:val="24"/>
          <w:szCs w:val="24"/>
          <w:lang w:bidi="ar-SA"/>
          <w14:ligatures w14:val="none"/>
        </w:rPr>
        <w:t>Details of the Work</w:t>
      </w:r>
    </w:p>
    <w:p w14:paraId="18EC47AD" w14:textId="77777777" w:rsidR="00A13FD2" w:rsidRPr="00A13FD2" w:rsidRDefault="00A13FD2" w:rsidP="00A13FD2">
      <w:pPr>
        <w:spacing w:line="360" w:lineRule="auto"/>
        <w:jc w:val="both"/>
        <w:rPr>
          <w:rFonts w:ascii="Arial" w:eastAsia="Arial" w:hAnsi="Arial" w:cs="Arial"/>
          <w:color w:val="000000" w:themeColor="text1"/>
          <w:kern w:val="0"/>
          <w:sz w:val="24"/>
          <w:szCs w:val="24"/>
          <w:lang w:bidi="ar-SA"/>
          <w14:ligatures w14:val="none"/>
        </w:rPr>
      </w:pPr>
      <w:r w:rsidRPr="00A13FD2">
        <w:rPr>
          <w:rFonts w:ascii="Arial" w:eastAsia="Arial" w:hAnsi="Arial" w:cs="Arial"/>
          <w:color w:val="000000" w:themeColor="text1"/>
          <w:kern w:val="0"/>
          <w:sz w:val="24"/>
          <w:szCs w:val="24"/>
          <w:lang w:bidi="ar-SA"/>
          <w14:ligatures w14:val="none"/>
        </w:rPr>
        <w:t>I would like to deposit the following item in the digital repository maintained by the University, and/or in any other repository authorised for use by the University:</w:t>
      </w:r>
    </w:p>
    <w:p w14:paraId="3B868480" w14:textId="77777777" w:rsidR="00A13FD2" w:rsidRPr="00A13FD2" w:rsidRDefault="00A13FD2" w:rsidP="00A13FD2">
      <w:pPr>
        <w:spacing w:line="360" w:lineRule="auto"/>
        <w:jc w:val="both"/>
        <w:rPr>
          <w:rFonts w:ascii="Arial" w:eastAsia="Arial" w:hAnsi="Arial" w:cs="Arial"/>
          <w:color w:val="000000" w:themeColor="text1"/>
          <w:kern w:val="0"/>
          <w:sz w:val="24"/>
          <w:szCs w:val="24"/>
          <w:lang w:bidi="ar-SA"/>
          <w14:ligatures w14:val="none"/>
        </w:rPr>
      </w:pPr>
    </w:p>
    <w:p w14:paraId="2E8380EA" w14:textId="5BD83FF3" w:rsidR="008E54B7" w:rsidRPr="00A13FD2" w:rsidRDefault="00A13FD2" w:rsidP="00345CC1">
      <w:pPr>
        <w:spacing w:line="360" w:lineRule="auto"/>
        <w:jc w:val="center"/>
        <w:rPr>
          <w:rFonts w:ascii="Arial" w:eastAsia="Arial" w:hAnsi="Arial" w:cs="Arial"/>
          <w:b/>
          <w:color w:val="000000" w:themeColor="text1"/>
          <w:kern w:val="0"/>
          <w:sz w:val="24"/>
          <w:szCs w:val="24"/>
          <w:lang w:val="en-US" w:eastAsia="en-US" w:bidi="ar-SA"/>
          <w14:ligatures w14:val="none"/>
        </w:rPr>
      </w:pPr>
      <w:r w:rsidRPr="00A13FD2">
        <w:rPr>
          <w:rFonts w:ascii="Arial" w:eastAsia="Arial" w:hAnsi="Arial" w:cs="Arial"/>
          <w:b/>
          <w:color w:val="000000" w:themeColor="text1"/>
          <w:kern w:val="0"/>
          <w:sz w:val="24"/>
          <w:szCs w:val="24"/>
          <w:lang w:bidi="ar-SA"/>
          <w14:ligatures w14:val="none"/>
        </w:rPr>
        <w:t>Title</w:t>
      </w:r>
      <w:r w:rsidRPr="00A13FD2">
        <w:rPr>
          <w:rFonts w:ascii="Arial" w:eastAsia="Arial" w:hAnsi="Arial" w:cs="Arial"/>
          <w:color w:val="000000" w:themeColor="text1"/>
          <w:kern w:val="0"/>
          <w:sz w:val="24"/>
          <w:szCs w:val="24"/>
          <w:lang w:bidi="ar-SA"/>
          <w14:ligatures w14:val="none"/>
        </w:rPr>
        <w:t xml:space="preserve">: </w:t>
      </w:r>
      <w:r w:rsidR="008E54B7" w:rsidRPr="008E54B7">
        <w:rPr>
          <w:rFonts w:ascii="Arial" w:eastAsia="Arial" w:hAnsi="Arial" w:cs="Arial"/>
          <w:bCs/>
          <w:color w:val="000000" w:themeColor="text1"/>
          <w:kern w:val="0"/>
          <w:sz w:val="24"/>
          <w:szCs w:val="24"/>
          <w:lang w:val="en-US" w:eastAsia="en-US" w:bidi="ar-SA"/>
          <w14:ligatures w14:val="none"/>
        </w:rPr>
        <w:t>Exploring ways to manage cultural diversity in cross-border mergers in Asia for</w:t>
      </w:r>
      <w:r w:rsidR="00345CC1">
        <w:rPr>
          <w:rFonts w:ascii="Arial" w:eastAsia="Arial" w:hAnsi="Arial" w:cs="Arial"/>
          <w:bCs/>
          <w:color w:val="000000" w:themeColor="text1"/>
          <w:kern w:val="0"/>
          <w:sz w:val="24"/>
          <w:szCs w:val="24"/>
          <w:lang w:val="en-US" w:eastAsia="en-US" w:bidi="ar-SA"/>
          <w14:ligatures w14:val="none"/>
        </w:rPr>
        <w:t xml:space="preserve"> </w:t>
      </w:r>
      <w:r w:rsidR="008E54B7" w:rsidRPr="008E54B7">
        <w:rPr>
          <w:rFonts w:ascii="Arial" w:eastAsia="Arial" w:hAnsi="Arial" w:cs="Arial"/>
          <w:bCs/>
          <w:color w:val="000000" w:themeColor="text1"/>
          <w:kern w:val="0"/>
          <w:sz w:val="24"/>
          <w:szCs w:val="24"/>
          <w:lang w:val="en-US" w:eastAsia="en-US" w:bidi="ar-SA"/>
          <w14:ligatures w14:val="none"/>
        </w:rPr>
        <w:t>the Uk based companies</w:t>
      </w:r>
      <w:r w:rsidR="008E54B7" w:rsidRPr="00A13FD2">
        <w:rPr>
          <w:rFonts w:ascii="Arial" w:eastAsia="Arial" w:hAnsi="Arial" w:cs="Arial"/>
          <w:b/>
          <w:color w:val="000000" w:themeColor="text1"/>
          <w:kern w:val="0"/>
          <w:sz w:val="24"/>
          <w:szCs w:val="24"/>
          <w:lang w:val="en-US" w:eastAsia="en-US" w:bidi="ar-SA"/>
          <w14:ligatures w14:val="none"/>
        </w:rPr>
        <w:t>.</w:t>
      </w:r>
    </w:p>
    <w:p w14:paraId="3295F55F" w14:textId="05F551C0" w:rsidR="00A13FD2" w:rsidRPr="00A13FD2" w:rsidRDefault="00A13FD2" w:rsidP="00A13FD2">
      <w:pPr>
        <w:spacing w:line="360" w:lineRule="auto"/>
        <w:jc w:val="both"/>
        <w:rPr>
          <w:rFonts w:ascii="Arial" w:eastAsia="Arial" w:hAnsi="Arial" w:cs="Arial"/>
          <w:color w:val="000000" w:themeColor="text1"/>
          <w:kern w:val="0"/>
          <w:szCs w:val="22"/>
          <w:lang w:val="en-US" w:eastAsia="en-US" w:bidi="ar-SA"/>
          <w14:ligatures w14:val="none"/>
        </w:rPr>
      </w:pPr>
    </w:p>
    <w:p w14:paraId="3DF3134E" w14:textId="77777777" w:rsidR="00A13FD2" w:rsidRPr="00A13FD2" w:rsidRDefault="00A13FD2" w:rsidP="00A13FD2">
      <w:pPr>
        <w:spacing w:line="360" w:lineRule="auto"/>
        <w:jc w:val="both"/>
        <w:rPr>
          <w:rFonts w:ascii="Arial" w:eastAsia="Arial" w:hAnsi="Arial" w:cs="Arial"/>
          <w:color w:val="000000" w:themeColor="text1"/>
          <w:kern w:val="0"/>
          <w:sz w:val="24"/>
          <w:szCs w:val="24"/>
          <w:lang w:bidi="ar-SA"/>
          <w14:ligatures w14:val="none"/>
        </w:rPr>
      </w:pPr>
    </w:p>
    <w:p w14:paraId="3138705A" w14:textId="77777777" w:rsidR="00A13FD2" w:rsidRPr="00A13FD2" w:rsidRDefault="00A13FD2" w:rsidP="00A13FD2">
      <w:pPr>
        <w:spacing w:line="360" w:lineRule="auto"/>
        <w:jc w:val="both"/>
        <w:rPr>
          <w:rFonts w:ascii="Arial" w:eastAsia="Arial" w:hAnsi="Arial" w:cs="Arial"/>
          <w:color w:val="000000" w:themeColor="text1"/>
          <w:kern w:val="0"/>
          <w:sz w:val="24"/>
          <w:szCs w:val="24"/>
          <w:lang w:bidi="ar-SA"/>
          <w14:ligatures w14:val="none"/>
        </w:rPr>
      </w:pPr>
      <w:r w:rsidRPr="00A13FD2">
        <w:rPr>
          <w:rFonts w:ascii="Arial" w:eastAsia="Arial" w:hAnsi="Arial" w:cs="Arial"/>
          <w:color w:val="000000" w:themeColor="text1"/>
          <w:kern w:val="0"/>
          <w:sz w:val="24"/>
          <w:szCs w:val="24"/>
          <w:lang w:bidi="ar-SA"/>
          <w14:ligatures w14:val="none"/>
        </w:rPr>
        <w:t>This item is a product of my own research endeavours and is covered by the agreement below in which the item is referred to as “the Work”.  It is identical in content to that deposited in the Learning Resources Centre, subject to point 4 below.</w:t>
      </w:r>
    </w:p>
    <w:p w14:paraId="5D3AFE71" w14:textId="77777777" w:rsidR="00A13FD2" w:rsidRPr="00A13FD2" w:rsidRDefault="00A13FD2" w:rsidP="00A13FD2">
      <w:pPr>
        <w:spacing w:line="360" w:lineRule="auto"/>
        <w:jc w:val="both"/>
        <w:rPr>
          <w:rFonts w:ascii="Arial" w:eastAsia="Arial" w:hAnsi="Arial" w:cs="Arial"/>
          <w:color w:val="000000" w:themeColor="text1"/>
          <w:kern w:val="0"/>
          <w:sz w:val="24"/>
          <w:szCs w:val="24"/>
          <w:lang w:bidi="ar-SA"/>
          <w14:ligatures w14:val="none"/>
        </w:rPr>
      </w:pPr>
      <w:r w:rsidRPr="00A13FD2">
        <w:rPr>
          <w:rFonts w:ascii="Arial" w:eastAsia="Arial" w:hAnsi="Arial" w:cs="Arial"/>
          <w:color w:val="000000" w:themeColor="text1"/>
          <w:kern w:val="0"/>
          <w:sz w:val="24"/>
          <w:szCs w:val="24"/>
          <w:lang w:bidi="ar-SA"/>
          <w14:ligatures w14:val="none"/>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3B401569" w14:textId="77777777" w:rsidR="00A13FD2" w:rsidRPr="00A13FD2" w:rsidRDefault="00A13FD2" w:rsidP="00A13FD2">
      <w:pPr>
        <w:spacing w:line="360" w:lineRule="auto"/>
        <w:jc w:val="both"/>
        <w:rPr>
          <w:rFonts w:ascii="Arial" w:eastAsia="Arial" w:hAnsi="Arial" w:cs="Arial"/>
          <w:b/>
          <w:color w:val="000000" w:themeColor="text1"/>
          <w:kern w:val="0"/>
          <w:sz w:val="24"/>
          <w:szCs w:val="24"/>
          <w:lang w:bidi="ar-SA"/>
          <w14:ligatures w14:val="none"/>
        </w:rPr>
      </w:pPr>
      <w:r w:rsidRPr="00A13FD2">
        <w:rPr>
          <w:rFonts w:ascii="Arial" w:eastAsia="Arial" w:hAnsi="Arial" w:cs="Arial"/>
          <w:b/>
          <w:color w:val="000000" w:themeColor="text1"/>
          <w:kern w:val="0"/>
          <w:sz w:val="24"/>
          <w:szCs w:val="24"/>
          <w:lang w:bidi="ar-SA"/>
          <w14:ligatures w14:val="none"/>
        </w:rPr>
        <w:t>UW: TSD Digital Repository</w:t>
      </w:r>
    </w:p>
    <w:p w14:paraId="24822740" w14:textId="77777777" w:rsidR="00A13FD2" w:rsidRPr="00A13FD2" w:rsidRDefault="00A13FD2" w:rsidP="00A13FD2">
      <w:pPr>
        <w:spacing w:line="360" w:lineRule="auto"/>
        <w:jc w:val="both"/>
        <w:rPr>
          <w:rFonts w:ascii="Arial" w:eastAsia="Arial" w:hAnsi="Arial" w:cs="Arial"/>
          <w:color w:val="000000" w:themeColor="text1"/>
          <w:kern w:val="0"/>
          <w:sz w:val="24"/>
          <w:szCs w:val="24"/>
          <w:lang w:bidi="ar-SA"/>
          <w14:ligatures w14:val="none"/>
        </w:rPr>
      </w:pPr>
      <w:r w:rsidRPr="00A13FD2">
        <w:rPr>
          <w:rFonts w:ascii="Arial" w:eastAsia="Arial" w:hAnsi="Arial" w:cs="Arial"/>
          <w:color w:val="000000" w:themeColor="text1"/>
          <w:kern w:val="0"/>
          <w:sz w:val="24"/>
          <w:szCs w:val="24"/>
          <w:lang w:bidi="ar-SA"/>
          <w14:ligatures w14:val="none"/>
        </w:rPr>
        <w:t>I understand that work deposited in the digital repository will be accessible to a wide variety of people and institutions, including automated agents and search engines via the World Wide Web.</w:t>
      </w:r>
    </w:p>
    <w:p w14:paraId="30288E61" w14:textId="77777777" w:rsidR="00A13FD2" w:rsidRPr="00A13FD2" w:rsidRDefault="00A13FD2" w:rsidP="00A13FD2">
      <w:pPr>
        <w:spacing w:line="360" w:lineRule="auto"/>
        <w:jc w:val="both"/>
        <w:rPr>
          <w:rFonts w:ascii="Arial" w:eastAsia="Arial" w:hAnsi="Arial" w:cs="Arial"/>
          <w:color w:val="000000" w:themeColor="text1"/>
          <w:kern w:val="0"/>
          <w:szCs w:val="22"/>
          <w:lang w:val="en-US" w:eastAsia="en-US" w:bidi="ar-SA"/>
          <w14:ligatures w14:val="none"/>
        </w:rPr>
      </w:pPr>
      <w:r w:rsidRPr="00A13FD2">
        <w:rPr>
          <w:rFonts w:ascii="Arial" w:eastAsia="Arial" w:hAnsi="Arial" w:cs="Arial"/>
          <w:color w:val="000000" w:themeColor="text1"/>
          <w:kern w:val="0"/>
          <w:sz w:val="24"/>
          <w:szCs w:val="24"/>
          <w:lang w:bidi="ar-SA"/>
          <w14:ligatures w14:val="none"/>
        </w:rPr>
        <w:t>I understand that once the Work is deposited, the item and its metadata may be incorporated into public access catalogues or services, such as national databases of electronic theses.</w:t>
      </w:r>
    </w:p>
    <w:p w14:paraId="1EEAE7B2" w14:textId="77777777" w:rsidR="00A13FD2" w:rsidRPr="00A13FD2" w:rsidRDefault="00A13FD2" w:rsidP="00A13FD2">
      <w:pPr>
        <w:spacing w:line="360" w:lineRule="auto"/>
        <w:jc w:val="both"/>
        <w:rPr>
          <w:rFonts w:ascii="Arial" w:eastAsia="Arial" w:hAnsi="Arial" w:cs="Arial"/>
          <w:color w:val="000000" w:themeColor="text1"/>
          <w:kern w:val="0"/>
          <w:sz w:val="24"/>
          <w:szCs w:val="24"/>
          <w:lang w:bidi="ar-SA"/>
          <w14:ligatures w14:val="none"/>
        </w:rPr>
      </w:pPr>
    </w:p>
    <w:p w14:paraId="34C763F1" w14:textId="77777777" w:rsidR="00A13FD2" w:rsidRPr="00A13FD2" w:rsidRDefault="00A13FD2" w:rsidP="00A13FD2">
      <w:pPr>
        <w:spacing w:line="360" w:lineRule="auto"/>
        <w:jc w:val="both"/>
        <w:rPr>
          <w:rFonts w:ascii="Arial" w:eastAsia="Arial" w:hAnsi="Arial" w:cs="Arial"/>
          <w:color w:val="000000" w:themeColor="text1"/>
          <w:kern w:val="0"/>
          <w:sz w:val="24"/>
          <w:szCs w:val="24"/>
          <w:lang w:bidi="ar-SA"/>
          <w14:ligatures w14:val="none"/>
        </w:rPr>
      </w:pPr>
    </w:p>
    <w:p w14:paraId="6051EAF1" w14:textId="77777777" w:rsidR="00A13FD2" w:rsidRPr="00A13FD2" w:rsidRDefault="00A13FD2" w:rsidP="00A13FD2">
      <w:pPr>
        <w:spacing w:line="360" w:lineRule="auto"/>
        <w:ind w:left="-1418"/>
        <w:rPr>
          <w:rFonts w:ascii="Arial" w:eastAsia="Arial" w:hAnsi="Arial" w:cs="Arial"/>
          <w:color w:val="000000" w:themeColor="text1"/>
          <w:kern w:val="0"/>
          <w:szCs w:val="22"/>
          <w:lang w:val="en-US" w:eastAsia="en-US" w:bidi="ar-SA"/>
          <w14:ligatures w14:val="none"/>
        </w:rPr>
      </w:pPr>
      <w:r w:rsidRPr="00A13FD2">
        <w:rPr>
          <w:rFonts w:ascii="Times New Roman" w:eastAsia="Times New Roman" w:hAnsi="Times New Roman" w:cs="Times New Roman"/>
          <w:color w:val="000000" w:themeColor="text1"/>
          <w:kern w:val="0"/>
          <w:sz w:val="24"/>
          <w:szCs w:val="24"/>
          <w:lang w:bidi="ar-SA"/>
          <w14:ligatures w14:val="none"/>
        </w:rPr>
        <w:tab/>
      </w:r>
      <w:r w:rsidRPr="00A13FD2">
        <w:rPr>
          <w:rFonts w:ascii="Times New Roman" w:eastAsia="Times New Roman" w:hAnsi="Times New Roman" w:cs="Times New Roman"/>
          <w:color w:val="000000" w:themeColor="text1"/>
          <w:kern w:val="0"/>
          <w:sz w:val="24"/>
          <w:szCs w:val="24"/>
          <w:lang w:bidi="ar-SA"/>
          <w14:ligatures w14:val="none"/>
        </w:rPr>
        <w:tab/>
      </w:r>
      <w:r w:rsidRPr="00A13FD2">
        <w:rPr>
          <w:rFonts w:ascii="Times New Roman" w:eastAsia="Times New Roman" w:hAnsi="Times New Roman" w:cs="Times New Roman"/>
          <w:color w:val="000000" w:themeColor="text1"/>
          <w:kern w:val="0"/>
          <w:sz w:val="24"/>
          <w:szCs w:val="24"/>
          <w:lang w:bidi="ar-SA"/>
          <w14:ligatures w14:val="none"/>
        </w:rPr>
        <w:tab/>
      </w:r>
      <w:r w:rsidRPr="00A13FD2">
        <w:rPr>
          <w:rFonts w:ascii="Arial" w:eastAsia="Arial" w:hAnsi="Arial" w:cs="Arial"/>
          <w:b/>
          <w:color w:val="000000" w:themeColor="text1"/>
          <w:kern w:val="0"/>
          <w:sz w:val="24"/>
          <w:szCs w:val="24"/>
          <w:lang w:bidi="ar-SA"/>
          <w14:ligatures w14:val="none"/>
        </w:rPr>
        <w:t>I agree as follows:</w:t>
      </w:r>
    </w:p>
    <w:p w14:paraId="41AF09F3" w14:textId="77777777" w:rsidR="00A13FD2" w:rsidRPr="00A13FD2" w:rsidRDefault="00A13FD2" w:rsidP="00A13FD2">
      <w:pPr>
        <w:numPr>
          <w:ilvl w:val="0"/>
          <w:numId w:val="7"/>
        </w:numPr>
        <w:suppressAutoHyphens/>
        <w:autoSpaceDN w:val="0"/>
        <w:jc w:val="both"/>
        <w:rPr>
          <w:rFonts w:ascii="Arial" w:eastAsia="Arial" w:hAnsi="Arial" w:cs="Arial"/>
          <w:color w:val="000000" w:themeColor="text1"/>
          <w:kern w:val="0"/>
          <w:sz w:val="24"/>
          <w:szCs w:val="24"/>
          <w:lang w:bidi="ar-SA"/>
          <w14:ligatures w14:val="none"/>
        </w:rPr>
      </w:pPr>
      <w:r w:rsidRPr="00A13FD2">
        <w:rPr>
          <w:rFonts w:ascii="Arial" w:eastAsia="Arial" w:hAnsi="Arial" w:cs="Arial"/>
          <w:color w:val="000000" w:themeColor="text1"/>
          <w:kern w:val="0"/>
          <w:sz w:val="24"/>
          <w:szCs w:val="24"/>
          <w:lang w:bidi="ar-SA"/>
          <w14:ligatures w14:val="none"/>
        </w:rPr>
        <w:lastRenderedPageBreak/>
        <w:t>That I am the author or have the authority of the author/s to make this agreement and do hereby give the University of Wales: Trinity Saint David the right to make available the Work in the way described above.</w:t>
      </w:r>
    </w:p>
    <w:p w14:paraId="731D866B" w14:textId="77777777" w:rsidR="00A13FD2" w:rsidRPr="00A13FD2" w:rsidRDefault="00A13FD2" w:rsidP="00A13FD2">
      <w:pPr>
        <w:numPr>
          <w:ilvl w:val="0"/>
          <w:numId w:val="7"/>
        </w:numPr>
        <w:suppressAutoHyphens/>
        <w:autoSpaceDN w:val="0"/>
        <w:jc w:val="both"/>
        <w:rPr>
          <w:rFonts w:ascii="Arial" w:eastAsia="Arial" w:hAnsi="Arial" w:cs="Arial"/>
          <w:color w:val="000000" w:themeColor="text1"/>
          <w:kern w:val="0"/>
          <w:sz w:val="24"/>
          <w:szCs w:val="24"/>
          <w:lang w:bidi="ar-SA"/>
          <w14:ligatures w14:val="none"/>
        </w:rPr>
      </w:pPr>
      <w:r w:rsidRPr="00A13FD2">
        <w:rPr>
          <w:rFonts w:ascii="Arial" w:eastAsia="Arial" w:hAnsi="Arial" w:cs="Arial"/>
          <w:color w:val="000000" w:themeColor="text1"/>
          <w:kern w:val="0"/>
          <w:sz w:val="24"/>
          <w:szCs w:val="24"/>
          <w:lang w:bidi="ar-SA"/>
          <w14:ligatures w14:val="none"/>
        </w:rPr>
        <w:t>That the electronic copy of the Work deposited in the digital repository and covered by this agreement, is identical in content to the paper copy of the Work.</w:t>
      </w:r>
    </w:p>
    <w:p w14:paraId="4EBA9A3A" w14:textId="77777777" w:rsidR="00A13FD2" w:rsidRPr="00A13FD2" w:rsidRDefault="00A13FD2" w:rsidP="00A13FD2">
      <w:pPr>
        <w:numPr>
          <w:ilvl w:val="0"/>
          <w:numId w:val="7"/>
        </w:numPr>
        <w:suppressAutoHyphens/>
        <w:autoSpaceDN w:val="0"/>
        <w:jc w:val="both"/>
        <w:rPr>
          <w:rFonts w:ascii="Arial" w:eastAsia="Arial" w:hAnsi="Arial" w:cs="Arial"/>
          <w:color w:val="000000" w:themeColor="text1"/>
          <w:kern w:val="0"/>
          <w:sz w:val="24"/>
          <w:szCs w:val="24"/>
          <w:lang w:bidi="ar-SA"/>
          <w14:ligatures w14:val="none"/>
        </w:rPr>
      </w:pPr>
      <w:r w:rsidRPr="00A13FD2">
        <w:rPr>
          <w:rFonts w:ascii="Arial" w:eastAsia="Arial" w:hAnsi="Arial" w:cs="Arial"/>
          <w:color w:val="000000" w:themeColor="text1"/>
          <w:kern w:val="0"/>
          <w:sz w:val="24"/>
          <w:szCs w:val="24"/>
          <w:lang w:bidi="ar-SA"/>
          <w14:ligatures w14:val="none"/>
        </w:rPr>
        <w:t>That I have exercised reasonable care to ensure that the Work is original, and to the best of my knowledge, does not breach any laws including those relating to defamation, libel and copyright.</w:t>
      </w:r>
    </w:p>
    <w:p w14:paraId="67BB775D" w14:textId="77777777" w:rsidR="00A13FD2" w:rsidRPr="00A13FD2" w:rsidRDefault="00A13FD2" w:rsidP="00A13FD2">
      <w:pPr>
        <w:numPr>
          <w:ilvl w:val="0"/>
          <w:numId w:val="7"/>
        </w:numPr>
        <w:suppressAutoHyphens/>
        <w:autoSpaceDN w:val="0"/>
        <w:jc w:val="both"/>
        <w:rPr>
          <w:rFonts w:ascii="Arial" w:eastAsia="Arial" w:hAnsi="Arial" w:cs="Arial"/>
          <w:color w:val="000000" w:themeColor="text1"/>
          <w:kern w:val="0"/>
          <w:szCs w:val="22"/>
          <w:lang w:val="en-US" w:eastAsia="en-US" w:bidi="ar-SA"/>
          <w14:ligatures w14:val="none"/>
        </w:rPr>
      </w:pPr>
      <w:r w:rsidRPr="00A13FD2">
        <w:rPr>
          <w:rFonts w:ascii="Arial" w:eastAsia="Arial" w:hAnsi="Arial" w:cs="Arial"/>
          <w:color w:val="000000" w:themeColor="text1"/>
          <w:kern w:val="0"/>
          <w:sz w:val="24"/>
          <w:szCs w:val="24"/>
          <w:lang w:bidi="ar-SA"/>
          <w14:ligatures w14:val="none"/>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A13FD2">
        <w:rPr>
          <w:rFonts w:ascii="Arial" w:eastAsia="Arial" w:hAnsi="Arial" w:cs="Arial"/>
          <w:i/>
          <w:color w:val="000000" w:themeColor="text1"/>
          <w:kern w:val="0"/>
          <w:sz w:val="24"/>
          <w:szCs w:val="24"/>
          <w:lang w:bidi="ar-SA"/>
          <w14:ligatures w14:val="none"/>
        </w:rPr>
        <w:t>or</w:t>
      </w:r>
      <w:r w:rsidRPr="00A13FD2">
        <w:rPr>
          <w:rFonts w:ascii="Arial" w:eastAsia="Arial" w:hAnsi="Arial" w:cs="Arial"/>
          <w:color w:val="000000" w:themeColor="text1"/>
          <w:kern w:val="0"/>
          <w:sz w:val="24"/>
          <w:szCs w:val="24"/>
          <w:lang w:bidi="ar-SA"/>
          <w14:ligatures w14:val="none"/>
        </w:rPr>
        <w:t xml:space="preserve"> that I have identified and removed that material for which adequate permission has not been obtained and which will be inaccessible via the digital repository</w:t>
      </w:r>
    </w:p>
    <w:p w14:paraId="1DDF11E4" w14:textId="77777777" w:rsidR="00A13FD2" w:rsidRPr="00A13FD2" w:rsidRDefault="00A13FD2" w:rsidP="00A13FD2">
      <w:pPr>
        <w:numPr>
          <w:ilvl w:val="0"/>
          <w:numId w:val="7"/>
        </w:numPr>
        <w:suppressAutoHyphens/>
        <w:autoSpaceDN w:val="0"/>
        <w:jc w:val="both"/>
        <w:rPr>
          <w:rFonts w:ascii="Arial" w:eastAsia="Arial" w:hAnsi="Arial" w:cs="Arial"/>
          <w:color w:val="000000" w:themeColor="text1"/>
          <w:kern w:val="0"/>
          <w:sz w:val="24"/>
          <w:szCs w:val="24"/>
          <w:lang w:bidi="ar-SA"/>
          <w14:ligatures w14:val="none"/>
        </w:rPr>
      </w:pPr>
      <w:r w:rsidRPr="00A13FD2">
        <w:rPr>
          <w:rFonts w:ascii="Arial" w:eastAsia="Arial" w:hAnsi="Arial" w:cs="Arial"/>
          <w:color w:val="000000" w:themeColor="text1"/>
          <w:kern w:val="0"/>
          <w:sz w:val="24"/>
          <w:szCs w:val="24"/>
          <w:lang w:bidi="ar-SA"/>
          <w14:ligatures w14:val="none"/>
        </w:rPr>
        <w:t>That University of Wales: Trinity Saint David does not hold any obligation to take legal action on behalf of the Depositor, or other rights holders, in the event of a breach of intellectual property rights, or any other right, in the material deposited.</w:t>
      </w:r>
    </w:p>
    <w:p w14:paraId="11BE08E9" w14:textId="77777777" w:rsidR="00A13FD2" w:rsidRPr="00A13FD2" w:rsidRDefault="00A13FD2" w:rsidP="00A13FD2">
      <w:pPr>
        <w:numPr>
          <w:ilvl w:val="0"/>
          <w:numId w:val="7"/>
        </w:numPr>
        <w:suppressAutoHyphens/>
        <w:autoSpaceDN w:val="0"/>
        <w:jc w:val="both"/>
        <w:rPr>
          <w:rFonts w:ascii="Arial" w:eastAsia="Arial" w:hAnsi="Arial" w:cs="Arial"/>
          <w:color w:val="000000" w:themeColor="text1"/>
          <w:kern w:val="0"/>
          <w:sz w:val="24"/>
          <w:szCs w:val="24"/>
          <w:lang w:bidi="ar-SA"/>
          <w14:ligatures w14:val="none"/>
        </w:rPr>
      </w:pPr>
      <w:r w:rsidRPr="00A13FD2">
        <w:rPr>
          <w:rFonts w:ascii="Arial" w:eastAsia="Arial" w:hAnsi="Arial" w:cs="Arial"/>
          <w:color w:val="000000" w:themeColor="text1"/>
          <w:kern w:val="0"/>
          <w:sz w:val="24"/>
          <w:szCs w:val="24"/>
          <w:lang w:bidi="ar-SA"/>
          <w14:ligatures w14:val="none"/>
        </w:rPr>
        <w:t>That I undertake to indemnify the University of Wales: Trinity Saint David against all actions, suits, proceedings, claims, demands and costs occasioned by the University in consequence of any breach of this agreement</w:t>
      </w:r>
    </w:p>
    <w:p w14:paraId="08009A8D" w14:textId="469C9265" w:rsidR="00A13FD2" w:rsidRDefault="00A13FD2" w:rsidP="00A13FD2">
      <w:pPr>
        <w:jc w:val="both"/>
        <w:rPr>
          <w:rFonts w:ascii="Arial" w:eastAsia="Arial" w:hAnsi="Arial" w:cs="Arial"/>
          <w:color w:val="000000" w:themeColor="text1"/>
          <w:kern w:val="0"/>
          <w:sz w:val="24"/>
          <w:szCs w:val="24"/>
          <w:lang w:bidi="ar-SA"/>
          <w14:ligatures w14:val="none"/>
        </w:rPr>
      </w:pPr>
    </w:p>
    <w:p w14:paraId="5FDC9AEC" w14:textId="77777777" w:rsidR="00AC26C2" w:rsidRDefault="00AC26C2" w:rsidP="00A13FD2">
      <w:pPr>
        <w:jc w:val="both"/>
        <w:rPr>
          <w:rFonts w:ascii="Arial" w:eastAsia="Arial" w:hAnsi="Arial" w:cs="Arial"/>
          <w:color w:val="000000" w:themeColor="text1"/>
          <w:kern w:val="0"/>
          <w:sz w:val="24"/>
          <w:szCs w:val="24"/>
          <w:lang w:bidi="ar-SA"/>
          <w14:ligatures w14:val="none"/>
        </w:rPr>
      </w:pPr>
    </w:p>
    <w:p w14:paraId="0B60712D" w14:textId="4A1CC6D9" w:rsidR="00E84FBC" w:rsidRDefault="00E84FBC" w:rsidP="00A13FD2">
      <w:pPr>
        <w:jc w:val="both"/>
        <w:rPr>
          <w:rFonts w:ascii="Arial" w:eastAsia="Arial" w:hAnsi="Arial" w:cs="Arial"/>
          <w:color w:val="000000" w:themeColor="text1"/>
          <w:kern w:val="0"/>
          <w:sz w:val="24"/>
          <w:szCs w:val="24"/>
          <w:lang w:bidi="ar-SA"/>
          <w14:ligatures w14:val="none"/>
        </w:rPr>
      </w:pPr>
      <w:r w:rsidRPr="00E84FBC">
        <w:rPr>
          <w:rFonts w:ascii="Arial" w:eastAsia="Arial" w:hAnsi="Arial" w:cs="Arial"/>
          <w:b/>
          <w:bCs/>
          <w:color w:val="000000" w:themeColor="text1"/>
          <w:kern w:val="0"/>
          <w:sz w:val="24"/>
          <w:szCs w:val="24"/>
          <w:lang w:bidi="ar-SA"/>
          <w14:ligatures w14:val="none"/>
        </w:rPr>
        <w:t>Signature</w:t>
      </w:r>
      <w:r>
        <w:rPr>
          <w:rFonts w:ascii="Arial" w:eastAsia="Arial" w:hAnsi="Arial" w:cs="Arial"/>
          <w:b/>
          <w:bCs/>
          <w:color w:val="000000" w:themeColor="text1"/>
          <w:kern w:val="0"/>
          <w:sz w:val="24"/>
          <w:szCs w:val="24"/>
          <w:lang w:bidi="ar-SA"/>
          <w14:ligatures w14:val="none"/>
        </w:rPr>
        <w:t xml:space="preserve"> : </w:t>
      </w:r>
      <w:r w:rsidR="004C59CE">
        <w:rPr>
          <w:rFonts w:ascii="Arial" w:eastAsia="Arial" w:hAnsi="Arial" w:cs="Arial"/>
          <w:color w:val="000000" w:themeColor="text1"/>
          <w:kern w:val="0"/>
          <w:sz w:val="24"/>
          <w:szCs w:val="24"/>
          <w:lang w:bidi="ar-SA"/>
          <w14:ligatures w14:val="none"/>
        </w:rPr>
        <w:t>Purva Panchal</w:t>
      </w:r>
    </w:p>
    <w:p w14:paraId="61609CE0" w14:textId="77777777" w:rsidR="004C59CE" w:rsidRDefault="004C59CE" w:rsidP="00A13FD2">
      <w:pPr>
        <w:jc w:val="both"/>
        <w:rPr>
          <w:rFonts w:ascii="Arial" w:eastAsia="Arial" w:hAnsi="Arial" w:cs="Arial"/>
          <w:color w:val="000000" w:themeColor="text1"/>
          <w:kern w:val="0"/>
          <w:sz w:val="24"/>
          <w:szCs w:val="24"/>
          <w:lang w:bidi="ar-SA"/>
          <w14:ligatures w14:val="none"/>
        </w:rPr>
      </w:pPr>
    </w:p>
    <w:p w14:paraId="0E9A7F76" w14:textId="77777777" w:rsidR="004C59CE" w:rsidRDefault="004C59CE" w:rsidP="00A13FD2">
      <w:pPr>
        <w:jc w:val="both"/>
        <w:rPr>
          <w:rFonts w:ascii="Arial" w:eastAsia="Arial" w:hAnsi="Arial" w:cs="Arial"/>
          <w:color w:val="000000" w:themeColor="text1"/>
          <w:kern w:val="0"/>
          <w:sz w:val="24"/>
          <w:szCs w:val="24"/>
          <w:lang w:bidi="ar-SA"/>
          <w14:ligatures w14:val="none"/>
        </w:rPr>
      </w:pPr>
    </w:p>
    <w:p w14:paraId="40614B66" w14:textId="280855FE" w:rsidR="004C59CE" w:rsidRPr="00B7574C" w:rsidRDefault="004C59CE" w:rsidP="00A13FD2">
      <w:pPr>
        <w:jc w:val="both"/>
        <w:rPr>
          <w:rFonts w:ascii="Arial" w:eastAsia="Times New Roman" w:hAnsi="Arial" w:cs="Arial"/>
          <w:color w:val="000000" w:themeColor="text1"/>
          <w:kern w:val="0"/>
          <w:szCs w:val="22"/>
          <w:lang w:val="en-US" w:bidi="ar-SA"/>
          <w14:ligatures w14:val="none"/>
        </w:rPr>
      </w:pPr>
      <w:r w:rsidRPr="004C59CE">
        <w:rPr>
          <w:rFonts w:ascii="Arial" w:eastAsia="Arial" w:hAnsi="Arial" w:cs="Arial"/>
          <w:b/>
          <w:bCs/>
          <w:color w:val="000000" w:themeColor="text1"/>
          <w:kern w:val="0"/>
          <w:sz w:val="24"/>
          <w:szCs w:val="24"/>
          <w:lang w:bidi="ar-SA"/>
          <w14:ligatures w14:val="none"/>
        </w:rPr>
        <w:t>Date</w:t>
      </w:r>
      <w:r>
        <w:rPr>
          <w:rFonts w:ascii="Arial" w:eastAsia="Arial" w:hAnsi="Arial" w:cs="Arial"/>
          <w:b/>
          <w:bCs/>
          <w:color w:val="000000" w:themeColor="text1"/>
          <w:kern w:val="0"/>
          <w:sz w:val="24"/>
          <w:szCs w:val="24"/>
          <w:lang w:bidi="ar-SA"/>
          <w14:ligatures w14:val="none"/>
        </w:rPr>
        <w:t xml:space="preserve"> : </w:t>
      </w:r>
      <w:r w:rsidR="00B7574C">
        <w:rPr>
          <w:rFonts w:ascii="Arial" w:eastAsia="Arial" w:hAnsi="Arial" w:cs="Arial"/>
          <w:b/>
          <w:bCs/>
          <w:color w:val="000000" w:themeColor="text1"/>
          <w:kern w:val="0"/>
          <w:sz w:val="24"/>
          <w:szCs w:val="24"/>
          <w:lang w:bidi="ar-SA"/>
          <w14:ligatures w14:val="none"/>
        </w:rPr>
        <w:t xml:space="preserve"> </w:t>
      </w:r>
      <w:r w:rsidR="00B7574C">
        <w:rPr>
          <w:rFonts w:ascii="Arial" w:eastAsia="Arial" w:hAnsi="Arial" w:cs="Arial"/>
          <w:color w:val="000000" w:themeColor="text1"/>
          <w:kern w:val="0"/>
          <w:sz w:val="24"/>
          <w:szCs w:val="24"/>
          <w:lang w:bidi="ar-SA"/>
          <w14:ligatures w14:val="none"/>
        </w:rPr>
        <w:t>19/10/23</w:t>
      </w:r>
    </w:p>
    <w:p w14:paraId="1A35D7A3" w14:textId="77777777" w:rsidR="00A13FD2" w:rsidRPr="00A13FD2" w:rsidRDefault="00A13FD2" w:rsidP="00A13FD2">
      <w:pPr>
        <w:jc w:val="both"/>
        <w:rPr>
          <w:rFonts w:ascii="Arial" w:eastAsia="Times New Roman" w:hAnsi="Arial" w:cs="Arial"/>
          <w:color w:val="000000" w:themeColor="text1"/>
          <w:kern w:val="0"/>
          <w:szCs w:val="22"/>
          <w:lang w:val="en-US" w:bidi="ar-SA"/>
          <w14:ligatures w14:val="none"/>
        </w:rPr>
      </w:pPr>
    </w:p>
    <w:p w14:paraId="1E9E3579" w14:textId="77777777" w:rsidR="00A13FD2" w:rsidRPr="00A13FD2" w:rsidRDefault="00A13FD2" w:rsidP="00A13FD2">
      <w:pPr>
        <w:jc w:val="both"/>
        <w:rPr>
          <w:rFonts w:ascii="Arial" w:eastAsia="Times New Roman" w:hAnsi="Arial" w:cs="Arial"/>
          <w:color w:val="000000" w:themeColor="text1"/>
          <w:kern w:val="0"/>
          <w:szCs w:val="22"/>
          <w:lang w:val="en-US" w:bidi="ar-SA"/>
          <w14:ligatures w14:val="none"/>
        </w:rPr>
      </w:pPr>
    </w:p>
    <w:p w14:paraId="367631B5" w14:textId="77777777" w:rsidR="00A13FD2" w:rsidRPr="00A13FD2" w:rsidRDefault="00A13FD2" w:rsidP="00A13FD2">
      <w:pPr>
        <w:jc w:val="both"/>
        <w:rPr>
          <w:rFonts w:ascii="Arial" w:eastAsia="Times New Roman" w:hAnsi="Arial" w:cs="Arial"/>
          <w:color w:val="000000" w:themeColor="text1"/>
          <w:kern w:val="0"/>
          <w:szCs w:val="22"/>
          <w:lang w:val="en-US" w:bidi="ar-SA"/>
          <w14:ligatures w14:val="none"/>
        </w:rPr>
      </w:pPr>
    </w:p>
    <w:p w14:paraId="6F5DC2EB" w14:textId="77777777" w:rsidR="00A13FD2" w:rsidRPr="00A13FD2" w:rsidRDefault="00A13FD2" w:rsidP="00A13FD2">
      <w:pPr>
        <w:jc w:val="both"/>
        <w:rPr>
          <w:rFonts w:ascii="Arial" w:eastAsia="Times New Roman" w:hAnsi="Arial" w:cs="Arial"/>
          <w:color w:val="000000" w:themeColor="text1"/>
          <w:kern w:val="0"/>
          <w:szCs w:val="22"/>
          <w:lang w:val="en-US" w:bidi="ar-SA"/>
          <w14:ligatures w14:val="none"/>
        </w:rPr>
      </w:pPr>
    </w:p>
    <w:p w14:paraId="7B0BAD39" w14:textId="77777777" w:rsidR="00A13FD2" w:rsidRPr="00A13FD2" w:rsidRDefault="00A13FD2" w:rsidP="00A13FD2">
      <w:pPr>
        <w:jc w:val="both"/>
        <w:rPr>
          <w:rFonts w:ascii="Arial" w:eastAsia="Times New Roman" w:hAnsi="Arial" w:cs="Arial"/>
          <w:color w:val="000000" w:themeColor="text1"/>
          <w:kern w:val="0"/>
          <w:szCs w:val="22"/>
          <w:lang w:val="en-US" w:bidi="ar-SA"/>
          <w14:ligatures w14:val="none"/>
        </w:rPr>
      </w:pPr>
    </w:p>
    <w:p w14:paraId="0A016DA7" w14:textId="77777777" w:rsidR="00A13FD2" w:rsidRPr="00A13FD2" w:rsidRDefault="00A13FD2" w:rsidP="00A13FD2">
      <w:pPr>
        <w:spacing w:line="276" w:lineRule="auto"/>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br w:type="page"/>
      </w:r>
    </w:p>
    <w:p w14:paraId="73D86293" w14:textId="77777777" w:rsidR="00A13FD2" w:rsidRPr="00A13FD2" w:rsidRDefault="00A13FD2" w:rsidP="00A13FD2">
      <w:pPr>
        <w:spacing w:line="360" w:lineRule="auto"/>
        <w:jc w:val="center"/>
        <w:rPr>
          <w:rFonts w:ascii="Times New Roman" w:eastAsia="Arial" w:hAnsi="Times New Roman" w:cs="Times New Roman"/>
          <w:b/>
          <w:color w:val="000000" w:themeColor="text1"/>
          <w:kern w:val="0"/>
          <w:sz w:val="28"/>
          <w:szCs w:val="28"/>
          <w:lang w:val="en-US" w:eastAsia="en-US" w:bidi="ar-SA"/>
          <w14:ligatures w14:val="none"/>
        </w:rPr>
      </w:pPr>
      <w:r w:rsidRPr="00A13FD2">
        <w:rPr>
          <w:rFonts w:ascii="Times New Roman" w:eastAsia="Arial" w:hAnsi="Times New Roman" w:cs="Times New Roman"/>
          <w:b/>
          <w:color w:val="000000" w:themeColor="text1"/>
          <w:kern w:val="0"/>
          <w:sz w:val="28"/>
          <w:szCs w:val="28"/>
          <w:lang w:val="en-US" w:eastAsia="en-US" w:bidi="ar-SA"/>
          <w14:ligatures w14:val="none"/>
        </w:rPr>
        <w:lastRenderedPageBreak/>
        <w:t>Abstract</w:t>
      </w:r>
    </w:p>
    <w:p w14:paraId="4F4AA979"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The globalization of business has prompted UK-based companies to increasingly seek expansion opportunities in Asia through cross-border mergers. However, such endeavors are fraught with complex challenges stemming from cultural diversity. This study delves into the multifaceted landscape of cultural diversity management in cross-border mergers, with a specific focus on UK-based companies operating in Asia. This research objective revolved around investigating cultural differences, challenges faced, and the role of multicultural leadership while proposing strategies for effective communication and collaboration. Methodologically, this study employed a comprehensive approach, combining literature reviews, case analyses, surveys, and interviews, thereby offering a holistic understanding of the topic. Findings reveal that cultural diversity poses both advantages and hurdles in cross-border mergers. It enriches the talent pool, fosters innovation, and broadens market reach. Yet, it also gives rise to communication barriers, leadership dissonance, and potential conflict. Multicultural leadership emerges as a linchpin, bridging cultural gaps, and promoting a harmonious merger integration process.</w:t>
      </w:r>
    </w:p>
    <w:p w14:paraId="7E545B66"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Furthermore, this study offers a set of practical recommendations for UK-based companies to enhance cultural diversity management in their cross-border mergers. These recommendations encompass the development of cross-cultural training programs, the fostering of multicultural leadership, the establishment of clear communication strategies, and the creation of feedback mechanisms, among others. The limitations of this research include the context-specific nature of findings and the dynamic nature of culture, which can evolve over time. Additionally, the study primarily reflects the perspective of UK-based companies, warranting further research from the Asian counterpart's viewpoint. As businesses continue to globalize, understanding and effectively managing cultural diversity in cross-border mergers is imperative. This study not only contributes valuable insights to the existing literature but also provides actionable strategies for UK-based companies to navigate the intricate and culturally rich landscape of Asian markets. Ultimately, it underscores the pivotal role of cultural sensitivity and adaptability in achieving successful cross-border mergers.</w:t>
      </w:r>
    </w:p>
    <w:p w14:paraId="05434D19" w14:textId="77777777" w:rsidR="00A13FD2" w:rsidRPr="00A13FD2" w:rsidRDefault="00A13FD2" w:rsidP="00A13FD2">
      <w:pPr>
        <w:spacing w:line="276" w:lineRule="auto"/>
        <w:rPr>
          <w:rFonts w:ascii="Times New Roman" w:eastAsia="Arial" w:hAnsi="Times New Roman" w:cs="Times New Roman"/>
          <w:b/>
          <w:color w:val="000000" w:themeColor="text1"/>
          <w:kern w:val="0"/>
          <w:sz w:val="24"/>
          <w:szCs w:val="24"/>
          <w:lang w:val="en-US" w:eastAsia="en-US" w:bidi="ar-SA"/>
          <w14:ligatures w14:val="none"/>
        </w:rPr>
      </w:pPr>
      <w:r w:rsidRPr="00A13FD2">
        <w:rPr>
          <w:rFonts w:ascii="Times New Roman" w:eastAsia="Arial" w:hAnsi="Times New Roman" w:cs="Times New Roman"/>
          <w:b/>
          <w:color w:val="000000" w:themeColor="text1"/>
          <w:kern w:val="0"/>
          <w:sz w:val="24"/>
          <w:szCs w:val="24"/>
          <w:lang w:val="en-US" w:eastAsia="en-US" w:bidi="ar-SA"/>
          <w14:ligatures w14:val="none"/>
        </w:rPr>
        <w:t xml:space="preserve">Keywords: </w:t>
      </w:r>
      <w:r w:rsidRPr="00A13FD2">
        <w:rPr>
          <w:rFonts w:ascii="Times New Roman" w:eastAsia="Arial" w:hAnsi="Times New Roman" w:cs="Times New Roman"/>
          <w:color w:val="000000" w:themeColor="text1"/>
          <w:kern w:val="0"/>
          <w:sz w:val="24"/>
          <w:szCs w:val="24"/>
          <w:lang w:val="en-US" w:eastAsia="en-US" w:bidi="ar-SA"/>
          <w14:ligatures w14:val="none"/>
        </w:rPr>
        <w:t>Cultural diversity, cross-border, Asia, mergers, UK, cross-cultural effects</w:t>
      </w:r>
    </w:p>
    <w:p w14:paraId="01F160EC" w14:textId="77777777" w:rsidR="00A13FD2" w:rsidRPr="00A13FD2" w:rsidRDefault="00A13FD2" w:rsidP="00A13FD2">
      <w:pPr>
        <w:spacing w:line="276" w:lineRule="auto"/>
        <w:rPr>
          <w:rFonts w:ascii="Times New Roman" w:eastAsia="Arial" w:hAnsi="Times New Roman" w:cs="Times New Roman"/>
          <w:b/>
          <w:color w:val="000000" w:themeColor="text1"/>
          <w:kern w:val="0"/>
          <w:sz w:val="24"/>
          <w:szCs w:val="24"/>
          <w:lang w:val="en-US" w:eastAsia="en-US" w:bidi="ar-SA"/>
          <w14:ligatures w14:val="none"/>
        </w:rPr>
      </w:pPr>
      <w:r w:rsidRPr="00A13FD2">
        <w:rPr>
          <w:rFonts w:ascii="Times New Roman" w:eastAsia="Arial" w:hAnsi="Times New Roman" w:cs="Times New Roman"/>
          <w:b/>
          <w:color w:val="000000" w:themeColor="text1"/>
          <w:kern w:val="0"/>
          <w:sz w:val="24"/>
          <w:szCs w:val="24"/>
          <w:lang w:val="en-US" w:eastAsia="en-US" w:bidi="ar-SA"/>
          <w14:ligatures w14:val="none"/>
        </w:rPr>
        <w:br w:type="page"/>
      </w:r>
    </w:p>
    <w:p w14:paraId="241FF0FD" w14:textId="77777777" w:rsidR="00A13FD2" w:rsidRPr="00A13FD2" w:rsidRDefault="00A13FD2" w:rsidP="00A13FD2">
      <w:pPr>
        <w:spacing w:line="360" w:lineRule="auto"/>
        <w:jc w:val="center"/>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8"/>
          <w:szCs w:val="28"/>
          <w:lang w:val="en-US" w:eastAsia="en-US" w:bidi="ar-SA"/>
          <w14:ligatures w14:val="none"/>
        </w:rPr>
        <w:lastRenderedPageBreak/>
        <w:t>Acknowledgment</w:t>
      </w:r>
    </w:p>
    <w:p w14:paraId="786CD6AD" w14:textId="77777777" w:rsidR="00A13FD2" w:rsidRPr="00A13FD2" w:rsidRDefault="00A13FD2" w:rsidP="00A13FD2">
      <w:pPr>
        <w:spacing w:line="360" w:lineRule="auto"/>
        <w:jc w:val="both"/>
        <w:rPr>
          <w:rFonts w:ascii="Times New Roman" w:eastAsia="Times New Roman" w:hAnsi="Times New Roman" w:cs="Arial"/>
          <w:color w:val="000000" w:themeColor="text1"/>
          <w:kern w:val="0"/>
          <w:sz w:val="24"/>
          <w:szCs w:val="24"/>
          <w:lang w:bidi="ar-SA"/>
          <w14:ligatures w14:val="none"/>
        </w:rPr>
      </w:pPr>
      <w:r w:rsidRPr="00A13FD2">
        <w:rPr>
          <w:rFonts w:ascii="Times New Roman" w:eastAsia="Times New Roman" w:hAnsi="Times New Roman" w:cs="Times New Roman"/>
          <w:color w:val="000000" w:themeColor="text1"/>
          <w:kern w:val="0"/>
          <w:sz w:val="24"/>
          <w:szCs w:val="24"/>
          <w:lang w:bidi="ar-SA"/>
          <w14:ligatures w14:val="none"/>
        </w:rPr>
        <w:t xml:space="preserve">I like to convey my deepest appreciation to my supervisor Dr Jaya Gopalkrishnan for guiding and providing feedback throughout this study. </w:t>
      </w:r>
    </w:p>
    <w:p w14:paraId="0274A79B" w14:textId="77777777" w:rsidR="00A13FD2" w:rsidRPr="00A13FD2" w:rsidRDefault="00A13FD2" w:rsidP="00A13FD2">
      <w:pPr>
        <w:spacing w:line="360" w:lineRule="auto"/>
        <w:jc w:val="both"/>
        <w:rPr>
          <w:rFonts w:ascii="Times New Roman" w:eastAsia="Times New Roman" w:hAnsi="Times New Roman" w:cs="Arial"/>
          <w:color w:val="000000" w:themeColor="text1"/>
          <w:kern w:val="0"/>
          <w:sz w:val="24"/>
          <w:szCs w:val="24"/>
          <w:lang w:bidi="ar-SA"/>
          <w14:ligatures w14:val="none"/>
        </w:rPr>
      </w:pPr>
      <w:r w:rsidRPr="00A13FD2">
        <w:rPr>
          <w:rFonts w:ascii="Times New Roman" w:eastAsia="Times New Roman" w:hAnsi="Times New Roman" w:cs="Times New Roman"/>
          <w:color w:val="000000" w:themeColor="text1"/>
          <w:kern w:val="0"/>
          <w:sz w:val="24"/>
          <w:szCs w:val="24"/>
          <w:lang w:bidi="ar-SA"/>
          <w14:ligatures w14:val="none"/>
        </w:rPr>
        <w:t xml:space="preserve">I am indebted to my colleagues and friends who supported me and assist me in gathering prerequisites for my study. Finally, I am grateful to my family for helping me complete my education and supporting me throughout the journey.   </w:t>
      </w:r>
    </w:p>
    <w:p w14:paraId="504EA96B" w14:textId="0047B10E" w:rsidR="00A13FD2" w:rsidRPr="00A13FD2" w:rsidRDefault="00A13FD2" w:rsidP="00A13FD2">
      <w:pPr>
        <w:spacing w:line="360" w:lineRule="auto"/>
        <w:jc w:val="both"/>
        <w:rPr>
          <w:rFonts w:ascii="Times New Roman" w:eastAsia="Times New Roman" w:hAnsi="Times New Roman" w:cs="Arial"/>
          <w:color w:val="000000" w:themeColor="text1"/>
          <w:kern w:val="0"/>
          <w:sz w:val="24"/>
          <w:szCs w:val="24"/>
          <w:lang w:bidi="ar-SA"/>
          <w14:ligatures w14:val="none"/>
        </w:rPr>
      </w:pPr>
      <w:r w:rsidRPr="00A13FD2">
        <w:rPr>
          <w:rFonts w:ascii="Times New Roman" w:eastAsia="Times New Roman" w:hAnsi="Times New Roman" w:cs="Times New Roman"/>
          <w:color w:val="000000" w:themeColor="text1"/>
          <w:kern w:val="0"/>
          <w:sz w:val="24"/>
          <w:szCs w:val="24"/>
          <w:lang w:bidi="ar-SA"/>
          <w14:ligatures w14:val="none"/>
        </w:rPr>
        <w:t xml:space="preserve">Your Signature: </w:t>
      </w:r>
      <w:r w:rsidR="006B6652">
        <w:rPr>
          <w:rFonts w:ascii="Times New Roman" w:eastAsia="Times New Roman" w:hAnsi="Times New Roman" w:cs="Times New Roman"/>
          <w:color w:val="000000" w:themeColor="text1"/>
          <w:kern w:val="0"/>
          <w:sz w:val="24"/>
          <w:szCs w:val="24"/>
          <w:lang w:bidi="ar-SA"/>
          <w14:ligatures w14:val="none"/>
        </w:rPr>
        <w:t xml:space="preserve">Purva Panchal </w:t>
      </w:r>
    </w:p>
    <w:p w14:paraId="74C64BFB" w14:textId="6B31CCB5" w:rsidR="00A13FD2" w:rsidRPr="00A13FD2" w:rsidRDefault="00A13FD2" w:rsidP="00A13FD2">
      <w:pPr>
        <w:spacing w:line="360" w:lineRule="auto"/>
        <w:jc w:val="both"/>
        <w:rPr>
          <w:rFonts w:ascii="Times New Roman" w:eastAsia="Times New Roman" w:hAnsi="Times New Roman" w:cs="Arial"/>
          <w:color w:val="000000" w:themeColor="text1"/>
          <w:kern w:val="0"/>
          <w:sz w:val="24"/>
          <w:szCs w:val="24"/>
          <w:lang w:bidi="ar-SA"/>
          <w14:ligatures w14:val="none"/>
        </w:rPr>
      </w:pPr>
      <w:r w:rsidRPr="00A13FD2">
        <w:rPr>
          <w:rFonts w:ascii="Times New Roman" w:eastAsia="Times New Roman" w:hAnsi="Times New Roman" w:cs="Times New Roman"/>
          <w:color w:val="000000" w:themeColor="text1"/>
          <w:kern w:val="0"/>
          <w:sz w:val="24"/>
          <w:szCs w:val="24"/>
          <w:lang w:bidi="ar-SA"/>
          <w14:ligatures w14:val="none"/>
        </w:rPr>
        <w:t>Date:</w:t>
      </w:r>
      <w:r w:rsidR="006B6652">
        <w:rPr>
          <w:rFonts w:ascii="Times New Roman" w:eastAsia="Times New Roman" w:hAnsi="Times New Roman" w:cs="Times New Roman"/>
          <w:color w:val="000000" w:themeColor="text1"/>
          <w:kern w:val="0"/>
          <w:sz w:val="24"/>
          <w:szCs w:val="24"/>
          <w:lang w:bidi="ar-SA"/>
          <w14:ligatures w14:val="none"/>
        </w:rPr>
        <w:t xml:space="preserve"> 19/10/23</w:t>
      </w:r>
    </w:p>
    <w:p w14:paraId="765DD26B" w14:textId="77777777" w:rsidR="00A13FD2" w:rsidRPr="00A13FD2" w:rsidRDefault="00A13FD2" w:rsidP="00A13FD2">
      <w:pPr>
        <w:spacing w:line="276" w:lineRule="auto"/>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br w:type="page"/>
      </w:r>
    </w:p>
    <w:p w14:paraId="085E44D7" w14:textId="77777777" w:rsidR="00A13FD2" w:rsidRPr="00A13FD2" w:rsidRDefault="00A13FD2" w:rsidP="00A13FD2">
      <w:pPr>
        <w:spacing w:line="276" w:lineRule="auto"/>
        <w:rPr>
          <w:rFonts w:ascii="Times New Roman" w:eastAsia="Arial" w:hAnsi="Times New Roman" w:cs="Times New Roman"/>
          <w:b/>
          <w:color w:val="000000" w:themeColor="text1"/>
          <w:kern w:val="0"/>
          <w:sz w:val="24"/>
          <w:szCs w:val="24"/>
          <w:lang w:val="en-US" w:eastAsia="en-US" w:bidi="ar-SA"/>
          <w14:ligatures w14:val="none"/>
        </w:rPr>
      </w:pPr>
    </w:p>
    <w:sdt>
      <w:sdtPr>
        <w:rPr>
          <w:rFonts w:ascii="Times New Roman" w:eastAsia="Arial" w:hAnsi="Times New Roman" w:cs="Times New Roman"/>
          <w:color w:val="000000" w:themeColor="text1"/>
          <w:kern w:val="0"/>
          <w:sz w:val="24"/>
          <w:szCs w:val="24"/>
          <w:lang w:val="en-US" w:eastAsia="en-US" w:bidi="ar-SA"/>
          <w14:ligatures w14:val="none"/>
        </w:rPr>
        <w:id w:val="856652881"/>
        <w:docPartObj>
          <w:docPartGallery w:val="Table of Contents"/>
          <w:docPartUnique/>
        </w:docPartObj>
      </w:sdtPr>
      <w:sdtEndPr/>
      <w:sdtContent>
        <w:p w14:paraId="2383AA39" w14:textId="77777777" w:rsidR="00A13FD2" w:rsidRPr="00A13FD2" w:rsidRDefault="00A13FD2" w:rsidP="00A13FD2">
          <w:pPr>
            <w:keepNext/>
            <w:keepLines/>
            <w:spacing w:before="480" w:line="360" w:lineRule="auto"/>
            <w:jc w:val="center"/>
            <w:rPr>
              <w:rFonts w:ascii="Times New Roman" w:eastAsiaTheme="majorEastAsia" w:hAnsi="Times New Roman" w:cs="Times New Roman"/>
              <w:b/>
              <w:bCs/>
              <w:color w:val="000000" w:themeColor="text1"/>
              <w:kern w:val="0"/>
              <w:sz w:val="28"/>
              <w:szCs w:val="28"/>
              <w:lang w:val="en-US" w:eastAsia="en-US" w:bidi="ar-SA"/>
              <w14:ligatures w14:val="none"/>
            </w:rPr>
          </w:pPr>
          <w:r w:rsidRPr="00A13FD2">
            <w:rPr>
              <w:rFonts w:ascii="Times New Roman" w:eastAsiaTheme="majorEastAsia" w:hAnsi="Times New Roman" w:cs="Times New Roman"/>
              <w:b/>
              <w:bCs/>
              <w:color w:val="000000" w:themeColor="text1"/>
              <w:kern w:val="0"/>
              <w:sz w:val="28"/>
              <w:szCs w:val="28"/>
              <w:lang w:val="en-US" w:eastAsia="en-US" w:bidi="ar-SA"/>
              <w14:ligatures w14:val="none"/>
            </w:rPr>
            <w:t>TABLE OF CONTENTS</w:t>
          </w:r>
        </w:p>
        <w:p w14:paraId="0D261671" w14:textId="77777777" w:rsidR="00A13FD2" w:rsidRPr="00A13FD2" w:rsidRDefault="00A13FD2" w:rsidP="00A13FD2">
          <w:pPr>
            <w:tabs>
              <w:tab w:val="right" w:leader="dot" w:pos="9350"/>
            </w:tabs>
            <w:spacing w:after="100" w:line="360" w:lineRule="auto"/>
            <w:jc w:val="both"/>
            <w:rPr>
              <w:rFonts w:ascii="Times New Roman" w:hAnsi="Times New Roman" w:cs="Times New Roman"/>
              <w:noProof/>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fldChar w:fldCharType="begin"/>
          </w:r>
          <w:r w:rsidRPr="00A13FD2">
            <w:rPr>
              <w:rFonts w:ascii="Times New Roman" w:eastAsia="Arial" w:hAnsi="Times New Roman" w:cs="Times New Roman"/>
              <w:color w:val="000000" w:themeColor="text1"/>
              <w:kern w:val="0"/>
              <w:sz w:val="24"/>
              <w:szCs w:val="24"/>
              <w:lang w:val="en-US" w:eastAsia="en-US" w:bidi="ar-SA"/>
              <w14:ligatures w14:val="none"/>
            </w:rPr>
            <w:instrText xml:space="preserve"> TOC \o "1-3" \h \z \u </w:instrText>
          </w:r>
          <w:r w:rsidRPr="00A13FD2">
            <w:rPr>
              <w:rFonts w:ascii="Times New Roman" w:eastAsia="Arial" w:hAnsi="Times New Roman" w:cs="Times New Roman"/>
              <w:color w:val="000000" w:themeColor="text1"/>
              <w:kern w:val="0"/>
              <w:sz w:val="24"/>
              <w:szCs w:val="24"/>
              <w:lang w:val="en-US" w:eastAsia="en-US" w:bidi="ar-SA"/>
              <w14:ligatures w14:val="none"/>
            </w:rPr>
            <w:fldChar w:fldCharType="separate"/>
          </w:r>
          <w:hyperlink w:anchor="_Toc145934212" w:history="1">
            <w:r w:rsidRPr="00A13FD2">
              <w:rPr>
                <w:rFonts w:ascii="Times New Roman" w:eastAsia="Arial" w:hAnsi="Times New Roman" w:cs="Times New Roman"/>
                <w:noProof/>
                <w:color w:val="000000" w:themeColor="text1"/>
                <w:kern w:val="0"/>
                <w:sz w:val="24"/>
                <w:szCs w:val="24"/>
                <w:u w:val="single"/>
                <w:lang w:val="en-US" w:eastAsia="en-US" w:bidi="ar-SA"/>
                <w14:ligatures w14:val="none"/>
              </w:rPr>
              <w:t>Chapter 1: Introduction</w:t>
            </w:r>
            <w:r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_Toc145934212 \h </w:instrText>
            </w:r>
            <w:r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Pr="00A13FD2">
              <w:rPr>
                <w:rFonts w:ascii="Times New Roman" w:eastAsia="Arial" w:hAnsi="Times New Roman" w:cs="Times New Roman"/>
                <w:noProof/>
                <w:webHidden/>
                <w:color w:val="000000" w:themeColor="text1"/>
                <w:kern w:val="0"/>
                <w:sz w:val="24"/>
                <w:szCs w:val="24"/>
                <w:lang w:val="en-US" w:eastAsia="en-US" w:bidi="ar-SA"/>
                <w14:ligatures w14:val="none"/>
              </w:rPr>
              <w:t>4</w:t>
            </w:r>
            <w:r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09379657"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13"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1.1 Introduction</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_Toc145934213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4</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348F3E4E"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14"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1.2 Background</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_Toc145934214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4</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765600BD"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15"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1.3 Research Aim</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_Toc145934215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5</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5C673AA9"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16"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1.4 Research Objectives</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_Toc145934216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5</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7F4243BA"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17"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1.5 Research Questions</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_Toc145934217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6</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2C2D2AB6"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18"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1.6 Research Significance</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_Toc145934218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6</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5BCC506C"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19"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1.7 Research Rationale</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_Toc145934219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8</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483623F0"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20"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1.8 Research Problem</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_Toc145934220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9</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600D8CD2"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21"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1.9 Conclusion</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_Toc145934221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11</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02E03DF1" w14:textId="77777777" w:rsidR="00A13FD2" w:rsidRPr="00A13FD2" w:rsidRDefault="00A3432E" w:rsidP="00A13FD2">
          <w:pPr>
            <w:tabs>
              <w:tab w:val="right" w:leader="dot" w:pos="9350"/>
            </w:tabs>
            <w:spacing w:after="100" w:line="360" w:lineRule="auto"/>
            <w:jc w:val="both"/>
            <w:rPr>
              <w:rFonts w:ascii="Times New Roman" w:hAnsi="Times New Roman" w:cs="Times New Roman"/>
              <w:noProof/>
              <w:color w:val="000000" w:themeColor="text1"/>
              <w:kern w:val="0"/>
              <w:sz w:val="24"/>
              <w:szCs w:val="24"/>
              <w:lang w:val="en-US" w:eastAsia="en-US" w:bidi="ar-SA"/>
              <w14:ligatures w14:val="none"/>
            </w:rPr>
          </w:pPr>
          <w:hyperlink w:anchor="_Toc145934222"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Chapter 2: Literature Review</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_Toc145934222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12</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6FB4FE5F"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23"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2.1 Introduction</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_Toc145934223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12</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0D8F68B8"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24"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2.2 Research Variables</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_Toc145934224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12</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51B11BF5"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25"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2.3 Conceptual Framework</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_Toc145934225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15</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128A59ED"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26"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2.4 Empirical Studies</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_Toc145934226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15</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60A89D5B"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27"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2.5 Literature Gap</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_Toc145934227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24</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3FA9981B"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28"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2.6 Theories and Models</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_Toc145934228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24</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683D1ACC"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29"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2.7 Conclusion</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_Toc145934229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27</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0B39FFE5" w14:textId="77777777" w:rsidR="00A13FD2" w:rsidRPr="00A13FD2" w:rsidRDefault="00A3432E" w:rsidP="00A13FD2">
          <w:pPr>
            <w:tabs>
              <w:tab w:val="right" w:leader="dot" w:pos="9350"/>
            </w:tabs>
            <w:spacing w:after="100" w:line="360" w:lineRule="auto"/>
            <w:jc w:val="both"/>
            <w:rPr>
              <w:rFonts w:ascii="Times New Roman" w:hAnsi="Times New Roman" w:cs="Times New Roman"/>
              <w:noProof/>
              <w:color w:val="000000" w:themeColor="text1"/>
              <w:kern w:val="0"/>
              <w:sz w:val="24"/>
              <w:szCs w:val="24"/>
              <w:lang w:val="en-US" w:eastAsia="en-US" w:bidi="ar-SA"/>
              <w14:ligatures w14:val="none"/>
            </w:rPr>
          </w:pPr>
          <w:hyperlink w:anchor="_Toc145934230" w:history="1">
            <w:r w:rsidR="00A13FD2" w:rsidRPr="00A13FD2">
              <w:rPr>
                <w:rFonts w:ascii="Times New Roman" w:eastAsia="Arial" w:hAnsi="Times New Roman" w:cs="Times New Roman"/>
                <w:bCs/>
                <w:noProof/>
                <w:color w:val="000000" w:themeColor="text1"/>
                <w:kern w:val="0"/>
                <w:sz w:val="24"/>
                <w:szCs w:val="24"/>
                <w:u w:val="single"/>
                <w:lang w:val="en-US" w:eastAsia="en-US" w:bidi="ar-SA"/>
                <w14:ligatures w14:val="none"/>
              </w:rPr>
              <w:t xml:space="preserve">Chapter 3: </w:t>
            </w:r>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Methodology</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_Toc145934230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29</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4B1AAA5D"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31"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3.1 Introduction</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_Toc145934231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29</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59069823"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32"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3.2 Research Onion</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_Toc145934232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29</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6D075532"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34"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3.3 Research philosophy</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_Toc145934234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31</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4D5C613D"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35"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3.4 Research Approach</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_Toc145934235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32</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6C0B4796"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36"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3.5 Research Design</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_Toc145934236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32</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07C62AF3"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37"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3.6 Inclusion and Exclusion Criteria</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_Toc145934237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34</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586A5D81"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39"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3.7 Data Collection Method</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_Toc145934239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34</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039204AB"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40"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3.8 Data Analysis Method</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_Toc145934240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35</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13C9CFB1"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41"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3.9 Research Timeline</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_Toc145934241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36</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40317C49"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43"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3.10 Conclusion</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_Toc145934243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36</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4579E532" w14:textId="77777777" w:rsidR="00A13FD2" w:rsidRPr="00A13FD2" w:rsidRDefault="00A3432E" w:rsidP="00A13FD2">
          <w:pPr>
            <w:tabs>
              <w:tab w:val="right" w:leader="dot" w:pos="9350"/>
            </w:tabs>
            <w:spacing w:after="100" w:line="360" w:lineRule="auto"/>
            <w:jc w:val="both"/>
            <w:rPr>
              <w:rFonts w:ascii="Times New Roman" w:hAnsi="Times New Roman" w:cs="Times New Roman"/>
              <w:noProof/>
              <w:color w:val="000000" w:themeColor="text1"/>
              <w:kern w:val="0"/>
              <w:sz w:val="24"/>
              <w:szCs w:val="24"/>
              <w:lang w:val="en-US" w:eastAsia="en-US" w:bidi="ar-SA"/>
              <w14:ligatures w14:val="none"/>
            </w:rPr>
          </w:pPr>
          <w:hyperlink w:anchor="_Toc145934244"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Chapter 4: Findings and Analysis</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_Toc145934244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38</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705A7F7C"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45"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4.1 Introduction</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_Toc145934245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38</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5AD9AD75"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46"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4.2 Findings</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_Toc145934246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38</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6BE0539E"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47"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4.3 Analysis</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_Toc145934247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50</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17F4C6BE"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48"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4.4 Conclusion</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_Toc145934248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53</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2479218B" w14:textId="77777777" w:rsidR="00A13FD2" w:rsidRPr="00A13FD2" w:rsidRDefault="00A3432E" w:rsidP="00A13FD2">
          <w:pPr>
            <w:tabs>
              <w:tab w:val="right" w:leader="dot" w:pos="9350"/>
            </w:tabs>
            <w:spacing w:after="100" w:line="360" w:lineRule="auto"/>
            <w:jc w:val="both"/>
            <w:rPr>
              <w:rFonts w:ascii="Times New Roman" w:hAnsi="Times New Roman" w:cs="Times New Roman"/>
              <w:noProof/>
              <w:color w:val="000000" w:themeColor="text1"/>
              <w:kern w:val="0"/>
              <w:sz w:val="24"/>
              <w:szCs w:val="24"/>
              <w:lang w:val="en-US" w:eastAsia="en-US" w:bidi="ar-SA"/>
              <w14:ligatures w14:val="none"/>
            </w:rPr>
          </w:pPr>
          <w:hyperlink w:anchor="_Toc145934249"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Chapter 5: Recommendation and Conclusion</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_Toc145934249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54</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5608A604"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50"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5.1 Introduction</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_Toc145934250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54</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24D5BD19"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51"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5.2 Linking with objectives</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_Toc145934251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54</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36C43329"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52"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5.3 Recommendations</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_Toc145934252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56</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1FEB85E3"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53"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5.4 Limitations</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_Toc145934253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57</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297C0EB6"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54"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5.5 Future Scope</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_Toc145934254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57</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174D2D44" w14:textId="77777777" w:rsidR="00A13FD2" w:rsidRPr="00A13FD2" w:rsidRDefault="00A3432E" w:rsidP="00A13FD2">
          <w:pPr>
            <w:tabs>
              <w:tab w:val="right" w:leader="dot" w:pos="9350"/>
            </w:tabs>
            <w:spacing w:after="100" w:line="360" w:lineRule="auto"/>
            <w:ind w:left="220"/>
            <w:jc w:val="both"/>
            <w:rPr>
              <w:rFonts w:ascii="Times New Roman" w:hAnsi="Times New Roman" w:cs="Times New Roman"/>
              <w:noProof/>
              <w:color w:val="000000" w:themeColor="text1"/>
              <w:kern w:val="0"/>
              <w:sz w:val="24"/>
              <w:szCs w:val="24"/>
              <w:lang w:val="en-US" w:eastAsia="en-US" w:bidi="ar-SA"/>
              <w14:ligatures w14:val="none"/>
            </w:rPr>
          </w:pPr>
          <w:hyperlink w:anchor="_Toc145934255"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5.6 Conclusion</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_Toc145934255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58</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06CE58AE" w14:textId="77777777" w:rsidR="00A13FD2" w:rsidRPr="00A13FD2" w:rsidRDefault="00A3432E" w:rsidP="00A13FD2">
          <w:pPr>
            <w:tabs>
              <w:tab w:val="right" w:leader="dot" w:pos="9350"/>
            </w:tabs>
            <w:spacing w:after="100" w:line="360" w:lineRule="auto"/>
            <w:jc w:val="both"/>
            <w:rPr>
              <w:rFonts w:ascii="Times New Roman" w:hAnsi="Times New Roman" w:cs="Times New Roman"/>
              <w:noProof/>
              <w:color w:val="000000" w:themeColor="text1"/>
              <w:kern w:val="0"/>
              <w:sz w:val="24"/>
              <w:szCs w:val="24"/>
              <w:lang w:val="en-US" w:eastAsia="en-US" w:bidi="ar-SA"/>
              <w14:ligatures w14:val="none"/>
            </w:rPr>
          </w:pPr>
          <w:hyperlink w:anchor="_Toc145934256" w:history="1">
            <w:r w:rsidR="00A13FD2" w:rsidRPr="00A13FD2">
              <w:rPr>
                <w:rFonts w:ascii="Times New Roman" w:eastAsia="Arial" w:hAnsi="Times New Roman" w:cs="Times New Roman"/>
                <w:noProof/>
                <w:color w:val="000000" w:themeColor="text1"/>
                <w:kern w:val="0"/>
                <w:sz w:val="24"/>
                <w:szCs w:val="24"/>
                <w:u w:val="single"/>
                <w:lang w:val="en-GB" w:eastAsia="en-US" w:bidi="ar-SA"/>
                <w14:ligatures w14:val="none"/>
              </w:rPr>
              <w:t>Reference list</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_Toc145934256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59</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352CCFEC" w14:textId="77777777" w:rsidR="00A13FD2" w:rsidRPr="00A13FD2" w:rsidRDefault="00A3432E" w:rsidP="00A13FD2">
          <w:pPr>
            <w:tabs>
              <w:tab w:val="right" w:leader="dot" w:pos="9350"/>
            </w:tabs>
            <w:spacing w:after="100" w:line="360" w:lineRule="auto"/>
            <w:jc w:val="both"/>
            <w:rPr>
              <w:rFonts w:ascii="Times New Roman" w:hAnsi="Times New Roman" w:cs="Times New Roman"/>
              <w:noProof/>
              <w:color w:val="000000" w:themeColor="text1"/>
              <w:kern w:val="0"/>
              <w:sz w:val="24"/>
              <w:szCs w:val="24"/>
              <w:lang w:val="en-US" w:eastAsia="en-US" w:bidi="ar-SA"/>
              <w14:ligatures w14:val="none"/>
            </w:rPr>
          </w:pPr>
          <w:hyperlink w:anchor="_Toc145934257"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Appendices</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_Toc145934257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65</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133159DE"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fldChar w:fldCharType="end"/>
          </w:r>
        </w:p>
      </w:sdtContent>
    </w:sdt>
    <w:p w14:paraId="675157E9" w14:textId="77777777" w:rsidR="00A13FD2" w:rsidRPr="00A13FD2" w:rsidRDefault="00A13FD2" w:rsidP="00A13FD2">
      <w:pPr>
        <w:spacing w:line="276" w:lineRule="auto"/>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br w:type="page"/>
      </w:r>
    </w:p>
    <w:p w14:paraId="36A683AD" w14:textId="77777777" w:rsidR="00A13FD2" w:rsidRPr="00A13FD2" w:rsidRDefault="00A13FD2" w:rsidP="00A13FD2">
      <w:pPr>
        <w:spacing w:line="360" w:lineRule="auto"/>
        <w:jc w:val="center"/>
        <w:rPr>
          <w:rFonts w:ascii="Times New Roman" w:eastAsia="Arial" w:hAnsi="Times New Roman" w:cs="Times New Roman"/>
          <w:b/>
          <w:color w:val="000000" w:themeColor="text1"/>
          <w:kern w:val="0"/>
          <w:sz w:val="28"/>
          <w:szCs w:val="28"/>
          <w:lang w:val="en-US" w:eastAsia="en-US" w:bidi="ar-SA"/>
          <w14:ligatures w14:val="none"/>
        </w:rPr>
      </w:pPr>
      <w:r w:rsidRPr="00A13FD2">
        <w:rPr>
          <w:rFonts w:ascii="Times New Roman" w:eastAsia="Arial" w:hAnsi="Times New Roman" w:cs="Times New Roman"/>
          <w:b/>
          <w:color w:val="000000" w:themeColor="text1"/>
          <w:kern w:val="0"/>
          <w:sz w:val="28"/>
          <w:szCs w:val="28"/>
          <w:lang w:val="en-US" w:eastAsia="en-US" w:bidi="ar-SA"/>
          <w14:ligatures w14:val="none"/>
        </w:rPr>
        <w:lastRenderedPageBreak/>
        <w:t>List of Figures</w:t>
      </w:r>
    </w:p>
    <w:p w14:paraId="2D164B41" w14:textId="77777777" w:rsidR="00A13FD2" w:rsidRPr="00A13FD2" w:rsidRDefault="00A13FD2" w:rsidP="00A13FD2">
      <w:pPr>
        <w:tabs>
          <w:tab w:val="right" w:leader="dot" w:pos="9350"/>
        </w:tabs>
        <w:spacing w:line="360" w:lineRule="auto"/>
        <w:jc w:val="both"/>
        <w:rPr>
          <w:rFonts w:ascii="Times New Roman" w:hAnsi="Times New Roman" w:cs="Times New Roman"/>
          <w:noProof/>
          <w:color w:val="000000" w:themeColor="text1"/>
          <w:kern w:val="0"/>
          <w:sz w:val="24"/>
          <w:szCs w:val="24"/>
          <w:lang w:val="en-US" w:eastAsia="en-US" w:bidi="ar-SA"/>
          <w14:ligatures w14:val="none"/>
        </w:rPr>
      </w:pPr>
      <w:r w:rsidRPr="00A13FD2">
        <w:rPr>
          <w:rFonts w:ascii="Times New Roman" w:eastAsia="Arial" w:hAnsi="Times New Roman" w:cs="Times New Roman"/>
          <w:b/>
          <w:color w:val="000000" w:themeColor="text1"/>
          <w:kern w:val="0"/>
          <w:sz w:val="24"/>
          <w:szCs w:val="24"/>
          <w:lang w:val="en-US" w:eastAsia="en-US" w:bidi="ar-SA"/>
          <w14:ligatures w14:val="none"/>
        </w:rPr>
        <w:fldChar w:fldCharType="begin"/>
      </w:r>
      <w:r w:rsidRPr="00A13FD2">
        <w:rPr>
          <w:rFonts w:ascii="Times New Roman" w:eastAsia="Arial" w:hAnsi="Times New Roman" w:cs="Times New Roman"/>
          <w:b/>
          <w:color w:val="000000" w:themeColor="text1"/>
          <w:kern w:val="0"/>
          <w:sz w:val="24"/>
          <w:szCs w:val="24"/>
          <w:lang w:val="en-US" w:eastAsia="en-US" w:bidi="ar-SA"/>
          <w14:ligatures w14:val="none"/>
        </w:rPr>
        <w:instrText xml:space="preserve"> TOC \h \z \t "Heading 3" \c </w:instrText>
      </w:r>
      <w:r w:rsidRPr="00A13FD2">
        <w:rPr>
          <w:rFonts w:ascii="Times New Roman" w:eastAsia="Arial" w:hAnsi="Times New Roman" w:cs="Times New Roman"/>
          <w:b/>
          <w:color w:val="000000" w:themeColor="text1"/>
          <w:kern w:val="0"/>
          <w:sz w:val="24"/>
          <w:szCs w:val="24"/>
          <w:lang w:val="en-US" w:eastAsia="en-US" w:bidi="ar-SA"/>
          <w14:ligatures w14:val="none"/>
        </w:rPr>
        <w:fldChar w:fldCharType="separate"/>
      </w:r>
      <w:hyperlink w:anchor="_Toc148097348" w:history="1">
        <w:r w:rsidRPr="00A13FD2">
          <w:rPr>
            <w:rFonts w:ascii="Times New Roman" w:eastAsia="Arial" w:hAnsi="Times New Roman" w:cs="Times New Roman"/>
            <w:noProof/>
            <w:color w:val="000000" w:themeColor="text1"/>
            <w:kern w:val="0"/>
            <w:sz w:val="24"/>
            <w:szCs w:val="24"/>
            <w:u w:val="single"/>
            <w:lang w:val="en-US" w:eastAsia="en-US" w:bidi="ar-SA"/>
            <w14:ligatures w14:val="none"/>
          </w:rPr>
          <w:t>Figure 1: Research significance of managing cultural diversity</w:t>
        </w:r>
        <w:r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_Toc148097348 \h </w:instrText>
        </w:r>
        <w:r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Pr="00A13FD2">
          <w:rPr>
            <w:rFonts w:ascii="Times New Roman" w:eastAsia="Arial" w:hAnsi="Times New Roman" w:cs="Times New Roman"/>
            <w:noProof/>
            <w:webHidden/>
            <w:color w:val="000000" w:themeColor="text1"/>
            <w:kern w:val="0"/>
            <w:sz w:val="24"/>
            <w:szCs w:val="24"/>
            <w:lang w:val="en-US" w:eastAsia="en-US" w:bidi="ar-SA"/>
            <w14:ligatures w14:val="none"/>
          </w:rPr>
          <w:t>12</w:t>
        </w:r>
        <w:r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4B51DA6C" w14:textId="77777777" w:rsidR="00A13FD2" w:rsidRPr="00A13FD2" w:rsidRDefault="00A3432E" w:rsidP="00A13FD2">
      <w:pPr>
        <w:tabs>
          <w:tab w:val="right" w:leader="dot" w:pos="9350"/>
        </w:tabs>
        <w:spacing w:line="360" w:lineRule="auto"/>
        <w:jc w:val="both"/>
        <w:rPr>
          <w:rFonts w:ascii="Times New Roman" w:hAnsi="Times New Roman" w:cs="Times New Roman"/>
          <w:noProof/>
          <w:color w:val="000000" w:themeColor="text1"/>
          <w:kern w:val="0"/>
          <w:sz w:val="24"/>
          <w:szCs w:val="24"/>
          <w:lang w:val="en-US" w:eastAsia="en-US" w:bidi="ar-SA"/>
          <w14:ligatures w14:val="none"/>
        </w:rPr>
      </w:pPr>
      <w:hyperlink w:anchor="_Toc148097349" w:history="1">
        <w:r w:rsidR="00A13FD2" w:rsidRPr="00A13FD2">
          <w:rPr>
            <w:rFonts w:ascii="Times New Roman" w:eastAsia="Times New Roman" w:hAnsi="Times New Roman" w:cs="Times New Roman"/>
            <w:noProof/>
            <w:color w:val="000000" w:themeColor="text1"/>
            <w:kern w:val="0"/>
            <w:sz w:val="24"/>
            <w:szCs w:val="24"/>
            <w:u w:val="single"/>
            <w:lang w:val="en-US" w:eastAsia="en-US" w:bidi="ar-SA"/>
            <w14:ligatures w14:val="none"/>
          </w:rPr>
          <w:t xml:space="preserve">Figure 2: </w:t>
        </w:r>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Research rationale for managing cultural diversity</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_Toc148097349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15</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1E354AF6" w14:textId="77777777" w:rsidR="00A13FD2" w:rsidRPr="00A13FD2" w:rsidRDefault="00A3432E" w:rsidP="00A13FD2">
      <w:pPr>
        <w:tabs>
          <w:tab w:val="right" w:leader="dot" w:pos="9350"/>
        </w:tabs>
        <w:spacing w:line="360" w:lineRule="auto"/>
        <w:jc w:val="both"/>
        <w:rPr>
          <w:rFonts w:ascii="Times New Roman" w:hAnsi="Times New Roman" w:cs="Times New Roman"/>
          <w:noProof/>
          <w:color w:val="000000" w:themeColor="text1"/>
          <w:kern w:val="0"/>
          <w:sz w:val="24"/>
          <w:szCs w:val="24"/>
          <w:lang w:val="en-US" w:eastAsia="en-US" w:bidi="ar-SA"/>
          <w14:ligatures w14:val="none"/>
        </w:rPr>
      </w:pPr>
      <w:hyperlink w:anchor="_Toc148097350" w:history="1">
        <w:r w:rsidR="00A13FD2" w:rsidRPr="00A13FD2">
          <w:rPr>
            <w:rFonts w:ascii="Times New Roman" w:eastAsia="Times New Roman" w:hAnsi="Times New Roman" w:cs="Times New Roman"/>
            <w:noProof/>
            <w:color w:val="000000" w:themeColor="text1"/>
            <w:kern w:val="0"/>
            <w:sz w:val="24"/>
            <w:szCs w:val="24"/>
            <w:u w:val="single"/>
            <w:lang w:val="en-US" w:eastAsia="en-US" w:bidi="ar-SA"/>
            <w14:ligatures w14:val="none"/>
          </w:rPr>
          <w:t xml:space="preserve">Figure 3: </w:t>
        </w:r>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Conceptual framework</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_Toc148097350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20</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7D897E27" w14:textId="77777777" w:rsidR="00A13FD2" w:rsidRPr="00A13FD2" w:rsidRDefault="00A3432E" w:rsidP="00A13FD2">
      <w:pPr>
        <w:tabs>
          <w:tab w:val="right" w:leader="dot" w:pos="9350"/>
        </w:tabs>
        <w:spacing w:line="360" w:lineRule="auto"/>
        <w:jc w:val="both"/>
        <w:rPr>
          <w:rFonts w:ascii="Times New Roman" w:hAnsi="Times New Roman" w:cs="Times New Roman"/>
          <w:noProof/>
          <w:color w:val="000000" w:themeColor="text1"/>
          <w:kern w:val="0"/>
          <w:sz w:val="24"/>
          <w:szCs w:val="24"/>
          <w:lang w:val="en-US" w:eastAsia="en-US" w:bidi="ar-SA"/>
          <w14:ligatures w14:val="none"/>
        </w:rPr>
      </w:pPr>
      <w:hyperlink w:anchor="_Toc148097351" w:history="1">
        <w:r w:rsidR="00A13FD2" w:rsidRPr="00A13FD2">
          <w:rPr>
            <w:rFonts w:ascii="Times New Roman" w:eastAsia="Times New Roman" w:hAnsi="Times New Roman" w:cs="Times New Roman"/>
            <w:noProof/>
            <w:color w:val="000000" w:themeColor="text1"/>
            <w:kern w:val="0"/>
            <w:sz w:val="24"/>
            <w:szCs w:val="24"/>
            <w:u w:val="single"/>
            <w:lang w:val="en-US" w:eastAsia="en-US" w:bidi="ar-SA"/>
            <w14:ligatures w14:val="none"/>
          </w:rPr>
          <w:t xml:space="preserve">Figure 4: </w:t>
        </w:r>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Theories and models of managing cultural diversity</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_Toc148097351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31</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1EB9A69D" w14:textId="77777777" w:rsidR="00A13FD2" w:rsidRPr="00A13FD2" w:rsidRDefault="00A3432E" w:rsidP="00A13FD2">
      <w:pPr>
        <w:tabs>
          <w:tab w:val="right" w:leader="dot" w:pos="9350"/>
        </w:tabs>
        <w:spacing w:line="360" w:lineRule="auto"/>
        <w:jc w:val="both"/>
        <w:rPr>
          <w:rFonts w:ascii="Times New Roman" w:hAnsi="Times New Roman" w:cs="Times New Roman"/>
          <w:noProof/>
          <w:color w:val="000000" w:themeColor="text1"/>
          <w:kern w:val="0"/>
          <w:sz w:val="24"/>
          <w:szCs w:val="24"/>
          <w:lang w:val="en-US" w:eastAsia="en-US" w:bidi="ar-SA"/>
          <w14:ligatures w14:val="none"/>
        </w:rPr>
      </w:pPr>
      <w:hyperlink w:anchor="_Toc148097352"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Figure 5: Research onion</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_Toc148097352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35</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5339A608" w14:textId="77777777" w:rsidR="00A13FD2" w:rsidRPr="00A13FD2" w:rsidRDefault="00A3432E" w:rsidP="00A13FD2">
      <w:pPr>
        <w:tabs>
          <w:tab w:val="right" w:leader="dot" w:pos="9350"/>
        </w:tabs>
        <w:spacing w:line="360" w:lineRule="auto"/>
        <w:jc w:val="both"/>
        <w:rPr>
          <w:rFonts w:ascii="Times New Roman" w:hAnsi="Times New Roman" w:cs="Times New Roman"/>
          <w:noProof/>
          <w:color w:val="000000" w:themeColor="text1"/>
          <w:kern w:val="0"/>
          <w:sz w:val="24"/>
          <w:szCs w:val="24"/>
          <w:lang w:val="en-US" w:eastAsia="en-US" w:bidi="ar-SA"/>
          <w14:ligatures w14:val="none"/>
        </w:rPr>
      </w:pPr>
      <w:hyperlink w:anchor="_Toc148097353"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Figure 6: Prisma Diagram</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_Toc148097353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39</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65A3684E" w14:textId="77777777" w:rsidR="00A13FD2" w:rsidRPr="00A13FD2" w:rsidRDefault="00A3432E" w:rsidP="00A13FD2">
      <w:pPr>
        <w:tabs>
          <w:tab w:val="right" w:leader="dot" w:pos="9350"/>
        </w:tabs>
        <w:spacing w:line="360" w:lineRule="auto"/>
        <w:jc w:val="both"/>
        <w:rPr>
          <w:rFonts w:ascii="Times New Roman" w:hAnsi="Times New Roman" w:cs="Times New Roman"/>
          <w:noProof/>
          <w:color w:val="000000" w:themeColor="text1"/>
          <w:kern w:val="0"/>
          <w:sz w:val="24"/>
          <w:szCs w:val="24"/>
          <w:lang w:val="en-US" w:eastAsia="en-US" w:bidi="ar-SA"/>
          <w14:ligatures w14:val="none"/>
        </w:rPr>
      </w:pPr>
      <w:hyperlink w:anchor="_Toc148097354"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Figure 7: Research Timeline</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_Toc148097354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41</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48E56BA6" w14:textId="77777777" w:rsidR="00A13FD2" w:rsidRPr="00A13FD2" w:rsidRDefault="00A3432E" w:rsidP="00A13FD2">
      <w:pPr>
        <w:tabs>
          <w:tab w:val="right" w:leader="dot" w:pos="9350"/>
        </w:tabs>
        <w:spacing w:line="360" w:lineRule="auto"/>
        <w:jc w:val="both"/>
        <w:rPr>
          <w:rFonts w:ascii="Times New Roman" w:hAnsi="Times New Roman" w:cs="Times New Roman"/>
          <w:noProof/>
          <w:color w:val="000000" w:themeColor="text1"/>
          <w:kern w:val="0"/>
          <w:sz w:val="24"/>
          <w:szCs w:val="24"/>
          <w:lang w:val="en-US" w:eastAsia="en-US" w:bidi="ar-SA"/>
          <w14:ligatures w14:val="none"/>
        </w:rPr>
      </w:pPr>
      <w:hyperlink w:anchor="_Toc148097355"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 xml:space="preserve">Figure 8: </w:t>
        </w:r>
        <w:r w:rsidR="00A13FD2" w:rsidRPr="00A13FD2">
          <w:rPr>
            <w:rFonts w:ascii="Times New Roman" w:eastAsia="Times New Roman" w:hAnsi="Times New Roman" w:cs="Times New Roman"/>
            <w:bCs/>
            <w:noProof/>
            <w:color w:val="000000" w:themeColor="text1"/>
            <w:kern w:val="0"/>
            <w:sz w:val="24"/>
            <w:szCs w:val="24"/>
            <w:u w:val="single"/>
            <w:lang w:val="en-US" w:eastAsia="en-US" w:bidi="ar-SA"/>
            <w14:ligatures w14:val="none"/>
          </w:rPr>
          <w:t>Role of multicultural leadership on successful integration</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_Toc148097355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51</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245FAE0D" w14:textId="77777777" w:rsidR="00A13FD2" w:rsidRPr="00A13FD2" w:rsidRDefault="00A3432E" w:rsidP="00A13FD2">
      <w:pPr>
        <w:tabs>
          <w:tab w:val="right" w:leader="dot" w:pos="9350"/>
        </w:tabs>
        <w:spacing w:line="360" w:lineRule="auto"/>
        <w:jc w:val="both"/>
        <w:rPr>
          <w:rFonts w:ascii="Times New Roman" w:hAnsi="Times New Roman" w:cs="Times New Roman"/>
          <w:noProof/>
          <w:color w:val="000000" w:themeColor="text1"/>
          <w:kern w:val="0"/>
          <w:sz w:val="24"/>
          <w:szCs w:val="24"/>
          <w:lang w:val="en-US" w:eastAsia="en-US" w:bidi="ar-SA"/>
          <w14:ligatures w14:val="none"/>
        </w:rPr>
      </w:pPr>
      <w:hyperlink w:anchor="_Toc148097357"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Figure 9: Recommendation for improvement of cultural diversity in cross-border mergers</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_Toc148097357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61</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05A4EE09" w14:textId="77777777" w:rsidR="00A13FD2" w:rsidRPr="00A13FD2" w:rsidRDefault="00A13FD2" w:rsidP="00A13FD2">
      <w:pPr>
        <w:spacing w:line="360" w:lineRule="auto"/>
        <w:jc w:val="both"/>
        <w:rPr>
          <w:rFonts w:ascii="Times New Roman" w:eastAsia="Arial" w:hAnsi="Times New Roman" w:cs="Times New Roman"/>
          <w:b/>
          <w:color w:val="000000" w:themeColor="text1"/>
          <w:kern w:val="0"/>
          <w:sz w:val="24"/>
          <w:szCs w:val="24"/>
          <w:lang w:val="en-US" w:eastAsia="en-US" w:bidi="ar-SA"/>
          <w14:ligatures w14:val="none"/>
        </w:rPr>
      </w:pPr>
      <w:r w:rsidRPr="00A13FD2">
        <w:rPr>
          <w:rFonts w:ascii="Times New Roman" w:eastAsia="Arial" w:hAnsi="Times New Roman" w:cs="Times New Roman"/>
          <w:b/>
          <w:color w:val="000000" w:themeColor="text1"/>
          <w:kern w:val="0"/>
          <w:sz w:val="24"/>
          <w:szCs w:val="24"/>
          <w:lang w:val="en-US" w:eastAsia="en-US" w:bidi="ar-SA"/>
          <w14:ligatures w14:val="none"/>
        </w:rPr>
        <w:fldChar w:fldCharType="end"/>
      </w:r>
    </w:p>
    <w:p w14:paraId="234C836C" w14:textId="77777777" w:rsidR="00A13FD2" w:rsidRPr="00A13FD2" w:rsidRDefault="00A13FD2" w:rsidP="00A13FD2">
      <w:pPr>
        <w:spacing w:line="360" w:lineRule="auto"/>
        <w:jc w:val="both"/>
        <w:rPr>
          <w:rFonts w:ascii="Times New Roman" w:eastAsia="Arial" w:hAnsi="Times New Roman" w:cs="Times New Roman"/>
          <w:b/>
          <w:color w:val="000000" w:themeColor="text1"/>
          <w:kern w:val="0"/>
          <w:sz w:val="24"/>
          <w:szCs w:val="24"/>
          <w:lang w:val="en-US" w:eastAsia="en-US" w:bidi="ar-SA"/>
          <w14:ligatures w14:val="none"/>
        </w:rPr>
      </w:pPr>
    </w:p>
    <w:p w14:paraId="495A89E5"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p>
    <w:p w14:paraId="3168F0DB" w14:textId="77777777" w:rsidR="00A13FD2" w:rsidRPr="00A13FD2" w:rsidRDefault="00A13FD2" w:rsidP="00A13FD2">
      <w:pPr>
        <w:spacing w:line="276" w:lineRule="auto"/>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br w:type="page"/>
      </w:r>
    </w:p>
    <w:p w14:paraId="21ECD328" w14:textId="77777777" w:rsidR="00A13FD2" w:rsidRPr="00A13FD2" w:rsidRDefault="00A13FD2" w:rsidP="00A13FD2">
      <w:pPr>
        <w:spacing w:line="360" w:lineRule="auto"/>
        <w:jc w:val="center"/>
        <w:rPr>
          <w:rFonts w:ascii="Times New Roman" w:eastAsia="Arial" w:hAnsi="Times New Roman" w:cs="Times New Roman"/>
          <w:b/>
          <w:color w:val="000000" w:themeColor="text1"/>
          <w:kern w:val="0"/>
          <w:sz w:val="28"/>
          <w:szCs w:val="28"/>
          <w:lang w:val="en-US" w:eastAsia="en-US" w:bidi="ar-SA"/>
          <w14:ligatures w14:val="none"/>
        </w:rPr>
      </w:pPr>
      <w:r w:rsidRPr="00A13FD2">
        <w:rPr>
          <w:rFonts w:ascii="Times New Roman" w:eastAsia="Arial" w:hAnsi="Times New Roman" w:cs="Times New Roman"/>
          <w:b/>
          <w:color w:val="000000" w:themeColor="text1"/>
          <w:kern w:val="0"/>
          <w:sz w:val="28"/>
          <w:szCs w:val="28"/>
          <w:lang w:val="en-US" w:eastAsia="en-US" w:bidi="ar-SA"/>
          <w14:ligatures w14:val="none"/>
        </w:rPr>
        <w:lastRenderedPageBreak/>
        <w:t>List of Appendices</w:t>
      </w:r>
    </w:p>
    <w:p w14:paraId="156D77F5" w14:textId="77777777" w:rsidR="00A13FD2" w:rsidRPr="00A13FD2" w:rsidRDefault="00A13FD2" w:rsidP="00A13FD2">
      <w:pPr>
        <w:tabs>
          <w:tab w:val="right" w:leader="dot" w:pos="9350"/>
        </w:tabs>
        <w:spacing w:line="360" w:lineRule="auto"/>
        <w:jc w:val="both"/>
        <w:rPr>
          <w:rFonts w:ascii="Times New Roman" w:hAnsi="Times New Roman" w:cs="Times New Roman"/>
          <w:noProof/>
          <w:color w:val="000000" w:themeColor="text1"/>
          <w:kern w:val="0"/>
          <w:sz w:val="24"/>
          <w:szCs w:val="24"/>
          <w:lang w:val="en-US" w:eastAsia="en-US" w:bidi="ar-SA"/>
          <w14:ligatures w14:val="none"/>
        </w:rPr>
      </w:pPr>
      <w:r w:rsidRPr="00A13FD2">
        <w:rPr>
          <w:rFonts w:ascii="Times New Roman" w:eastAsia="Arial" w:hAnsi="Times New Roman" w:cs="Times New Roman"/>
          <w:b/>
          <w:color w:val="000000" w:themeColor="text1"/>
          <w:kern w:val="0"/>
          <w:sz w:val="24"/>
          <w:szCs w:val="24"/>
          <w:lang w:val="en-US" w:eastAsia="en-US" w:bidi="ar-SA"/>
          <w14:ligatures w14:val="none"/>
        </w:rPr>
        <w:fldChar w:fldCharType="begin"/>
      </w:r>
      <w:r w:rsidRPr="00A13FD2">
        <w:rPr>
          <w:rFonts w:ascii="Times New Roman" w:eastAsia="Arial" w:hAnsi="Times New Roman" w:cs="Times New Roman"/>
          <w:b/>
          <w:color w:val="000000" w:themeColor="text1"/>
          <w:kern w:val="0"/>
          <w:sz w:val="24"/>
          <w:szCs w:val="24"/>
          <w:lang w:val="en-US" w:eastAsia="en-US" w:bidi="ar-SA"/>
          <w14:ligatures w14:val="none"/>
        </w:rPr>
        <w:instrText xml:space="preserve"> TOC \h \z \t "Heading 4" \c </w:instrText>
      </w:r>
      <w:r w:rsidRPr="00A13FD2">
        <w:rPr>
          <w:rFonts w:ascii="Times New Roman" w:eastAsia="Arial" w:hAnsi="Times New Roman" w:cs="Times New Roman"/>
          <w:b/>
          <w:color w:val="000000" w:themeColor="text1"/>
          <w:kern w:val="0"/>
          <w:sz w:val="24"/>
          <w:szCs w:val="24"/>
          <w:lang w:val="en-US" w:eastAsia="en-US" w:bidi="ar-SA"/>
          <w14:ligatures w14:val="none"/>
        </w:rPr>
        <w:fldChar w:fldCharType="separate"/>
      </w:r>
      <w:hyperlink w:anchor="_Toc145936925" w:history="1">
        <w:r w:rsidRPr="00A13FD2">
          <w:rPr>
            <w:rFonts w:ascii="Times New Roman" w:eastAsia="Arial" w:hAnsi="Times New Roman" w:cs="Times New Roman"/>
            <w:noProof/>
            <w:color w:val="000000" w:themeColor="text1"/>
            <w:kern w:val="0"/>
            <w:sz w:val="24"/>
            <w:szCs w:val="24"/>
            <w:u w:val="single"/>
            <w:lang w:val="en-US" w:eastAsia="en-US" w:bidi="ar-SA"/>
            <w14:ligatures w14:val="none"/>
          </w:rPr>
          <w:t>Appendix 1: Research rationale of managing cultural diversity</w:t>
        </w:r>
        <w:r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_Toc145936925 \h </w:instrText>
        </w:r>
        <w:r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Pr="00A13FD2">
          <w:rPr>
            <w:rFonts w:ascii="Times New Roman" w:eastAsia="Arial" w:hAnsi="Times New Roman" w:cs="Times New Roman"/>
            <w:noProof/>
            <w:webHidden/>
            <w:color w:val="000000" w:themeColor="text1"/>
            <w:kern w:val="0"/>
            <w:sz w:val="24"/>
            <w:szCs w:val="24"/>
            <w:lang w:val="en-US" w:eastAsia="en-US" w:bidi="ar-SA"/>
            <w14:ligatures w14:val="none"/>
          </w:rPr>
          <w:t>70</w:t>
        </w:r>
        <w:r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239F9DFD" w14:textId="77777777" w:rsidR="00A13FD2" w:rsidRPr="00A13FD2" w:rsidRDefault="00A3432E" w:rsidP="00A13FD2">
      <w:pPr>
        <w:tabs>
          <w:tab w:val="right" w:leader="dot" w:pos="9350"/>
        </w:tabs>
        <w:spacing w:line="360" w:lineRule="auto"/>
        <w:jc w:val="both"/>
        <w:rPr>
          <w:rFonts w:ascii="Times New Roman" w:hAnsi="Times New Roman" w:cs="Times New Roman"/>
          <w:noProof/>
          <w:color w:val="000000" w:themeColor="text1"/>
          <w:kern w:val="0"/>
          <w:sz w:val="24"/>
          <w:szCs w:val="24"/>
          <w:lang w:val="en-US" w:eastAsia="en-US" w:bidi="ar-SA"/>
          <w14:ligatures w14:val="none"/>
        </w:rPr>
      </w:pPr>
      <w:hyperlink w:anchor="_Toc145936926"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Appendix 2: Literature gap of managing cultural diversity</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_Toc145936926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71</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3D7CBE4A" w14:textId="77777777" w:rsidR="00A13FD2" w:rsidRPr="00A13FD2" w:rsidRDefault="00A3432E" w:rsidP="00A13FD2">
      <w:pPr>
        <w:tabs>
          <w:tab w:val="right" w:leader="dot" w:pos="9350"/>
        </w:tabs>
        <w:spacing w:line="360" w:lineRule="auto"/>
        <w:jc w:val="both"/>
        <w:rPr>
          <w:rFonts w:ascii="Times New Roman" w:hAnsi="Times New Roman" w:cs="Times New Roman"/>
          <w:noProof/>
          <w:color w:val="000000" w:themeColor="text1"/>
          <w:kern w:val="0"/>
          <w:sz w:val="24"/>
          <w:szCs w:val="24"/>
          <w:lang w:val="en-US" w:eastAsia="en-US" w:bidi="ar-SA"/>
          <w14:ligatures w14:val="none"/>
        </w:rPr>
      </w:pPr>
      <w:hyperlink w:anchor="_Toc145936927"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Appendix 3: Secondary sources of data collection</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_Toc145936927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72</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759CEC61" w14:textId="77777777" w:rsidR="00A13FD2" w:rsidRPr="00A13FD2" w:rsidRDefault="00A3432E" w:rsidP="00A13FD2">
      <w:pPr>
        <w:tabs>
          <w:tab w:val="right" w:leader="dot" w:pos="9350"/>
        </w:tabs>
        <w:spacing w:line="360" w:lineRule="auto"/>
        <w:jc w:val="both"/>
        <w:rPr>
          <w:rFonts w:ascii="Times New Roman" w:hAnsi="Times New Roman" w:cs="Times New Roman"/>
          <w:noProof/>
          <w:color w:val="000000" w:themeColor="text1"/>
          <w:kern w:val="0"/>
          <w:sz w:val="24"/>
          <w:szCs w:val="24"/>
          <w:lang w:val="en-US" w:eastAsia="en-US" w:bidi="ar-SA"/>
          <w14:ligatures w14:val="none"/>
        </w:rPr>
      </w:pPr>
      <w:hyperlink w:anchor="_Toc145936928" w:history="1">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Appendix 4: Thematic data analysis method</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_Toc145936928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73</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20253ABA" w14:textId="77777777" w:rsidR="00A13FD2" w:rsidRPr="00A13FD2" w:rsidRDefault="00A3432E" w:rsidP="00A13FD2">
      <w:pPr>
        <w:tabs>
          <w:tab w:val="right" w:leader="dot" w:pos="9350"/>
        </w:tabs>
        <w:spacing w:line="360" w:lineRule="auto"/>
        <w:jc w:val="both"/>
        <w:rPr>
          <w:rFonts w:ascii="Times New Roman" w:hAnsi="Times New Roman" w:cs="Times New Roman"/>
          <w:noProof/>
          <w:color w:val="000000" w:themeColor="text1"/>
          <w:kern w:val="0"/>
          <w:sz w:val="24"/>
          <w:szCs w:val="24"/>
          <w:lang w:val="en-US" w:eastAsia="en-US" w:bidi="ar-SA"/>
          <w14:ligatures w14:val="none"/>
        </w:rPr>
      </w:pPr>
      <w:hyperlink w:anchor="_Toc145936929" w:history="1">
        <w:r w:rsidR="00A13FD2" w:rsidRPr="00A13FD2">
          <w:rPr>
            <w:rFonts w:ascii="Times New Roman" w:eastAsia="Times New Roman" w:hAnsi="Times New Roman" w:cs="Times New Roman"/>
            <w:noProof/>
            <w:color w:val="000000" w:themeColor="text1"/>
            <w:kern w:val="0"/>
            <w:sz w:val="24"/>
            <w:szCs w:val="24"/>
            <w:u w:val="single"/>
            <w:lang w:val="en-US" w:eastAsia="en-US" w:bidi="ar-SA"/>
            <w14:ligatures w14:val="none"/>
          </w:rPr>
          <w:t xml:space="preserve">Appendix 5: Limitation of </w:t>
        </w:r>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cultural diversity in cross-border mergers</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_Toc145936929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74</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4F4AC437" w14:textId="77777777" w:rsidR="00A13FD2" w:rsidRPr="00A13FD2" w:rsidRDefault="00A3432E" w:rsidP="00A13FD2">
      <w:pPr>
        <w:tabs>
          <w:tab w:val="right" w:leader="dot" w:pos="9350"/>
        </w:tabs>
        <w:spacing w:line="360" w:lineRule="auto"/>
        <w:jc w:val="both"/>
        <w:rPr>
          <w:rFonts w:ascii="Times New Roman" w:hAnsi="Times New Roman" w:cs="Times New Roman"/>
          <w:noProof/>
          <w:color w:val="000000" w:themeColor="text1"/>
          <w:kern w:val="0"/>
          <w:sz w:val="24"/>
          <w:szCs w:val="24"/>
          <w:lang w:val="en-US" w:eastAsia="en-US" w:bidi="ar-SA"/>
          <w14:ligatures w14:val="none"/>
        </w:rPr>
      </w:pPr>
      <w:hyperlink w:anchor="_Toc145936930" w:history="1">
        <w:r w:rsidR="00A13FD2" w:rsidRPr="00A13FD2">
          <w:rPr>
            <w:rFonts w:ascii="Times New Roman" w:eastAsia="Times New Roman" w:hAnsi="Times New Roman" w:cs="Times New Roman"/>
            <w:noProof/>
            <w:color w:val="000000" w:themeColor="text1"/>
            <w:kern w:val="0"/>
            <w:sz w:val="24"/>
            <w:szCs w:val="24"/>
            <w:u w:val="single"/>
            <w:lang w:val="en-US" w:eastAsia="en-US" w:bidi="ar-SA"/>
            <w14:ligatures w14:val="none"/>
          </w:rPr>
          <w:t xml:space="preserve">Appendix 6: Future scope of </w:t>
        </w:r>
        <w:r w:rsidR="00A13FD2" w:rsidRPr="00A13FD2">
          <w:rPr>
            <w:rFonts w:ascii="Times New Roman" w:eastAsia="Arial" w:hAnsi="Times New Roman" w:cs="Times New Roman"/>
            <w:noProof/>
            <w:color w:val="000000" w:themeColor="text1"/>
            <w:kern w:val="0"/>
            <w:sz w:val="24"/>
            <w:szCs w:val="24"/>
            <w:u w:val="single"/>
            <w:lang w:val="en-US" w:eastAsia="en-US" w:bidi="ar-SA"/>
            <w14:ligatures w14:val="none"/>
          </w:rPr>
          <w:t>cultural diversity in cross-border mergers</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ab/>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begin"/>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instrText xml:space="preserve"> PAGEREF _Toc145936930 \h </w:instrTex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separate"/>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t>75</w:t>
        </w:r>
        <w:r w:rsidR="00A13FD2" w:rsidRPr="00A13FD2">
          <w:rPr>
            <w:rFonts w:ascii="Times New Roman" w:eastAsia="Arial" w:hAnsi="Times New Roman" w:cs="Times New Roman"/>
            <w:noProof/>
            <w:webHidden/>
            <w:color w:val="000000" w:themeColor="text1"/>
            <w:kern w:val="0"/>
            <w:sz w:val="24"/>
            <w:szCs w:val="24"/>
            <w:lang w:val="en-US" w:eastAsia="en-US" w:bidi="ar-SA"/>
            <w14:ligatures w14:val="none"/>
          </w:rPr>
          <w:fldChar w:fldCharType="end"/>
        </w:r>
      </w:hyperlink>
    </w:p>
    <w:p w14:paraId="0256593C" w14:textId="77777777" w:rsidR="00A13FD2" w:rsidRPr="00A13FD2" w:rsidRDefault="00A13FD2" w:rsidP="00A13FD2">
      <w:pPr>
        <w:spacing w:line="360" w:lineRule="auto"/>
        <w:jc w:val="both"/>
        <w:rPr>
          <w:rFonts w:ascii="Times New Roman" w:eastAsia="Arial" w:hAnsi="Times New Roman" w:cs="Times New Roman"/>
          <w:b/>
          <w:color w:val="000000" w:themeColor="text1"/>
          <w:kern w:val="0"/>
          <w:sz w:val="24"/>
          <w:szCs w:val="24"/>
          <w:lang w:val="en-US" w:eastAsia="en-US" w:bidi="ar-SA"/>
          <w14:ligatures w14:val="none"/>
        </w:rPr>
      </w:pPr>
      <w:r w:rsidRPr="00A13FD2">
        <w:rPr>
          <w:rFonts w:ascii="Times New Roman" w:eastAsia="Arial" w:hAnsi="Times New Roman" w:cs="Times New Roman"/>
          <w:b/>
          <w:color w:val="000000" w:themeColor="text1"/>
          <w:kern w:val="0"/>
          <w:sz w:val="24"/>
          <w:szCs w:val="24"/>
          <w:lang w:val="en-US" w:eastAsia="en-US" w:bidi="ar-SA"/>
          <w14:ligatures w14:val="none"/>
        </w:rPr>
        <w:fldChar w:fldCharType="end"/>
      </w:r>
    </w:p>
    <w:p w14:paraId="45AA11D0" w14:textId="77777777" w:rsidR="00A13FD2" w:rsidRPr="00A13FD2" w:rsidRDefault="00A13FD2" w:rsidP="00A13FD2">
      <w:pPr>
        <w:spacing w:line="276" w:lineRule="auto"/>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br w:type="page"/>
      </w:r>
    </w:p>
    <w:p w14:paraId="287A2930" w14:textId="77777777" w:rsidR="00A13FD2" w:rsidRPr="00A13FD2" w:rsidRDefault="00A13FD2" w:rsidP="00A13FD2">
      <w:pPr>
        <w:spacing w:line="360" w:lineRule="auto"/>
        <w:jc w:val="center"/>
        <w:rPr>
          <w:rFonts w:ascii="Times New Roman" w:eastAsia="Arial" w:hAnsi="Times New Roman" w:cs="Times New Roman"/>
          <w:b/>
          <w:color w:val="000000" w:themeColor="text1"/>
          <w:kern w:val="0"/>
          <w:sz w:val="28"/>
          <w:szCs w:val="28"/>
          <w:lang w:val="en-US" w:eastAsia="en-US" w:bidi="ar-SA"/>
          <w14:ligatures w14:val="none"/>
        </w:rPr>
      </w:pPr>
      <w:r w:rsidRPr="00A13FD2">
        <w:rPr>
          <w:rFonts w:ascii="Times New Roman" w:eastAsia="Arial" w:hAnsi="Times New Roman" w:cs="Times New Roman"/>
          <w:b/>
          <w:color w:val="000000" w:themeColor="text1"/>
          <w:kern w:val="0"/>
          <w:sz w:val="28"/>
          <w:szCs w:val="28"/>
          <w:lang w:val="en-US" w:eastAsia="en-US" w:bidi="ar-SA"/>
          <w14:ligatures w14:val="none"/>
        </w:rPr>
        <w:lastRenderedPageBreak/>
        <w:t>List of Abbreviations</w:t>
      </w:r>
    </w:p>
    <w:p w14:paraId="718AF1FF"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UK: United Kingdom</w:t>
      </w:r>
    </w:p>
    <w:p w14:paraId="7A72C27D"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PMS: Performance Management Systems</w:t>
      </w:r>
    </w:p>
    <w:p w14:paraId="1F9C232F"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M&amp;A: Mergers and Acquisitions</w:t>
      </w:r>
    </w:p>
    <w:p w14:paraId="43FE7999"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 xml:space="preserve">PMI: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Post-merger Integration</w:t>
      </w:r>
    </w:p>
    <w:p w14:paraId="148BACEA"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KSS: Knowledge Sourcing and Sharing</w:t>
      </w:r>
      <w:r w:rsidRPr="00A13FD2">
        <w:rPr>
          <w:rFonts w:ascii="Times New Roman" w:eastAsia="Arial" w:hAnsi="Times New Roman" w:cs="Times New Roman"/>
          <w:color w:val="000000" w:themeColor="text1"/>
          <w:kern w:val="0"/>
          <w:sz w:val="24"/>
          <w:szCs w:val="24"/>
          <w:lang w:val="en-US" w:eastAsia="en-US" w:bidi="ar-SA"/>
          <w14:ligatures w14:val="none"/>
        </w:rPr>
        <w:t xml:space="preserve"> </w:t>
      </w:r>
    </w:p>
    <w:p w14:paraId="4D7547AD"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HRM: Human Resources Management</w:t>
      </w:r>
    </w:p>
    <w:p w14:paraId="274B9A4E" w14:textId="77777777" w:rsidR="00A13FD2" w:rsidRPr="00A13FD2" w:rsidRDefault="00A13FD2" w:rsidP="00A13FD2">
      <w:pPr>
        <w:spacing w:line="360" w:lineRule="auto"/>
        <w:jc w:val="both"/>
        <w:rPr>
          <w:rFonts w:ascii="Times New Roman" w:eastAsia="Arial" w:hAnsi="Times New Roman" w:cs="Times New Roman"/>
          <w:b/>
          <w:color w:val="000000" w:themeColor="text1"/>
          <w:kern w:val="0"/>
          <w:sz w:val="28"/>
          <w:szCs w:val="28"/>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 xml:space="preserve">ICT: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Information and Communications Technology</w:t>
      </w:r>
      <w:r w:rsidRPr="00A13FD2">
        <w:rPr>
          <w:rFonts w:ascii="Arial" w:eastAsia="Arial" w:hAnsi="Arial" w:cs="Arial"/>
          <w:color w:val="000000" w:themeColor="text1"/>
          <w:kern w:val="0"/>
          <w:szCs w:val="22"/>
          <w:shd w:val="clear" w:color="auto" w:fill="FFFFFF"/>
          <w:lang w:val="en-US" w:eastAsia="en-US" w:bidi="ar-SA"/>
          <w14:ligatures w14:val="none"/>
        </w:rPr>
        <w:t xml:space="preserve"> </w:t>
      </w:r>
      <w:r w:rsidRPr="00A13FD2">
        <w:rPr>
          <w:rFonts w:ascii="Times New Roman" w:eastAsia="Arial" w:hAnsi="Times New Roman" w:cs="Times New Roman"/>
          <w:b/>
          <w:color w:val="000000" w:themeColor="text1"/>
          <w:kern w:val="0"/>
          <w:sz w:val="28"/>
          <w:szCs w:val="28"/>
          <w:lang w:val="en-US" w:eastAsia="en-US" w:bidi="ar-SA"/>
          <w14:ligatures w14:val="none"/>
        </w:rPr>
        <w:br w:type="page"/>
      </w:r>
    </w:p>
    <w:p w14:paraId="1A6B6FBD" w14:textId="77777777" w:rsidR="00A13FD2" w:rsidRPr="00A13FD2" w:rsidRDefault="00A13FD2" w:rsidP="00A13FD2">
      <w:pPr>
        <w:keepNext/>
        <w:keepLines/>
        <w:spacing w:before="400" w:after="120" w:line="360" w:lineRule="auto"/>
        <w:jc w:val="both"/>
        <w:outlineLvl w:val="0"/>
        <w:rPr>
          <w:rFonts w:ascii="Times New Roman" w:eastAsia="Arial" w:hAnsi="Times New Roman" w:cs="Arial"/>
          <w:b/>
          <w:color w:val="000000" w:themeColor="text1"/>
          <w:kern w:val="0"/>
          <w:sz w:val="28"/>
          <w:szCs w:val="40"/>
          <w:lang w:val="en-US" w:eastAsia="en-US" w:bidi="ar-SA"/>
          <w14:ligatures w14:val="none"/>
        </w:rPr>
      </w:pPr>
      <w:bookmarkStart w:id="0" w:name="_Toc145934212"/>
      <w:r w:rsidRPr="00A13FD2">
        <w:rPr>
          <w:rFonts w:ascii="Times New Roman" w:eastAsia="Arial" w:hAnsi="Times New Roman" w:cs="Arial"/>
          <w:b/>
          <w:color w:val="000000" w:themeColor="text1"/>
          <w:kern w:val="0"/>
          <w:sz w:val="28"/>
          <w:szCs w:val="40"/>
          <w:lang w:val="en-US" w:eastAsia="en-US" w:bidi="ar-SA"/>
          <w14:ligatures w14:val="none"/>
        </w:rPr>
        <w:lastRenderedPageBreak/>
        <w:t>Chapter 1: Introduction</w:t>
      </w:r>
      <w:bookmarkEnd w:id="0"/>
      <w:r w:rsidRPr="00A13FD2">
        <w:rPr>
          <w:rFonts w:ascii="Times New Roman" w:eastAsia="Arial" w:hAnsi="Times New Roman" w:cs="Arial"/>
          <w:b/>
          <w:color w:val="000000" w:themeColor="text1"/>
          <w:kern w:val="0"/>
          <w:sz w:val="28"/>
          <w:szCs w:val="40"/>
          <w:lang w:val="en-US" w:eastAsia="en-US" w:bidi="ar-SA"/>
          <w14:ligatures w14:val="none"/>
        </w:rPr>
        <w:t xml:space="preserve"> </w:t>
      </w:r>
    </w:p>
    <w:p w14:paraId="26AA717D"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1" w:name="_Toc145934213"/>
      <w:r w:rsidRPr="00A13FD2">
        <w:rPr>
          <w:rFonts w:ascii="Times New Roman" w:eastAsia="Arial" w:hAnsi="Times New Roman" w:cs="Arial"/>
          <w:b/>
          <w:color w:val="000000" w:themeColor="text1"/>
          <w:kern w:val="0"/>
          <w:sz w:val="26"/>
          <w:szCs w:val="32"/>
          <w:lang w:val="en-US" w:eastAsia="en-US" w:bidi="ar-SA"/>
          <w14:ligatures w14:val="none"/>
        </w:rPr>
        <w:t>1.1 Introduction</w:t>
      </w:r>
      <w:bookmarkEnd w:id="1"/>
    </w:p>
    <w:p w14:paraId="73D09B5A" w14:textId="77777777" w:rsidR="00A13FD2" w:rsidRPr="00A13FD2" w:rsidRDefault="00A13FD2" w:rsidP="00A13FD2">
      <w:pPr>
        <w:spacing w:after="300"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Managing cultural diversity in cross-border mergers in Asia is crucial for UK-based companies seeking successful business expansions. Such mergers often involve diverse teams from different cultural backgrounds, which can present both opportunities and challenges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Iwao, 2020</w:t>
      </w:r>
      <w:r w:rsidRPr="00A13FD2">
        <w:rPr>
          <w:rFonts w:ascii="Times New Roman" w:eastAsia="Arial" w:hAnsi="Times New Roman" w:cs="Times New Roman"/>
          <w:color w:val="000000" w:themeColor="text1"/>
          <w:kern w:val="0"/>
          <w:sz w:val="24"/>
          <w:szCs w:val="24"/>
          <w:lang w:val="en-US" w:eastAsia="en-US" w:bidi="ar-SA"/>
          <w14:ligatures w14:val="none"/>
        </w:rPr>
        <w:t>). To navigate these complexities, companies must first promote cultural awareness and sensitivity. This involves providing training programs to help employees understand and appreciate cultural differences, fostering open communication, and creating an inclusive work environment that values diverse perspectives.</w:t>
      </w:r>
    </w:p>
    <w:p w14:paraId="24E4CED2" w14:textId="77777777" w:rsidR="00A13FD2" w:rsidRPr="00A13FD2" w:rsidRDefault="00A13FD2" w:rsidP="00A13FD2">
      <w:pPr>
        <w:spacing w:before="300" w:after="300"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Developing a multicultural leadership team is another essential aspect. Appointing leaders who possess cross-cultural competence and experience can effectively bridge the gap between different cultures and facilitate smooth integration (</w:t>
      </w:r>
      <w:proofErr w:type="spellStart"/>
      <w:r w:rsidRPr="00A13FD2">
        <w:rPr>
          <w:rFonts w:ascii="Times New Roman" w:eastAsia="Arial" w:hAnsi="Times New Roman" w:cs="Times New Roman"/>
          <w:color w:val="000000" w:themeColor="text1"/>
          <w:kern w:val="0"/>
          <w:sz w:val="24"/>
          <w:szCs w:val="24"/>
          <w:lang w:val="en-US" w:eastAsia="en-US" w:bidi="ar-SA"/>
          <w14:ligatures w14:val="none"/>
        </w:rPr>
        <w:t>Degbey</w:t>
      </w:r>
      <w:proofErr w:type="spellEnd"/>
      <w:r w:rsidRPr="00A13FD2">
        <w:rPr>
          <w:rFonts w:ascii="Times New Roman" w:eastAsia="Arial" w:hAnsi="Times New Roman" w:cs="Times New Roman"/>
          <w:color w:val="000000" w:themeColor="text1"/>
          <w:kern w:val="0"/>
          <w:sz w:val="24"/>
          <w:szCs w:val="24"/>
          <w:lang w:val="en-US" w:eastAsia="en-US" w:bidi="ar-SA"/>
          <w14:ligatures w14:val="none"/>
        </w:rPr>
        <w:t xml:space="preserve"> </w:t>
      </w:r>
      <w:r w:rsidRPr="00A13FD2">
        <w:rPr>
          <w:rFonts w:ascii="Times New Roman" w:eastAsia="Arial" w:hAnsi="Times New Roman" w:cs="Times New Roman"/>
          <w:i/>
          <w:color w:val="000000" w:themeColor="text1"/>
          <w:kern w:val="0"/>
          <w:sz w:val="24"/>
          <w:szCs w:val="24"/>
          <w:lang w:val="en-US" w:eastAsia="en-US" w:bidi="ar-SA"/>
          <w14:ligatures w14:val="none"/>
        </w:rPr>
        <w:t>et al.</w:t>
      </w:r>
      <w:r w:rsidRPr="00A13FD2">
        <w:rPr>
          <w:rFonts w:ascii="Times New Roman" w:eastAsia="Arial" w:hAnsi="Times New Roman" w:cs="Times New Roman"/>
          <w:color w:val="000000" w:themeColor="text1"/>
          <w:kern w:val="0"/>
          <w:sz w:val="24"/>
          <w:szCs w:val="24"/>
          <w:lang w:val="en-US" w:eastAsia="en-US" w:bidi="ar-SA"/>
          <w14:ligatures w14:val="none"/>
        </w:rPr>
        <w:t xml:space="preserve"> 2021). Furthermore, promoting a shared organizational culture is vital. Identifying common values, norms, and objectives that resonate across all participating cultures can help unite teams and build a strong corporate identity.</w:t>
      </w:r>
    </w:p>
    <w:p w14:paraId="78DF232E" w14:textId="77777777" w:rsidR="00A13FD2" w:rsidRPr="00A13FD2" w:rsidRDefault="00A13FD2" w:rsidP="00A13FD2">
      <w:pPr>
        <w:spacing w:before="300" w:after="300"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Engaging in regular communication and feedback loops is essential. This ensures that potential misunderstandings are addressed promptly, and everyone feels heard and valued, contributing to improved teamwork and collaboration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He </w:t>
      </w:r>
      <w:r w:rsidRPr="00A13FD2">
        <w:rPr>
          <w:rFonts w:ascii="Times New Roman" w:eastAsia="Arial"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2020</w:t>
      </w:r>
      <w:r w:rsidRPr="00A13FD2">
        <w:rPr>
          <w:rFonts w:ascii="Times New Roman" w:eastAsia="Arial" w:hAnsi="Times New Roman" w:cs="Times New Roman"/>
          <w:color w:val="000000" w:themeColor="text1"/>
          <w:kern w:val="0"/>
          <w:sz w:val="24"/>
          <w:szCs w:val="24"/>
          <w:lang w:val="en-US" w:eastAsia="en-US" w:bidi="ar-SA"/>
          <w14:ligatures w14:val="none"/>
        </w:rPr>
        <w:t>). Finally, recognizing and celebrating diversity through cultural events and initiatives can foster a sense of belonging and pride among employees, strengthening the bond within the merged organization.</w:t>
      </w:r>
    </w:p>
    <w:p w14:paraId="23559433"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2" w:name="_Toc145934214"/>
      <w:r w:rsidRPr="00A13FD2">
        <w:rPr>
          <w:rFonts w:ascii="Times New Roman" w:eastAsia="Arial" w:hAnsi="Times New Roman" w:cs="Arial"/>
          <w:b/>
          <w:color w:val="000000" w:themeColor="text1"/>
          <w:kern w:val="0"/>
          <w:sz w:val="26"/>
          <w:szCs w:val="32"/>
          <w:lang w:val="en-US" w:eastAsia="en-US" w:bidi="ar-SA"/>
          <w14:ligatures w14:val="none"/>
        </w:rPr>
        <w:t>1.2 Background</w:t>
      </w:r>
      <w:bookmarkEnd w:id="2"/>
      <w:r w:rsidRPr="00A13FD2">
        <w:rPr>
          <w:rFonts w:ascii="Times New Roman" w:eastAsia="Arial" w:hAnsi="Times New Roman" w:cs="Arial"/>
          <w:b/>
          <w:color w:val="000000" w:themeColor="text1"/>
          <w:kern w:val="0"/>
          <w:sz w:val="26"/>
          <w:szCs w:val="32"/>
          <w:lang w:val="en-US" w:eastAsia="en-US" w:bidi="ar-SA"/>
          <w14:ligatures w14:val="none"/>
        </w:rPr>
        <w:t xml:space="preserve"> </w:t>
      </w:r>
    </w:p>
    <w:p w14:paraId="25231F01" w14:textId="77777777" w:rsidR="00A13FD2" w:rsidRPr="00A13FD2" w:rsidRDefault="00A13FD2" w:rsidP="00A13FD2">
      <w:pPr>
        <w:spacing w:after="300"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The increasing globalization of markets has led many UK-based companies to explore expansion opportunities in Asia through cross-border mergers and acquisitions (</w:t>
      </w:r>
      <w:r w:rsidRPr="00A13FD2">
        <w:rPr>
          <w:rFonts w:ascii="Times New Roman" w:eastAsia="Times New Roman" w:hAnsi="Times New Roman" w:cs="Times New Roman"/>
          <w:color w:val="000000" w:themeColor="text1"/>
          <w:kern w:val="0"/>
          <w:sz w:val="24"/>
          <w:szCs w:val="24"/>
          <w:highlight w:val="white"/>
          <w:lang w:val="en-US" w:eastAsia="en-US" w:bidi="ar-SA"/>
          <w14:ligatures w14:val="none"/>
        </w:rPr>
        <w:t>Iwao, 2020</w:t>
      </w:r>
      <w:r w:rsidRPr="00A13FD2">
        <w:rPr>
          <w:rFonts w:ascii="Times New Roman" w:eastAsia="Arial" w:hAnsi="Times New Roman" w:cs="Times New Roman"/>
          <w:color w:val="000000" w:themeColor="text1"/>
          <w:kern w:val="0"/>
          <w:sz w:val="24"/>
          <w:szCs w:val="24"/>
          <w:lang w:val="en-US" w:eastAsia="en-US" w:bidi="ar-SA"/>
          <w14:ligatures w14:val="none"/>
        </w:rPr>
        <w:t>). While these organizations offer great prospects for growth and access to new areas of activity, they also present new challenges, especially in terms of monitoring social diversity. Asia is a continent rich in social, semantic, and social diversity, with each country and place having its own respective social norms, strategic policies, and styles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He </w:t>
      </w:r>
      <w:r w:rsidRPr="00A13FD2">
        <w:rPr>
          <w:rFonts w:ascii="Times New Roman" w:eastAsia="Arial"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2020</w:t>
      </w:r>
      <w:r w:rsidRPr="00A13FD2">
        <w:rPr>
          <w:rFonts w:ascii="Times New Roman" w:eastAsia="Arial" w:hAnsi="Times New Roman" w:cs="Times New Roman"/>
          <w:color w:val="000000" w:themeColor="text1"/>
          <w:kern w:val="0"/>
          <w:sz w:val="24"/>
          <w:szCs w:val="24"/>
          <w:lang w:val="en-US" w:eastAsia="en-US" w:bidi="ar-SA"/>
          <w14:ligatures w14:val="none"/>
        </w:rPr>
        <w:t xml:space="preserve">). As UK-based organizations lead cross-mergers with </w:t>
      </w:r>
      <w:r w:rsidRPr="00A13FD2">
        <w:rPr>
          <w:rFonts w:ascii="Times New Roman" w:eastAsia="Arial" w:hAnsi="Times New Roman" w:cs="Times New Roman"/>
          <w:color w:val="000000" w:themeColor="text1"/>
          <w:kern w:val="0"/>
          <w:sz w:val="24"/>
          <w:szCs w:val="24"/>
          <w:lang w:val="en-US" w:eastAsia="en-US" w:bidi="ar-SA"/>
          <w14:ligatures w14:val="none"/>
        </w:rPr>
        <w:lastRenderedPageBreak/>
        <w:t xml:space="preserve">Asian organizations, they must manage these social differences to ensure effective consensus and smooth collaboration. </w:t>
      </w:r>
    </w:p>
    <w:p w14:paraId="4F691EDD" w14:textId="77777777" w:rsidR="00A13FD2" w:rsidRPr="00A13FD2" w:rsidRDefault="00A13FD2" w:rsidP="00A13FD2">
      <w:pPr>
        <w:spacing w:before="300" w:after="300"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One of the key reasons for exploring ways to manage cultural diversity in such mergers is to ensure effective communication and coordination among diverse teams. Miscommunication and misunderstandings due to cultural differences can lead to conflicts, hamper decision-making processes, and hinder the overall progress of the merged entity. Moreover, cultural diversity can impact employee morale and productivity (</w:t>
      </w:r>
      <w:r w:rsidRPr="00A13FD2">
        <w:rPr>
          <w:rFonts w:ascii="Times New Roman" w:eastAsia="Times New Roman" w:hAnsi="Times New Roman" w:cs="Times New Roman"/>
          <w:color w:val="000000" w:themeColor="text1"/>
          <w:kern w:val="0"/>
          <w:sz w:val="24"/>
          <w:szCs w:val="24"/>
          <w:highlight w:val="white"/>
          <w:lang w:val="en-US" w:eastAsia="en-US" w:bidi="ar-SA"/>
          <w14:ligatures w14:val="none"/>
        </w:rPr>
        <w:t xml:space="preserve">Tian </w:t>
      </w:r>
      <w:r w:rsidRPr="00A13FD2">
        <w:rPr>
          <w:rFonts w:ascii="Times New Roman" w:eastAsia="Times New Roman" w:hAnsi="Times New Roman" w:cs="Times New Roman"/>
          <w:i/>
          <w:color w:val="000000" w:themeColor="text1"/>
          <w:kern w:val="0"/>
          <w:sz w:val="24"/>
          <w:szCs w:val="24"/>
          <w:highlight w:val="white"/>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highlight w:val="white"/>
          <w:lang w:val="en-US" w:eastAsia="en-US" w:bidi="ar-SA"/>
          <w14:ligatures w14:val="none"/>
        </w:rPr>
        <w:t>2021</w:t>
      </w:r>
      <w:r w:rsidRPr="00A13FD2">
        <w:rPr>
          <w:rFonts w:ascii="Times New Roman" w:eastAsia="Arial" w:hAnsi="Times New Roman" w:cs="Times New Roman"/>
          <w:color w:val="000000" w:themeColor="text1"/>
          <w:kern w:val="0"/>
          <w:sz w:val="24"/>
          <w:szCs w:val="24"/>
          <w:lang w:val="en-US" w:eastAsia="en-US" w:bidi="ar-SA"/>
          <w14:ligatures w14:val="none"/>
        </w:rPr>
        <w:t>). Employees from different cultural backgrounds may have varying expectations, work ethics, and ways of approaching tasks. Without effective management of these differences, it can be challenging to create a cohesive and motivated workforce.</w:t>
      </w:r>
    </w:p>
    <w:p w14:paraId="0ED1D24A" w14:textId="77777777" w:rsidR="00A13FD2" w:rsidRPr="00A13FD2" w:rsidRDefault="00A13FD2" w:rsidP="00A13FD2">
      <w:pPr>
        <w:spacing w:before="300" w:after="300"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Additionally, cultural diversity can influence the management and leadership styles within the merged organization. Different cultures may have diverse hierarchies, power dynamics, and decision-making processes, which can lead to clashes or resistance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Iwao, 2020</w:t>
      </w:r>
      <w:r w:rsidRPr="00A13FD2">
        <w:rPr>
          <w:rFonts w:ascii="Times New Roman" w:eastAsia="Arial" w:hAnsi="Times New Roman" w:cs="Times New Roman"/>
          <w:color w:val="000000" w:themeColor="text1"/>
          <w:kern w:val="0"/>
          <w:sz w:val="24"/>
          <w:szCs w:val="24"/>
          <w:lang w:val="en-US" w:eastAsia="en-US" w:bidi="ar-SA"/>
          <w14:ligatures w14:val="none"/>
        </w:rPr>
        <w:t>). To address these challenges, UK-based companies need to recognize the importance of cultural sensitivity and cultural intelligence in cross-border mergers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Tian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2021</w:t>
      </w:r>
      <w:r w:rsidRPr="00A13FD2">
        <w:rPr>
          <w:rFonts w:ascii="Times New Roman" w:eastAsia="Arial" w:hAnsi="Times New Roman" w:cs="Times New Roman"/>
          <w:color w:val="000000" w:themeColor="text1"/>
          <w:kern w:val="0"/>
          <w:sz w:val="24"/>
          <w:szCs w:val="24"/>
          <w:lang w:val="en-US" w:eastAsia="en-US" w:bidi="ar-SA"/>
          <w14:ligatures w14:val="none"/>
        </w:rPr>
        <w:t>). By investing in cultural awareness training, they can equip their employees and leadership with the tools to understand, respect, and adapt to different cultural practices.</w:t>
      </w:r>
    </w:p>
    <w:p w14:paraId="227D17BC"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3" w:name="_Toc145934215"/>
      <w:r w:rsidRPr="00A13FD2">
        <w:rPr>
          <w:rFonts w:ascii="Times New Roman" w:eastAsia="Arial" w:hAnsi="Times New Roman" w:cs="Arial"/>
          <w:b/>
          <w:color w:val="000000" w:themeColor="text1"/>
          <w:kern w:val="0"/>
          <w:sz w:val="26"/>
          <w:szCs w:val="32"/>
          <w:lang w:val="en-US" w:eastAsia="en-US" w:bidi="ar-SA"/>
          <w14:ligatures w14:val="none"/>
        </w:rPr>
        <w:t>1.3 Research Aim</w:t>
      </w:r>
      <w:bookmarkEnd w:id="3"/>
      <w:r w:rsidRPr="00A13FD2">
        <w:rPr>
          <w:rFonts w:ascii="Times New Roman" w:eastAsia="Arial" w:hAnsi="Times New Roman" w:cs="Arial"/>
          <w:b/>
          <w:color w:val="000000" w:themeColor="text1"/>
          <w:kern w:val="0"/>
          <w:sz w:val="26"/>
          <w:szCs w:val="32"/>
          <w:lang w:val="en-US" w:eastAsia="en-US" w:bidi="ar-SA"/>
          <w14:ligatures w14:val="none"/>
        </w:rPr>
        <w:t xml:space="preserve"> </w:t>
      </w:r>
    </w:p>
    <w:p w14:paraId="34043946"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The research aim is to identify effective strategies and practices that UK-based companies can implement to manage cultural diversity in cross-border mergers in Asia, fostering successful integration, collaboration, and business growth.</w:t>
      </w:r>
    </w:p>
    <w:p w14:paraId="21161231"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4" w:name="_Toc145934216"/>
      <w:r w:rsidRPr="00A13FD2">
        <w:rPr>
          <w:rFonts w:ascii="Times New Roman" w:eastAsia="Arial" w:hAnsi="Times New Roman" w:cs="Arial"/>
          <w:b/>
          <w:color w:val="000000" w:themeColor="text1"/>
          <w:kern w:val="0"/>
          <w:sz w:val="26"/>
          <w:szCs w:val="32"/>
          <w:lang w:val="en-US" w:eastAsia="en-US" w:bidi="ar-SA"/>
          <w14:ligatures w14:val="none"/>
        </w:rPr>
        <w:t>1.4 Research Objectives</w:t>
      </w:r>
      <w:bookmarkEnd w:id="4"/>
    </w:p>
    <w:p w14:paraId="66C49A85" w14:textId="77777777" w:rsidR="00A13FD2" w:rsidRPr="00A13FD2" w:rsidRDefault="00A13FD2" w:rsidP="00A13FD2">
      <w:pPr>
        <w:numPr>
          <w:ilvl w:val="0"/>
          <w:numId w:val="1"/>
        </w:numPr>
        <w:pBdr>
          <w:left w:val="none" w:sz="0" w:space="14" w:color="auto"/>
        </w:pBd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To investigate the cultural differences and challenges faced by UK-based companies in cross-border mergers in Asia.</w:t>
      </w:r>
    </w:p>
    <w:p w14:paraId="1F68CD6A" w14:textId="77777777" w:rsidR="00A13FD2" w:rsidRPr="00A13FD2" w:rsidRDefault="00A13FD2" w:rsidP="00A13FD2">
      <w:pPr>
        <w:numPr>
          <w:ilvl w:val="0"/>
          <w:numId w:val="1"/>
        </w:numPr>
        <w:pBdr>
          <w:left w:val="none" w:sz="0" w:space="14" w:color="auto"/>
        </w:pBd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To identify best practices for promoting cultural awareness and sensitivity among employees involved in the mergers.</w:t>
      </w:r>
    </w:p>
    <w:p w14:paraId="129D20F8" w14:textId="77777777" w:rsidR="00A13FD2" w:rsidRPr="00A13FD2" w:rsidRDefault="00A13FD2" w:rsidP="00A13FD2">
      <w:pPr>
        <w:numPr>
          <w:ilvl w:val="0"/>
          <w:numId w:val="1"/>
        </w:numPr>
        <w:pBdr>
          <w:left w:val="none" w:sz="0" w:space="14" w:color="auto"/>
        </w:pBd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To examine the role of multicultural leadership in facilitating successful integration.</w:t>
      </w:r>
    </w:p>
    <w:p w14:paraId="31068C2F" w14:textId="77777777" w:rsidR="00A13FD2" w:rsidRPr="00A13FD2" w:rsidRDefault="00A13FD2" w:rsidP="00A13FD2">
      <w:pPr>
        <w:numPr>
          <w:ilvl w:val="0"/>
          <w:numId w:val="1"/>
        </w:numPr>
        <w:pBdr>
          <w:left w:val="none" w:sz="0" w:space="14" w:color="auto"/>
        </w:pBd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lastRenderedPageBreak/>
        <w:t>To propose strategies for fostering effective communication and collaboration in culturally diverse teams.</w:t>
      </w:r>
    </w:p>
    <w:p w14:paraId="633CA27E"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5" w:name="_Toc145934217"/>
      <w:r w:rsidRPr="00A13FD2">
        <w:rPr>
          <w:rFonts w:ascii="Times New Roman" w:eastAsia="Arial" w:hAnsi="Times New Roman" w:cs="Arial"/>
          <w:b/>
          <w:color w:val="000000" w:themeColor="text1"/>
          <w:kern w:val="0"/>
          <w:sz w:val="26"/>
          <w:szCs w:val="32"/>
          <w:lang w:val="en-US" w:eastAsia="en-US" w:bidi="ar-SA"/>
          <w14:ligatures w14:val="none"/>
        </w:rPr>
        <w:t>1.5 Research Questions</w:t>
      </w:r>
      <w:bookmarkEnd w:id="5"/>
    </w:p>
    <w:p w14:paraId="28329730" w14:textId="77777777" w:rsidR="00A13FD2" w:rsidRPr="00A13FD2" w:rsidRDefault="00A13FD2" w:rsidP="00A13FD2">
      <w:pPr>
        <w:spacing w:line="360" w:lineRule="auto"/>
        <w:ind w:left="720" w:hanging="360"/>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1. </w:t>
      </w:r>
      <w:r w:rsidRPr="00A13FD2">
        <w:rPr>
          <w:rFonts w:ascii="Times New Roman" w:eastAsia="Times New Roman" w:hAnsi="Times New Roman" w:cs="Times New Roman"/>
          <w:color w:val="000000" w:themeColor="text1"/>
          <w:kern w:val="0"/>
          <w:sz w:val="24"/>
          <w:szCs w:val="24"/>
          <w:lang w:val="en-US" w:eastAsia="en-US" w:bidi="ar-SA"/>
          <w14:ligatures w14:val="none"/>
        </w:rPr>
        <w:tab/>
        <w:t>What are the main cultural differences and challenges experienced by UK-based companies in cross-border mergers in Asia?</w:t>
      </w:r>
    </w:p>
    <w:p w14:paraId="37DED6FE" w14:textId="77777777" w:rsidR="00A13FD2" w:rsidRPr="00A13FD2" w:rsidRDefault="00A13FD2" w:rsidP="00A13FD2">
      <w:pPr>
        <w:spacing w:line="360" w:lineRule="auto"/>
        <w:ind w:left="720" w:hanging="360"/>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2. </w:t>
      </w:r>
      <w:r w:rsidRPr="00A13FD2">
        <w:rPr>
          <w:rFonts w:ascii="Times New Roman" w:eastAsia="Times New Roman" w:hAnsi="Times New Roman" w:cs="Times New Roman"/>
          <w:color w:val="000000" w:themeColor="text1"/>
          <w:kern w:val="0"/>
          <w:sz w:val="24"/>
          <w:szCs w:val="24"/>
          <w:lang w:val="en-US" w:eastAsia="en-US" w:bidi="ar-SA"/>
          <w14:ligatures w14:val="none"/>
        </w:rPr>
        <w:tab/>
        <w:t>How can cultural awareness and sensitivity be effectively promoted among employees involved in these mergers?</w:t>
      </w:r>
    </w:p>
    <w:p w14:paraId="7AEA9DD8" w14:textId="77777777" w:rsidR="00A13FD2" w:rsidRPr="00A13FD2" w:rsidRDefault="00A13FD2" w:rsidP="00A13FD2">
      <w:pPr>
        <w:spacing w:line="360" w:lineRule="auto"/>
        <w:ind w:left="720" w:hanging="360"/>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3. </w:t>
      </w:r>
      <w:r w:rsidRPr="00A13FD2">
        <w:rPr>
          <w:rFonts w:ascii="Times New Roman" w:eastAsia="Times New Roman" w:hAnsi="Times New Roman" w:cs="Times New Roman"/>
          <w:color w:val="000000" w:themeColor="text1"/>
          <w:kern w:val="0"/>
          <w:sz w:val="24"/>
          <w:szCs w:val="24"/>
          <w:lang w:val="en-US" w:eastAsia="en-US" w:bidi="ar-SA"/>
          <w14:ligatures w14:val="none"/>
        </w:rPr>
        <w:tab/>
        <w:t>What are the key attributes and roles of multicultural leadership in facilitating successful integration?</w:t>
      </w:r>
    </w:p>
    <w:p w14:paraId="15B663ED" w14:textId="77777777" w:rsidR="00A13FD2" w:rsidRPr="00A13FD2" w:rsidRDefault="00A13FD2" w:rsidP="00A13FD2">
      <w:pPr>
        <w:spacing w:line="360" w:lineRule="auto"/>
        <w:ind w:left="720" w:hanging="360"/>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4. </w:t>
      </w:r>
      <w:r w:rsidRPr="00A13FD2">
        <w:rPr>
          <w:rFonts w:ascii="Times New Roman" w:eastAsia="Times New Roman" w:hAnsi="Times New Roman" w:cs="Times New Roman"/>
          <w:color w:val="000000" w:themeColor="text1"/>
          <w:kern w:val="0"/>
          <w:sz w:val="24"/>
          <w:szCs w:val="24"/>
          <w:lang w:val="en-US" w:eastAsia="en-US" w:bidi="ar-SA"/>
          <w14:ligatures w14:val="none"/>
        </w:rPr>
        <w:tab/>
        <w:t>What strategies can be implemented to enhance communication and collaboration within culturally diverse teams during cross-border mergers in Asia?</w:t>
      </w:r>
    </w:p>
    <w:p w14:paraId="112449B3"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6" w:name="_Toc145934218"/>
      <w:r w:rsidRPr="00A13FD2">
        <w:rPr>
          <w:rFonts w:ascii="Times New Roman" w:eastAsia="Arial" w:hAnsi="Times New Roman" w:cs="Arial"/>
          <w:b/>
          <w:color w:val="000000" w:themeColor="text1"/>
          <w:kern w:val="0"/>
          <w:sz w:val="26"/>
          <w:szCs w:val="32"/>
          <w:lang w:val="en-US" w:eastAsia="en-US" w:bidi="ar-SA"/>
          <w14:ligatures w14:val="none"/>
        </w:rPr>
        <w:t>1.6 Research Significance</w:t>
      </w:r>
      <w:bookmarkEnd w:id="6"/>
      <w:r w:rsidRPr="00A13FD2">
        <w:rPr>
          <w:rFonts w:ascii="Times New Roman" w:eastAsia="Arial" w:hAnsi="Times New Roman" w:cs="Arial"/>
          <w:b/>
          <w:color w:val="000000" w:themeColor="text1"/>
          <w:kern w:val="0"/>
          <w:sz w:val="26"/>
          <w:szCs w:val="32"/>
          <w:lang w:val="en-US" w:eastAsia="en-US" w:bidi="ar-SA"/>
          <w14:ligatures w14:val="none"/>
        </w:rPr>
        <w:t xml:space="preserve"> </w:t>
      </w:r>
    </w:p>
    <w:p w14:paraId="382C2042" w14:textId="77777777" w:rsidR="00A13FD2" w:rsidRPr="00A13FD2" w:rsidRDefault="00A13FD2" w:rsidP="00A13FD2">
      <w:pPr>
        <w:spacing w:after="300" w:line="360" w:lineRule="auto"/>
        <w:jc w:val="both"/>
        <w:rPr>
          <w:rFonts w:ascii="Times New Roman" w:eastAsia="Times New Roman" w:hAnsi="Times New Roman" w:cs="Times New Roman"/>
          <w:b/>
          <w:i/>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The research exploring ways to manage cultural diversity in cross-border mergers in Asia for UK-based companies holds significant importance for several stakeholders and the broader business landscape. </w:t>
      </w:r>
    </w:p>
    <w:p w14:paraId="0FDE61B7"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Enhanced Business Performance: </w:t>
      </w:r>
      <w:r w:rsidRPr="00A13FD2">
        <w:rPr>
          <w:rFonts w:ascii="Times New Roman" w:eastAsia="Times New Roman" w:hAnsi="Times New Roman" w:cs="Times New Roman"/>
          <w:color w:val="000000" w:themeColor="text1"/>
          <w:kern w:val="0"/>
          <w:sz w:val="24"/>
          <w:szCs w:val="24"/>
          <w:lang w:val="en-US" w:eastAsia="en-US" w:bidi="ar-SA"/>
          <w14:ligatures w14:val="none"/>
        </w:rPr>
        <w:t>Effective social diversity management can drive business excellence in cross-mergers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Albuquerque </w:t>
      </w:r>
      <w:r w:rsidRPr="00A13FD2">
        <w:rPr>
          <w:rFonts w:ascii="Times New Roman" w:eastAsia="Arial"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2019</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By achieving this and resolving social conflicts, organizations can establish a pleasant and purposeful workplace that encourages better leadership, increased efficiency, and employee fulfillment. </w:t>
      </w:r>
    </w:p>
    <w:p w14:paraId="615765DF"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Global Expansion and Market Access: </w:t>
      </w:r>
      <w:r w:rsidRPr="00A13FD2">
        <w:rPr>
          <w:rFonts w:ascii="Times New Roman" w:eastAsia="Times New Roman" w:hAnsi="Times New Roman" w:cs="Times New Roman"/>
          <w:color w:val="000000" w:themeColor="text1"/>
          <w:kern w:val="0"/>
          <w:sz w:val="24"/>
          <w:szCs w:val="24"/>
          <w:lang w:val="en-US" w:eastAsia="en-US" w:bidi="ar-SA"/>
          <w14:ligatures w14:val="none"/>
        </w:rPr>
        <w:t>The implication of this study could be to enable UK-based organizations to develop their work in Asian business sectors even more effectively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Degbey</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2021</w:t>
      </w:r>
      <w:r w:rsidRPr="00A13FD2">
        <w:rPr>
          <w:rFonts w:ascii="Times New Roman" w:eastAsia="Times New Roman" w:hAnsi="Times New Roman" w:cs="Times New Roman"/>
          <w:color w:val="000000" w:themeColor="text1"/>
          <w:kern w:val="0"/>
          <w:sz w:val="24"/>
          <w:szCs w:val="24"/>
          <w:lang w:val="en-US" w:eastAsia="en-US" w:bidi="ar-SA"/>
          <w14:ligatures w14:val="none"/>
        </w:rPr>
        <w:t>). Understanding and adapting to the social complexities of the target countries can help build trust with neighboring partners and customers and work with market penetration and access.</w:t>
      </w:r>
    </w:p>
    <w:p w14:paraId="70EC0549"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Minimized Integration Challenges: </w:t>
      </w:r>
      <w:r w:rsidRPr="00A13FD2">
        <w:rPr>
          <w:rFonts w:ascii="Times New Roman" w:eastAsia="Times New Roman" w:hAnsi="Times New Roman" w:cs="Times New Roman"/>
          <w:color w:val="000000" w:themeColor="text1"/>
          <w:kern w:val="0"/>
          <w:sz w:val="24"/>
          <w:szCs w:val="24"/>
          <w:lang w:val="en-US" w:eastAsia="en-US" w:bidi="ar-SA"/>
          <w14:ligatures w14:val="none"/>
        </w:rPr>
        <w:t>Consolidation between routes often involves complex assembly processes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Hughes </w:t>
      </w:r>
      <w:r w:rsidRPr="00A13FD2">
        <w:rPr>
          <w:rFonts w:ascii="Times New Roman" w:eastAsia="Arial"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2020</w:t>
      </w:r>
      <w:r w:rsidRPr="00A13FD2">
        <w:rPr>
          <w:rFonts w:ascii="Times New Roman" w:eastAsia="Times New Roman" w:hAnsi="Times New Roman" w:cs="Times New Roman"/>
          <w:color w:val="000000" w:themeColor="text1"/>
          <w:kern w:val="0"/>
          <w:sz w:val="24"/>
          <w:szCs w:val="24"/>
          <w:lang w:val="en-US" w:eastAsia="en-US" w:bidi="ar-SA"/>
          <w14:ligatures w14:val="none"/>
        </w:rPr>
        <w:t>). By proactively monitoring social diversity, organizations can reduce membership difficulties and reduce the risk of discord and frustration over integration. </w:t>
      </w:r>
    </w:p>
    <w:p w14:paraId="2993A33A"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Effective Communication and Collaboration: </w:t>
      </w:r>
      <w:r w:rsidRPr="00A13FD2">
        <w:rPr>
          <w:rFonts w:ascii="Times New Roman" w:eastAsia="Times New Roman" w:hAnsi="Times New Roman" w:cs="Times New Roman"/>
          <w:color w:val="000000" w:themeColor="text1"/>
          <w:kern w:val="0"/>
          <w:sz w:val="24"/>
          <w:szCs w:val="24"/>
          <w:lang w:val="en-US" w:eastAsia="en-US" w:bidi="ar-SA"/>
          <w14:ligatures w14:val="none"/>
        </w:rPr>
        <w:t>Social contrast can have the effect of preventing correspondence in cross-contexts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Iwao, 2020</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This discovery could yield insights into effective </w:t>
      </w:r>
      <w:r w:rsidRPr="00A13FD2">
        <w:rPr>
          <w:rFonts w:ascii="Times New Roman" w:eastAsia="Times New Roman" w:hAnsi="Times New Roman" w:cs="Times New Roman"/>
          <w:color w:val="000000" w:themeColor="text1"/>
          <w:kern w:val="0"/>
          <w:sz w:val="24"/>
          <w:szCs w:val="24"/>
          <w:lang w:val="en-US" w:eastAsia="en-US" w:bidi="ar-SA"/>
          <w14:ligatures w14:val="none"/>
        </w:rPr>
        <w:lastRenderedPageBreak/>
        <w:t xml:space="preserve">systems of correspondence that enhance understanding, trust, and cooperation among groups in different societies. </w:t>
      </w:r>
    </w:p>
    <w:p w14:paraId="1FE9BC84"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p>
    <w:p w14:paraId="64F1E2A0"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noProof/>
          <w:color w:val="000000" w:themeColor="text1"/>
          <w:kern w:val="0"/>
          <w:sz w:val="24"/>
          <w:szCs w:val="24"/>
          <w:lang w:val="en-US" w:eastAsia="en-US" w:bidi="ar-SA"/>
          <w14:ligatures w14:val="none"/>
        </w:rPr>
        <w:drawing>
          <wp:inline distT="0" distB="0" distL="0" distR="0" wp14:anchorId="0846DDCF" wp14:editId="21B802BA">
            <wp:extent cx="5783860" cy="3204594"/>
            <wp:effectExtent l="38100" t="0" r="20320" b="0"/>
            <wp:docPr id="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E9009B0" w14:textId="77777777" w:rsidR="00A13FD2" w:rsidRPr="00A13FD2" w:rsidRDefault="00A13FD2" w:rsidP="00A13FD2">
      <w:pPr>
        <w:keepNext/>
        <w:keepLines/>
        <w:spacing w:before="320" w:after="80" w:line="360" w:lineRule="auto"/>
        <w:jc w:val="center"/>
        <w:outlineLvl w:val="2"/>
        <w:rPr>
          <w:rFonts w:ascii="Times New Roman" w:eastAsia="Arial" w:hAnsi="Times New Roman" w:cs="Arial"/>
          <w:b/>
          <w:color w:val="000000" w:themeColor="text1"/>
          <w:kern w:val="0"/>
          <w:sz w:val="24"/>
          <w:szCs w:val="28"/>
          <w:lang w:val="en-US" w:eastAsia="en-US" w:bidi="ar-SA"/>
          <w14:ligatures w14:val="none"/>
        </w:rPr>
      </w:pPr>
      <w:bookmarkStart w:id="7" w:name="_Toc145936899"/>
      <w:bookmarkStart w:id="8" w:name="_Toc148097348"/>
      <w:r w:rsidRPr="00A13FD2">
        <w:rPr>
          <w:rFonts w:ascii="Times New Roman" w:eastAsia="Arial" w:hAnsi="Times New Roman" w:cs="Arial"/>
          <w:b/>
          <w:color w:val="000000" w:themeColor="text1"/>
          <w:kern w:val="0"/>
          <w:sz w:val="24"/>
          <w:szCs w:val="28"/>
          <w:lang w:val="en-US" w:eastAsia="en-US" w:bidi="ar-SA"/>
          <w14:ligatures w14:val="none"/>
        </w:rPr>
        <w:t>Figure 1: Research significance of managing cultural diversity</w:t>
      </w:r>
      <w:bookmarkEnd w:id="7"/>
      <w:bookmarkEnd w:id="8"/>
    </w:p>
    <w:p w14:paraId="66D07E8D" w14:textId="77777777" w:rsidR="00A13FD2" w:rsidRPr="00A13FD2" w:rsidRDefault="00A13FD2" w:rsidP="00A13FD2">
      <w:pPr>
        <w:spacing w:line="360" w:lineRule="auto"/>
        <w:jc w:val="center"/>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(Source: Self-created in Ms. Word)</w:t>
      </w:r>
    </w:p>
    <w:p w14:paraId="6793CA5A"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Employee Satisfaction and Retention: </w:t>
      </w:r>
      <w:r w:rsidRPr="00A13FD2">
        <w:rPr>
          <w:rFonts w:ascii="Times New Roman" w:eastAsia="Times New Roman" w:hAnsi="Times New Roman" w:cs="Times New Roman"/>
          <w:color w:val="000000" w:themeColor="text1"/>
          <w:kern w:val="0"/>
          <w:sz w:val="24"/>
          <w:szCs w:val="24"/>
          <w:lang w:val="en-US" w:eastAsia="en-US" w:bidi="ar-SA"/>
          <w14:ligatures w14:val="none"/>
        </w:rPr>
        <w:t>Representatives who feel valued and appreciated by their social base are necessarily satisfied with their workplace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Degbey</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2021</w:t>
      </w:r>
      <w:r w:rsidRPr="00A13FD2">
        <w:rPr>
          <w:rFonts w:ascii="Times New Roman" w:eastAsia="Times New Roman" w:hAnsi="Times New Roman" w:cs="Times New Roman"/>
          <w:color w:val="000000" w:themeColor="text1"/>
          <w:kern w:val="0"/>
          <w:sz w:val="24"/>
          <w:szCs w:val="24"/>
          <w:lang w:val="en-US" w:eastAsia="en-US" w:bidi="ar-SA"/>
          <w14:ligatures w14:val="none"/>
        </w:rPr>
        <w:t>). This assessment can incentivize organizations to perform holistically, leading to higher levels of consistency for workers and lower costs of revenue. </w:t>
      </w:r>
    </w:p>
    <w:p w14:paraId="2BC6C473"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Diversity and Inclusion Initiatives</w:t>
      </w:r>
      <w:r w:rsidRPr="00A13FD2">
        <w:rPr>
          <w:rFonts w:ascii="Times New Roman" w:eastAsia="Times New Roman" w:hAnsi="Times New Roman" w:cs="Times New Roman"/>
          <w:color w:val="000000" w:themeColor="text1"/>
          <w:kern w:val="0"/>
          <w:sz w:val="24"/>
          <w:szCs w:val="24"/>
          <w:lang w:val="en-US" w:eastAsia="en-US" w:bidi="ar-SA"/>
          <w14:ligatures w14:val="none"/>
        </w:rPr>
        <w:t>: The research findings can inform the development and enhancement of diversity and inclusion initiatives within UK-based companies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Gupta, 2022</w:t>
      </w:r>
      <w:r w:rsidRPr="00A13FD2">
        <w:rPr>
          <w:rFonts w:ascii="Times New Roman" w:eastAsia="Times New Roman" w:hAnsi="Times New Roman" w:cs="Times New Roman"/>
          <w:color w:val="000000" w:themeColor="text1"/>
          <w:kern w:val="0"/>
          <w:sz w:val="24"/>
          <w:szCs w:val="24"/>
          <w:lang w:val="en-US" w:eastAsia="en-US" w:bidi="ar-SA"/>
          <w14:ligatures w14:val="none"/>
        </w:rPr>
        <w:t>). Emphasizing the importance of cultural diversity in cross-border mergers can also positively influence the broader organizational culture.</w:t>
      </w:r>
    </w:p>
    <w:p w14:paraId="036B3CE2"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Cross-Cultural Training and Development</w:t>
      </w:r>
      <w:r w:rsidRPr="00A13FD2">
        <w:rPr>
          <w:rFonts w:ascii="Times New Roman" w:eastAsia="Times New Roman" w:hAnsi="Times New Roman" w:cs="Times New Roman"/>
          <w:color w:val="000000" w:themeColor="text1"/>
          <w:kern w:val="0"/>
          <w:sz w:val="24"/>
          <w:szCs w:val="24"/>
          <w:lang w:val="en-US" w:eastAsia="en-US" w:bidi="ar-SA"/>
          <w14:ligatures w14:val="none"/>
        </w:rPr>
        <w:t>: The research can highlight the need for cross-cultural training and development programs within companies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He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2020</w:t>
      </w:r>
      <w:r w:rsidRPr="00A13FD2">
        <w:rPr>
          <w:rFonts w:ascii="Times New Roman" w:eastAsia="Times New Roman" w:hAnsi="Times New Roman" w:cs="Times New Roman"/>
          <w:color w:val="000000" w:themeColor="text1"/>
          <w:kern w:val="0"/>
          <w:sz w:val="24"/>
          <w:szCs w:val="24"/>
          <w:lang w:val="en-US" w:eastAsia="en-US" w:bidi="ar-SA"/>
          <w14:ligatures w14:val="none"/>
        </w:rPr>
        <w:t>). Investing in such initiatives can equip employees and leaders with the necessary skills to navigate cultural differences effectively.</w:t>
      </w:r>
    </w:p>
    <w:p w14:paraId="440B5A0E"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9" w:name="_Toc145934219"/>
      <w:r w:rsidRPr="00A13FD2">
        <w:rPr>
          <w:rFonts w:ascii="Times New Roman" w:eastAsia="Arial" w:hAnsi="Times New Roman" w:cs="Arial"/>
          <w:b/>
          <w:color w:val="000000" w:themeColor="text1"/>
          <w:kern w:val="0"/>
          <w:sz w:val="26"/>
          <w:szCs w:val="32"/>
          <w:lang w:val="en-US" w:eastAsia="en-US" w:bidi="ar-SA"/>
          <w14:ligatures w14:val="none"/>
        </w:rPr>
        <w:lastRenderedPageBreak/>
        <w:t>1.7 Research Rationale</w:t>
      </w:r>
      <w:bookmarkEnd w:id="9"/>
      <w:r w:rsidRPr="00A13FD2">
        <w:rPr>
          <w:rFonts w:ascii="Times New Roman" w:eastAsia="Arial" w:hAnsi="Times New Roman" w:cs="Arial"/>
          <w:b/>
          <w:color w:val="000000" w:themeColor="text1"/>
          <w:kern w:val="0"/>
          <w:sz w:val="26"/>
          <w:szCs w:val="32"/>
          <w:lang w:val="en-US" w:eastAsia="en-US" w:bidi="ar-SA"/>
          <w14:ligatures w14:val="none"/>
        </w:rPr>
        <w:t xml:space="preserve"> </w:t>
      </w:r>
    </w:p>
    <w:p w14:paraId="028AAE85" w14:textId="77777777" w:rsidR="00A13FD2" w:rsidRPr="00A13FD2" w:rsidRDefault="00A13FD2" w:rsidP="00A13FD2">
      <w:pPr>
        <w:spacing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The rationale for exploring ways to manage cultural diversity in cross-border mergers in Asia for UK-based companies stems from the increasing globalization of business and the rising trend of cross-border mergers and acquisitions. As UK companies seek to expand their operations and access new markets in Asia, understanding and effectively managing cultural diversity become critical factors for success. </w:t>
      </w:r>
      <w:r w:rsidRPr="00A13FD2">
        <w:rPr>
          <w:rFonts w:ascii="Times New Roman" w:eastAsia="Times New Roman" w:hAnsi="Times New Roman" w:cs="Times New Roman"/>
          <w:b/>
          <w:i/>
          <w:color w:val="000000" w:themeColor="text1"/>
          <w:kern w:val="0"/>
          <w:sz w:val="24"/>
          <w:szCs w:val="24"/>
          <w:lang w:val="en-US" w:eastAsia="en-US" w:bidi="ar-SA"/>
          <w14:ligatures w14:val="none"/>
        </w:rPr>
        <w:t>[Referred to Appendix 1]</w:t>
      </w:r>
    </w:p>
    <w:p w14:paraId="1D55D938"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Growing Cross-Border Activity:</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The global business landscape has witnessed a surge in cross-border mergers, and Asia has become a significant destination for such activities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Degbey</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Arial"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2021</w:t>
      </w:r>
      <w:r w:rsidRPr="00A13FD2">
        <w:rPr>
          <w:rFonts w:ascii="Times New Roman" w:eastAsia="Times New Roman" w:hAnsi="Times New Roman" w:cs="Times New Roman"/>
          <w:color w:val="000000" w:themeColor="text1"/>
          <w:kern w:val="0"/>
          <w:sz w:val="24"/>
          <w:szCs w:val="24"/>
          <w:lang w:val="en-US" w:eastAsia="en-US" w:bidi="ar-SA"/>
          <w14:ligatures w14:val="none"/>
        </w:rPr>
        <w:t>). Exploring the management of cultural diversity is vital as it directly impacts the outcomes of these mergers, affecting integration, performance, and overall success.</w:t>
      </w:r>
    </w:p>
    <w:p w14:paraId="017AF5F8"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Cultural Differences Impact Business Outcomes:</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Asia is a diverse region with a wide range of cultural norms, practices, and values. Failing to address these differences can lead to misunderstandings, miscommunication, and conflicts that may impede the achievement of strategic objectives in cross-border mergers.</w:t>
      </w:r>
    </w:p>
    <w:p w14:paraId="653ACD2F"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Integration Challenges:</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Cross-border mergers involve integrating two or more organizations with distinct cultures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Campagnolo and Vincenti, 2022</w:t>
      </w:r>
      <w:r w:rsidRPr="00A13FD2">
        <w:rPr>
          <w:rFonts w:ascii="Times New Roman" w:eastAsia="Times New Roman" w:hAnsi="Times New Roman" w:cs="Times New Roman"/>
          <w:color w:val="000000" w:themeColor="text1"/>
          <w:kern w:val="0"/>
          <w:sz w:val="24"/>
          <w:szCs w:val="24"/>
          <w:lang w:val="en-US" w:eastAsia="en-US" w:bidi="ar-SA"/>
          <w14:ligatures w14:val="none"/>
        </w:rPr>
        <w:t>). The research aims to identify challenges associated with cultural integration and offer strategies to overcome these obstacles for a more seamless merging process.</w:t>
      </w:r>
    </w:p>
    <w:p w14:paraId="1BDE76B8"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Competitive Advantage:</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Companies that effectively manage cultural diversity in cross-border mergers can gain a competitive advantage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Degbey</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Arial"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2021</w:t>
      </w:r>
      <w:r w:rsidRPr="00A13FD2">
        <w:rPr>
          <w:rFonts w:ascii="Times New Roman" w:eastAsia="Times New Roman" w:hAnsi="Times New Roman" w:cs="Times New Roman"/>
          <w:color w:val="000000" w:themeColor="text1"/>
          <w:kern w:val="0"/>
          <w:sz w:val="24"/>
          <w:szCs w:val="24"/>
          <w:lang w:val="en-US" w:eastAsia="en-US" w:bidi="ar-SA"/>
          <w14:ligatures w14:val="none"/>
        </w:rPr>
        <w:t>). By fostering a culturally sensitive and inclusive work environment, they can attract and retain top talent and build stronger relationships with diverse customer bases.</w:t>
      </w:r>
    </w:p>
    <w:p w14:paraId="407D2C56"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Optimize Human Resources:</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Human resources are a valuable asset in any merger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Campagnolo and Vincenti, 2022</w:t>
      </w:r>
      <w:r w:rsidRPr="00A13FD2">
        <w:rPr>
          <w:rFonts w:ascii="Times New Roman" w:eastAsia="Times New Roman" w:hAnsi="Times New Roman" w:cs="Times New Roman"/>
          <w:color w:val="000000" w:themeColor="text1"/>
          <w:kern w:val="0"/>
          <w:sz w:val="24"/>
          <w:szCs w:val="24"/>
          <w:lang w:val="en-US" w:eastAsia="en-US" w:bidi="ar-SA"/>
          <w14:ligatures w14:val="none"/>
        </w:rPr>
        <w:t>). Understanding how to manage cultural diversity ensures that the human capital of both the acquiring and target companies is optimally utilized and aligned to drive the combined entity's success.</w:t>
      </w:r>
    </w:p>
    <w:p w14:paraId="1D1AC1A0"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Corporate Reputation</w:t>
      </w:r>
      <w:r w:rsidRPr="00A13FD2">
        <w:rPr>
          <w:rFonts w:ascii="Times New Roman" w:eastAsia="Times New Roman" w:hAnsi="Times New Roman" w:cs="Times New Roman"/>
          <w:color w:val="000000" w:themeColor="text1"/>
          <w:kern w:val="0"/>
          <w:sz w:val="24"/>
          <w:szCs w:val="24"/>
          <w:lang w:val="en-US" w:eastAsia="en-US" w:bidi="ar-SA"/>
          <w14:ligatures w14:val="none"/>
        </w:rPr>
        <w:t>: Successfully managing cultural diversity reflects positively on a company's corporate reputation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Degbey</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Arial"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2021</w:t>
      </w:r>
      <w:r w:rsidRPr="00A13FD2">
        <w:rPr>
          <w:rFonts w:ascii="Times New Roman" w:eastAsia="Times New Roman" w:hAnsi="Times New Roman" w:cs="Times New Roman"/>
          <w:color w:val="000000" w:themeColor="text1"/>
          <w:kern w:val="0"/>
          <w:sz w:val="24"/>
          <w:szCs w:val="24"/>
          <w:lang w:val="en-US" w:eastAsia="en-US" w:bidi="ar-SA"/>
          <w14:ligatures w14:val="none"/>
        </w:rPr>
        <w:t>). Being perceived as culturally sensitive and inclusive enhances the brand image and can attract potential partners and investors in future cross-border ventures.</w:t>
      </w:r>
    </w:p>
    <w:p w14:paraId="2682DD8F"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lastRenderedPageBreak/>
        <w:t>Risk Mitigation</w:t>
      </w:r>
      <w:r w:rsidRPr="00A13FD2">
        <w:rPr>
          <w:rFonts w:ascii="Times New Roman" w:eastAsia="Times New Roman" w:hAnsi="Times New Roman" w:cs="Times New Roman"/>
          <w:color w:val="000000" w:themeColor="text1"/>
          <w:kern w:val="0"/>
          <w:sz w:val="24"/>
          <w:szCs w:val="24"/>
          <w:lang w:val="en-US" w:eastAsia="en-US" w:bidi="ar-SA"/>
          <w14:ligatures w14:val="none"/>
        </w:rPr>
        <w:t>: Cultural misunderstandings and conflicts can result in costly delays and setbacks in cross-border mergers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Campagnolo and Vincenti, 2022</w:t>
      </w:r>
      <w:r w:rsidRPr="00A13FD2">
        <w:rPr>
          <w:rFonts w:ascii="Times New Roman" w:eastAsia="Times New Roman" w:hAnsi="Times New Roman" w:cs="Times New Roman"/>
          <w:color w:val="000000" w:themeColor="text1"/>
          <w:kern w:val="0"/>
          <w:sz w:val="24"/>
          <w:szCs w:val="24"/>
          <w:lang w:val="en-US" w:eastAsia="en-US" w:bidi="ar-SA"/>
          <w14:ligatures w14:val="none"/>
        </w:rPr>
        <w:t>). By conducting research in this area, companies can proactively identify potential risks and implement measures to mitigate them.</w:t>
      </w:r>
    </w:p>
    <w:p w14:paraId="057A86E7"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10" w:name="_Toc145934220"/>
      <w:r w:rsidRPr="00A13FD2">
        <w:rPr>
          <w:rFonts w:ascii="Times New Roman" w:eastAsia="Arial" w:hAnsi="Times New Roman" w:cs="Arial"/>
          <w:b/>
          <w:color w:val="000000" w:themeColor="text1"/>
          <w:kern w:val="0"/>
          <w:sz w:val="26"/>
          <w:szCs w:val="32"/>
          <w:lang w:val="en-US" w:eastAsia="en-US" w:bidi="ar-SA"/>
          <w14:ligatures w14:val="none"/>
        </w:rPr>
        <w:t>1.8 Research Problem</w:t>
      </w:r>
      <w:bookmarkEnd w:id="10"/>
      <w:r w:rsidRPr="00A13FD2">
        <w:rPr>
          <w:rFonts w:ascii="Times New Roman" w:eastAsia="Arial" w:hAnsi="Times New Roman" w:cs="Arial"/>
          <w:b/>
          <w:color w:val="000000" w:themeColor="text1"/>
          <w:kern w:val="0"/>
          <w:sz w:val="26"/>
          <w:szCs w:val="32"/>
          <w:lang w:val="en-US" w:eastAsia="en-US" w:bidi="ar-SA"/>
          <w14:ligatures w14:val="none"/>
        </w:rPr>
        <w:t xml:space="preserve"> </w:t>
      </w:r>
    </w:p>
    <w:p w14:paraId="4895F820" w14:textId="77777777" w:rsidR="00A13FD2" w:rsidRPr="00A13FD2" w:rsidRDefault="00A13FD2" w:rsidP="00A13FD2">
      <w:pPr>
        <w:spacing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The research problem of exploring ways to manage cultural diversity in cross-border mergers in Asia for UK-based companies revolves around the challenges and complexities arising from cultural differences in such mergers. This problem stems from the growing trend of UK companies expanding their operations into Asian markets through cross-border mergers and acquisitions, which brings together diverse teams from different cultural backgrounds. The research aims to address the following key issues:</w:t>
      </w:r>
    </w:p>
    <w:p w14:paraId="3C5CC3E9"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Cultural Clashes and Misunderstandings: </w:t>
      </w:r>
      <w:r w:rsidRPr="00A13FD2">
        <w:rPr>
          <w:rFonts w:ascii="Times New Roman" w:eastAsia="Times New Roman" w:hAnsi="Times New Roman" w:cs="Times New Roman"/>
          <w:color w:val="000000" w:themeColor="text1"/>
          <w:kern w:val="0"/>
          <w:sz w:val="24"/>
          <w:szCs w:val="24"/>
          <w:lang w:val="en-US" w:eastAsia="en-US" w:bidi="ar-SA"/>
          <w14:ligatures w14:val="none"/>
        </w:rPr>
        <w:t>Cultural diversity can lead to clashes in norms, values, and communication styles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Albuquerque </w:t>
      </w:r>
      <w:r w:rsidRPr="00A13FD2">
        <w:rPr>
          <w:rFonts w:ascii="Times New Roman" w:eastAsia="Arial"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2019</w:t>
      </w:r>
      <w:r w:rsidRPr="00A13FD2">
        <w:rPr>
          <w:rFonts w:ascii="Times New Roman" w:eastAsia="Times New Roman" w:hAnsi="Times New Roman" w:cs="Times New Roman"/>
          <w:color w:val="000000" w:themeColor="text1"/>
          <w:kern w:val="0"/>
          <w:sz w:val="24"/>
          <w:szCs w:val="24"/>
          <w:lang w:val="en-US" w:eastAsia="en-US" w:bidi="ar-SA"/>
          <w14:ligatures w14:val="none"/>
        </w:rPr>
        <w:t>). This may hinder effective collaboration and decision-making within the merged entity, potentially resulting in conflicts and reduced productivity.</w:t>
      </w:r>
    </w:p>
    <w:p w14:paraId="4DD484C8"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Integration Difficulties:</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Successfully integrating two or more organizations with distinct cultures is a significant challenge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Degbey</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2021</w:t>
      </w:r>
      <w:r w:rsidRPr="00A13FD2">
        <w:rPr>
          <w:rFonts w:ascii="Times New Roman" w:eastAsia="Times New Roman" w:hAnsi="Times New Roman" w:cs="Times New Roman"/>
          <w:color w:val="000000" w:themeColor="text1"/>
          <w:kern w:val="0"/>
          <w:sz w:val="24"/>
          <w:szCs w:val="24"/>
          <w:lang w:val="en-US" w:eastAsia="en-US" w:bidi="ar-SA"/>
          <w14:ligatures w14:val="none"/>
        </w:rPr>
        <w:t>). The research seeks to identify the specific barriers that arise due to cultural differences and propose strategies to overcome them, ensuring a smoother integration process.</w:t>
      </w:r>
    </w:p>
    <w:p w14:paraId="6CF6BCE7"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Communication Barriers:</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Effective communication is crucial for successful mergers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Iwao, 2020</w:t>
      </w:r>
      <w:r w:rsidRPr="00A13FD2">
        <w:rPr>
          <w:rFonts w:ascii="Times New Roman" w:eastAsia="Times New Roman" w:hAnsi="Times New Roman" w:cs="Times New Roman"/>
          <w:color w:val="000000" w:themeColor="text1"/>
          <w:kern w:val="0"/>
          <w:sz w:val="24"/>
          <w:szCs w:val="24"/>
          <w:lang w:val="en-US" w:eastAsia="en-US" w:bidi="ar-SA"/>
          <w14:ligatures w14:val="none"/>
        </w:rPr>
        <w:t>). Language barriers, different communication preferences, and non-verbal cues can lead to misunderstandings, hampering the flow of information and cooperation among teams.</w:t>
      </w:r>
    </w:p>
    <w:p w14:paraId="50B9D85D"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Leadership Challenges:</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Cultural diversity in cross-border mergers can impact leadership styles and dynamics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Tian </w:t>
      </w:r>
      <w:r w:rsidRPr="00A13FD2">
        <w:rPr>
          <w:rFonts w:ascii="Times New Roman" w:eastAsia="Arial"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2021</w:t>
      </w:r>
      <w:r w:rsidRPr="00A13FD2">
        <w:rPr>
          <w:rFonts w:ascii="Times New Roman" w:eastAsia="Times New Roman" w:hAnsi="Times New Roman" w:cs="Times New Roman"/>
          <w:color w:val="000000" w:themeColor="text1"/>
          <w:kern w:val="0"/>
          <w:sz w:val="24"/>
          <w:szCs w:val="24"/>
          <w:lang w:val="en-US" w:eastAsia="en-US" w:bidi="ar-SA"/>
          <w14:ligatures w14:val="none"/>
        </w:rPr>
        <w:t>). The research aims to explore how multicultural leadership can effectively lead and manage diverse teams, promoting inclusivity and aligning the workforce toward shared goals.</w:t>
      </w:r>
    </w:p>
    <w:p w14:paraId="04AE3796"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noProof/>
          <w:color w:val="000000" w:themeColor="text1"/>
          <w:kern w:val="0"/>
          <w:sz w:val="24"/>
          <w:szCs w:val="24"/>
          <w:lang w:val="en-US" w:eastAsia="en-US" w:bidi="ar-SA"/>
          <w14:ligatures w14:val="none"/>
        </w:rPr>
        <w:lastRenderedPageBreak/>
        <w:drawing>
          <wp:inline distT="0" distB="0" distL="0" distR="0" wp14:anchorId="2B4D59B6" wp14:editId="5177612D">
            <wp:extent cx="5771626" cy="3204595"/>
            <wp:effectExtent l="0" t="38100" r="0" b="3429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2A973A21" w14:textId="77777777" w:rsidR="00A13FD2" w:rsidRPr="00A13FD2" w:rsidRDefault="00A13FD2" w:rsidP="00A13FD2">
      <w:pPr>
        <w:keepNext/>
        <w:keepLines/>
        <w:spacing w:before="320" w:after="80" w:line="360" w:lineRule="auto"/>
        <w:jc w:val="center"/>
        <w:outlineLvl w:val="2"/>
        <w:rPr>
          <w:rFonts w:ascii="Times New Roman" w:eastAsia="Arial" w:hAnsi="Times New Roman" w:cs="Arial"/>
          <w:b/>
          <w:color w:val="000000" w:themeColor="text1"/>
          <w:kern w:val="0"/>
          <w:sz w:val="24"/>
          <w:szCs w:val="28"/>
          <w:lang w:val="en-US" w:eastAsia="en-US" w:bidi="ar-SA"/>
          <w14:ligatures w14:val="none"/>
        </w:rPr>
      </w:pPr>
      <w:bookmarkStart w:id="11" w:name="_Toc145936900"/>
      <w:bookmarkStart w:id="12" w:name="_Toc148097349"/>
      <w:r w:rsidRPr="00A13FD2">
        <w:rPr>
          <w:rFonts w:ascii="Times New Roman" w:eastAsia="Times New Roman" w:hAnsi="Times New Roman" w:cs="Arial"/>
          <w:b/>
          <w:color w:val="000000" w:themeColor="text1"/>
          <w:kern w:val="0"/>
          <w:sz w:val="24"/>
          <w:szCs w:val="28"/>
          <w:lang w:val="en-US" w:eastAsia="en-US" w:bidi="ar-SA"/>
          <w14:ligatures w14:val="none"/>
        </w:rPr>
        <w:t xml:space="preserve">Figure 2: </w:t>
      </w:r>
      <w:r w:rsidRPr="00A13FD2">
        <w:rPr>
          <w:rFonts w:ascii="Times New Roman" w:eastAsia="Arial" w:hAnsi="Times New Roman" w:cs="Arial"/>
          <w:b/>
          <w:color w:val="000000" w:themeColor="text1"/>
          <w:kern w:val="0"/>
          <w:sz w:val="24"/>
          <w:szCs w:val="28"/>
          <w:lang w:val="en-US" w:eastAsia="en-US" w:bidi="ar-SA"/>
          <w14:ligatures w14:val="none"/>
        </w:rPr>
        <w:t>Research rationale for managing cultural diversity</w:t>
      </w:r>
      <w:bookmarkEnd w:id="11"/>
      <w:bookmarkEnd w:id="12"/>
    </w:p>
    <w:p w14:paraId="069DC627" w14:textId="77777777" w:rsidR="00A13FD2" w:rsidRPr="00A13FD2" w:rsidRDefault="00A13FD2" w:rsidP="00A13FD2">
      <w:pPr>
        <w:spacing w:line="360" w:lineRule="auto"/>
        <w:jc w:val="center"/>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(Source: Self-created in Ms. Word)</w:t>
      </w:r>
    </w:p>
    <w:p w14:paraId="6DC7888D"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Employee Engagement and Retention: </w:t>
      </w:r>
      <w:r w:rsidRPr="00A13FD2">
        <w:rPr>
          <w:rFonts w:ascii="Times New Roman" w:eastAsia="Times New Roman" w:hAnsi="Times New Roman" w:cs="Times New Roman"/>
          <w:color w:val="000000" w:themeColor="text1"/>
          <w:kern w:val="0"/>
          <w:sz w:val="24"/>
          <w:szCs w:val="24"/>
          <w:lang w:val="en-US" w:eastAsia="en-US" w:bidi="ar-SA"/>
          <w14:ligatures w14:val="none"/>
        </w:rPr>
        <w:t>Employees from different cultures may have varying expectations and needs from their work environment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Degbey</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2021</w:t>
      </w:r>
      <w:r w:rsidRPr="00A13FD2">
        <w:rPr>
          <w:rFonts w:ascii="Times New Roman" w:eastAsia="Times New Roman" w:hAnsi="Times New Roman" w:cs="Times New Roman"/>
          <w:color w:val="000000" w:themeColor="text1"/>
          <w:kern w:val="0"/>
          <w:sz w:val="24"/>
          <w:szCs w:val="24"/>
          <w:lang w:val="en-US" w:eastAsia="en-US" w:bidi="ar-SA"/>
          <w14:ligatures w14:val="none"/>
        </w:rPr>
        <w:t>). Understanding and addressing these differences is essential to maintaining high levels of employee engagement and retention post-merger.</w:t>
      </w:r>
    </w:p>
    <w:p w14:paraId="1ACE86E1"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Cultural Adaptation Strategies</w:t>
      </w:r>
      <w:r w:rsidRPr="00A13FD2">
        <w:rPr>
          <w:rFonts w:ascii="Times New Roman" w:eastAsia="Times New Roman" w:hAnsi="Times New Roman" w:cs="Times New Roman"/>
          <w:color w:val="000000" w:themeColor="text1"/>
          <w:kern w:val="0"/>
          <w:sz w:val="24"/>
          <w:szCs w:val="24"/>
          <w:lang w:val="en-US" w:eastAsia="en-US" w:bidi="ar-SA"/>
          <w14:ligatures w14:val="none"/>
        </w:rPr>
        <w:t>: Companies need strategies to adapt their organizational culture and policies to accommodate diverse cultural practices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Albuquerque </w:t>
      </w:r>
      <w:r w:rsidRPr="00A13FD2">
        <w:rPr>
          <w:rFonts w:ascii="Times New Roman" w:eastAsia="Arial"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2019</w:t>
      </w:r>
      <w:r w:rsidRPr="00A13FD2">
        <w:rPr>
          <w:rFonts w:ascii="Times New Roman" w:eastAsia="Times New Roman" w:hAnsi="Times New Roman" w:cs="Times New Roman"/>
          <w:color w:val="000000" w:themeColor="text1"/>
          <w:kern w:val="0"/>
          <w:sz w:val="24"/>
          <w:szCs w:val="24"/>
          <w:lang w:val="en-US" w:eastAsia="en-US" w:bidi="ar-SA"/>
          <w14:ligatures w14:val="none"/>
        </w:rPr>
        <w:t>). The research seeks to identify effective cultural adaptation approaches that foster a harmonious work environment.</w:t>
      </w:r>
    </w:p>
    <w:p w14:paraId="001930BF"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Legal and Regulatory Compliance</w:t>
      </w:r>
      <w:r w:rsidRPr="00A13FD2">
        <w:rPr>
          <w:rFonts w:ascii="Times New Roman" w:eastAsia="Times New Roman" w:hAnsi="Times New Roman" w:cs="Times New Roman"/>
          <w:color w:val="000000" w:themeColor="text1"/>
          <w:kern w:val="0"/>
          <w:sz w:val="24"/>
          <w:szCs w:val="24"/>
          <w:lang w:val="en-US" w:eastAsia="en-US" w:bidi="ar-SA"/>
          <w14:ligatures w14:val="none"/>
        </w:rPr>
        <w:t>: Cross-border mergers involve adherence to different legal and regulatory frameworks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Degbey</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2021</w:t>
      </w:r>
      <w:r w:rsidRPr="00A13FD2">
        <w:rPr>
          <w:rFonts w:ascii="Times New Roman" w:eastAsia="Times New Roman" w:hAnsi="Times New Roman" w:cs="Times New Roman"/>
          <w:color w:val="000000" w:themeColor="text1"/>
          <w:kern w:val="0"/>
          <w:sz w:val="24"/>
          <w:szCs w:val="24"/>
          <w:lang w:val="en-US" w:eastAsia="en-US" w:bidi="ar-SA"/>
          <w14:ligatures w14:val="none"/>
        </w:rPr>
        <w:t>). Cultural differences may affect compliance practices and increase legal risks, which need to be addressed proactively.</w:t>
      </w:r>
    </w:p>
    <w:p w14:paraId="616FBC0B"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Cultural Sensitivity Training</w:t>
      </w:r>
      <w:r w:rsidRPr="00A13FD2">
        <w:rPr>
          <w:rFonts w:ascii="Times New Roman" w:eastAsia="Times New Roman" w:hAnsi="Times New Roman" w:cs="Times New Roman"/>
          <w:color w:val="000000" w:themeColor="text1"/>
          <w:kern w:val="0"/>
          <w:sz w:val="24"/>
          <w:szCs w:val="24"/>
          <w:lang w:val="en-US" w:eastAsia="en-US" w:bidi="ar-SA"/>
          <w14:ligatures w14:val="none"/>
        </w:rPr>
        <w:t>: Providing adequate training and resources to employees and leaders regarding cultural sensitivity is crucial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Tian </w:t>
      </w:r>
      <w:r w:rsidRPr="00A13FD2">
        <w:rPr>
          <w:rFonts w:ascii="Times New Roman" w:eastAsia="Arial"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2021</w:t>
      </w:r>
      <w:r w:rsidRPr="00A13FD2">
        <w:rPr>
          <w:rFonts w:ascii="Times New Roman" w:eastAsia="Times New Roman" w:hAnsi="Times New Roman" w:cs="Times New Roman"/>
          <w:color w:val="000000" w:themeColor="text1"/>
          <w:kern w:val="0"/>
          <w:sz w:val="24"/>
          <w:szCs w:val="24"/>
          <w:lang w:val="en-US" w:eastAsia="en-US" w:bidi="ar-SA"/>
          <w14:ligatures w14:val="none"/>
        </w:rPr>
        <w:t>). The research aims to explore the impact of such training programs on managing cultural diversity and facilitating effective cross-border mergers.</w:t>
      </w:r>
    </w:p>
    <w:p w14:paraId="168DD5BB"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13" w:name="_Toc145934221"/>
      <w:r w:rsidRPr="00A13FD2">
        <w:rPr>
          <w:rFonts w:ascii="Times New Roman" w:eastAsia="Arial" w:hAnsi="Times New Roman" w:cs="Arial"/>
          <w:b/>
          <w:color w:val="000000" w:themeColor="text1"/>
          <w:kern w:val="0"/>
          <w:sz w:val="26"/>
          <w:szCs w:val="32"/>
          <w:lang w:val="en-US" w:eastAsia="en-US" w:bidi="ar-SA"/>
          <w14:ligatures w14:val="none"/>
        </w:rPr>
        <w:lastRenderedPageBreak/>
        <w:t>1.9 Conclusion</w:t>
      </w:r>
      <w:bookmarkEnd w:id="13"/>
      <w:r w:rsidRPr="00A13FD2">
        <w:rPr>
          <w:rFonts w:ascii="Times New Roman" w:eastAsia="Arial" w:hAnsi="Times New Roman" w:cs="Arial"/>
          <w:b/>
          <w:color w:val="000000" w:themeColor="text1"/>
          <w:kern w:val="0"/>
          <w:sz w:val="26"/>
          <w:szCs w:val="32"/>
          <w:lang w:val="en-US" w:eastAsia="en-US" w:bidi="ar-SA"/>
          <w14:ligatures w14:val="none"/>
        </w:rPr>
        <w:t xml:space="preserve"> </w:t>
      </w:r>
    </w:p>
    <w:p w14:paraId="5A4D1EFB" w14:textId="77777777" w:rsidR="00A13FD2" w:rsidRPr="00A13FD2" w:rsidRDefault="00A13FD2" w:rsidP="00A13FD2">
      <w:pPr>
        <w:spacing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Exploring ways to manage cultural diversity in cross-border mergers in Asia is of paramount importance for UK-based companies seeking international expansion. This research delves into the complexities and challenges arising from diverse cultural backgrounds, offering valuable insights and practical strategies to address these issues effectively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Tian </w:t>
      </w:r>
      <w:r w:rsidRPr="00A13FD2">
        <w:rPr>
          <w:rFonts w:ascii="Times New Roman" w:eastAsia="Arial"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2021</w:t>
      </w:r>
      <w:r w:rsidRPr="00A13FD2">
        <w:rPr>
          <w:rFonts w:ascii="Times New Roman" w:eastAsia="Times New Roman" w:hAnsi="Times New Roman" w:cs="Times New Roman"/>
          <w:color w:val="000000" w:themeColor="text1"/>
          <w:kern w:val="0"/>
          <w:sz w:val="24"/>
          <w:szCs w:val="24"/>
          <w:lang w:val="en-US" w:eastAsia="en-US" w:bidi="ar-SA"/>
          <w14:ligatures w14:val="none"/>
        </w:rPr>
        <w:t>). The study emphasizes the significance of cultural awareness and sensitivity in fostering successful mergers. UK-based companies must invest in cross-cultural training programs to equip employees and leaders with the skills to understand, appreciate, and adapt to cultural differences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Hughes </w:t>
      </w:r>
      <w:r w:rsidRPr="00A13FD2">
        <w:rPr>
          <w:rFonts w:ascii="Times New Roman" w:eastAsia="Arial"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2020</w:t>
      </w:r>
      <w:r w:rsidRPr="00A13FD2">
        <w:rPr>
          <w:rFonts w:ascii="Times New Roman" w:eastAsia="Times New Roman" w:hAnsi="Times New Roman" w:cs="Times New Roman"/>
          <w:color w:val="000000" w:themeColor="text1"/>
          <w:kern w:val="0"/>
          <w:sz w:val="24"/>
          <w:szCs w:val="24"/>
          <w:lang w:val="en-US" w:eastAsia="en-US" w:bidi="ar-SA"/>
          <w14:ligatures w14:val="none"/>
        </w:rPr>
        <w:t>). Multicultural leadership is identified as a crucial factor in bridging cultural gaps and promoting collaboration. Appointing leaders with cross-cultural competence can facilitate effective communication and decision-making within the merged entity. </w:t>
      </w:r>
    </w:p>
    <w:p w14:paraId="5BAA57ED" w14:textId="77777777" w:rsidR="00A13FD2" w:rsidRPr="00A13FD2" w:rsidRDefault="00A13FD2" w:rsidP="00A13FD2">
      <w:pPr>
        <w:spacing w:before="300"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The research findings underscore the need for open and transparent communication channels to address potential misunderstandings promptly. Engaging in regular feedback loops enables companies to identify and resolve cultural conflicts, enhancing teamwork and productivity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Iwao, 2020</w:t>
      </w:r>
      <w:r w:rsidRPr="00A13FD2">
        <w:rPr>
          <w:rFonts w:ascii="Times New Roman" w:eastAsia="Times New Roman" w:hAnsi="Times New Roman" w:cs="Times New Roman"/>
          <w:color w:val="000000" w:themeColor="text1"/>
          <w:kern w:val="0"/>
          <w:sz w:val="24"/>
          <w:szCs w:val="24"/>
          <w:lang w:val="en-US" w:eastAsia="en-US" w:bidi="ar-SA"/>
          <w14:ligatures w14:val="none"/>
        </w:rPr>
        <w:t>). Moreover, promoting an inclusive workplace that celebrates social diversity promotes a sense of place and shared consideration among representatives. Such practices lead to higher representation maintainability and performance, thus adding to the overall results of cross-sectional fusion. By implementing the strategies proposed in this research, UK-based companies can effectively manage cultural diversity in cross-border mergers in Asia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Hughes </w:t>
      </w:r>
      <w:r w:rsidRPr="00A13FD2">
        <w:rPr>
          <w:rFonts w:ascii="Times New Roman" w:eastAsia="Arial"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2020</w:t>
      </w:r>
      <w:r w:rsidRPr="00A13FD2">
        <w:rPr>
          <w:rFonts w:ascii="Times New Roman" w:eastAsia="Times New Roman" w:hAnsi="Times New Roman" w:cs="Times New Roman"/>
          <w:color w:val="000000" w:themeColor="text1"/>
          <w:kern w:val="0"/>
          <w:sz w:val="24"/>
          <w:szCs w:val="24"/>
          <w:lang w:val="en-US" w:eastAsia="en-US" w:bidi="ar-SA"/>
          <w14:ligatures w14:val="none"/>
        </w:rPr>
        <w:t>). Embracing diversity as a strategic advantage enhances their competitiveness, supports sustainable partnerships, and propels successful business expansions into Asian markets. Ultimately, this research contributes to building stronger and more resilient global organizations that thrive in an increasingly interconnected world.</w:t>
      </w:r>
    </w:p>
    <w:p w14:paraId="30FC09A6" w14:textId="77777777" w:rsidR="00A13FD2" w:rsidRPr="00A13FD2" w:rsidRDefault="00A13FD2" w:rsidP="00A13FD2">
      <w:pPr>
        <w:pBdr>
          <w:left w:val="none" w:sz="0" w:space="14" w:color="auto"/>
        </w:pBd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p>
    <w:p w14:paraId="500AE405" w14:textId="77777777" w:rsidR="00A13FD2" w:rsidRPr="00A13FD2" w:rsidRDefault="00A13FD2" w:rsidP="00A13FD2">
      <w:pPr>
        <w:spacing w:line="360" w:lineRule="auto"/>
        <w:jc w:val="both"/>
        <w:rPr>
          <w:rFonts w:ascii="Times New Roman" w:eastAsia="Arial" w:hAnsi="Times New Roman" w:cs="Times New Roman"/>
          <w:b/>
          <w:color w:val="000000" w:themeColor="text1"/>
          <w:kern w:val="0"/>
          <w:sz w:val="24"/>
          <w:szCs w:val="24"/>
          <w:lang w:val="en-US" w:eastAsia="en-US" w:bidi="ar-SA"/>
          <w14:ligatures w14:val="none"/>
        </w:rPr>
      </w:pPr>
    </w:p>
    <w:p w14:paraId="4CDA6EEE" w14:textId="77777777" w:rsidR="00A13FD2" w:rsidRPr="00A13FD2" w:rsidRDefault="00A13FD2" w:rsidP="00A13FD2">
      <w:pPr>
        <w:spacing w:line="360" w:lineRule="auto"/>
        <w:jc w:val="both"/>
        <w:rPr>
          <w:rFonts w:ascii="Times New Roman" w:eastAsia="Arial" w:hAnsi="Times New Roman" w:cs="Times New Roman"/>
          <w:b/>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br w:type="page"/>
      </w:r>
    </w:p>
    <w:p w14:paraId="72DE7580" w14:textId="77777777" w:rsidR="00A13FD2" w:rsidRPr="00A13FD2" w:rsidRDefault="00A13FD2" w:rsidP="00A13FD2">
      <w:pPr>
        <w:keepNext/>
        <w:keepLines/>
        <w:spacing w:before="400" w:after="120" w:line="360" w:lineRule="auto"/>
        <w:jc w:val="both"/>
        <w:outlineLvl w:val="0"/>
        <w:rPr>
          <w:rFonts w:ascii="Times New Roman" w:eastAsia="Arial" w:hAnsi="Times New Roman" w:cs="Arial"/>
          <w:b/>
          <w:color w:val="000000" w:themeColor="text1"/>
          <w:kern w:val="0"/>
          <w:sz w:val="28"/>
          <w:szCs w:val="40"/>
          <w:lang w:val="en-US" w:eastAsia="en-US" w:bidi="ar-SA"/>
          <w14:ligatures w14:val="none"/>
        </w:rPr>
      </w:pPr>
      <w:bookmarkStart w:id="14" w:name="_Toc145934222"/>
      <w:r w:rsidRPr="00A13FD2">
        <w:rPr>
          <w:rFonts w:ascii="Times New Roman" w:eastAsia="Arial" w:hAnsi="Times New Roman" w:cs="Arial"/>
          <w:b/>
          <w:color w:val="000000" w:themeColor="text1"/>
          <w:kern w:val="0"/>
          <w:sz w:val="28"/>
          <w:szCs w:val="40"/>
          <w:lang w:val="en-US" w:eastAsia="en-US" w:bidi="ar-SA"/>
          <w14:ligatures w14:val="none"/>
        </w:rPr>
        <w:lastRenderedPageBreak/>
        <w:t>Chapter 2: Literature Review</w:t>
      </w:r>
      <w:bookmarkEnd w:id="14"/>
      <w:r w:rsidRPr="00A13FD2">
        <w:rPr>
          <w:rFonts w:ascii="Times New Roman" w:eastAsia="Arial" w:hAnsi="Times New Roman" w:cs="Arial"/>
          <w:b/>
          <w:color w:val="000000" w:themeColor="text1"/>
          <w:kern w:val="0"/>
          <w:sz w:val="28"/>
          <w:szCs w:val="40"/>
          <w:lang w:val="en-US" w:eastAsia="en-US" w:bidi="ar-SA"/>
          <w14:ligatures w14:val="none"/>
        </w:rPr>
        <w:t xml:space="preserve"> </w:t>
      </w:r>
    </w:p>
    <w:p w14:paraId="5B4EB5EC"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15" w:name="_Toc145934223"/>
      <w:r w:rsidRPr="00A13FD2">
        <w:rPr>
          <w:rFonts w:ascii="Times New Roman" w:eastAsia="Arial" w:hAnsi="Times New Roman" w:cs="Arial"/>
          <w:b/>
          <w:color w:val="000000" w:themeColor="text1"/>
          <w:kern w:val="0"/>
          <w:sz w:val="26"/>
          <w:szCs w:val="32"/>
          <w:lang w:val="en-US" w:eastAsia="en-US" w:bidi="ar-SA"/>
          <w14:ligatures w14:val="none"/>
        </w:rPr>
        <w:t>2.1 Introduction</w:t>
      </w:r>
      <w:bookmarkEnd w:id="15"/>
      <w:r w:rsidRPr="00A13FD2">
        <w:rPr>
          <w:rFonts w:ascii="Times New Roman" w:eastAsia="Arial" w:hAnsi="Times New Roman" w:cs="Arial"/>
          <w:b/>
          <w:color w:val="000000" w:themeColor="text1"/>
          <w:kern w:val="0"/>
          <w:sz w:val="26"/>
          <w:szCs w:val="32"/>
          <w:lang w:val="en-US" w:eastAsia="en-US" w:bidi="ar-SA"/>
          <w14:ligatures w14:val="none"/>
        </w:rPr>
        <w:t xml:space="preserve"> </w:t>
      </w:r>
    </w:p>
    <w:p w14:paraId="75A5F353" w14:textId="77777777" w:rsidR="00A13FD2" w:rsidRPr="00A13FD2" w:rsidRDefault="00A13FD2" w:rsidP="00A13FD2">
      <w:pPr>
        <w:spacing w:after="300"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The literature review on exploring ways to manage cultural diversity in cross-border mergers in Asia for UK-based companies provides a comprehensive understanding of the challenges and opportunities presented by cultural differences in international business ventures (</w:t>
      </w:r>
      <w:r w:rsidRPr="00A13FD2">
        <w:rPr>
          <w:rFonts w:ascii="Times New Roman" w:eastAsia="Times New Roman" w:hAnsi="Times New Roman" w:cs="Times New Roman"/>
          <w:color w:val="000000" w:themeColor="text1"/>
          <w:kern w:val="0"/>
          <w:sz w:val="24"/>
          <w:szCs w:val="24"/>
          <w:highlight w:val="white"/>
          <w:lang w:val="en-US" w:eastAsia="en-US" w:bidi="ar-SA"/>
          <w14:ligatures w14:val="none"/>
        </w:rPr>
        <w:t>Iwao, 2020</w:t>
      </w:r>
      <w:r w:rsidRPr="00A13FD2">
        <w:rPr>
          <w:rFonts w:ascii="Times New Roman" w:eastAsia="Arial" w:hAnsi="Times New Roman" w:cs="Times New Roman"/>
          <w:color w:val="000000" w:themeColor="text1"/>
          <w:kern w:val="0"/>
          <w:sz w:val="24"/>
          <w:szCs w:val="24"/>
          <w:lang w:val="en-US" w:eastAsia="en-US" w:bidi="ar-SA"/>
          <w14:ligatures w14:val="none"/>
        </w:rPr>
        <w:t>). As UK companies increasingly seek expansion opportunities in Asian markets through mergers and acquisitions, the significance of effectively managing cultural diversity becomes paramount for their success. The review begins by examining the existing literature on cross-border mergers and their impact on organizational culture (</w:t>
      </w:r>
      <w:proofErr w:type="spellStart"/>
      <w:r w:rsidRPr="00A13FD2">
        <w:rPr>
          <w:rFonts w:ascii="Times New Roman" w:eastAsia="Arial" w:hAnsi="Times New Roman" w:cs="Times New Roman"/>
          <w:color w:val="000000" w:themeColor="text1"/>
          <w:kern w:val="0"/>
          <w:sz w:val="24"/>
          <w:szCs w:val="24"/>
          <w:lang w:val="en-US" w:eastAsia="en-US" w:bidi="ar-SA"/>
          <w14:ligatures w14:val="none"/>
        </w:rPr>
        <w:t>Degbey</w:t>
      </w:r>
      <w:proofErr w:type="spellEnd"/>
      <w:r w:rsidRPr="00A13FD2">
        <w:rPr>
          <w:rFonts w:ascii="Times New Roman" w:eastAsia="Arial" w:hAnsi="Times New Roman" w:cs="Times New Roman"/>
          <w:color w:val="000000" w:themeColor="text1"/>
          <w:kern w:val="0"/>
          <w:sz w:val="24"/>
          <w:szCs w:val="24"/>
          <w:lang w:val="en-US" w:eastAsia="en-US" w:bidi="ar-SA"/>
          <w14:ligatures w14:val="none"/>
        </w:rPr>
        <w:t xml:space="preserve"> </w:t>
      </w:r>
      <w:r w:rsidRPr="00A13FD2">
        <w:rPr>
          <w:rFonts w:ascii="Times New Roman" w:eastAsia="Arial" w:hAnsi="Times New Roman" w:cs="Times New Roman"/>
          <w:i/>
          <w:color w:val="000000" w:themeColor="text1"/>
          <w:kern w:val="0"/>
          <w:sz w:val="24"/>
          <w:szCs w:val="24"/>
          <w:lang w:val="en-US" w:eastAsia="en-US" w:bidi="ar-SA"/>
          <w14:ligatures w14:val="none"/>
        </w:rPr>
        <w:t>et al.</w:t>
      </w:r>
      <w:r w:rsidRPr="00A13FD2">
        <w:rPr>
          <w:rFonts w:ascii="Times New Roman" w:eastAsia="Arial" w:hAnsi="Times New Roman" w:cs="Times New Roman"/>
          <w:color w:val="000000" w:themeColor="text1"/>
          <w:kern w:val="0"/>
          <w:sz w:val="24"/>
          <w:szCs w:val="24"/>
          <w:lang w:val="en-US" w:eastAsia="en-US" w:bidi="ar-SA"/>
          <w14:ligatures w14:val="none"/>
        </w:rPr>
        <w:t xml:space="preserve"> 2021). It explores the complexities arising from cultural differences in such mergers and highlights the potential risks associated with inadequate cultural integration. Studies on failed cross-border mergers are analyzed to identify the role of cultural clashes in the demise of these ventures.</w:t>
      </w:r>
    </w:p>
    <w:p w14:paraId="7A74BA20" w14:textId="77777777" w:rsidR="00A13FD2" w:rsidRPr="00A13FD2" w:rsidRDefault="00A13FD2" w:rsidP="00A13FD2">
      <w:pPr>
        <w:spacing w:before="300" w:after="300"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The literature review delves into the concept of cultural intelligence and its relevance in managing diverse teams. It explores the competencies required to navigate cross-cultural interactions and emphasizes the need for cross-cultural training and development within organizations engaging in cross-border mergers. The review also addresses the significance of multicultural leadership in such ventures (</w:t>
      </w:r>
      <w:proofErr w:type="spellStart"/>
      <w:r w:rsidRPr="00A13FD2">
        <w:rPr>
          <w:rFonts w:ascii="Times New Roman" w:eastAsia="Arial" w:hAnsi="Times New Roman" w:cs="Times New Roman"/>
          <w:color w:val="000000" w:themeColor="text1"/>
          <w:kern w:val="0"/>
          <w:sz w:val="24"/>
          <w:szCs w:val="24"/>
          <w:lang w:val="en-US" w:eastAsia="en-US" w:bidi="ar-SA"/>
          <w14:ligatures w14:val="none"/>
        </w:rPr>
        <w:t>Degbey</w:t>
      </w:r>
      <w:proofErr w:type="spellEnd"/>
      <w:r w:rsidRPr="00A13FD2">
        <w:rPr>
          <w:rFonts w:ascii="Times New Roman" w:eastAsia="Arial" w:hAnsi="Times New Roman" w:cs="Times New Roman"/>
          <w:color w:val="000000" w:themeColor="text1"/>
          <w:kern w:val="0"/>
          <w:sz w:val="24"/>
          <w:szCs w:val="24"/>
          <w:lang w:val="en-US" w:eastAsia="en-US" w:bidi="ar-SA"/>
          <w14:ligatures w14:val="none"/>
        </w:rPr>
        <w:t xml:space="preserve"> </w:t>
      </w:r>
      <w:r w:rsidRPr="00A13FD2">
        <w:rPr>
          <w:rFonts w:ascii="Times New Roman" w:eastAsia="Arial" w:hAnsi="Times New Roman" w:cs="Times New Roman"/>
          <w:i/>
          <w:color w:val="000000" w:themeColor="text1"/>
          <w:kern w:val="0"/>
          <w:sz w:val="24"/>
          <w:szCs w:val="24"/>
          <w:lang w:val="en-US" w:eastAsia="en-US" w:bidi="ar-SA"/>
          <w14:ligatures w14:val="none"/>
        </w:rPr>
        <w:t>et al.</w:t>
      </w:r>
      <w:r w:rsidRPr="00A13FD2">
        <w:rPr>
          <w:rFonts w:ascii="Times New Roman" w:eastAsia="Arial" w:hAnsi="Times New Roman" w:cs="Times New Roman"/>
          <w:color w:val="000000" w:themeColor="text1"/>
          <w:kern w:val="0"/>
          <w:sz w:val="24"/>
          <w:szCs w:val="24"/>
          <w:lang w:val="en-US" w:eastAsia="en-US" w:bidi="ar-SA"/>
          <w14:ligatures w14:val="none"/>
        </w:rPr>
        <w:t xml:space="preserve"> 2021). It identifies the attributes and skills necessary for leaders to effectively bridge cultural gaps and promote an inclusive work environment. Studies on successful multicultural leadership models are analyzed to provide practical insights for UK-based companies (</w:t>
      </w:r>
      <w:r w:rsidRPr="00A13FD2">
        <w:rPr>
          <w:rFonts w:ascii="Times New Roman" w:eastAsia="Times New Roman" w:hAnsi="Times New Roman" w:cs="Times New Roman"/>
          <w:color w:val="000000" w:themeColor="text1"/>
          <w:kern w:val="0"/>
          <w:sz w:val="24"/>
          <w:szCs w:val="24"/>
          <w:highlight w:val="white"/>
          <w:lang w:val="en-US" w:eastAsia="en-US" w:bidi="ar-SA"/>
          <w14:ligatures w14:val="none"/>
        </w:rPr>
        <w:t>Iwao, 2020</w:t>
      </w:r>
      <w:r w:rsidRPr="00A13FD2">
        <w:rPr>
          <w:rFonts w:ascii="Times New Roman" w:eastAsia="Arial" w:hAnsi="Times New Roman" w:cs="Times New Roman"/>
          <w:color w:val="000000" w:themeColor="text1"/>
          <w:kern w:val="0"/>
          <w:sz w:val="24"/>
          <w:szCs w:val="24"/>
          <w:lang w:val="en-US" w:eastAsia="en-US" w:bidi="ar-SA"/>
          <w14:ligatures w14:val="none"/>
        </w:rPr>
        <w:t>). The impact of cultural diversity on employee engagement and retention is another crucial aspect examined in the review. It investigates the relationship between cultural inclusivity and employee satisfaction, highlighting the importance of nurturing a positive and diverse work environment.</w:t>
      </w:r>
    </w:p>
    <w:p w14:paraId="6B154AF1"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16" w:name="_Toc145934224"/>
      <w:r w:rsidRPr="00A13FD2">
        <w:rPr>
          <w:rFonts w:ascii="Times New Roman" w:eastAsia="Arial" w:hAnsi="Times New Roman" w:cs="Arial"/>
          <w:b/>
          <w:color w:val="000000" w:themeColor="text1"/>
          <w:kern w:val="0"/>
          <w:sz w:val="26"/>
          <w:szCs w:val="32"/>
          <w:lang w:val="en-US" w:eastAsia="en-US" w:bidi="ar-SA"/>
          <w14:ligatures w14:val="none"/>
        </w:rPr>
        <w:t>2.2 Research Variables</w:t>
      </w:r>
      <w:bookmarkEnd w:id="16"/>
      <w:r w:rsidRPr="00A13FD2">
        <w:rPr>
          <w:rFonts w:ascii="Times New Roman" w:eastAsia="Arial" w:hAnsi="Times New Roman" w:cs="Arial"/>
          <w:b/>
          <w:color w:val="000000" w:themeColor="text1"/>
          <w:kern w:val="0"/>
          <w:sz w:val="26"/>
          <w:szCs w:val="32"/>
          <w:lang w:val="en-US" w:eastAsia="en-US" w:bidi="ar-SA"/>
          <w14:ligatures w14:val="none"/>
        </w:rPr>
        <w:t xml:space="preserve"> </w:t>
      </w:r>
    </w:p>
    <w:p w14:paraId="2AE9005B" w14:textId="77777777" w:rsidR="00A13FD2" w:rsidRPr="00A13FD2" w:rsidRDefault="00A13FD2" w:rsidP="00A13FD2">
      <w:pPr>
        <w:spacing w:line="360" w:lineRule="auto"/>
        <w:jc w:val="both"/>
        <w:rPr>
          <w:rFonts w:ascii="Times New Roman" w:eastAsia="Arial" w:hAnsi="Times New Roman" w:cs="Times New Roman"/>
          <w:b/>
          <w:color w:val="000000" w:themeColor="text1"/>
          <w:kern w:val="0"/>
          <w:sz w:val="24"/>
          <w:szCs w:val="24"/>
          <w:lang w:val="en-US" w:eastAsia="en-US" w:bidi="ar-SA"/>
          <w14:ligatures w14:val="none"/>
        </w:rPr>
      </w:pPr>
      <w:r w:rsidRPr="00A13FD2">
        <w:rPr>
          <w:rFonts w:ascii="Times New Roman" w:eastAsia="Arial" w:hAnsi="Times New Roman" w:cs="Times New Roman"/>
          <w:b/>
          <w:color w:val="000000" w:themeColor="text1"/>
          <w:kern w:val="0"/>
          <w:sz w:val="24"/>
          <w:szCs w:val="24"/>
          <w:lang w:val="en-US" w:eastAsia="en-US" w:bidi="ar-SA"/>
          <w14:ligatures w14:val="none"/>
        </w:rPr>
        <w:t>Dependent variables</w:t>
      </w:r>
    </w:p>
    <w:p w14:paraId="47BF5FD3" w14:textId="77777777" w:rsidR="00A13FD2" w:rsidRPr="00A13FD2" w:rsidRDefault="00A13FD2" w:rsidP="00A13FD2">
      <w:pPr>
        <w:pBdr>
          <w:left w:val="none" w:sz="0" w:space="14" w:color="auto"/>
        </w:pBd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b/>
          <w:color w:val="000000" w:themeColor="text1"/>
          <w:kern w:val="0"/>
          <w:sz w:val="24"/>
          <w:szCs w:val="24"/>
          <w:lang w:val="en-US" w:eastAsia="en-US" w:bidi="ar-SA"/>
          <w14:ligatures w14:val="none"/>
        </w:rPr>
        <w:t>Integration Success:</w:t>
      </w:r>
      <w:r w:rsidRPr="00A13FD2">
        <w:rPr>
          <w:rFonts w:ascii="Times New Roman" w:eastAsia="Arial" w:hAnsi="Times New Roman" w:cs="Times New Roman"/>
          <w:color w:val="000000" w:themeColor="text1"/>
          <w:kern w:val="0"/>
          <w:sz w:val="24"/>
          <w:szCs w:val="24"/>
          <w:lang w:val="en-US" w:eastAsia="en-US" w:bidi="ar-SA"/>
          <w14:ligatures w14:val="none"/>
        </w:rPr>
        <w:t xml:space="preserve"> This variable assesses the degree to which the cross-border merger is successfully integrated, taking into account cultural alignment and harmonization (</w:t>
      </w:r>
      <w:r w:rsidRPr="00A13FD2">
        <w:rPr>
          <w:rFonts w:ascii="Times New Roman" w:eastAsia="Times New Roman" w:hAnsi="Times New Roman" w:cs="Times New Roman"/>
          <w:color w:val="000000" w:themeColor="text1"/>
          <w:kern w:val="0"/>
          <w:sz w:val="24"/>
          <w:szCs w:val="24"/>
          <w:highlight w:val="white"/>
          <w:lang w:val="en-US" w:eastAsia="en-US" w:bidi="ar-SA"/>
          <w14:ligatures w14:val="none"/>
        </w:rPr>
        <w:t>Iwao, 2020</w:t>
      </w:r>
      <w:r w:rsidRPr="00A13FD2">
        <w:rPr>
          <w:rFonts w:ascii="Times New Roman" w:eastAsia="Arial" w:hAnsi="Times New Roman" w:cs="Times New Roman"/>
          <w:color w:val="000000" w:themeColor="text1"/>
          <w:kern w:val="0"/>
          <w:sz w:val="24"/>
          <w:szCs w:val="24"/>
          <w:lang w:val="en-US" w:eastAsia="en-US" w:bidi="ar-SA"/>
          <w14:ligatures w14:val="none"/>
        </w:rPr>
        <w:t>). The level of cultural integration achieved will directly influence the overall success of the merger.</w:t>
      </w:r>
    </w:p>
    <w:p w14:paraId="13CC0768" w14:textId="77777777" w:rsidR="00A13FD2" w:rsidRPr="00A13FD2" w:rsidRDefault="00A13FD2" w:rsidP="00A13FD2">
      <w:pPr>
        <w:pBdr>
          <w:left w:val="none" w:sz="0" w:space="14" w:color="auto"/>
        </w:pBd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b/>
          <w:color w:val="000000" w:themeColor="text1"/>
          <w:kern w:val="0"/>
          <w:sz w:val="24"/>
          <w:szCs w:val="24"/>
          <w:lang w:val="en-US" w:eastAsia="en-US" w:bidi="ar-SA"/>
          <w14:ligatures w14:val="none"/>
        </w:rPr>
        <w:lastRenderedPageBreak/>
        <w:t xml:space="preserve">Collaboration and Team Performance: </w:t>
      </w:r>
      <w:r w:rsidRPr="00A13FD2">
        <w:rPr>
          <w:rFonts w:ascii="Times New Roman" w:eastAsia="Arial" w:hAnsi="Times New Roman" w:cs="Times New Roman"/>
          <w:color w:val="000000" w:themeColor="text1"/>
          <w:kern w:val="0"/>
          <w:sz w:val="24"/>
          <w:szCs w:val="24"/>
          <w:lang w:val="en-US" w:eastAsia="en-US" w:bidi="ar-SA"/>
          <w14:ligatures w14:val="none"/>
        </w:rPr>
        <w:t xml:space="preserve">This variable measures the effectiveness of collaboration and team performance within the merged entity </w:t>
      </w:r>
      <w:r w:rsidRPr="00A13FD2">
        <w:rPr>
          <w:rFonts w:ascii="Times New Roman" w:eastAsia="Times New Roman" w:hAnsi="Times New Roman" w:cs="Times New Roman"/>
          <w:color w:val="000000" w:themeColor="text1"/>
          <w:kern w:val="0"/>
          <w:sz w:val="24"/>
          <w:szCs w:val="24"/>
          <w:lang w:val="en-US" w:eastAsia="en-US" w:bidi="ar-SA"/>
          <w14:ligatures w14:val="none"/>
        </w:rPr>
        <w:t>(</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Hughes </w:t>
      </w:r>
      <w:r w:rsidRPr="00A13FD2">
        <w:rPr>
          <w:rFonts w:ascii="Times New Roman" w:eastAsia="Arial"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2020</w:t>
      </w:r>
      <w:r w:rsidRPr="00A13FD2">
        <w:rPr>
          <w:rFonts w:ascii="Times New Roman" w:eastAsia="Times New Roman" w:hAnsi="Times New Roman" w:cs="Times New Roman"/>
          <w:color w:val="000000" w:themeColor="text1"/>
          <w:kern w:val="0"/>
          <w:sz w:val="24"/>
          <w:szCs w:val="24"/>
          <w:lang w:val="en-US" w:eastAsia="en-US" w:bidi="ar-SA"/>
          <w14:ligatures w14:val="none"/>
        </w:rPr>
        <w:t>)</w:t>
      </w:r>
      <w:r w:rsidRPr="00A13FD2">
        <w:rPr>
          <w:rFonts w:ascii="Times New Roman" w:eastAsia="Arial" w:hAnsi="Times New Roman" w:cs="Times New Roman"/>
          <w:color w:val="000000" w:themeColor="text1"/>
          <w:kern w:val="0"/>
          <w:sz w:val="24"/>
          <w:szCs w:val="24"/>
          <w:lang w:val="en-US" w:eastAsia="en-US" w:bidi="ar-SA"/>
          <w14:ligatures w14:val="none"/>
        </w:rPr>
        <w:t>. It considers how well culturally diverse teams work together, communicate, and achieve shared goals.</w:t>
      </w:r>
    </w:p>
    <w:p w14:paraId="1544EDE3" w14:textId="77777777" w:rsidR="00A13FD2" w:rsidRPr="00A13FD2" w:rsidRDefault="00A13FD2" w:rsidP="00A13FD2">
      <w:pPr>
        <w:pBdr>
          <w:left w:val="none" w:sz="0" w:space="14" w:color="auto"/>
        </w:pBd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b/>
          <w:color w:val="000000" w:themeColor="text1"/>
          <w:kern w:val="0"/>
          <w:sz w:val="24"/>
          <w:szCs w:val="24"/>
          <w:lang w:val="en-US" w:eastAsia="en-US" w:bidi="ar-SA"/>
          <w14:ligatures w14:val="none"/>
        </w:rPr>
        <w:t xml:space="preserve">Employee Satisfaction and Retention: </w:t>
      </w:r>
      <w:r w:rsidRPr="00A13FD2">
        <w:rPr>
          <w:rFonts w:ascii="Times New Roman" w:eastAsia="Arial" w:hAnsi="Times New Roman" w:cs="Times New Roman"/>
          <w:color w:val="000000" w:themeColor="text1"/>
          <w:kern w:val="0"/>
          <w:sz w:val="24"/>
          <w:szCs w:val="24"/>
          <w:lang w:val="en-US" w:eastAsia="en-US" w:bidi="ar-SA"/>
          <w14:ligatures w14:val="none"/>
        </w:rPr>
        <w:t>Employee satisfaction and retention are dependent on how well the company manages cultural diversity (</w:t>
      </w:r>
      <w:r w:rsidRPr="00A13FD2">
        <w:rPr>
          <w:rFonts w:ascii="Times New Roman" w:eastAsia="Times New Roman" w:hAnsi="Times New Roman" w:cs="Times New Roman"/>
          <w:color w:val="000000" w:themeColor="text1"/>
          <w:kern w:val="0"/>
          <w:sz w:val="24"/>
          <w:szCs w:val="24"/>
          <w:highlight w:val="white"/>
          <w:lang w:val="en-US" w:eastAsia="en-US" w:bidi="ar-SA"/>
          <w14:ligatures w14:val="none"/>
        </w:rPr>
        <w:t>Iwao, 2020</w:t>
      </w:r>
      <w:r w:rsidRPr="00A13FD2">
        <w:rPr>
          <w:rFonts w:ascii="Times New Roman" w:eastAsia="Arial" w:hAnsi="Times New Roman" w:cs="Times New Roman"/>
          <w:color w:val="000000" w:themeColor="text1"/>
          <w:kern w:val="0"/>
          <w:sz w:val="24"/>
          <w:szCs w:val="24"/>
          <w:lang w:val="en-US" w:eastAsia="en-US" w:bidi="ar-SA"/>
          <w14:ligatures w14:val="none"/>
        </w:rPr>
        <w:t>). A positive and inclusive work environment that recognizes and values diverse contributions is likely to result in higher employee satisfaction and lower turnover rates.</w:t>
      </w:r>
    </w:p>
    <w:p w14:paraId="1066CD6C" w14:textId="77777777" w:rsidR="00A13FD2" w:rsidRPr="00A13FD2" w:rsidRDefault="00A13FD2" w:rsidP="00A13FD2">
      <w:pPr>
        <w:spacing w:line="360" w:lineRule="auto"/>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Leadership Effectiveness</w:t>
      </w:r>
      <w:r w:rsidRPr="00A13FD2">
        <w:rPr>
          <w:rFonts w:ascii="Times New Roman" w:eastAsia="Times New Roman" w:hAnsi="Times New Roman" w:cs="Times New Roman"/>
          <w:color w:val="000000" w:themeColor="text1"/>
          <w:kern w:val="0"/>
          <w:sz w:val="24"/>
          <w:szCs w:val="24"/>
          <w:lang w:val="en-US" w:eastAsia="en-US" w:bidi="ar-SA"/>
          <w14:ligatures w14:val="none"/>
        </w:rPr>
        <w:t>: This variable assesses the effectiveness of multicultural leadership in managing cultural diversity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Tian </w:t>
      </w:r>
      <w:r w:rsidRPr="00A13FD2">
        <w:rPr>
          <w:rFonts w:ascii="Times New Roman" w:eastAsia="Arial"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2021</w:t>
      </w:r>
      <w:r w:rsidRPr="00A13FD2">
        <w:rPr>
          <w:rFonts w:ascii="Times New Roman" w:eastAsia="Times New Roman" w:hAnsi="Times New Roman" w:cs="Times New Roman"/>
          <w:color w:val="000000" w:themeColor="text1"/>
          <w:kern w:val="0"/>
          <w:sz w:val="24"/>
          <w:szCs w:val="24"/>
          <w:lang w:val="en-US" w:eastAsia="en-US" w:bidi="ar-SA"/>
          <w14:ligatures w14:val="none"/>
        </w:rPr>
        <w:t>). It examines how well leaders navigate cultural differences, foster inclusion, and promotes a cohesive organizational culture.</w:t>
      </w:r>
    </w:p>
    <w:p w14:paraId="52E3654D" w14:textId="77777777" w:rsidR="00A13FD2" w:rsidRPr="00A13FD2" w:rsidRDefault="00A13FD2" w:rsidP="00A13FD2">
      <w:pPr>
        <w:spacing w:line="360" w:lineRule="auto"/>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Communication and Decision-Making</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Effective communication and decision-making are essential for a successful cross-border merger </w:t>
      </w:r>
      <w:r w:rsidRPr="00A13FD2">
        <w:rPr>
          <w:rFonts w:ascii="Times New Roman" w:eastAsia="Arial" w:hAnsi="Times New Roman" w:cs="Times New Roman"/>
          <w:color w:val="000000" w:themeColor="text1"/>
          <w:kern w:val="0"/>
          <w:sz w:val="24"/>
          <w:szCs w:val="24"/>
          <w:lang w:val="en-US" w:eastAsia="en-US" w:bidi="ar-SA"/>
          <w14:ligatures w14:val="none"/>
        </w:rPr>
        <w:t>(</w:t>
      </w:r>
      <w:r w:rsidRPr="00A13FD2">
        <w:rPr>
          <w:rFonts w:ascii="Times New Roman" w:eastAsia="Times New Roman" w:hAnsi="Times New Roman" w:cs="Times New Roman"/>
          <w:color w:val="000000" w:themeColor="text1"/>
          <w:kern w:val="0"/>
          <w:sz w:val="24"/>
          <w:szCs w:val="24"/>
          <w:highlight w:val="white"/>
          <w:lang w:val="en-US" w:eastAsia="en-US" w:bidi="ar-SA"/>
          <w14:ligatures w14:val="none"/>
        </w:rPr>
        <w:t>Iwao, 2020</w:t>
      </w:r>
      <w:r w:rsidRPr="00A13FD2">
        <w:rPr>
          <w:rFonts w:ascii="Times New Roman" w:eastAsia="Arial" w:hAnsi="Times New Roman" w:cs="Times New Roman"/>
          <w:color w:val="000000" w:themeColor="text1"/>
          <w:kern w:val="0"/>
          <w:sz w:val="24"/>
          <w:szCs w:val="24"/>
          <w:lang w:val="en-US" w:eastAsia="en-US" w:bidi="ar-SA"/>
          <w14:ligatures w14:val="none"/>
        </w:rPr>
        <w:t>)</w:t>
      </w:r>
      <w:r w:rsidRPr="00A13FD2">
        <w:rPr>
          <w:rFonts w:ascii="Times New Roman" w:eastAsia="Times New Roman" w:hAnsi="Times New Roman" w:cs="Times New Roman"/>
          <w:color w:val="000000" w:themeColor="text1"/>
          <w:kern w:val="0"/>
          <w:sz w:val="24"/>
          <w:szCs w:val="24"/>
          <w:lang w:val="en-US" w:eastAsia="en-US" w:bidi="ar-SA"/>
          <w14:ligatures w14:val="none"/>
        </w:rPr>
        <w:t>. This variable evaluates how cultural diversity influences communication patterns and decision-making processes within the merged entity.</w:t>
      </w:r>
    </w:p>
    <w:p w14:paraId="78B2163B" w14:textId="77777777" w:rsidR="00A13FD2" w:rsidRPr="00A13FD2" w:rsidRDefault="00A13FD2" w:rsidP="00A13FD2">
      <w:pPr>
        <w:spacing w:line="360" w:lineRule="auto"/>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Organizational Culture</w:t>
      </w:r>
      <w:r w:rsidRPr="00A13FD2">
        <w:rPr>
          <w:rFonts w:ascii="Times New Roman" w:eastAsia="Times New Roman" w:hAnsi="Times New Roman" w:cs="Times New Roman"/>
          <w:color w:val="000000" w:themeColor="text1"/>
          <w:kern w:val="0"/>
          <w:sz w:val="24"/>
          <w:szCs w:val="24"/>
          <w:lang w:val="en-US" w:eastAsia="en-US" w:bidi="ar-SA"/>
          <w14:ligatures w14:val="none"/>
        </w:rPr>
        <w:t>: Cultural diversity can impact the organizational culture of the merged entity. This variable examines how the company adapts its culture to accommodate diverse cultural practices and values.</w:t>
      </w:r>
    </w:p>
    <w:p w14:paraId="630BDEC6" w14:textId="77777777" w:rsidR="00A13FD2" w:rsidRPr="00A13FD2" w:rsidRDefault="00A13FD2" w:rsidP="00A13FD2">
      <w:pPr>
        <w:spacing w:line="360" w:lineRule="auto"/>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Customer Satisfaction and Market Performance</w:t>
      </w:r>
      <w:r w:rsidRPr="00A13FD2">
        <w:rPr>
          <w:rFonts w:ascii="Times New Roman" w:eastAsia="Times New Roman" w:hAnsi="Times New Roman" w:cs="Times New Roman"/>
          <w:color w:val="000000" w:themeColor="text1"/>
          <w:kern w:val="0"/>
          <w:sz w:val="24"/>
          <w:szCs w:val="24"/>
          <w:lang w:val="en-US" w:eastAsia="en-US" w:bidi="ar-SA"/>
          <w14:ligatures w14:val="none"/>
        </w:rPr>
        <w:t>: The satisfaction of customers in Asian markets and the overall market performance of the merged entity are influenced by how well cultural diversity is managed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Iwao, 2020</w:t>
      </w:r>
      <w:r w:rsidRPr="00A13FD2">
        <w:rPr>
          <w:rFonts w:ascii="Times New Roman" w:eastAsia="Times New Roman" w:hAnsi="Times New Roman" w:cs="Times New Roman"/>
          <w:color w:val="000000" w:themeColor="text1"/>
          <w:kern w:val="0"/>
          <w:sz w:val="24"/>
          <w:szCs w:val="24"/>
          <w:lang w:val="en-US" w:eastAsia="en-US" w:bidi="ar-SA"/>
          <w14:ligatures w14:val="none"/>
        </w:rPr>
        <w:t>). A culturally sensitive approach can lead to stronger customer relationships and market acceptance.</w:t>
      </w:r>
    </w:p>
    <w:p w14:paraId="596E502F" w14:textId="77777777" w:rsidR="00A13FD2" w:rsidRPr="00A13FD2" w:rsidRDefault="00A13FD2" w:rsidP="00A13FD2">
      <w:pPr>
        <w:spacing w:line="360" w:lineRule="auto"/>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Legal and Regulatory Compliance</w:t>
      </w:r>
      <w:r w:rsidRPr="00A13FD2">
        <w:rPr>
          <w:rFonts w:ascii="Times New Roman" w:eastAsia="Times New Roman" w:hAnsi="Times New Roman" w:cs="Times New Roman"/>
          <w:color w:val="000000" w:themeColor="text1"/>
          <w:kern w:val="0"/>
          <w:sz w:val="24"/>
          <w:szCs w:val="24"/>
          <w:lang w:val="en-US" w:eastAsia="en-US" w:bidi="ar-SA"/>
          <w14:ligatures w14:val="none"/>
        </w:rPr>
        <w:t>: This variable assesses the extent to which cultural diversity impacts the company's ability to comply with legal and regulatory requirements in the host country's business environment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Hughes </w:t>
      </w:r>
      <w:r w:rsidRPr="00A13FD2">
        <w:rPr>
          <w:rFonts w:ascii="Times New Roman" w:eastAsia="Arial"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2020</w:t>
      </w:r>
      <w:r w:rsidRPr="00A13FD2">
        <w:rPr>
          <w:rFonts w:ascii="Times New Roman" w:eastAsia="Times New Roman" w:hAnsi="Times New Roman" w:cs="Times New Roman"/>
          <w:color w:val="000000" w:themeColor="text1"/>
          <w:kern w:val="0"/>
          <w:sz w:val="24"/>
          <w:szCs w:val="24"/>
          <w:lang w:val="en-US" w:eastAsia="en-US" w:bidi="ar-SA"/>
          <w14:ligatures w14:val="none"/>
        </w:rPr>
        <w:t>).</w:t>
      </w:r>
    </w:p>
    <w:p w14:paraId="7806F762" w14:textId="77777777" w:rsidR="00A13FD2" w:rsidRPr="00A13FD2" w:rsidRDefault="00A13FD2" w:rsidP="00A13FD2">
      <w:pPr>
        <w:spacing w:line="360" w:lineRule="auto"/>
        <w:jc w:val="both"/>
        <w:rPr>
          <w:rFonts w:ascii="Times New Roman" w:eastAsia="Arial" w:hAnsi="Times New Roman" w:cs="Times New Roman"/>
          <w:b/>
          <w:color w:val="000000" w:themeColor="text1"/>
          <w:kern w:val="0"/>
          <w:sz w:val="24"/>
          <w:szCs w:val="24"/>
          <w:lang w:val="en-US" w:eastAsia="en-US" w:bidi="ar-SA"/>
          <w14:ligatures w14:val="none"/>
        </w:rPr>
      </w:pPr>
      <w:r w:rsidRPr="00A13FD2">
        <w:rPr>
          <w:rFonts w:ascii="Times New Roman" w:eastAsia="Arial" w:hAnsi="Times New Roman" w:cs="Times New Roman"/>
          <w:b/>
          <w:color w:val="000000" w:themeColor="text1"/>
          <w:kern w:val="0"/>
          <w:sz w:val="24"/>
          <w:szCs w:val="24"/>
          <w:lang w:val="en-US" w:eastAsia="en-US" w:bidi="ar-SA"/>
          <w14:ligatures w14:val="none"/>
        </w:rPr>
        <w:t>Independent variables</w:t>
      </w:r>
    </w:p>
    <w:p w14:paraId="3E4D626A" w14:textId="77777777" w:rsidR="00A13FD2" w:rsidRPr="00A13FD2" w:rsidRDefault="00A13FD2" w:rsidP="00A13FD2">
      <w:pPr>
        <w:pBdr>
          <w:left w:val="none" w:sz="0" w:space="14" w:color="auto"/>
        </w:pBd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b/>
          <w:color w:val="000000" w:themeColor="text1"/>
          <w:kern w:val="0"/>
          <w:sz w:val="24"/>
          <w:szCs w:val="24"/>
          <w:lang w:val="en-US" w:eastAsia="en-US" w:bidi="ar-SA"/>
          <w14:ligatures w14:val="none"/>
        </w:rPr>
        <w:t>Cultural Awareness Training:</w:t>
      </w:r>
      <w:r w:rsidRPr="00A13FD2">
        <w:rPr>
          <w:rFonts w:ascii="Times New Roman" w:eastAsia="Arial" w:hAnsi="Times New Roman" w:cs="Times New Roman"/>
          <w:color w:val="000000" w:themeColor="text1"/>
          <w:kern w:val="0"/>
          <w:sz w:val="24"/>
          <w:szCs w:val="24"/>
          <w:lang w:val="en-US" w:eastAsia="en-US" w:bidi="ar-SA"/>
          <w14:ligatures w14:val="none"/>
        </w:rPr>
        <w:t xml:space="preserve"> This variable involves providing training programs and workshops to employees and leadership to increase their understanding and awareness of different cultural norms, values, and communication styles </w:t>
      </w:r>
      <w:r w:rsidRPr="00A13FD2">
        <w:rPr>
          <w:rFonts w:ascii="Times New Roman" w:eastAsia="Times New Roman" w:hAnsi="Times New Roman" w:cs="Times New Roman"/>
          <w:color w:val="000000" w:themeColor="text1"/>
          <w:kern w:val="0"/>
          <w:sz w:val="24"/>
          <w:szCs w:val="24"/>
          <w:lang w:val="en-US" w:eastAsia="en-US" w:bidi="ar-SA"/>
          <w14:ligatures w14:val="none"/>
        </w:rPr>
        <w:t>(</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Hughes </w:t>
      </w:r>
      <w:r w:rsidRPr="00A13FD2">
        <w:rPr>
          <w:rFonts w:ascii="Times New Roman" w:eastAsia="Arial"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2020</w:t>
      </w:r>
      <w:r w:rsidRPr="00A13FD2">
        <w:rPr>
          <w:rFonts w:ascii="Times New Roman" w:eastAsia="Times New Roman" w:hAnsi="Times New Roman" w:cs="Times New Roman"/>
          <w:color w:val="000000" w:themeColor="text1"/>
          <w:kern w:val="0"/>
          <w:sz w:val="24"/>
          <w:szCs w:val="24"/>
          <w:lang w:val="en-US" w:eastAsia="en-US" w:bidi="ar-SA"/>
          <w14:ligatures w14:val="none"/>
        </w:rPr>
        <w:t>)</w:t>
      </w:r>
      <w:r w:rsidRPr="00A13FD2">
        <w:rPr>
          <w:rFonts w:ascii="Times New Roman" w:eastAsia="Arial" w:hAnsi="Times New Roman" w:cs="Times New Roman"/>
          <w:color w:val="000000" w:themeColor="text1"/>
          <w:kern w:val="0"/>
          <w:sz w:val="24"/>
          <w:szCs w:val="24"/>
          <w:lang w:val="en-US" w:eastAsia="en-US" w:bidi="ar-SA"/>
          <w14:ligatures w14:val="none"/>
        </w:rPr>
        <w:t>.</w:t>
      </w:r>
    </w:p>
    <w:p w14:paraId="39C54111" w14:textId="77777777" w:rsidR="00A13FD2" w:rsidRPr="00A13FD2" w:rsidRDefault="00A13FD2" w:rsidP="00A13FD2">
      <w:pPr>
        <w:pBdr>
          <w:left w:val="none" w:sz="0" w:space="14" w:color="auto"/>
        </w:pBd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b/>
          <w:color w:val="000000" w:themeColor="text1"/>
          <w:kern w:val="0"/>
          <w:sz w:val="24"/>
          <w:szCs w:val="24"/>
          <w:lang w:val="en-US" w:eastAsia="en-US" w:bidi="ar-SA"/>
          <w14:ligatures w14:val="none"/>
        </w:rPr>
        <w:t xml:space="preserve">Multicultural Leadership: </w:t>
      </w:r>
      <w:r w:rsidRPr="00A13FD2">
        <w:rPr>
          <w:rFonts w:ascii="Times New Roman" w:eastAsia="Arial" w:hAnsi="Times New Roman" w:cs="Times New Roman"/>
          <w:color w:val="000000" w:themeColor="text1"/>
          <w:kern w:val="0"/>
          <w:sz w:val="24"/>
          <w:szCs w:val="24"/>
          <w:lang w:val="en-US" w:eastAsia="en-US" w:bidi="ar-SA"/>
          <w14:ligatures w14:val="none"/>
        </w:rPr>
        <w:t>This variable refers to the presence of leaders who possess cross-cultural competence and experience in managing diverse teams. Multicultural leaders play a crucial role in bridging cultural gaps and promoting an inclusive work environment.</w:t>
      </w:r>
    </w:p>
    <w:p w14:paraId="5F5E0ABB" w14:textId="77777777" w:rsidR="00A13FD2" w:rsidRPr="00A13FD2" w:rsidRDefault="00A13FD2" w:rsidP="00A13FD2">
      <w:pPr>
        <w:pBdr>
          <w:left w:val="none" w:sz="0" w:space="14" w:color="auto"/>
        </w:pBd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b/>
          <w:color w:val="000000" w:themeColor="text1"/>
          <w:kern w:val="0"/>
          <w:sz w:val="24"/>
          <w:szCs w:val="24"/>
          <w:lang w:val="en-US" w:eastAsia="en-US" w:bidi="ar-SA"/>
          <w14:ligatures w14:val="none"/>
        </w:rPr>
        <w:lastRenderedPageBreak/>
        <w:t xml:space="preserve">Communication Strategies: </w:t>
      </w:r>
      <w:r w:rsidRPr="00A13FD2">
        <w:rPr>
          <w:rFonts w:ascii="Times New Roman" w:eastAsia="Arial" w:hAnsi="Times New Roman" w:cs="Times New Roman"/>
          <w:color w:val="000000" w:themeColor="text1"/>
          <w:kern w:val="0"/>
          <w:sz w:val="24"/>
          <w:szCs w:val="24"/>
          <w:lang w:val="en-US" w:eastAsia="en-US" w:bidi="ar-SA"/>
          <w14:ligatures w14:val="none"/>
        </w:rPr>
        <w:t>This variable involves implementing specific communication strategies and protocols to facilitate effective communication among culturally diverse teams (</w:t>
      </w:r>
      <w:r w:rsidRPr="00A13FD2">
        <w:rPr>
          <w:rFonts w:ascii="Times New Roman" w:eastAsia="Times New Roman" w:hAnsi="Times New Roman" w:cs="Times New Roman"/>
          <w:color w:val="000000" w:themeColor="text1"/>
          <w:kern w:val="0"/>
          <w:sz w:val="24"/>
          <w:szCs w:val="24"/>
          <w:highlight w:val="white"/>
          <w:lang w:val="en-US" w:eastAsia="en-US" w:bidi="ar-SA"/>
          <w14:ligatures w14:val="none"/>
        </w:rPr>
        <w:t>Iwao, 2020</w:t>
      </w:r>
      <w:r w:rsidRPr="00A13FD2">
        <w:rPr>
          <w:rFonts w:ascii="Times New Roman" w:eastAsia="Arial" w:hAnsi="Times New Roman" w:cs="Times New Roman"/>
          <w:color w:val="000000" w:themeColor="text1"/>
          <w:kern w:val="0"/>
          <w:sz w:val="24"/>
          <w:szCs w:val="24"/>
          <w:lang w:val="en-US" w:eastAsia="en-US" w:bidi="ar-SA"/>
          <w14:ligatures w14:val="none"/>
        </w:rPr>
        <w:t>). It may include language support, clear guidelines for cross-cultural communication, and the use of technology to bridge communication gaps.</w:t>
      </w:r>
    </w:p>
    <w:p w14:paraId="35CE94CE"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Inclusive Work Environment</w:t>
      </w:r>
      <w:r w:rsidRPr="00A13FD2">
        <w:rPr>
          <w:rFonts w:ascii="Times New Roman" w:eastAsia="Times New Roman" w:hAnsi="Times New Roman" w:cs="Times New Roman"/>
          <w:color w:val="000000" w:themeColor="text1"/>
          <w:kern w:val="0"/>
          <w:sz w:val="24"/>
          <w:szCs w:val="24"/>
          <w:lang w:val="en-US" w:eastAsia="en-US" w:bidi="ar-SA"/>
          <w14:ligatures w14:val="none"/>
        </w:rPr>
        <w:t>: This variable refers to the company's efforts to foster an inclusive work environment that values and respects diverse perspectives and backgrounds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He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2020</w:t>
      </w:r>
      <w:r w:rsidRPr="00A13FD2">
        <w:rPr>
          <w:rFonts w:ascii="Times New Roman" w:eastAsia="Times New Roman" w:hAnsi="Times New Roman" w:cs="Times New Roman"/>
          <w:color w:val="000000" w:themeColor="text1"/>
          <w:kern w:val="0"/>
          <w:sz w:val="24"/>
          <w:szCs w:val="24"/>
          <w:lang w:val="en-US" w:eastAsia="en-US" w:bidi="ar-SA"/>
          <w14:ligatures w14:val="none"/>
        </w:rPr>
        <w:t>). It includes policies and practices that promote diversity and create a sense of belonging for all employees.</w:t>
      </w:r>
    </w:p>
    <w:p w14:paraId="512F79C1"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Leadership Training in Cultural Intelligence</w:t>
      </w:r>
      <w:r w:rsidRPr="00A13FD2">
        <w:rPr>
          <w:rFonts w:ascii="Times New Roman" w:eastAsia="Times New Roman" w:hAnsi="Times New Roman" w:cs="Times New Roman"/>
          <w:color w:val="000000" w:themeColor="text1"/>
          <w:kern w:val="0"/>
          <w:sz w:val="24"/>
          <w:szCs w:val="24"/>
          <w:lang w:val="en-US" w:eastAsia="en-US" w:bidi="ar-SA"/>
          <w14:ligatures w14:val="none"/>
        </w:rPr>
        <w:t>: This variable involves providing leadership training specifically focused on developing cultural intelligence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Iwao, 2020</w:t>
      </w:r>
      <w:r w:rsidRPr="00A13FD2">
        <w:rPr>
          <w:rFonts w:ascii="Times New Roman" w:eastAsia="Times New Roman" w:hAnsi="Times New Roman" w:cs="Times New Roman"/>
          <w:color w:val="000000" w:themeColor="text1"/>
          <w:kern w:val="0"/>
          <w:sz w:val="24"/>
          <w:szCs w:val="24"/>
          <w:lang w:val="en-US" w:eastAsia="en-US" w:bidi="ar-SA"/>
          <w14:ligatures w14:val="none"/>
        </w:rPr>
        <w:t>). It equips leaders with the skills to navigate cultural differences effectively.</w:t>
      </w:r>
    </w:p>
    <w:p w14:paraId="255EAF91"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Cross-Cultural Teams and Projects</w:t>
      </w:r>
      <w:r w:rsidRPr="00A13FD2">
        <w:rPr>
          <w:rFonts w:ascii="Times New Roman" w:eastAsia="Times New Roman" w:hAnsi="Times New Roman" w:cs="Times New Roman"/>
          <w:color w:val="000000" w:themeColor="text1"/>
          <w:kern w:val="0"/>
          <w:sz w:val="24"/>
          <w:szCs w:val="24"/>
          <w:lang w:val="en-US" w:eastAsia="en-US" w:bidi="ar-SA"/>
          <w14:ligatures w14:val="none"/>
        </w:rPr>
        <w:t>: This variable represents the formation of cross-cultural teams and projects intentionally designed to leverage diverse perspectives and experiences in decision-making and problem-solving processes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Hughes </w:t>
      </w:r>
      <w:r w:rsidRPr="00A13FD2">
        <w:rPr>
          <w:rFonts w:ascii="Times New Roman" w:eastAsia="Arial"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2020</w:t>
      </w:r>
      <w:r w:rsidRPr="00A13FD2">
        <w:rPr>
          <w:rFonts w:ascii="Times New Roman" w:eastAsia="Times New Roman" w:hAnsi="Times New Roman" w:cs="Times New Roman"/>
          <w:color w:val="000000" w:themeColor="text1"/>
          <w:kern w:val="0"/>
          <w:sz w:val="24"/>
          <w:szCs w:val="24"/>
          <w:lang w:val="en-US" w:eastAsia="en-US" w:bidi="ar-SA"/>
          <w14:ligatures w14:val="none"/>
        </w:rPr>
        <w:t>).</w:t>
      </w:r>
    </w:p>
    <w:p w14:paraId="3C8207F8"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Cultural Adaptation of Policies</w:t>
      </w:r>
      <w:r w:rsidRPr="00A13FD2">
        <w:rPr>
          <w:rFonts w:ascii="Times New Roman" w:eastAsia="Times New Roman" w:hAnsi="Times New Roman" w:cs="Times New Roman"/>
          <w:color w:val="000000" w:themeColor="text1"/>
          <w:kern w:val="0"/>
          <w:sz w:val="24"/>
          <w:szCs w:val="24"/>
          <w:lang w:val="en-US" w:eastAsia="en-US" w:bidi="ar-SA"/>
          <w14:ligatures w14:val="none"/>
        </w:rPr>
        <w:t>: This variable involves adapting the company's policies and practices to accommodate diverse cultural norms and practices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He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2020</w:t>
      </w:r>
      <w:r w:rsidRPr="00A13FD2">
        <w:rPr>
          <w:rFonts w:ascii="Times New Roman" w:eastAsia="Times New Roman" w:hAnsi="Times New Roman" w:cs="Times New Roman"/>
          <w:color w:val="000000" w:themeColor="text1"/>
          <w:kern w:val="0"/>
          <w:sz w:val="24"/>
          <w:szCs w:val="24"/>
          <w:lang w:val="en-US" w:eastAsia="en-US" w:bidi="ar-SA"/>
          <w14:ligatures w14:val="none"/>
        </w:rPr>
        <w:t>). It ensures that policies are culturally sensitive and inclusive.</w:t>
      </w:r>
    </w:p>
    <w:p w14:paraId="63789B12"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Diversity Metrics and Assessment</w:t>
      </w:r>
      <w:r w:rsidRPr="00A13FD2">
        <w:rPr>
          <w:rFonts w:ascii="Times New Roman" w:eastAsia="Times New Roman" w:hAnsi="Times New Roman" w:cs="Times New Roman"/>
          <w:color w:val="000000" w:themeColor="text1"/>
          <w:kern w:val="0"/>
          <w:sz w:val="24"/>
          <w:szCs w:val="24"/>
          <w:lang w:val="en-US" w:eastAsia="en-US" w:bidi="ar-SA"/>
          <w14:ligatures w14:val="none"/>
        </w:rPr>
        <w:t>: This variable refers to the measurement and assessment of diversity within the merged entity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Iwao, 2020</w:t>
      </w:r>
      <w:r w:rsidRPr="00A13FD2">
        <w:rPr>
          <w:rFonts w:ascii="Times New Roman" w:eastAsia="Times New Roman" w:hAnsi="Times New Roman" w:cs="Times New Roman"/>
          <w:color w:val="000000" w:themeColor="text1"/>
          <w:kern w:val="0"/>
          <w:sz w:val="24"/>
          <w:szCs w:val="24"/>
          <w:lang w:val="en-US" w:eastAsia="en-US" w:bidi="ar-SA"/>
          <w14:ligatures w14:val="none"/>
        </w:rPr>
        <w:t>). Companies may track diversity metrics to monitor progress and identify areas for improvement.</w:t>
      </w:r>
    </w:p>
    <w:p w14:paraId="24E1E38C"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17" w:name="_Toc145934225"/>
      <w:r w:rsidRPr="00A13FD2">
        <w:rPr>
          <w:rFonts w:ascii="Times New Roman" w:eastAsia="Arial" w:hAnsi="Times New Roman" w:cs="Arial"/>
          <w:b/>
          <w:color w:val="000000" w:themeColor="text1"/>
          <w:kern w:val="0"/>
          <w:sz w:val="26"/>
          <w:szCs w:val="32"/>
          <w:lang w:val="en-US" w:eastAsia="en-US" w:bidi="ar-SA"/>
          <w14:ligatures w14:val="none"/>
        </w:rPr>
        <w:lastRenderedPageBreak/>
        <w:t>2.3 Conceptual Framework</w:t>
      </w:r>
      <w:bookmarkEnd w:id="17"/>
    </w:p>
    <w:p w14:paraId="08E33BD1" w14:textId="77777777" w:rsidR="00A13FD2" w:rsidRPr="00A13FD2" w:rsidRDefault="00A13FD2" w:rsidP="00A13FD2">
      <w:pPr>
        <w:spacing w:line="276" w:lineRule="auto"/>
        <w:rPr>
          <w:rFonts w:ascii="Arial" w:eastAsia="Arial" w:hAnsi="Arial" w:cs="Arial"/>
          <w:color w:val="000000" w:themeColor="text1"/>
          <w:kern w:val="0"/>
          <w:szCs w:val="22"/>
          <w:lang w:val="en-US" w:eastAsia="en-US" w:bidi="ar-SA"/>
          <w14:ligatures w14:val="none"/>
        </w:rPr>
      </w:pPr>
      <w:r w:rsidRPr="00A13FD2">
        <w:rPr>
          <w:rFonts w:ascii="Arial" w:eastAsia="Arial" w:hAnsi="Arial" w:cs="Arial"/>
          <w:noProof/>
          <w:color w:val="000000" w:themeColor="text1"/>
          <w:kern w:val="0"/>
          <w:szCs w:val="22"/>
          <w:lang w:val="en-US" w:eastAsia="en-US" w:bidi="ar-SA"/>
          <w14:ligatures w14:val="none"/>
        </w:rPr>
        <w:drawing>
          <wp:inline distT="0" distB="0" distL="0" distR="0" wp14:anchorId="6BD7CED1" wp14:editId="51260F1A">
            <wp:extent cx="5830349" cy="3195238"/>
            <wp:effectExtent l="0" t="38100" r="0" b="43815"/>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107A7F1F" w14:textId="77777777" w:rsidR="00A13FD2" w:rsidRPr="00A13FD2" w:rsidRDefault="00A13FD2" w:rsidP="00A13FD2">
      <w:pPr>
        <w:keepNext/>
        <w:keepLines/>
        <w:spacing w:before="320" w:after="80" w:line="360" w:lineRule="auto"/>
        <w:jc w:val="center"/>
        <w:outlineLvl w:val="2"/>
        <w:rPr>
          <w:rFonts w:ascii="Times New Roman" w:eastAsia="Arial" w:hAnsi="Times New Roman" w:cs="Arial"/>
          <w:b/>
          <w:color w:val="000000" w:themeColor="text1"/>
          <w:kern w:val="0"/>
          <w:sz w:val="24"/>
          <w:szCs w:val="28"/>
          <w:lang w:val="en-US" w:eastAsia="en-US" w:bidi="ar-SA"/>
          <w14:ligatures w14:val="none"/>
        </w:rPr>
      </w:pPr>
      <w:bookmarkStart w:id="18" w:name="_Toc145936901"/>
      <w:bookmarkStart w:id="19" w:name="_Toc148097350"/>
      <w:r w:rsidRPr="00A13FD2">
        <w:rPr>
          <w:rFonts w:ascii="Times New Roman" w:eastAsia="Times New Roman" w:hAnsi="Times New Roman" w:cs="Arial"/>
          <w:b/>
          <w:color w:val="000000" w:themeColor="text1"/>
          <w:kern w:val="0"/>
          <w:sz w:val="24"/>
          <w:szCs w:val="28"/>
          <w:lang w:val="en-US" w:eastAsia="en-US" w:bidi="ar-SA"/>
          <w14:ligatures w14:val="none"/>
        </w:rPr>
        <w:t xml:space="preserve">Figure 3: </w:t>
      </w:r>
      <w:r w:rsidRPr="00A13FD2">
        <w:rPr>
          <w:rFonts w:ascii="Times New Roman" w:eastAsia="Arial" w:hAnsi="Times New Roman" w:cs="Arial"/>
          <w:b/>
          <w:color w:val="000000" w:themeColor="text1"/>
          <w:kern w:val="0"/>
          <w:sz w:val="24"/>
          <w:szCs w:val="28"/>
          <w:lang w:val="en-US" w:eastAsia="en-US" w:bidi="ar-SA"/>
          <w14:ligatures w14:val="none"/>
        </w:rPr>
        <w:t>Conceptual framework</w:t>
      </w:r>
      <w:bookmarkEnd w:id="18"/>
      <w:bookmarkEnd w:id="19"/>
    </w:p>
    <w:p w14:paraId="466B7299" w14:textId="77777777" w:rsidR="00A13FD2" w:rsidRPr="00A13FD2" w:rsidRDefault="00A13FD2" w:rsidP="00A13FD2">
      <w:pPr>
        <w:spacing w:line="360" w:lineRule="auto"/>
        <w:jc w:val="center"/>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(Source: Self-created in Ms. Word)</w:t>
      </w:r>
    </w:p>
    <w:p w14:paraId="2318231D"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20" w:name="_Toc145934226"/>
      <w:r w:rsidRPr="00A13FD2">
        <w:rPr>
          <w:rFonts w:ascii="Times New Roman" w:eastAsia="Arial" w:hAnsi="Times New Roman" w:cs="Arial"/>
          <w:b/>
          <w:color w:val="000000" w:themeColor="text1"/>
          <w:kern w:val="0"/>
          <w:sz w:val="26"/>
          <w:szCs w:val="32"/>
          <w:lang w:val="en-US" w:eastAsia="en-US" w:bidi="ar-SA"/>
          <w14:ligatures w14:val="none"/>
        </w:rPr>
        <w:t>2.4 Empirical Studies</w:t>
      </w:r>
      <w:bookmarkEnd w:id="20"/>
      <w:r w:rsidRPr="00A13FD2">
        <w:rPr>
          <w:rFonts w:ascii="Times New Roman" w:eastAsia="Arial" w:hAnsi="Times New Roman" w:cs="Arial"/>
          <w:b/>
          <w:color w:val="000000" w:themeColor="text1"/>
          <w:kern w:val="0"/>
          <w:sz w:val="26"/>
          <w:szCs w:val="32"/>
          <w:lang w:val="en-US" w:eastAsia="en-US" w:bidi="ar-SA"/>
          <w14:ligatures w14:val="none"/>
        </w:rPr>
        <w:t xml:space="preserve"> </w:t>
      </w:r>
    </w:p>
    <w:p w14:paraId="7007C69B"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shd w:val="clear" w:color="auto" w:fill="FFFFFF"/>
          <w:lang w:val="en-US" w:eastAsia="en-US" w:bidi="ar-SA"/>
          <w14:ligatures w14:val="none"/>
        </w:rPr>
        <w:t>Investigation of organizational and employee performance in a cross‐border acquisition</w:t>
      </w:r>
    </w:p>
    <w:p w14:paraId="755B158D"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Over the past few years, performance management systems (PMS) have certainly stood out. However, not many reviews analyze the link between individual performance and hierarchy for cross-functional mergers and acquisitions (M&amp;A)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Tian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2021</w:t>
      </w:r>
      <w:r w:rsidRPr="00A13FD2">
        <w:rPr>
          <w:rFonts w:ascii="Times New Roman" w:eastAsia="Times New Roman" w:hAnsi="Times New Roman" w:cs="Times New Roman"/>
          <w:color w:val="000000" w:themeColor="text1"/>
          <w:kern w:val="0"/>
          <w:sz w:val="24"/>
          <w:szCs w:val="24"/>
          <w:lang w:val="en-US" w:eastAsia="en-US" w:bidi="ar-SA"/>
          <w14:ligatures w14:val="none"/>
        </w:rPr>
        <w:t>). The withdrawal of representatives hurts associations and is therefore associated with unfortunate outcomes for associations and is considered counterproductive work behavior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Hughes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2020</w:t>
      </w:r>
      <w:r w:rsidRPr="00A13FD2">
        <w:rPr>
          <w:rFonts w:ascii="Times New Roman" w:eastAsia="Times New Roman" w:hAnsi="Times New Roman" w:cs="Times New Roman"/>
          <w:color w:val="000000" w:themeColor="text1"/>
          <w:kern w:val="0"/>
          <w:sz w:val="24"/>
          <w:szCs w:val="24"/>
          <w:lang w:val="en-US" w:eastAsia="en-US" w:bidi="ar-SA"/>
          <w14:ligatures w14:val="none"/>
        </w:rPr>
        <w:t>). This paper presents an experimental examination of the determinants and outcomes of agent withdrawal, and its impact on the willingness to share tacit information, information mobility, and made cross-buys on Chinese acquisitions in the UK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Gupta, 2022</w:t>
      </w:r>
      <w:r w:rsidRPr="00A13FD2">
        <w:rPr>
          <w:rFonts w:ascii="Times New Roman" w:eastAsia="Times New Roman" w:hAnsi="Times New Roman" w:cs="Times New Roman"/>
          <w:color w:val="000000" w:themeColor="text1"/>
          <w:kern w:val="0"/>
          <w:sz w:val="24"/>
          <w:szCs w:val="24"/>
          <w:lang w:val="en-US" w:eastAsia="en-US" w:bidi="ar-SA"/>
          <w14:ligatures w14:val="none"/>
        </w:rPr>
        <w:t>). Based on a cross-check of 103 workers from a UK ancillary company and a Chinese acquisition company, they found that trust in the assurance organization has substantially reduced behavior. </w:t>
      </w:r>
    </w:p>
    <w:p w14:paraId="4256BBFB"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lastRenderedPageBreak/>
        <w:t>Foreign direct investment</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(FDI) has become an important component of currency globalization in recent years. As indicated in the World Progress List, the average annual ratio of net FDI inflows to the world to GDP (gross domestic product) has increased sixfold in recent years, from zero to 5D44 in recent years between 2000 and 2014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Albuquerque </w:t>
      </w:r>
      <w:r w:rsidRPr="00A13FD2">
        <w:rPr>
          <w:rFonts w:ascii="Times New Roman" w:eastAsia="Arial"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2019</w:t>
      </w:r>
      <w:r w:rsidRPr="00A13FD2">
        <w:rPr>
          <w:rFonts w:ascii="Times New Roman" w:eastAsia="Times New Roman" w:hAnsi="Times New Roman" w:cs="Times New Roman"/>
          <w:color w:val="000000" w:themeColor="text1"/>
          <w:kern w:val="0"/>
          <w:sz w:val="24"/>
          <w:szCs w:val="24"/>
          <w:lang w:val="en-US" w:eastAsia="en-US" w:bidi="ar-SA"/>
          <w14:ligatures w14:val="none"/>
        </w:rPr>
        <w:t>). The scientists looked at several things that could predict such spillovers and shared the view that consolidation and acquisition cross-functionality act as a coordination tool for different organizations to further develop the administration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Albuquerque </w:t>
      </w:r>
      <w:r w:rsidRPr="00A13FD2">
        <w:rPr>
          <w:rFonts w:ascii="Times New Roman" w:eastAsia="Arial"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2019</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In addition, we believe that cross-industry mergers and acquisitions will increase the risk and valuation of non-target institutions, in addition to the expected administrative spillovers. </w:t>
      </w:r>
    </w:p>
    <w:p w14:paraId="14766C78"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Furthermore, our results show that employee withdrawal behavior negatively affects the agent's ability to share tacit information. The results further confirm that such preparation decisively influences the movement of information, thus clearly influencing the execution of cross-functional purchases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Gupta, 2022</w:t>
      </w:r>
      <w:r w:rsidRPr="00A13FD2">
        <w:rPr>
          <w:rFonts w:ascii="Times New Roman" w:eastAsia="Times New Roman" w:hAnsi="Times New Roman" w:cs="Times New Roman"/>
          <w:color w:val="000000" w:themeColor="text1"/>
          <w:kern w:val="0"/>
          <w:sz w:val="24"/>
          <w:szCs w:val="24"/>
          <w:lang w:val="en-US" w:eastAsia="en-US" w:bidi="ar-SA"/>
          <w14:ligatures w14:val="none"/>
        </w:rPr>
        <w:t>). In this particular situation, it is important to note that previous reviews have identified worker opposition to the acquired organization as one of the fundamental barriers to implementing the merger. Participating representatives will have the upper hand in sharing their undisclosed information in the post-safety period, as friendly communication between workers is key to sharing progress and movement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Albuquerque </w:t>
      </w:r>
      <w:r w:rsidRPr="00A13FD2">
        <w:rPr>
          <w:rFonts w:ascii="Times New Roman" w:eastAsia="Arial"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2019</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Acquired organization representatives may be unmotivated or may experience other personal difficulties related to referrals, which may cause them to abandon information transfer activities. </w:t>
      </w:r>
    </w:p>
    <w:p w14:paraId="1E2BFABB"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In recent years,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performance management systems</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(PMS) have clearly come to prominence. However, few studies have been conducted on the link between individual-level and hierarchical-level performance on cross-industry mergers and acquisitions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Hughes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2020</w:t>
      </w:r>
      <w:r w:rsidRPr="00A13FD2">
        <w:rPr>
          <w:rFonts w:ascii="Times New Roman" w:eastAsia="Times New Roman" w:hAnsi="Times New Roman" w:cs="Times New Roman"/>
          <w:color w:val="000000" w:themeColor="text1"/>
          <w:kern w:val="0"/>
          <w:sz w:val="24"/>
          <w:szCs w:val="24"/>
          <w:lang w:val="en-US" w:eastAsia="en-US" w:bidi="ar-SA"/>
          <w14:ligatures w14:val="none"/>
        </w:rPr>
        <w:t>). Representative turnover has negative consequences for the association and is therefore associated with unfortunate outcomes for the association and is considered counterproductive work behavior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Möller</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 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2019</w:t>
      </w:r>
      <w:r w:rsidRPr="00A13FD2">
        <w:rPr>
          <w:rFonts w:ascii="Times New Roman" w:eastAsia="Times New Roman" w:hAnsi="Times New Roman" w:cs="Times New Roman"/>
          <w:color w:val="000000" w:themeColor="text1"/>
          <w:kern w:val="0"/>
          <w:sz w:val="24"/>
          <w:szCs w:val="24"/>
          <w:lang w:val="en-US" w:eastAsia="en-US" w:bidi="ar-SA"/>
          <w14:ligatures w14:val="none"/>
        </w:rPr>
        <w:t>). The results demonstrate that agents' withdrawal behavior negatively affects their ability to share inferred information. The results further confirm that such preparation has a clear impact on the movement of information, thus decisively influencing the execution of the boundary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Froese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2020</w:t>
      </w:r>
      <w:r w:rsidRPr="00A13FD2">
        <w:rPr>
          <w:rFonts w:ascii="Times New Roman" w:eastAsia="Times New Roman" w:hAnsi="Times New Roman" w:cs="Times New Roman"/>
          <w:color w:val="000000" w:themeColor="text1"/>
          <w:kern w:val="0"/>
          <w:sz w:val="24"/>
          <w:szCs w:val="24"/>
          <w:lang w:val="en-US" w:eastAsia="en-US" w:bidi="ar-SA"/>
          <w14:ligatures w14:val="none"/>
        </w:rPr>
        <w:t>). This paper complements the PMS paper by enhancing understanding of the cycle through which HRM frameworks impact outcomes at different levels of scrutiny towards cross-functional acquisitions power.</w:t>
      </w:r>
    </w:p>
    <w:p w14:paraId="183EA82F"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Challenges and </w:t>
      </w:r>
      <w:r w:rsidRPr="00A13FD2">
        <w:rPr>
          <w:rFonts w:ascii="Times New Roman" w:eastAsia="Times New Roman" w:hAnsi="Times New Roman" w:cs="Times New Roman"/>
          <w:b/>
          <w:bCs/>
          <w:color w:val="000000" w:themeColor="text1"/>
          <w:kern w:val="0"/>
          <w:sz w:val="24"/>
          <w:szCs w:val="24"/>
          <w:shd w:val="clear" w:color="auto" w:fill="FFFFFF"/>
          <w:lang w:val="en-US" w:eastAsia="en-US" w:bidi="ar-SA"/>
          <w14:ligatures w14:val="none"/>
        </w:rPr>
        <w:t>Shareholder wealth effects of cross border acquisitions</w:t>
      </w:r>
    </w:p>
    <w:p w14:paraId="36C6DB28"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lastRenderedPageBreak/>
        <w:t>Organizations have an incredible opportunity to expand geographically but also face the bet that unknown organizations will increase competition in their local markets. Mergers and Acquisitions (M&amp;A) are the most well-known means used by organizations to grow their business, and respond to or anticipate changes in the business environment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Morlando, 2021</w:t>
      </w:r>
      <w:r w:rsidRPr="00A13FD2">
        <w:rPr>
          <w:rFonts w:ascii="Times New Roman" w:eastAsia="Times New Roman" w:hAnsi="Times New Roman" w:cs="Times New Roman"/>
          <w:color w:val="000000" w:themeColor="text1"/>
          <w:kern w:val="0"/>
          <w:sz w:val="24"/>
          <w:szCs w:val="24"/>
          <w:lang w:val="en-US" w:eastAsia="en-US" w:bidi="ar-SA"/>
          <w14:ligatures w14:val="none"/>
        </w:rPr>
        <w:t>). The term M&amp;A broadly refers to any exchange that decides to merge one organization with another. The rationale behind these plans is that a joint organization can create more value than two separate organizations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Gupta, 2022</w:t>
      </w:r>
      <w:r w:rsidRPr="00A13FD2">
        <w:rPr>
          <w:rFonts w:ascii="Times New Roman" w:eastAsia="Times New Roman" w:hAnsi="Times New Roman" w:cs="Times New Roman"/>
          <w:color w:val="000000" w:themeColor="text1"/>
          <w:kern w:val="0"/>
          <w:sz w:val="24"/>
          <w:szCs w:val="24"/>
          <w:lang w:val="en-US" w:eastAsia="en-US" w:bidi="ar-SA"/>
          <w14:ligatures w14:val="none"/>
        </w:rPr>
        <w:t>). In the United States, mergers and acquisitions were common for quite some time, as several large organizations acquired many smaller organizations to oversee the underlying business activities at the time. </w:t>
      </w:r>
    </w:p>
    <w:p w14:paraId="05D25D55"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While considering the difficulties of sound business, organizations undertaking capital redistribution through mergers and acquisitions need to think about the particular situation and assess the quality of their performance in the future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Hečková</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et al. 2019</w:t>
      </w:r>
      <w:r w:rsidRPr="00A13FD2">
        <w:rPr>
          <w:rFonts w:ascii="Times New Roman" w:eastAsia="Times New Roman" w:hAnsi="Times New Roman" w:cs="Times New Roman"/>
          <w:color w:val="000000" w:themeColor="text1"/>
          <w:kern w:val="0"/>
          <w:sz w:val="24"/>
          <w:szCs w:val="24"/>
          <w:lang w:val="en-US" w:eastAsia="en-US" w:bidi="ar-SA"/>
          <w14:ligatures w14:val="none"/>
        </w:rPr>
        <w:t>). Therefore, the main goal of this article is to distinguish and explain the important properties of economic mergers and acquisitions (mergers and acquisitions) that influence their subsequent occurrence. Based on an assessment of 4,444 directors from 120 organizations (global organizations selected from the Breeze dataset), 4,444 of them in 45 countries in Europe are likely to cross the merger or acquisition boundary, important qualities were removed about their experience among their executions. These characteristics are taken into account when considering future consolidation or cross-line acquisition.</w:t>
      </w:r>
    </w:p>
    <w:p w14:paraId="72534A83"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Throughout an organization's existence, these two mergers approach key stages as they enable, for example, to increase police presence, overcome existing difficulties, and gain advantages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Gupta, 2022</w:t>
      </w:r>
      <w:r w:rsidRPr="00A13FD2">
        <w:rPr>
          <w:rFonts w:ascii="Times New Roman" w:eastAsia="Times New Roman" w:hAnsi="Times New Roman" w:cs="Times New Roman"/>
          <w:color w:val="000000" w:themeColor="text1"/>
          <w:kern w:val="0"/>
          <w:sz w:val="24"/>
          <w:szCs w:val="24"/>
          <w:lang w:val="en-US" w:eastAsia="en-US" w:bidi="ar-SA"/>
          <w14:ligatures w14:val="none"/>
        </w:rPr>
        <w:t>). However, issues, such as the large capital speculative prerequisites for acquisition or the difficulty of consolidation, make it difficult to combine to ensure that each exchange is exceptional in terms of luck and 'success'. Enrichment, i.e. the growth of an organization outside its sphere of activity, is another driving force behind mergers and acquisitions. These arrangements are more normal than before: their notoriety peaked in the 1960s, when organizations doing many mergers and partnerships acquired resources outside the center of their operations, as was the case at the time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Hečková</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et al. 2019</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In a review of 337 mergers between 1957 and 1975, investors buying the business, on both the proposer side and the acquirer side, have been shown to achieve better returns. </w:t>
      </w:r>
    </w:p>
    <w:p w14:paraId="005E6C1E"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lastRenderedPageBreak/>
        <w:t>Organizations may face various difficulties related to the  public and authoritarian culture of the target organization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Gupta, 2022</w:t>
      </w:r>
      <w:r w:rsidRPr="00A13FD2">
        <w:rPr>
          <w:rFonts w:ascii="Times New Roman" w:eastAsia="Times New Roman" w:hAnsi="Times New Roman" w:cs="Times New Roman"/>
          <w:color w:val="000000" w:themeColor="text1"/>
          <w:kern w:val="0"/>
          <w:sz w:val="24"/>
          <w:szCs w:val="24"/>
          <w:lang w:val="en-US" w:eastAsia="en-US" w:bidi="ar-SA"/>
          <w14:ligatures w14:val="none"/>
        </w:rPr>
        <w:t>). This could be a difference in culture, legal construction or spending structure, which can make the cross-industry M&amp;A process in the host country very complicated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McDonnell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2020</w:t>
      </w:r>
      <w:r w:rsidRPr="00A13FD2">
        <w:rPr>
          <w:rFonts w:ascii="Times New Roman" w:eastAsia="Times New Roman" w:hAnsi="Times New Roman" w:cs="Times New Roman"/>
          <w:color w:val="000000" w:themeColor="text1"/>
          <w:kern w:val="0"/>
          <w:sz w:val="24"/>
          <w:szCs w:val="24"/>
          <w:lang w:val="en-US" w:eastAsia="en-US" w:bidi="ar-SA"/>
          <w14:ligatures w14:val="none"/>
        </w:rPr>
        <w:t>). Furthermore, it also brings benefits to the economy, such as enhancing the efficiency, growth and financial development of the host country, especially if the strategies adopted by the public authority are good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Froese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2020</w:t>
      </w:r>
      <w:r w:rsidRPr="00A13FD2">
        <w:rPr>
          <w:rFonts w:ascii="Times New Roman" w:eastAsia="Times New Roman" w:hAnsi="Times New Roman" w:cs="Times New Roman"/>
          <w:color w:val="000000" w:themeColor="text1"/>
          <w:kern w:val="0"/>
          <w:sz w:val="24"/>
          <w:szCs w:val="24"/>
          <w:lang w:val="en-US" w:eastAsia="en-US" w:bidi="ar-SA"/>
          <w14:ligatures w14:val="none"/>
        </w:rPr>
        <w:t>). Changes in investor abundance are reflected in changes in stock prices. This change follows reports of mergers and acquisitions. </w:t>
      </w:r>
    </w:p>
    <w:p w14:paraId="41667D5C"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shd w:val="clear" w:color="auto" w:fill="FFFFFF"/>
          <w:lang w:val="en-US" w:eastAsia="en-US" w:bidi="ar-SA"/>
          <w14:ligatures w14:val="none"/>
        </w:rPr>
        <w:t>The role of cultural awareness in middle managers’ sense-making and sense giving practices </w:t>
      </w:r>
    </w:p>
    <w:p w14:paraId="13E410B0"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In recent years, mergers and acquisitions (M&amp;A) activities have become increasingly important to competing associations in the global mall. In this subjective top-down contextual analysis, the scientists understood the impact of center managers' emotions on their creative activities and critical correspondence during the post-participation period. The recursive and complementary cooperation between sensation, meaning, and correspondence that we found has prompted an improvement in the interaction model that describes how central supervisors understand the phase PMI segment through processes (Dao and Bauer, 2021). The model further suggests that two significantly important transmission repeats, "emotional switching" and "deep concealment", were found to be the main drivers of (good) emotional arousal in individuals. Core (Choe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2021). These findings have important implications for research on the generation and transmission of meaning, the central director's critical work in PMI associations and examinations. </w:t>
      </w:r>
    </w:p>
    <w:p w14:paraId="2F60DEC5"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Regardless of the more and more human factors being considered in writing PMIs, the PMI cycle is mostly considered a black box. In this way, studies are to some extent limited by the effects of street lights (i.e. peeking into the well-lit area and what might be usefully noticed) (Bhatt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2021). In particular, emotions are subtle in that they can be fleeting, heterogeneous, and difficult to put into words. The PMI period can be described as "the powerful and complex cycle whereby the acquirer and acquirer or their parts are merged to form another association" (Dao and Bauer, 2021). This stage can be thought of as a black box separated into a few related strides and cycles. PMI has in many cases been described as a deep and painful cycle, creating confusion and vulnerability for participants.</w:t>
      </w:r>
    </w:p>
    <w:p w14:paraId="324EF333"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The recursive and egalitarian communication between feelings, emotions, and impressions that was found led to the evolution of a cycle model that represents how the central supervisor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lastRenderedPageBreak/>
        <w:t xml:space="preserve">understands the PMI stage through the cycles “see as denotation” and “justification” (Kroon and Reif, 2023). This model demonstrates two additional important sense making techniques, “reversed feeling” and “stabilized feeling,” which have been shown to be key factors in eliciting emotions in individuals (Dao and Bauer, 2021). Mergers and acquisitions (M&amp;A) are becoming increasingly important for competing associations in global industries. The total number of mergers and acquisitions increased from 2,676 in 1985 to 44,926 in 2020 (Bhatt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2021). Essentially, the total value of global M&amp;A transactions has increased from $347 billion  in 1985 to $2.8 trillion in 2020.</w:t>
      </w:r>
    </w:p>
    <w:p w14:paraId="19D4B7E2"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shd w:val="clear" w:color="auto" w:fill="FFFFFF"/>
          <w:lang w:val="en-US" w:eastAsia="en-US" w:bidi="ar-SA"/>
          <w14:ligatures w14:val="none"/>
        </w:rPr>
        <w:t>The best practices for emotional sense-making in post-merger integration</w:t>
      </w:r>
    </w:p>
    <w:p w14:paraId="109F101A"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The rationale for this paper is to advance the post-merger socio-cultural attachment by participating in consulting research and gaining insight into the global corporate culture of the concept and feelings of spirituality (Bhatt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2021). The article understands the deeply meaningful approach that can be applied to socio-cultural PMI and draws attention to new evaluation criteria for future consideration from the point of view of this application (Hughes</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 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2020). Since the model emphasizes the singular level, the hypothetical ramifications for the full and medium socio-economic PMI are still limited. More importantly, the link between sensation and meaning creation opens a promising avenue for overcoming the PMI tendency to view socio-cultural factors as a set of relative thoughts.</w:t>
      </w:r>
    </w:p>
    <w:p w14:paraId="4139755C"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By promoting a structure that shows how sentiment and prominence in PMI complement and shape each other, this paper provides a first theoretical step towards a more integrated look (Johnson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2021). This article attempts to begin reinforcing the mental and emotional parts of Pixie to capture the latent cycles of the demon's sociocultural factors that shape individual behavior and shape meaning (Dao and Bauer, 2021). Research on the mental component of PMI has focused on how individuals structure their understanding of PMI situations before navigating and driving. </w:t>
      </w:r>
    </w:p>
    <w:p w14:paraId="545821F0"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Post-merger integration or PMI is the most common way to engage and reorganize organizations to understand the expected efficiency and collaborative energy that often leads to mergers and acquisitions (Hughes</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 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2020). To be successful, PMI must achieve four unique core goals: track calories from current workouts. Enhance and accelerate collaboration and value creation (Johnson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2021). The recursive communication and correspondence between sensations, emotions, and vibrations that were found led to the refinement of an interaction model that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lastRenderedPageBreak/>
        <w:t>describes how the central supervisor understands the PMI phase through the cycles “seeing as manifestation” and “justification”.</w:t>
      </w:r>
    </w:p>
    <w:p w14:paraId="541AD405"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shd w:val="clear" w:color="auto" w:fill="FFFFFF"/>
          <w:lang w:val="en-US" w:eastAsia="en-US" w:bidi="ar-SA"/>
          <w14:ligatures w14:val="none"/>
        </w:rPr>
        <w:t>Role of Multicultural skills for knowledge sourcing and sharing in open innovation</w:t>
      </w:r>
    </w:p>
    <w:p w14:paraId="2444A9DF"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Various social initiatives and capacities act as drivers of open progress and thus analyze the cycle by which groups can use multifaceted competencies to help improve government establishment, organization, and "knowledge sourcing and sharing"  (KSS) through networking and building private relationships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Engelsberger</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2022</w:t>
      </w:r>
      <w:r w:rsidRPr="00A13FD2">
        <w:rPr>
          <w:rFonts w:ascii="Times New Roman" w:eastAsia="Times New Roman" w:hAnsi="Times New Roman" w:cs="Times New Roman"/>
          <w:color w:val="000000" w:themeColor="text1"/>
          <w:kern w:val="0"/>
          <w:sz w:val="24"/>
          <w:szCs w:val="24"/>
          <w:lang w:val="en-US" w:eastAsia="en-US" w:bidi="ar-SA"/>
          <w14:ligatures w14:val="none"/>
        </w:rPr>
        <w:t>). The assessment's findings help administrators better understand how to build an individual's will and willingness to gather and share information through multifaceted capabilities and initiatives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Hashimy</w:t>
      </w:r>
      <w:proofErr w:type="spellEnd"/>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 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2023</w:t>
      </w:r>
      <w:r w:rsidRPr="00A13FD2">
        <w:rPr>
          <w:rFonts w:ascii="Times New Roman" w:eastAsia="Times New Roman" w:hAnsi="Times New Roman" w:cs="Times New Roman"/>
          <w:color w:val="000000" w:themeColor="text1"/>
          <w:kern w:val="0"/>
          <w:sz w:val="24"/>
          <w:szCs w:val="24"/>
          <w:lang w:val="en-US" w:eastAsia="en-US" w:bidi="ar-SA"/>
          <w14:ligatures w14:val="none"/>
        </w:rPr>
        <w:t>). Leaders must ensure that human resource leaders (HRM) rehearsals celebrate diverse abilities and support social power in promotion groups. </w:t>
      </w:r>
    </w:p>
    <w:p w14:paraId="7935929F"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Today's associations see both the costs and benefits of effectively gathering and sharing information between people, gatherings, and associations within and beyond hierarchical boundaries</w:t>
      </w:r>
      <w:r w:rsidRPr="00A13FD2">
        <w:rPr>
          <w:rFonts w:ascii="Arial" w:eastAsia="Arial" w:hAnsi="Arial" w:cs="Arial"/>
          <w:color w:val="000000" w:themeColor="text1"/>
          <w:kern w:val="0"/>
          <w:szCs w:val="22"/>
          <w:lang w:val="en-US" w:eastAsia="en-US" w:bidi="ar-SA"/>
          <w14:ligatures w14:val="none"/>
        </w:rPr>
        <w:t xml:space="preserve"> </w:t>
      </w:r>
      <w:r w:rsidRPr="00A13FD2">
        <w:rPr>
          <w:rFonts w:ascii="Times New Roman" w:eastAsia="Times New Roman" w:hAnsi="Times New Roman" w:cs="Times New Roman"/>
          <w:color w:val="000000" w:themeColor="text1"/>
          <w:kern w:val="0"/>
          <w:sz w:val="24"/>
          <w:szCs w:val="24"/>
          <w:lang w:val="en-US" w:eastAsia="en-US" w:bidi="ar-SA"/>
          <w14:ligatures w14:val="none"/>
        </w:rPr>
        <w:t>(</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Engelsberger</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2022</w:t>
      </w:r>
      <w:r w:rsidRPr="00A13FD2">
        <w:rPr>
          <w:rFonts w:ascii="Times New Roman" w:eastAsia="Times New Roman" w:hAnsi="Times New Roman" w:cs="Times New Roman"/>
          <w:color w:val="000000" w:themeColor="text1"/>
          <w:kern w:val="0"/>
          <w:sz w:val="24"/>
          <w:szCs w:val="24"/>
          <w:lang w:val="en-US" w:eastAsia="en-US" w:bidi="ar-SA"/>
          <w14:ligatures w14:val="none"/>
        </w:rPr>
        <w:t>). The ability of associations to develop and exchange information with external partners is seen as the foundation for fighting in complex and dynamic global industries. The increasingly diverse quality of the workforce has led to a growing interest in examining the complexity of breed monitoring for collaborative work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Pellegrini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2020</w:t>
      </w:r>
      <w:r w:rsidRPr="00A13FD2">
        <w:rPr>
          <w:rFonts w:ascii="Times New Roman" w:eastAsia="Times New Roman" w:hAnsi="Times New Roman" w:cs="Times New Roman"/>
          <w:color w:val="000000" w:themeColor="text1"/>
          <w:kern w:val="0"/>
          <w:sz w:val="24"/>
          <w:szCs w:val="24"/>
          <w:lang w:val="en-US" w:eastAsia="en-US" w:bidi="ar-SA"/>
          <w14:ligatures w14:val="none"/>
        </w:rPr>
        <w:t>). With an increase of more than 69% between 1990 and 2017, the number of global tourists (those residing in a country other than their birthplace) grew at a faster rate than the total population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Engelsberger</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2022</w:t>
      </w:r>
      <w:r w:rsidRPr="00A13FD2">
        <w:rPr>
          <w:rFonts w:ascii="Times New Roman" w:eastAsia="Times New Roman" w:hAnsi="Times New Roman" w:cs="Times New Roman"/>
          <w:color w:val="000000" w:themeColor="text1"/>
          <w:kern w:val="0"/>
          <w:sz w:val="24"/>
          <w:szCs w:val="24"/>
          <w:lang w:val="en-US" w:eastAsia="en-US" w:bidi="ar-SA"/>
          <w14:ligatures w14:val="none"/>
        </w:rPr>
        <w:t>). So practically any work environment is a place where companies and representatives are shaped by their social personalities and encounter with different companies.</w:t>
      </w:r>
    </w:p>
    <w:p w14:paraId="1746C9F6"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Multifaceted capabilities and social power act as drivers of open progress and thus analyze the cycle by which groups can use different capabilities to contribute to improved management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Greig et al. 2021</w:t>
      </w:r>
      <w:r w:rsidRPr="00A13FD2">
        <w:rPr>
          <w:rFonts w:ascii="Times New Roman" w:eastAsia="Times New Roman" w:hAnsi="Times New Roman" w:cs="Times New Roman"/>
          <w:color w:val="000000" w:themeColor="text1"/>
          <w:kern w:val="0"/>
          <w:sz w:val="24"/>
          <w:szCs w:val="24"/>
          <w:lang w:val="en-US" w:eastAsia="en-US" w:bidi="ar-SA"/>
          <w14:ligatures w14:val="none"/>
        </w:rPr>
        <w:t>). Members' choices to form groups, find and share information are motivated by personal rewards (such as organizational affiliations or long-term contacts), internalization skills (e.g., learning or creating personal direction), corresponding feelings, and desire to join the group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Pellegrini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2020</w:t>
      </w:r>
      <w:r w:rsidRPr="00A13FD2">
        <w:rPr>
          <w:rFonts w:ascii="Times New Roman" w:eastAsia="Times New Roman" w:hAnsi="Times New Roman" w:cs="Times New Roman"/>
          <w:color w:val="000000" w:themeColor="text1"/>
          <w:kern w:val="0"/>
          <w:sz w:val="24"/>
          <w:szCs w:val="24"/>
          <w:lang w:val="en-US" w:eastAsia="en-US" w:bidi="ar-SA"/>
          <w14:ligatures w14:val="none"/>
        </w:rPr>
        <w:t>). Creators seek more help from human resources (HR) administrators on social initiatives, event developments, and using multi-faceted capabilities to enhance KSS.</w:t>
      </w:r>
    </w:p>
    <w:p w14:paraId="11BEA0EF"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shd w:val="clear" w:color="auto" w:fill="FFFFFF"/>
          <w:lang w:val="en-US" w:eastAsia="en-US" w:bidi="ar-SA"/>
          <w14:ligatures w14:val="none"/>
        </w:rPr>
        <w:t>The Impact of HR Function and Talent Management in cross-cultural Mergers</w:t>
      </w:r>
    </w:p>
    <w:p w14:paraId="5930BE00"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This article analyzes the competencies of the two cultures corresponding to human resources that management (HRM) repeats in different mergers and acquisitions (M&amp;A). The convergence of </w:t>
      </w:r>
      <w:r w:rsidRPr="00A13FD2">
        <w:rPr>
          <w:rFonts w:ascii="Times New Roman" w:eastAsia="Times New Roman" w:hAnsi="Times New Roman" w:cs="Times New Roman"/>
          <w:color w:val="000000" w:themeColor="text1"/>
          <w:kern w:val="0"/>
          <w:sz w:val="24"/>
          <w:szCs w:val="24"/>
          <w:lang w:val="en-US" w:eastAsia="en-US" w:bidi="ar-SA"/>
          <w14:ligatures w14:val="none"/>
        </w:rPr>
        <w:lastRenderedPageBreak/>
        <w:t>human resource management, multifaceted board capabilities, diversity consolidation, and document assurance provide a calculated structure to capture the intricacies of multiple capabilities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Liu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2021</w:t>
      </w:r>
      <w:r w:rsidRPr="00A13FD2">
        <w:rPr>
          <w:rFonts w:ascii="Times New Roman" w:eastAsia="Times New Roman" w:hAnsi="Times New Roman" w:cs="Times New Roman"/>
          <w:color w:val="000000" w:themeColor="text1"/>
          <w:kern w:val="0"/>
          <w:sz w:val="24"/>
          <w:szCs w:val="24"/>
          <w:lang w:val="en-US" w:eastAsia="en-US" w:bidi="ar-SA"/>
          <w14:ligatures w14:val="none"/>
        </w:rPr>
        <w:t>). The paper advocates a network that has spatial dimensions (from the microcosm of each representation to the large-scale nature of the organization and its place within the large-scale social framework of the country) and transient views (calculated before the merge, during the merge, and after the merge)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Lundberg, 2020</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This provides a dynamic step-by-step test model of diverse operability. </w:t>
      </w:r>
    </w:p>
    <w:p w14:paraId="3DF5E349"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As a partnership, consolidation, and acquisition strategy that has been used for some time by many associations, from small to global, to pursue different goals, including rapid public and global development and improvement; commercial 'sharks' that help leading organizations access new information bases and drive growth; the development of misguided business sector organizations in advanced economies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Graham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2020</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The collective mental systems of teams in mergers and acquisitions can work with the advancement or growth of global organizations, about mergers and acquisitions as an influence on sustainability. </w:t>
      </w:r>
    </w:p>
    <w:p w14:paraId="1D1D46D5"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HR decides whether the companies with the authority of two complicit organizations have the viability to form one. When two companies organize a merger, the human resources department is responsible for achieving a smooth development that combines many factors, such as: board model of two associations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Liu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2021</w:t>
      </w:r>
      <w:r w:rsidRPr="00A13FD2">
        <w:rPr>
          <w:rFonts w:ascii="Times New Roman" w:eastAsia="Times New Roman" w:hAnsi="Times New Roman" w:cs="Times New Roman"/>
          <w:color w:val="000000" w:themeColor="text1"/>
          <w:kern w:val="0"/>
          <w:sz w:val="24"/>
          <w:szCs w:val="24"/>
          <w:lang w:val="en-US" w:eastAsia="en-US" w:bidi="ar-SA"/>
          <w14:ligatures w14:val="none"/>
        </w:rPr>
        <w:t>). The human assets that management needs to establish a comfortable workplace for a multicultural workforce by organizing celebrations and other special events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Greig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2021</w:t>
      </w:r>
      <w:r w:rsidRPr="00A13FD2">
        <w:rPr>
          <w:rFonts w:ascii="Times New Roman" w:eastAsia="Times New Roman" w:hAnsi="Times New Roman" w:cs="Times New Roman"/>
          <w:color w:val="000000" w:themeColor="text1"/>
          <w:kern w:val="0"/>
          <w:sz w:val="24"/>
          <w:szCs w:val="24"/>
          <w:lang w:val="en-US" w:eastAsia="en-US" w:bidi="ar-SA"/>
          <w14:ligatures w14:val="none"/>
        </w:rPr>
        <w:t>). Workers from a variety of companies can benefit from culturally diverse correspondence preparation provided by the association's human resources department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Lundberg, 2020</w:t>
      </w:r>
      <w:r w:rsidRPr="00A13FD2">
        <w:rPr>
          <w:rFonts w:ascii="Times New Roman" w:eastAsia="Times New Roman" w:hAnsi="Times New Roman" w:cs="Times New Roman"/>
          <w:color w:val="000000" w:themeColor="text1"/>
          <w:kern w:val="0"/>
          <w:sz w:val="24"/>
          <w:szCs w:val="24"/>
          <w:lang w:val="en-US" w:eastAsia="en-US" w:bidi="ar-SA"/>
          <w14:ligatures w14:val="none"/>
        </w:rPr>
        <w:t>). The essential concern of the board of directors before consolidating human resources is largely to ensure that all important regulations and guidelines are complied with, especially those related to opening doors for objective work.</w:t>
      </w:r>
    </w:p>
    <w:p w14:paraId="07330EA8"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shd w:val="clear" w:color="auto" w:fill="FFFFFF"/>
          <w:lang w:val="en-US" w:eastAsia="en-US" w:bidi="ar-SA"/>
          <w14:ligatures w14:val="none"/>
        </w:rPr>
        <w:t>Communicative competence and collaborative mindset for culturally diverse teams</w:t>
      </w:r>
    </w:p>
    <w:p w14:paraId="4CC5FC20"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This article demonstrates the feasibility of implementing an education and learning module based on the prerequisites of building relational skills in the workplace and collaborative reasoning related to the participation of English as an unknown dialect (Chen, 2021). Specifically, the assessment introduces the constructivist 5E approach as an educational institution and addresses the impact of assembled task-based learning situations on student engagement and emotions. The 5E model consists of five phases: engage, investigate, decipher, develop, and evaluate </w:t>
      </w:r>
      <w:r w:rsidRPr="00A13FD2">
        <w:rPr>
          <w:rFonts w:ascii="Times New Roman" w:eastAsia="Times New Roman" w:hAnsi="Times New Roman" w:cs="Times New Roman"/>
          <w:color w:val="000000" w:themeColor="text1"/>
          <w:kern w:val="0"/>
          <w:sz w:val="24"/>
          <w:szCs w:val="24"/>
          <w:lang w:val="en-US" w:eastAsia="en-US" w:bidi="ar-SA"/>
          <w14:ligatures w14:val="none"/>
        </w:rPr>
        <w:t>(</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Pellegrini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lastRenderedPageBreak/>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2020</w:t>
      </w:r>
      <w:r w:rsidRPr="00A13FD2">
        <w:rPr>
          <w:rFonts w:ascii="Times New Roman" w:eastAsia="Times New Roman" w:hAnsi="Times New Roman" w:cs="Times New Roman"/>
          <w:color w:val="000000" w:themeColor="text1"/>
          <w:kern w:val="0"/>
          <w:sz w:val="24"/>
          <w:szCs w:val="24"/>
          <w:lang w:val="en-US" w:eastAsia="en-US" w:bidi="ar-SA"/>
          <w14:ligatures w14:val="none"/>
        </w:rPr>
        <w:t>)</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In addition, exposure techniques, for example, collaborative business instruction from the academic community, field trips to industry, smart ingredients, and business-based referrals have been included step-by-step to highlight the social, collaborative, and critical thinking skills fostered by students. </w:t>
      </w:r>
    </w:p>
    <w:p w14:paraId="62664132"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Cross-functional mergers and acquisitions can generate operational and productivity benefits for the company, as well as for the host and host countries when successful modern reconstruction leads to increased skills. The benefits of this consolidation and acquisition gradually become imperceptible and become monetary spillovers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OECD-ilibrary.org, 2023</w:t>
      </w:r>
      <w:r w:rsidRPr="00A13FD2">
        <w:rPr>
          <w:rFonts w:ascii="Times New Roman" w:eastAsia="Times New Roman" w:hAnsi="Times New Roman" w:cs="Times New Roman"/>
          <w:color w:val="000000" w:themeColor="text1"/>
          <w:kern w:val="0"/>
          <w:sz w:val="24"/>
          <w:szCs w:val="24"/>
          <w:lang w:val="en-US" w:eastAsia="en-US" w:bidi="ar-SA"/>
          <w14:ligatures w14:val="none"/>
        </w:rPr>
        <w:t>). They can help revive struggling local organizations and economies while creating jobs through rebuilding, ensuring innovation and productive growth. Regardless, countries have different approaches to mergers and acquisitions, including unfamiliar entities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OECD-ilibrary.org, 2023</w:t>
      </w:r>
      <w:r w:rsidRPr="00A13FD2">
        <w:rPr>
          <w:rFonts w:ascii="Times New Roman" w:eastAsia="Times New Roman" w:hAnsi="Times New Roman" w:cs="Times New Roman"/>
          <w:color w:val="000000" w:themeColor="text1"/>
          <w:kern w:val="0"/>
          <w:sz w:val="24"/>
          <w:szCs w:val="24"/>
          <w:lang w:val="en-US" w:eastAsia="en-US" w:bidi="ar-SA"/>
          <w14:ligatures w14:val="none"/>
        </w:rPr>
        <w:t>). In addition, at times, failure to meet commodity and element market expectations can hinder recognition of the positive impact of mergers and acquisitions on currency growth and job creation.</w:t>
      </w:r>
    </w:p>
    <w:p w14:paraId="07E018BF"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In any case, a typical problem encountered in educational settings is that students with extremely fixed attitudes often oppose productive learning due to the lack of viable trend-shaping techniques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Moirano</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2020). Meanwhile, this needs-based education and learning module maintains the foundation, conceptualized as the communication between students, educators, and learning content. Therefore, a multimodal framework process is used to support students along different paths through a combination of various learning exercises (Chen, 2021). Finally, from the point of view of promoting students' psychological inclinations, it is surprising that most students claim to have achieved an extraordinary arrangement in learning mental inclinations.</w:t>
      </w:r>
    </w:p>
    <w:p w14:paraId="3B221B59"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This involves focusing on verbal and non-verbal cues, tone and pace as well as the appropriateness of customs and authenticity in different societies and dialects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Jhaiyanuntana</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and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Nomnian</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2020). It also involves using simple and clear language, staying away from commercial language and speech, and testing understanding and explanation. The relationship between letters and culture is extremely confusing and personal (Chen, 2021). Culture was carried out by letters; Letters are the mode of human communication through which social attributes are created and shared. </w:t>
      </w:r>
    </w:p>
    <w:p w14:paraId="267FF582"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shd w:val="clear" w:color="auto" w:fill="FFFFFF"/>
          <w:lang w:val="en-US" w:eastAsia="en-US" w:bidi="ar-SA"/>
          <w14:ligatures w14:val="none"/>
        </w:rPr>
        <w:t>Factors affecting knowledge sharing for fostering effective communication in virtual teams</w:t>
      </w:r>
    </w:p>
    <w:p w14:paraId="15FA3D58"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Changing events and innovative uses of information and communications technology (ICT) are growing at a rapid pace worldwide. ICT has created new ways of working, such as virtual associations, virtual teams, and remote working, and this is just the beginning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Davidavičienė</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lastRenderedPageBreak/>
        <w:t>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2020). Virtual teams give associations an advantage by allowing them to recruit skilled people from around the world and remove the requirement for physical accessibility in the workplace (Elia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2019). Either way, a key issue hindering the effectiveness of virtual teams is information sharing. Lack of adequate information distributed among peers can cause associations to neglect the implementation of effective techniques. The evolution of the global economy and the need for a rethink make information sharing an important variable across global borders and time zones. </w:t>
      </w:r>
    </w:p>
    <w:p w14:paraId="3C100687"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Relationship struggle refers to conflict over non-business issues, such as social or personal. Process conflicts refer to conflicts that can arise as a result of conflicts over process, task methodology, task assignment, and team assets (Elia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2019). This study has several branches to consider, as it quickly explores the last seven factors that impact information participation in an emerging country, namely specific culture, inspiration, language, culture, IT, belief, and power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Moirano</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2020). Promoting and increasing information sharing within associations remains a test for associations. Associations should promote a technique to promote information sharing within the association. Associations should understand the factors that influence information sharing. </w:t>
      </w:r>
    </w:p>
    <w:p w14:paraId="4DD72D4D"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The knowledge sharing accounts into seven factors that influence informational participation in virtual teams: culture, inspiration, language, struggle, computing, faith and power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Davidavičienė</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2020). One of the most surprising ways to communicate successfully in virtual gatherings is to prepare in advance. This includes testing your innovation, testing audio and video, choosing the right background and lighting, and avoiding interruptions and interference (Elia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2019). For virtual gatherings, always have proper planning and design. Individuals often prioritize consistency over vulnerability when entering new situations, so understand what to expect and what is generally expected of all interested parties.</w:t>
      </w:r>
    </w:p>
    <w:p w14:paraId="52F1CF05"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21" w:name="_Toc145934227"/>
      <w:r w:rsidRPr="00A13FD2">
        <w:rPr>
          <w:rFonts w:ascii="Times New Roman" w:eastAsia="Arial" w:hAnsi="Times New Roman" w:cs="Arial"/>
          <w:b/>
          <w:color w:val="000000" w:themeColor="text1"/>
          <w:kern w:val="0"/>
          <w:sz w:val="26"/>
          <w:szCs w:val="32"/>
          <w:lang w:val="en-US" w:eastAsia="en-US" w:bidi="ar-SA"/>
          <w14:ligatures w14:val="none"/>
        </w:rPr>
        <w:t>2.5 Literature Gap</w:t>
      </w:r>
      <w:bookmarkEnd w:id="21"/>
      <w:r w:rsidRPr="00A13FD2">
        <w:rPr>
          <w:rFonts w:ascii="Times New Roman" w:eastAsia="Arial" w:hAnsi="Times New Roman" w:cs="Arial"/>
          <w:b/>
          <w:color w:val="000000" w:themeColor="text1"/>
          <w:kern w:val="0"/>
          <w:sz w:val="26"/>
          <w:szCs w:val="32"/>
          <w:lang w:val="en-US" w:eastAsia="en-US" w:bidi="ar-SA"/>
          <w14:ligatures w14:val="none"/>
        </w:rPr>
        <w:t xml:space="preserve"> </w:t>
      </w:r>
    </w:p>
    <w:p w14:paraId="219FC9CF" w14:textId="77777777" w:rsidR="00A13FD2" w:rsidRPr="00A13FD2" w:rsidRDefault="00A13FD2" w:rsidP="00A13FD2">
      <w:pPr>
        <w:spacing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The literature gap in exploring ways to manage cultural diversity in cross-border mergers in Asia for UK-based companies refers to areas or aspects of the research topic that have not been extensively studied or adequately addressed in the existing literature. Identifying these gaps is crucial for guiding the focus and direction of the research and for contributing new knowledge to the field. Some of the key literature gaps in this research area include:</w:t>
      </w:r>
    </w:p>
    <w:p w14:paraId="0A0DDF9F" w14:textId="77777777" w:rsidR="00A13FD2" w:rsidRPr="00A13FD2" w:rsidRDefault="00A13FD2" w:rsidP="00A13FD2">
      <w:pPr>
        <w:spacing w:line="360" w:lineRule="auto"/>
        <w:jc w:val="both"/>
        <w:rPr>
          <w:rFonts w:ascii="Times New Roman" w:eastAsia="Times New Roman" w:hAnsi="Times New Roman" w:cs="Times New Roman"/>
          <w:b/>
          <w:i/>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lastRenderedPageBreak/>
        <w:t>Context-Specific Approaches:</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The existing literature may lack context-specific approaches to managing cultural diversity in cross-border mergers in different Asian regions (</w:t>
      </w:r>
      <w:proofErr w:type="spellStart"/>
      <w:r w:rsidRPr="00A13FD2">
        <w:rPr>
          <w:rFonts w:ascii="Times New Roman" w:eastAsia="Times New Roman" w:hAnsi="Times New Roman" w:cs="Times New Roman"/>
          <w:color w:val="000000" w:themeColor="text1"/>
          <w:kern w:val="0"/>
          <w:sz w:val="24"/>
          <w:szCs w:val="24"/>
          <w:lang w:val="en-US" w:eastAsia="en-US" w:bidi="ar-SA"/>
          <w14:ligatures w14:val="none"/>
        </w:rPr>
        <w:t>Degbey</w:t>
      </w:r>
      <w:proofErr w:type="spellEnd"/>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lang w:val="en-US" w:eastAsia="en-US" w:bidi="ar-SA"/>
          <w14:ligatures w14:val="none"/>
        </w:rPr>
        <w:t>et al.</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2021). Each country in Asia has unique cultural characteristics, and the effectiveness of certain strategies may vary across contexts. The research should explore culture-specific considerations for UK-based companies in different Asian markets. </w:t>
      </w:r>
      <w:r w:rsidRPr="00A13FD2">
        <w:rPr>
          <w:rFonts w:ascii="Times New Roman" w:eastAsia="Times New Roman" w:hAnsi="Times New Roman" w:cs="Times New Roman"/>
          <w:b/>
          <w:i/>
          <w:color w:val="000000" w:themeColor="text1"/>
          <w:kern w:val="0"/>
          <w:sz w:val="24"/>
          <w:szCs w:val="24"/>
          <w:lang w:val="en-US" w:eastAsia="en-US" w:bidi="ar-SA"/>
          <w14:ligatures w14:val="none"/>
        </w:rPr>
        <w:t>[Referred to Appendix 2]</w:t>
      </w:r>
    </w:p>
    <w:p w14:paraId="51488CEF"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Impact on Market Performance: </w:t>
      </w:r>
      <w:r w:rsidRPr="00A13FD2">
        <w:rPr>
          <w:rFonts w:ascii="Times New Roman" w:eastAsia="Times New Roman" w:hAnsi="Times New Roman" w:cs="Times New Roman"/>
          <w:color w:val="000000" w:themeColor="text1"/>
          <w:kern w:val="0"/>
          <w:sz w:val="24"/>
          <w:szCs w:val="24"/>
          <w:lang w:val="en-US" w:eastAsia="en-US" w:bidi="ar-SA"/>
          <w14:ligatures w14:val="none"/>
        </w:rPr>
        <w:t>While some studies may have touched on the impact of cultural diversity on business performance, there might be a lack of comprehensive research focusing on how effectively managing cultural diversity in cross-border mergers directly influences market performance in Asian markets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He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2020</w:t>
      </w:r>
      <w:r w:rsidRPr="00A13FD2">
        <w:rPr>
          <w:rFonts w:ascii="Times New Roman" w:eastAsia="Times New Roman" w:hAnsi="Times New Roman" w:cs="Times New Roman"/>
          <w:color w:val="000000" w:themeColor="text1"/>
          <w:kern w:val="0"/>
          <w:sz w:val="24"/>
          <w:szCs w:val="24"/>
          <w:lang w:val="en-US" w:eastAsia="en-US" w:bidi="ar-SA"/>
          <w14:ligatures w14:val="none"/>
        </w:rPr>
        <w:t>). Understanding this link is essential for companies seeking successful expansion.</w:t>
      </w:r>
    </w:p>
    <w:p w14:paraId="6753932D"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Legal and Regulatory Implications:</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The literature gap may lie in the lack of in-depth exploration of the legal and regulatory implications of managing cultural diversity in cross-border mergers in Asia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Moirano</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2020)</w:t>
      </w:r>
      <w:r w:rsidRPr="00A13FD2">
        <w:rPr>
          <w:rFonts w:ascii="Times New Roman" w:eastAsia="Times New Roman" w:hAnsi="Times New Roman" w:cs="Times New Roman"/>
          <w:color w:val="000000" w:themeColor="text1"/>
          <w:kern w:val="0"/>
          <w:sz w:val="24"/>
          <w:szCs w:val="24"/>
          <w:lang w:val="en-US" w:eastAsia="en-US" w:bidi="ar-SA"/>
          <w14:ligatures w14:val="none"/>
        </w:rPr>
        <w:t>. This includes addressing the challenges of compliance with local laws and regulations influenced by cultural differences.</w:t>
      </w:r>
    </w:p>
    <w:p w14:paraId="0C4203D6"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Measurement Metrics and Assessment: </w:t>
      </w:r>
      <w:r w:rsidRPr="00A13FD2">
        <w:rPr>
          <w:rFonts w:ascii="Times New Roman" w:eastAsia="Times New Roman" w:hAnsi="Times New Roman" w:cs="Times New Roman"/>
          <w:color w:val="000000" w:themeColor="text1"/>
          <w:kern w:val="0"/>
          <w:sz w:val="24"/>
          <w:szCs w:val="24"/>
          <w:lang w:val="en-US" w:eastAsia="en-US" w:bidi="ar-SA"/>
          <w14:ligatures w14:val="none"/>
        </w:rPr>
        <w:t>The research may lack a standardized set of measurement metrics and assessment tools to evaluate the success of cultural diversity management in cross-border mergers (</w:t>
      </w:r>
      <w:proofErr w:type="spellStart"/>
      <w:r w:rsidRPr="00A13FD2">
        <w:rPr>
          <w:rFonts w:ascii="Times New Roman" w:eastAsia="Times New Roman" w:hAnsi="Times New Roman" w:cs="Times New Roman"/>
          <w:color w:val="000000" w:themeColor="text1"/>
          <w:kern w:val="0"/>
          <w:sz w:val="24"/>
          <w:szCs w:val="24"/>
          <w:lang w:val="en-US" w:eastAsia="en-US" w:bidi="ar-SA"/>
          <w14:ligatures w14:val="none"/>
        </w:rPr>
        <w:t>Degbey</w:t>
      </w:r>
      <w:proofErr w:type="spellEnd"/>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lang w:val="en-US" w:eastAsia="en-US" w:bidi="ar-SA"/>
          <w14:ligatures w14:val="none"/>
        </w:rPr>
        <w:t>et al.</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2021). Developing robust evaluation methods will help companies gauge the effectiveness of their strategies.</w:t>
      </w:r>
    </w:p>
    <w:p w14:paraId="5B99DE17"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22" w:name="_Toc145934228"/>
      <w:r w:rsidRPr="00A13FD2">
        <w:rPr>
          <w:rFonts w:ascii="Times New Roman" w:eastAsia="Arial" w:hAnsi="Times New Roman" w:cs="Arial"/>
          <w:b/>
          <w:color w:val="000000" w:themeColor="text1"/>
          <w:kern w:val="0"/>
          <w:sz w:val="26"/>
          <w:szCs w:val="32"/>
          <w:lang w:val="en-US" w:eastAsia="en-US" w:bidi="ar-SA"/>
          <w14:ligatures w14:val="none"/>
        </w:rPr>
        <w:t>2.6 Theories and Models</w:t>
      </w:r>
      <w:bookmarkEnd w:id="22"/>
      <w:r w:rsidRPr="00A13FD2">
        <w:rPr>
          <w:rFonts w:ascii="Times New Roman" w:eastAsia="Arial" w:hAnsi="Times New Roman" w:cs="Arial"/>
          <w:b/>
          <w:color w:val="000000" w:themeColor="text1"/>
          <w:kern w:val="0"/>
          <w:sz w:val="26"/>
          <w:szCs w:val="32"/>
          <w:lang w:val="en-US" w:eastAsia="en-US" w:bidi="ar-SA"/>
          <w14:ligatures w14:val="none"/>
        </w:rPr>
        <w:t xml:space="preserve"> </w:t>
      </w:r>
    </w:p>
    <w:p w14:paraId="38E9FEC8" w14:textId="77777777" w:rsidR="00A13FD2" w:rsidRPr="00A13FD2" w:rsidRDefault="00A13FD2" w:rsidP="00A13FD2">
      <w:pPr>
        <w:spacing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Several theories and models can be utilized to explore ways to manage cultural diversity in cross-border mergers in Asia for UK-based companies. These theories and models offer valuable insights into understanding cultural differences, fostering effective communication, and promoting successful integration. Here are some key theories and models relevant to this research:</w:t>
      </w:r>
    </w:p>
    <w:p w14:paraId="03E0241D"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 Hofstede's Cultural Dimensions Theory: </w:t>
      </w:r>
      <w:r w:rsidRPr="00A13FD2">
        <w:rPr>
          <w:rFonts w:ascii="Times New Roman" w:eastAsia="Times New Roman" w:hAnsi="Times New Roman" w:cs="Times New Roman"/>
          <w:color w:val="000000" w:themeColor="text1"/>
          <w:kern w:val="0"/>
          <w:sz w:val="24"/>
          <w:szCs w:val="24"/>
          <w:lang w:val="en-US" w:eastAsia="en-US" w:bidi="ar-SA"/>
          <w14:ligatures w14:val="none"/>
        </w:rPr>
        <w:t>Proposed by Geert Hofstede, this theory identifies six cultural dimensions (Power Distance, Individualism vs. Collectivism, Masculinity vs. Femininity, Uncertainty Avoidance, Long-Term vs. Short-Term Orientation, and Indulgence vs. Restraint) that influence how cultures differ from one another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Wenxin and Yue, 2022</w:t>
      </w:r>
      <w:r w:rsidRPr="00A13FD2">
        <w:rPr>
          <w:rFonts w:ascii="Times New Roman" w:eastAsia="Times New Roman" w:hAnsi="Times New Roman" w:cs="Times New Roman"/>
          <w:color w:val="000000" w:themeColor="text1"/>
          <w:kern w:val="0"/>
          <w:sz w:val="24"/>
          <w:szCs w:val="24"/>
          <w:lang w:val="en-US" w:eastAsia="en-US" w:bidi="ar-SA"/>
          <w14:ligatures w14:val="none"/>
        </w:rPr>
        <w:t>). This theory helps in understanding and comparing cultural traits, which is essential for devising strategies to manage cultural diversity in cross-border mergers.</w:t>
      </w:r>
    </w:p>
    <w:p w14:paraId="48D61DC3"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lastRenderedPageBreak/>
        <w:t xml:space="preserve">Cultural Intelligence (CQ): </w:t>
      </w:r>
      <w:r w:rsidRPr="00A13FD2">
        <w:rPr>
          <w:rFonts w:ascii="Times New Roman" w:eastAsia="Times New Roman" w:hAnsi="Times New Roman" w:cs="Times New Roman"/>
          <w:color w:val="000000" w:themeColor="text1"/>
          <w:kern w:val="0"/>
          <w:sz w:val="24"/>
          <w:szCs w:val="24"/>
          <w:lang w:val="en-US" w:eastAsia="en-US" w:bidi="ar-SA"/>
          <w14:ligatures w14:val="none"/>
        </w:rPr>
        <w:t>Cultural Intelligence is a theoretical framework that focuses on the capability of individuals and organizations to interact effectively across cultures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Iskhakova</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and Ott, 2020</w:t>
      </w:r>
      <w:r w:rsidRPr="00A13FD2">
        <w:rPr>
          <w:rFonts w:ascii="Times New Roman" w:eastAsia="Times New Roman" w:hAnsi="Times New Roman" w:cs="Times New Roman"/>
          <w:color w:val="000000" w:themeColor="text1"/>
          <w:kern w:val="0"/>
          <w:sz w:val="24"/>
          <w:szCs w:val="24"/>
          <w:lang w:val="en-US" w:eastAsia="en-US" w:bidi="ar-SA"/>
          <w14:ligatures w14:val="none"/>
        </w:rPr>
        <w:t>). Developed by Earley and Ang, CQ involves four components: met cognitive, cognitive, motivational, and behavioral. Companies can apply CQ principles to equip their employees and leaders with the skills to adapt and thrive in diverse cultural settings.</w:t>
      </w:r>
    </w:p>
    <w:p w14:paraId="5940A8A4"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Intercultural Communication Competence (ICC): </w:t>
      </w:r>
      <w:r w:rsidRPr="00A13FD2">
        <w:rPr>
          <w:rFonts w:ascii="Times New Roman" w:eastAsia="Times New Roman" w:hAnsi="Times New Roman" w:cs="Times New Roman"/>
          <w:color w:val="000000" w:themeColor="text1"/>
          <w:kern w:val="0"/>
          <w:sz w:val="24"/>
          <w:szCs w:val="24"/>
          <w:lang w:val="en-US" w:eastAsia="en-US" w:bidi="ar-SA"/>
          <w14:ligatures w14:val="none"/>
        </w:rPr>
        <w:t>The ICC model, proposed by Lustig and Koester, emphasizes the importance of effective intercultural communication in diverse contexts. Understanding and improving intercultural communication competence can enhance cross-border communication and collaboration during mergers.</w:t>
      </w:r>
    </w:p>
    <w:p w14:paraId="20927D83"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Contact Hypothesis Theory:</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The Contact Hypothesis, developed by Allport, suggests that direct contact between individuals from different cultural backgrounds can reduce prejudice and promote positive attitudes toward each other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Paluck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2019</w:t>
      </w:r>
      <w:r w:rsidRPr="00A13FD2">
        <w:rPr>
          <w:rFonts w:ascii="Times New Roman" w:eastAsia="Times New Roman" w:hAnsi="Times New Roman" w:cs="Times New Roman"/>
          <w:color w:val="000000" w:themeColor="text1"/>
          <w:kern w:val="0"/>
          <w:sz w:val="24"/>
          <w:szCs w:val="24"/>
          <w:lang w:val="en-US" w:eastAsia="en-US" w:bidi="ar-SA"/>
          <w14:ligatures w14:val="none"/>
        </w:rPr>
        <w:t>). Implementing this theory through cross-cultural team projects and shared activities can foster mutual understanding among employees in merged entities.</w:t>
      </w:r>
    </w:p>
    <w:p w14:paraId="2EE5CD94"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noProof/>
          <w:color w:val="000000" w:themeColor="text1"/>
          <w:kern w:val="0"/>
          <w:sz w:val="24"/>
          <w:szCs w:val="24"/>
          <w:lang w:val="en-US" w:eastAsia="en-US" w:bidi="ar-SA"/>
          <w14:ligatures w14:val="none"/>
        </w:rPr>
        <w:drawing>
          <wp:inline distT="0" distB="0" distL="0" distR="0" wp14:anchorId="3C1E36EE" wp14:editId="6E2E242C">
            <wp:extent cx="5721292" cy="3204594"/>
            <wp:effectExtent l="0" t="1270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410C6914" w14:textId="77777777" w:rsidR="00A13FD2" w:rsidRPr="00A13FD2" w:rsidRDefault="00A13FD2" w:rsidP="00A13FD2">
      <w:pPr>
        <w:keepNext/>
        <w:keepLines/>
        <w:spacing w:before="320" w:after="80" w:line="360" w:lineRule="auto"/>
        <w:jc w:val="center"/>
        <w:outlineLvl w:val="2"/>
        <w:rPr>
          <w:rFonts w:ascii="Times New Roman" w:eastAsia="Arial" w:hAnsi="Times New Roman" w:cs="Arial"/>
          <w:b/>
          <w:color w:val="000000" w:themeColor="text1"/>
          <w:kern w:val="0"/>
          <w:sz w:val="24"/>
          <w:szCs w:val="28"/>
          <w:lang w:val="en-US" w:eastAsia="en-US" w:bidi="ar-SA"/>
          <w14:ligatures w14:val="none"/>
        </w:rPr>
      </w:pPr>
      <w:bookmarkStart w:id="23" w:name="_Toc145936902"/>
      <w:bookmarkStart w:id="24" w:name="_Toc148097351"/>
      <w:r w:rsidRPr="00A13FD2">
        <w:rPr>
          <w:rFonts w:ascii="Times New Roman" w:eastAsia="Times New Roman" w:hAnsi="Times New Roman" w:cs="Arial"/>
          <w:b/>
          <w:color w:val="000000" w:themeColor="text1"/>
          <w:kern w:val="0"/>
          <w:sz w:val="24"/>
          <w:szCs w:val="28"/>
          <w:lang w:val="en-US" w:eastAsia="en-US" w:bidi="ar-SA"/>
          <w14:ligatures w14:val="none"/>
        </w:rPr>
        <w:t xml:space="preserve">Figure 4: </w:t>
      </w:r>
      <w:r w:rsidRPr="00A13FD2">
        <w:rPr>
          <w:rFonts w:ascii="Times New Roman" w:eastAsia="Arial" w:hAnsi="Times New Roman" w:cs="Arial"/>
          <w:b/>
          <w:color w:val="000000" w:themeColor="text1"/>
          <w:kern w:val="0"/>
          <w:sz w:val="24"/>
          <w:szCs w:val="28"/>
          <w:lang w:val="en-US" w:eastAsia="en-US" w:bidi="ar-SA"/>
          <w14:ligatures w14:val="none"/>
        </w:rPr>
        <w:t>Theories and models of managing cultural diversity</w:t>
      </w:r>
      <w:bookmarkEnd w:id="23"/>
      <w:bookmarkEnd w:id="24"/>
    </w:p>
    <w:p w14:paraId="1427F497" w14:textId="77777777" w:rsidR="00A13FD2" w:rsidRPr="00A13FD2" w:rsidRDefault="00A13FD2" w:rsidP="00A13FD2">
      <w:pPr>
        <w:spacing w:line="360" w:lineRule="auto"/>
        <w:jc w:val="center"/>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(Source: Self-created in Ms. Word)</w:t>
      </w:r>
    </w:p>
    <w:p w14:paraId="5BDF13E7"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The Dual Concern Model: </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This model, introduced by Pruitt and Rubin, focuses on conflict resolution in intercultural interactions. It suggests that individuals in cross-cultural settings can </w:t>
      </w:r>
      <w:r w:rsidRPr="00A13FD2">
        <w:rPr>
          <w:rFonts w:ascii="Times New Roman" w:eastAsia="Times New Roman" w:hAnsi="Times New Roman" w:cs="Times New Roman"/>
          <w:color w:val="000000" w:themeColor="text1"/>
          <w:kern w:val="0"/>
          <w:sz w:val="24"/>
          <w:szCs w:val="24"/>
          <w:lang w:val="en-US" w:eastAsia="en-US" w:bidi="ar-SA"/>
          <w14:ligatures w14:val="none"/>
        </w:rPr>
        <w:lastRenderedPageBreak/>
        <w:t>adopt one of four conflict management styles: accommodating, avoiding, competing, or collaborating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Wu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2019</w:t>
      </w:r>
      <w:r w:rsidRPr="00A13FD2">
        <w:rPr>
          <w:rFonts w:ascii="Times New Roman" w:eastAsia="Times New Roman" w:hAnsi="Times New Roman" w:cs="Times New Roman"/>
          <w:color w:val="000000" w:themeColor="text1"/>
          <w:kern w:val="0"/>
          <w:sz w:val="24"/>
          <w:szCs w:val="24"/>
          <w:lang w:val="en-US" w:eastAsia="en-US" w:bidi="ar-SA"/>
          <w14:ligatures w14:val="none"/>
        </w:rPr>
        <w:t>). Understanding and promoting collaborative conflict resolution can contribute to effective integration.</w:t>
      </w:r>
    </w:p>
    <w:p w14:paraId="180B76F6"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Cultural Assimilator Model: </w:t>
      </w:r>
      <w:r w:rsidRPr="00A13FD2">
        <w:rPr>
          <w:rFonts w:ascii="Times New Roman" w:eastAsia="Times New Roman" w:hAnsi="Times New Roman" w:cs="Times New Roman"/>
          <w:color w:val="000000" w:themeColor="text1"/>
          <w:kern w:val="0"/>
          <w:sz w:val="24"/>
          <w:szCs w:val="24"/>
          <w:lang w:val="en-US" w:eastAsia="en-US" w:bidi="ar-SA"/>
          <w14:ligatures w14:val="none"/>
        </w:rPr>
        <w:t>The Cultural Assimilator Model is an experiential learning approach developed by Kelley and Meyers to enhance cultural awareness and sensitivity (Creech, 2022). By presenting real-life scenarios and allowing participants to explore cultural responses, this model can help employees develop cultural competence.</w:t>
      </w:r>
    </w:p>
    <w:p w14:paraId="0ADF8061"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The Social Identity Theory:</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Proposed by Tajfel and Turner, this theory explores how individuals define their social identities based on group affiliations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Scheepers</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and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Ellemers</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2019</w:t>
      </w:r>
      <w:r w:rsidRPr="00A13FD2">
        <w:rPr>
          <w:rFonts w:ascii="Times New Roman" w:eastAsia="Times New Roman" w:hAnsi="Times New Roman" w:cs="Times New Roman"/>
          <w:color w:val="000000" w:themeColor="text1"/>
          <w:kern w:val="0"/>
          <w:sz w:val="24"/>
          <w:szCs w:val="24"/>
          <w:lang w:val="en-US" w:eastAsia="en-US" w:bidi="ar-SA"/>
          <w14:ligatures w14:val="none"/>
        </w:rPr>
        <w:t>). Understanding social identity dynamics can help companies foster a sense of unity and shared identity within the merged organization.</w:t>
      </w:r>
    </w:p>
    <w:p w14:paraId="3B4CC7E1"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The Iceberg Model of Culture: </w:t>
      </w:r>
      <w:r w:rsidRPr="00A13FD2">
        <w:rPr>
          <w:rFonts w:ascii="Times New Roman" w:eastAsia="Times New Roman" w:hAnsi="Times New Roman" w:cs="Times New Roman"/>
          <w:color w:val="000000" w:themeColor="text1"/>
          <w:kern w:val="0"/>
          <w:sz w:val="24"/>
          <w:szCs w:val="24"/>
          <w:lang w:val="en-US" w:eastAsia="en-US" w:bidi="ar-SA"/>
          <w14:ligatures w14:val="none"/>
        </w:rPr>
        <w:t>This model, developed by Hall, suggests that culture has both visible and hidden aspects. The visible aspects, like language and behavior, are the tip of the iceberg, while the hidden aspects, such as values and beliefs, lie beneath the surface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Wu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2019</w:t>
      </w:r>
      <w:r w:rsidRPr="00A13FD2">
        <w:rPr>
          <w:rFonts w:ascii="Times New Roman" w:eastAsia="Times New Roman" w:hAnsi="Times New Roman" w:cs="Times New Roman"/>
          <w:color w:val="000000" w:themeColor="text1"/>
          <w:kern w:val="0"/>
          <w:sz w:val="24"/>
          <w:szCs w:val="24"/>
          <w:lang w:val="en-US" w:eastAsia="en-US" w:bidi="ar-SA"/>
          <w14:ligatures w14:val="none"/>
        </w:rPr>
        <w:t>). Recognizing the underlying cultural dimensions can aid in managing diversity more effectively.</w:t>
      </w:r>
    </w:p>
    <w:p w14:paraId="0B9CD6E3"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Lewin's Change Management Model:</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This model, developed by Kurt Lewin, emphasizes a three-step process for managing change: unfreezing, changing, and refreezing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Harrison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2021</w:t>
      </w:r>
      <w:r w:rsidRPr="00A13FD2">
        <w:rPr>
          <w:rFonts w:ascii="Times New Roman" w:eastAsia="Times New Roman" w:hAnsi="Times New Roman" w:cs="Times New Roman"/>
          <w:color w:val="000000" w:themeColor="text1"/>
          <w:kern w:val="0"/>
          <w:sz w:val="24"/>
          <w:szCs w:val="24"/>
          <w:lang w:val="en-US" w:eastAsia="en-US" w:bidi="ar-SA"/>
          <w14:ligatures w14:val="none"/>
        </w:rPr>
        <w:t>). Adapting this model to cultural diversity management can help organizations navigate the cultural transition during cross-border mergers.</w:t>
      </w:r>
    </w:p>
    <w:p w14:paraId="1AEC7545"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The Social Network Theory:</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The Social Network Theory explores the relationships and connections between individuals and groups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Xing and Cao, 2019</w:t>
      </w:r>
      <w:r w:rsidRPr="00A13FD2">
        <w:rPr>
          <w:rFonts w:ascii="Times New Roman" w:eastAsia="Times New Roman" w:hAnsi="Times New Roman" w:cs="Times New Roman"/>
          <w:color w:val="000000" w:themeColor="text1"/>
          <w:kern w:val="0"/>
          <w:sz w:val="24"/>
          <w:szCs w:val="24"/>
          <w:lang w:val="en-US" w:eastAsia="en-US" w:bidi="ar-SA"/>
          <w14:ligatures w14:val="none"/>
        </w:rPr>
        <w:t>). By mapping social networks in merged entities, companies can identify potential communication barriers and promote cross-cultural interactions.</w:t>
      </w:r>
    </w:p>
    <w:p w14:paraId="7C5B9162"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25" w:name="_Toc145934229"/>
      <w:r w:rsidRPr="00A13FD2">
        <w:rPr>
          <w:rFonts w:ascii="Times New Roman" w:eastAsia="Arial" w:hAnsi="Times New Roman" w:cs="Arial"/>
          <w:b/>
          <w:color w:val="000000" w:themeColor="text1"/>
          <w:kern w:val="0"/>
          <w:sz w:val="26"/>
          <w:szCs w:val="32"/>
          <w:lang w:val="en-US" w:eastAsia="en-US" w:bidi="ar-SA"/>
          <w14:ligatures w14:val="none"/>
        </w:rPr>
        <w:t>2.7 Conclusion</w:t>
      </w:r>
      <w:bookmarkEnd w:id="25"/>
      <w:r w:rsidRPr="00A13FD2">
        <w:rPr>
          <w:rFonts w:ascii="Times New Roman" w:eastAsia="Arial" w:hAnsi="Times New Roman" w:cs="Arial"/>
          <w:b/>
          <w:color w:val="000000" w:themeColor="text1"/>
          <w:kern w:val="0"/>
          <w:sz w:val="26"/>
          <w:szCs w:val="32"/>
          <w:lang w:val="en-US" w:eastAsia="en-US" w:bidi="ar-SA"/>
          <w14:ligatures w14:val="none"/>
        </w:rPr>
        <w:t xml:space="preserve"> </w:t>
      </w:r>
    </w:p>
    <w:p w14:paraId="5FE55B14" w14:textId="77777777" w:rsidR="00A13FD2" w:rsidRPr="00A13FD2" w:rsidRDefault="00A13FD2" w:rsidP="00A13FD2">
      <w:pPr>
        <w:spacing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The literature review on exploring ways to manage cultural diversity in cross-border mergers in Asia for UK-based companies provides valuable insights into the challenges and opportunities presented by cultural differences in international business ventures. The review highlights the significance of cultural awareness, sensitivity, and effective communication in fostering successful cross-border mergers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Hughes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2020</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Various theories and models, such as Hofstede's </w:t>
      </w:r>
      <w:r w:rsidRPr="00A13FD2">
        <w:rPr>
          <w:rFonts w:ascii="Times New Roman" w:eastAsia="Times New Roman" w:hAnsi="Times New Roman" w:cs="Times New Roman"/>
          <w:color w:val="000000" w:themeColor="text1"/>
          <w:kern w:val="0"/>
          <w:sz w:val="24"/>
          <w:szCs w:val="24"/>
          <w:lang w:val="en-US" w:eastAsia="en-US" w:bidi="ar-SA"/>
          <w14:ligatures w14:val="none"/>
        </w:rPr>
        <w:lastRenderedPageBreak/>
        <w:t>Cultural Dimensions, Cultural Intelligence (CQ), and the Dual Concern Model, offer theoretical frameworks that have been applied that companies can leverage to navigate cultural diversity effectively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Hughes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2020</w:t>
      </w:r>
      <w:r w:rsidRPr="00A13FD2">
        <w:rPr>
          <w:rFonts w:ascii="Times New Roman" w:eastAsia="Times New Roman" w:hAnsi="Times New Roman" w:cs="Times New Roman"/>
          <w:color w:val="000000" w:themeColor="text1"/>
          <w:kern w:val="0"/>
          <w:sz w:val="24"/>
          <w:szCs w:val="24"/>
          <w:lang w:val="en-US" w:eastAsia="en-US" w:bidi="ar-SA"/>
          <w14:ligatures w14:val="none"/>
        </w:rPr>
        <w:t>). The review emphasizes the importance of multicultural leadership, intercultural communication competence, and the assimilation of cultural practices in promoting an inclusive and cohesive work environment.</w:t>
      </w:r>
    </w:p>
    <w:p w14:paraId="7CE3FF7B" w14:textId="77777777" w:rsidR="00A13FD2" w:rsidRPr="00A13FD2" w:rsidRDefault="00A13FD2" w:rsidP="00A13FD2">
      <w:pPr>
        <w:spacing w:before="300"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Additionally, the literature gap analysis identifies areas for further exploration, such as context-specific approaches, long-term sustainability, and legal and regulatory implications (</w:t>
      </w:r>
      <w:proofErr w:type="spellStart"/>
      <w:r w:rsidRPr="00A13FD2">
        <w:rPr>
          <w:rFonts w:ascii="Times New Roman" w:eastAsia="Times New Roman" w:hAnsi="Times New Roman" w:cs="Times New Roman"/>
          <w:color w:val="000000" w:themeColor="text1"/>
          <w:kern w:val="0"/>
          <w:sz w:val="24"/>
          <w:szCs w:val="24"/>
          <w:lang w:val="en-US" w:eastAsia="en-US" w:bidi="ar-SA"/>
          <w14:ligatures w14:val="none"/>
        </w:rPr>
        <w:t>Degbey</w:t>
      </w:r>
      <w:proofErr w:type="spellEnd"/>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lang w:val="en-US" w:eastAsia="en-US" w:bidi="ar-SA"/>
          <w14:ligatures w14:val="none"/>
        </w:rPr>
        <w:t>et al.</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2021). These gaps present opportunities for future research to contribute to a more comprehensive understanding of cultural diversity management in cross-border mergers. By synthesizing the existing literature, this review serves as a foundation for the subsequent research, guiding the focus on key strategies and practices that UK-based companies can implement to successfully manage cultural diversity in cross-border mergers in Asia. Implementing the insights from this review can support companies in their endeavors to navigate cultural complexities and foster prosperous international partnerships.</w:t>
      </w:r>
    </w:p>
    <w:p w14:paraId="51CCFD21" w14:textId="77777777" w:rsidR="00A13FD2" w:rsidRPr="00A13FD2" w:rsidRDefault="00A13FD2" w:rsidP="00A13FD2">
      <w:pPr>
        <w:spacing w:line="276" w:lineRule="auto"/>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br w:type="page"/>
      </w:r>
    </w:p>
    <w:p w14:paraId="4017C6F6" w14:textId="77777777" w:rsidR="00A13FD2" w:rsidRPr="00A13FD2" w:rsidRDefault="00A13FD2" w:rsidP="00A13FD2">
      <w:pPr>
        <w:keepNext/>
        <w:keepLines/>
        <w:spacing w:before="400" w:after="120" w:line="360" w:lineRule="auto"/>
        <w:jc w:val="both"/>
        <w:outlineLvl w:val="0"/>
        <w:rPr>
          <w:rFonts w:ascii="Times New Roman" w:eastAsia="Arial" w:hAnsi="Times New Roman" w:cs="Arial"/>
          <w:b/>
          <w:color w:val="000000" w:themeColor="text1"/>
          <w:kern w:val="0"/>
          <w:sz w:val="28"/>
          <w:szCs w:val="40"/>
          <w:lang w:val="en-US" w:eastAsia="en-US" w:bidi="ar-SA"/>
          <w14:ligatures w14:val="none"/>
        </w:rPr>
      </w:pPr>
      <w:bookmarkStart w:id="26" w:name="_Toc145934230"/>
      <w:r w:rsidRPr="00A13FD2">
        <w:rPr>
          <w:rFonts w:ascii="Times New Roman" w:eastAsia="Arial" w:hAnsi="Times New Roman" w:cs="Arial"/>
          <w:b/>
          <w:bCs/>
          <w:color w:val="000000" w:themeColor="text1"/>
          <w:kern w:val="0"/>
          <w:sz w:val="28"/>
          <w:szCs w:val="40"/>
          <w:lang w:val="en-US" w:eastAsia="en-US" w:bidi="ar-SA"/>
          <w14:ligatures w14:val="none"/>
        </w:rPr>
        <w:lastRenderedPageBreak/>
        <w:t xml:space="preserve">Chapter 3: </w:t>
      </w:r>
      <w:r w:rsidRPr="00A13FD2">
        <w:rPr>
          <w:rFonts w:ascii="Times New Roman" w:eastAsia="Arial" w:hAnsi="Times New Roman" w:cs="Arial"/>
          <w:b/>
          <w:color w:val="000000" w:themeColor="text1"/>
          <w:kern w:val="0"/>
          <w:sz w:val="28"/>
          <w:szCs w:val="40"/>
          <w:lang w:val="en-US" w:eastAsia="en-US" w:bidi="ar-SA"/>
          <w14:ligatures w14:val="none"/>
        </w:rPr>
        <w:t>Methodology</w:t>
      </w:r>
      <w:bookmarkEnd w:id="26"/>
    </w:p>
    <w:p w14:paraId="6B389B63"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27" w:name="_Toc145934231"/>
      <w:r w:rsidRPr="00A13FD2">
        <w:rPr>
          <w:rFonts w:ascii="Times New Roman" w:eastAsia="Arial" w:hAnsi="Times New Roman" w:cs="Arial"/>
          <w:b/>
          <w:color w:val="000000" w:themeColor="text1"/>
          <w:kern w:val="0"/>
          <w:sz w:val="26"/>
          <w:szCs w:val="32"/>
          <w:lang w:val="en-US" w:eastAsia="en-US" w:bidi="ar-SA"/>
          <w14:ligatures w14:val="none"/>
        </w:rPr>
        <w:t>3.1 Introduction</w:t>
      </w:r>
      <w:bookmarkEnd w:id="27"/>
      <w:r w:rsidRPr="00A13FD2">
        <w:rPr>
          <w:rFonts w:ascii="Times New Roman" w:eastAsia="Arial" w:hAnsi="Times New Roman" w:cs="Arial"/>
          <w:b/>
          <w:color w:val="000000" w:themeColor="text1"/>
          <w:kern w:val="0"/>
          <w:sz w:val="26"/>
          <w:szCs w:val="32"/>
          <w:lang w:val="en-US" w:eastAsia="en-US" w:bidi="ar-SA"/>
          <w14:ligatures w14:val="none"/>
        </w:rPr>
        <w:t xml:space="preserve"> </w:t>
      </w:r>
    </w:p>
    <w:p w14:paraId="75AE24DD"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The research methodology chapter in a dissertation is crucial as it outlines the systematic approach used to conduct the study. It provides transparency, ensuring the validity and reliability of the research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Ikram</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and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Kenayathulla</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2022</w:t>
      </w:r>
      <w:r w:rsidRPr="00A13FD2">
        <w:rPr>
          <w:rFonts w:ascii="Times New Roman" w:eastAsia="Times New Roman" w:hAnsi="Times New Roman" w:cs="Times New Roman"/>
          <w:color w:val="000000" w:themeColor="text1"/>
          <w:kern w:val="0"/>
          <w:sz w:val="24"/>
          <w:szCs w:val="24"/>
          <w:lang w:val="en-US" w:eastAsia="en-US" w:bidi="ar-SA"/>
          <w14:ligatures w14:val="none"/>
        </w:rPr>
        <w:t>). It guides the reader on data collection, analysis, and interpretation methods, making the study replicable and trustworthy. In this research, the data will be collected based on secondary sources with thematic analysis.</w:t>
      </w:r>
    </w:p>
    <w:p w14:paraId="34C934E3"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The secondary qualitative thematic research methodology employed in this study explores the multifaceted ways in which UK-based companies manage cultural diversity in cross-border mergers within the Asian context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Alharahsheh</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and Pius, 2020</w:t>
      </w:r>
      <w:r w:rsidRPr="00A13FD2">
        <w:rPr>
          <w:rFonts w:ascii="Times New Roman" w:eastAsia="Times New Roman" w:hAnsi="Times New Roman" w:cs="Times New Roman"/>
          <w:color w:val="000000" w:themeColor="text1"/>
          <w:kern w:val="0"/>
          <w:sz w:val="24"/>
          <w:szCs w:val="24"/>
          <w:lang w:val="en-US" w:eastAsia="en-US" w:bidi="ar-SA"/>
          <w14:ligatures w14:val="none"/>
        </w:rPr>
        <w:t>). Cultural diversity plays a pivotal role in the success or failure of such mergers, and understanding how organizations navigate these complexities is of paramount importance. The research begins by systematically collecting existing scholarly articles, reports, and case studies related to cross-border mergers involving UK companies in Asia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Walter and Ophir, 2019</w:t>
      </w:r>
      <w:r w:rsidRPr="00A13FD2">
        <w:rPr>
          <w:rFonts w:ascii="Times New Roman" w:eastAsia="Times New Roman" w:hAnsi="Times New Roman" w:cs="Times New Roman"/>
          <w:color w:val="000000" w:themeColor="text1"/>
          <w:kern w:val="0"/>
          <w:sz w:val="24"/>
          <w:szCs w:val="24"/>
          <w:lang w:val="en-US" w:eastAsia="en-US" w:bidi="ar-SA"/>
          <w14:ligatures w14:val="none"/>
        </w:rPr>
        <w:t>). These sources are then subjected to a rigorous thematic analysis. Thematic analysis involves identifying recurring themes, patterns, and trends within the literature. </w:t>
      </w:r>
    </w:p>
    <w:p w14:paraId="25FEB305"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28" w:name="_Toc145934232"/>
      <w:r w:rsidRPr="00A13FD2">
        <w:rPr>
          <w:rFonts w:ascii="Times New Roman" w:eastAsia="Arial" w:hAnsi="Times New Roman" w:cs="Arial"/>
          <w:b/>
          <w:color w:val="000000" w:themeColor="text1"/>
          <w:kern w:val="0"/>
          <w:sz w:val="26"/>
          <w:szCs w:val="32"/>
          <w:lang w:val="en-US" w:eastAsia="en-US" w:bidi="ar-SA"/>
          <w14:ligatures w14:val="none"/>
        </w:rPr>
        <w:t>3.2 Research Onion</w:t>
      </w:r>
      <w:bookmarkEnd w:id="28"/>
      <w:r w:rsidRPr="00A13FD2">
        <w:rPr>
          <w:rFonts w:ascii="Times New Roman" w:eastAsia="Arial" w:hAnsi="Times New Roman" w:cs="Arial"/>
          <w:b/>
          <w:color w:val="000000" w:themeColor="text1"/>
          <w:kern w:val="0"/>
          <w:sz w:val="26"/>
          <w:szCs w:val="32"/>
          <w:lang w:val="en-US" w:eastAsia="en-US" w:bidi="ar-SA"/>
          <w14:ligatures w14:val="none"/>
        </w:rPr>
        <w:t xml:space="preserve"> </w:t>
      </w:r>
    </w:p>
    <w:p w14:paraId="37269664" w14:textId="77777777" w:rsidR="00A13FD2" w:rsidRPr="00A13FD2" w:rsidRDefault="00A13FD2" w:rsidP="00A13FD2">
      <w:pPr>
        <w:spacing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The research onion model, developed by Saunders </w:t>
      </w:r>
      <w:r w:rsidRPr="00A13FD2">
        <w:rPr>
          <w:rFonts w:ascii="Times New Roman" w:eastAsia="Times New Roman" w:hAnsi="Times New Roman" w:cs="Times New Roman"/>
          <w:i/>
          <w:iCs/>
          <w:color w:val="000000" w:themeColor="text1"/>
          <w:kern w:val="0"/>
          <w:sz w:val="24"/>
          <w:szCs w:val="24"/>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lang w:val="en-US" w:eastAsia="en-US" w:bidi="ar-SA"/>
          <w14:ligatures w14:val="none"/>
        </w:rPr>
        <w:t>2009, provides a structured approach to designing research methodology, with each layer representing a different aspect of the research process. In the context of exploring ways to manage cultural diversity in cross-border mergers in Asia for UK-based companies, the research onion unfolds as follows:</w:t>
      </w:r>
    </w:p>
    <w:p w14:paraId="5E64506B"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Research Philosophy: </w:t>
      </w:r>
      <w:r w:rsidRPr="00A13FD2">
        <w:rPr>
          <w:rFonts w:ascii="Times New Roman" w:eastAsia="Times New Roman" w:hAnsi="Times New Roman" w:cs="Times New Roman"/>
          <w:color w:val="000000" w:themeColor="text1"/>
          <w:kern w:val="0"/>
          <w:sz w:val="24"/>
          <w:szCs w:val="24"/>
          <w:lang w:val="en-US" w:eastAsia="en-US" w:bidi="ar-SA"/>
          <w14:ligatures w14:val="none"/>
        </w:rPr>
        <w:t>At the core of the onion is the research philosophy, which shapes the overall approach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Abdelhakim, 2021</w:t>
      </w:r>
      <w:r w:rsidRPr="00A13FD2">
        <w:rPr>
          <w:rFonts w:ascii="Times New Roman" w:eastAsia="Times New Roman" w:hAnsi="Times New Roman" w:cs="Times New Roman"/>
          <w:color w:val="000000" w:themeColor="text1"/>
          <w:kern w:val="0"/>
          <w:sz w:val="24"/>
          <w:szCs w:val="24"/>
          <w:lang w:val="en-US" w:eastAsia="en-US" w:bidi="ar-SA"/>
          <w14:ligatures w14:val="none"/>
        </w:rPr>
        <w:t>). In this study, an interpretive philosophy is suitable, as it allows for a study of qualitative data, considering the practical challenges and cultural nuances of cross-border mergers.</w:t>
      </w:r>
    </w:p>
    <w:p w14:paraId="496E0DC2"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Research Approach: </w:t>
      </w:r>
      <w:r w:rsidRPr="00A13FD2">
        <w:rPr>
          <w:rFonts w:ascii="Times New Roman" w:eastAsia="Times New Roman" w:hAnsi="Times New Roman" w:cs="Times New Roman"/>
          <w:color w:val="000000" w:themeColor="text1"/>
          <w:kern w:val="0"/>
          <w:sz w:val="24"/>
          <w:szCs w:val="24"/>
          <w:lang w:val="en-US" w:eastAsia="en-US" w:bidi="ar-SA"/>
          <w14:ligatures w14:val="none"/>
        </w:rPr>
        <w:t>Building on the philosophy, an inductive approach may be chosen to gather comprehensive insights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Mardiana</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2020</w:t>
      </w:r>
      <w:r w:rsidRPr="00A13FD2">
        <w:rPr>
          <w:rFonts w:ascii="Times New Roman" w:eastAsia="Times New Roman" w:hAnsi="Times New Roman" w:cs="Times New Roman"/>
          <w:color w:val="000000" w:themeColor="text1"/>
          <w:kern w:val="0"/>
          <w:sz w:val="24"/>
          <w:szCs w:val="24"/>
          <w:lang w:val="en-US" w:eastAsia="en-US" w:bidi="ar-SA"/>
          <w14:ligatures w14:val="none"/>
        </w:rPr>
        <w:t>). Qualitative data could be collected through articles, journals, reports, etc.</w:t>
      </w:r>
    </w:p>
    <w:p w14:paraId="1E12B31B" w14:textId="77777777" w:rsidR="00A13FD2" w:rsidRPr="00A13FD2" w:rsidRDefault="00A13FD2" w:rsidP="00A13FD2">
      <w:pPr>
        <w:spacing w:line="360" w:lineRule="auto"/>
        <w:jc w:val="center"/>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noProof/>
          <w:color w:val="000000" w:themeColor="text1"/>
          <w:kern w:val="0"/>
          <w:sz w:val="24"/>
          <w:szCs w:val="24"/>
          <w:bdr w:val="none" w:sz="0" w:space="0" w:color="auto" w:frame="1"/>
          <w:lang w:val="en-US" w:eastAsia="en-US" w:bidi="ar-SA"/>
          <w14:ligatures w14:val="none"/>
        </w:rPr>
        <w:lastRenderedPageBreak/>
        <w:drawing>
          <wp:inline distT="0" distB="0" distL="0" distR="0" wp14:anchorId="7B2E9268" wp14:editId="44B3ABAC">
            <wp:extent cx="5056289" cy="3537297"/>
            <wp:effectExtent l="19050" t="0" r="0" b="0"/>
            <wp:docPr id="4" name="Picture 1" descr="https://lh6.googleusercontent.com/RGvgTEHav_bv3-2vjLfr33I2eqqN5Cxt5ZtNmWgMQVZh3wbasrEFs3M_86Swq4Chjaf5vsR-UaVzBExpBP7XSuVwHY44itLYc2u290nMJmLAI2ZGavsUyq6l7-62pap5dSUgt2nTxkgYfihAv-R0L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https://lh6.googleusercontent.com/RGvgTEHav_bv3-2vjLfr33I2eqqN5Cxt5ZtNmWgMQVZh3wbasrEFs3M_86Swq4Chjaf5vsR-UaVzBExpBP7XSuVwHY44itLYc2u290nMJmLAI2ZGavsUyq6l7-62pap5dSUgt2nTxkgYfihAv-R0LBA"/>
                    <pic:cNvPicPr>
                      <a:picLocks noChangeAspect="1" noChangeArrowheads="1"/>
                    </pic:cNvPicPr>
                  </pic:nvPicPr>
                  <pic:blipFill>
                    <a:blip r:embed="rId34"/>
                    <a:stretch>
                      <a:fillRect/>
                    </a:stretch>
                  </pic:blipFill>
                  <pic:spPr bwMode="auto">
                    <a:xfrm>
                      <a:off x="0" y="0"/>
                      <a:ext cx="5058435" cy="3538798"/>
                    </a:xfrm>
                    <a:prstGeom prst="rect">
                      <a:avLst/>
                    </a:prstGeom>
                    <a:noFill/>
                    <a:ln w="9525">
                      <a:noFill/>
                      <a:miter lim="800000"/>
                      <a:headEnd/>
                      <a:tailEnd/>
                    </a:ln>
                  </pic:spPr>
                </pic:pic>
              </a:graphicData>
            </a:graphic>
          </wp:inline>
        </w:drawing>
      </w:r>
    </w:p>
    <w:p w14:paraId="4E6DCE4D" w14:textId="77777777" w:rsidR="00A13FD2" w:rsidRPr="00A13FD2" w:rsidRDefault="00A13FD2" w:rsidP="00A13FD2">
      <w:pPr>
        <w:keepNext/>
        <w:keepLines/>
        <w:spacing w:before="320" w:after="80" w:line="360" w:lineRule="auto"/>
        <w:jc w:val="center"/>
        <w:outlineLvl w:val="2"/>
        <w:rPr>
          <w:rFonts w:ascii="Times New Roman" w:eastAsia="Arial" w:hAnsi="Times New Roman" w:cs="Arial"/>
          <w:b/>
          <w:color w:val="000000" w:themeColor="text1"/>
          <w:kern w:val="0"/>
          <w:sz w:val="24"/>
          <w:szCs w:val="28"/>
          <w:lang w:val="en-US" w:eastAsia="en-US" w:bidi="ar-SA"/>
          <w14:ligatures w14:val="none"/>
        </w:rPr>
      </w:pPr>
      <w:bookmarkStart w:id="29" w:name="_Toc144666087"/>
      <w:bookmarkStart w:id="30" w:name="_Toc145060714"/>
      <w:bookmarkStart w:id="31" w:name="_Toc145934233"/>
      <w:bookmarkStart w:id="32" w:name="_Toc145936903"/>
      <w:bookmarkStart w:id="33" w:name="_Toc148097352"/>
      <w:r w:rsidRPr="00A13FD2">
        <w:rPr>
          <w:rFonts w:ascii="Times New Roman" w:eastAsia="Arial" w:hAnsi="Times New Roman" w:cs="Arial"/>
          <w:b/>
          <w:color w:val="000000" w:themeColor="text1"/>
          <w:kern w:val="0"/>
          <w:sz w:val="24"/>
          <w:szCs w:val="28"/>
          <w:lang w:val="en-US" w:eastAsia="en-US" w:bidi="ar-SA"/>
          <w14:ligatures w14:val="none"/>
        </w:rPr>
        <w:t>Figure 5: Research onion</w:t>
      </w:r>
      <w:bookmarkEnd w:id="29"/>
      <w:bookmarkEnd w:id="30"/>
      <w:bookmarkEnd w:id="31"/>
      <w:bookmarkEnd w:id="32"/>
      <w:bookmarkEnd w:id="33"/>
    </w:p>
    <w:p w14:paraId="6590425A" w14:textId="77777777" w:rsidR="00A13FD2" w:rsidRPr="00A13FD2" w:rsidRDefault="00A13FD2" w:rsidP="00A13FD2">
      <w:pPr>
        <w:spacing w:line="360" w:lineRule="auto"/>
        <w:jc w:val="center"/>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(Source: Saunders </w:t>
      </w:r>
      <w:r w:rsidRPr="00A13FD2">
        <w:rPr>
          <w:rFonts w:ascii="Times New Roman" w:eastAsia="Times New Roman" w:hAnsi="Times New Roman" w:cs="Times New Roman"/>
          <w:i/>
          <w:iCs/>
          <w:color w:val="000000" w:themeColor="text1"/>
          <w:kern w:val="0"/>
          <w:sz w:val="24"/>
          <w:szCs w:val="24"/>
          <w:lang w:val="en-US" w:eastAsia="en-US" w:bidi="ar-SA"/>
          <w14:ligatures w14:val="none"/>
        </w:rPr>
        <w:t>et al.</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2009)</w:t>
      </w:r>
    </w:p>
    <w:p w14:paraId="6A4E637D"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Research Strategy: </w:t>
      </w:r>
      <w:r w:rsidRPr="00A13FD2">
        <w:rPr>
          <w:rFonts w:ascii="Times New Roman" w:eastAsia="Times New Roman" w:hAnsi="Times New Roman" w:cs="Times New Roman"/>
          <w:color w:val="000000" w:themeColor="text1"/>
          <w:kern w:val="0"/>
          <w:sz w:val="24"/>
          <w:szCs w:val="24"/>
          <w:lang w:val="en-US" w:eastAsia="en-US" w:bidi="ar-SA"/>
          <w14:ligatures w14:val="none"/>
        </w:rPr>
        <w:t>Within the approach, a case study strategy might be ideal to delve deeply into a few UK-based companies' experiences with cross-border mergers in Asia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Abdelhakim, 2021</w:t>
      </w:r>
      <w:r w:rsidRPr="00A13FD2">
        <w:rPr>
          <w:rFonts w:ascii="Times New Roman" w:eastAsia="Times New Roman" w:hAnsi="Times New Roman" w:cs="Times New Roman"/>
          <w:color w:val="000000" w:themeColor="text1"/>
          <w:kern w:val="0"/>
          <w:sz w:val="24"/>
          <w:szCs w:val="24"/>
          <w:lang w:val="en-US" w:eastAsia="en-US" w:bidi="ar-SA"/>
          <w14:ligatures w14:val="none"/>
        </w:rPr>
        <w:t>). This would provide rich, context-specific data.</w:t>
      </w:r>
    </w:p>
    <w:p w14:paraId="5C4BA8B8"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Time Horizons: </w:t>
      </w:r>
      <w:r w:rsidRPr="00A13FD2">
        <w:rPr>
          <w:rFonts w:ascii="Times New Roman" w:eastAsia="Times New Roman" w:hAnsi="Times New Roman" w:cs="Times New Roman"/>
          <w:color w:val="000000" w:themeColor="text1"/>
          <w:kern w:val="0"/>
          <w:sz w:val="24"/>
          <w:szCs w:val="24"/>
          <w:lang w:val="en-US" w:eastAsia="en-US" w:bidi="ar-SA"/>
          <w14:ligatures w14:val="none"/>
        </w:rPr>
        <w:t>Considering the longitudinal nature of mergers, a cross-sectional approach might be used to assess various stages of the mergers and their long-term impact on cultural diversity management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Mardiana</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2020</w:t>
      </w:r>
      <w:r w:rsidRPr="00A13FD2">
        <w:rPr>
          <w:rFonts w:ascii="Times New Roman" w:eastAsia="Times New Roman" w:hAnsi="Times New Roman" w:cs="Times New Roman"/>
          <w:color w:val="000000" w:themeColor="text1"/>
          <w:kern w:val="0"/>
          <w:sz w:val="24"/>
          <w:szCs w:val="24"/>
          <w:lang w:val="en-US" w:eastAsia="en-US" w:bidi="ar-SA"/>
          <w14:ligatures w14:val="none"/>
        </w:rPr>
        <w:t>).</w:t>
      </w:r>
    </w:p>
    <w:p w14:paraId="5D9493C7"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Data Collection Methods: </w:t>
      </w:r>
      <w:r w:rsidRPr="00A13FD2">
        <w:rPr>
          <w:rFonts w:ascii="Times New Roman" w:eastAsia="Times New Roman" w:hAnsi="Times New Roman" w:cs="Times New Roman"/>
          <w:color w:val="000000" w:themeColor="text1"/>
          <w:kern w:val="0"/>
          <w:sz w:val="24"/>
          <w:szCs w:val="24"/>
          <w:lang w:val="en-US" w:eastAsia="en-US" w:bidi="ar-SA"/>
          <w14:ligatures w14:val="none"/>
        </w:rPr>
        <w:t>Secondary data collection from academic literature, company reports, and case studies will provide a holistic dataset that would be beneficial for this research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Abdelhakim, 2021</w:t>
      </w:r>
      <w:r w:rsidRPr="00A13FD2">
        <w:rPr>
          <w:rFonts w:ascii="Times New Roman" w:eastAsia="Times New Roman" w:hAnsi="Times New Roman" w:cs="Times New Roman"/>
          <w:color w:val="000000" w:themeColor="text1"/>
          <w:kern w:val="0"/>
          <w:sz w:val="24"/>
          <w:szCs w:val="24"/>
          <w:lang w:val="en-US" w:eastAsia="en-US" w:bidi="ar-SA"/>
          <w14:ligatures w14:val="none"/>
        </w:rPr>
        <w:t>).</w:t>
      </w:r>
    </w:p>
    <w:p w14:paraId="27F61994"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Data Analysis Techniques:</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Thematic analysis can be employed for qualitative data to identify key themes in cultural diversity management strategies, while statistical analysis methods can be used for quantitative data to uncover patterns and trends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Mardiana</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2020</w:t>
      </w:r>
      <w:r w:rsidRPr="00A13FD2">
        <w:rPr>
          <w:rFonts w:ascii="Times New Roman" w:eastAsia="Times New Roman" w:hAnsi="Times New Roman" w:cs="Times New Roman"/>
          <w:color w:val="000000" w:themeColor="text1"/>
          <w:kern w:val="0"/>
          <w:sz w:val="24"/>
          <w:szCs w:val="24"/>
          <w:lang w:val="en-US" w:eastAsia="en-US" w:bidi="ar-SA"/>
          <w14:ligatures w14:val="none"/>
        </w:rPr>
        <w:t>).</w:t>
      </w:r>
    </w:p>
    <w:p w14:paraId="274005E7"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34" w:name="_Toc145934234"/>
      <w:r w:rsidRPr="00A13FD2">
        <w:rPr>
          <w:rFonts w:ascii="Times New Roman" w:eastAsia="Arial" w:hAnsi="Times New Roman" w:cs="Arial"/>
          <w:b/>
          <w:color w:val="000000" w:themeColor="text1"/>
          <w:kern w:val="0"/>
          <w:sz w:val="26"/>
          <w:szCs w:val="32"/>
          <w:lang w:val="en-US" w:eastAsia="en-US" w:bidi="ar-SA"/>
          <w14:ligatures w14:val="none"/>
        </w:rPr>
        <w:lastRenderedPageBreak/>
        <w:t>3.3 Research philosophy</w:t>
      </w:r>
      <w:bookmarkEnd w:id="34"/>
      <w:r w:rsidRPr="00A13FD2">
        <w:rPr>
          <w:rFonts w:ascii="Times New Roman" w:eastAsia="Arial" w:hAnsi="Times New Roman" w:cs="Arial"/>
          <w:b/>
          <w:color w:val="000000" w:themeColor="text1"/>
          <w:kern w:val="0"/>
          <w:sz w:val="26"/>
          <w:szCs w:val="32"/>
          <w:lang w:val="en-US" w:eastAsia="en-US" w:bidi="ar-SA"/>
          <w14:ligatures w14:val="none"/>
        </w:rPr>
        <w:t xml:space="preserve"> </w:t>
      </w:r>
    </w:p>
    <w:p w14:paraId="5E2F3F2A" w14:textId="77777777" w:rsidR="00A13FD2" w:rsidRPr="00A13FD2" w:rsidRDefault="00A13FD2" w:rsidP="00A13FD2">
      <w:pPr>
        <w:spacing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Interpretivism </w:t>
      </w:r>
      <w:r w:rsidRPr="00A13FD2">
        <w:rPr>
          <w:rFonts w:ascii="Times New Roman" w:eastAsia="Times New Roman" w:hAnsi="Times New Roman" w:cs="Times New Roman"/>
          <w:color w:val="000000" w:themeColor="text1"/>
          <w:kern w:val="0"/>
          <w:sz w:val="24"/>
          <w:szCs w:val="24"/>
          <w:lang w:val="en-US" w:eastAsia="en-US" w:bidi="ar-SA"/>
          <w14:ligatures w14:val="none"/>
        </w:rPr>
        <w:t>is a research philosophy that focuses on understanding and interpreting the subjective meanings and experiences of individuals or groups within their social context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HR and Aithal, 2022</w:t>
      </w:r>
      <w:r w:rsidRPr="00A13FD2">
        <w:rPr>
          <w:rFonts w:ascii="Times New Roman" w:eastAsia="Times New Roman" w:hAnsi="Times New Roman" w:cs="Times New Roman"/>
          <w:color w:val="000000" w:themeColor="text1"/>
          <w:kern w:val="0"/>
          <w:sz w:val="24"/>
          <w:szCs w:val="24"/>
          <w:lang w:val="en-US" w:eastAsia="en-US" w:bidi="ar-SA"/>
          <w14:ligatures w14:val="none"/>
        </w:rPr>
        <w:t>). In the context of exploring ways to manage cultural diversity in cross-border mergers in Asia for UK-based companies, an interpretive research philosophy can offer valuable insights.</w:t>
      </w:r>
    </w:p>
    <w:p w14:paraId="55971CB3" w14:textId="77777777" w:rsidR="00A13FD2" w:rsidRPr="00A13FD2" w:rsidRDefault="00A13FD2" w:rsidP="00A13FD2">
      <w:pPr>
        <w:spacing w:before="300"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Firstly, interpretivism acknowledges that cultural diversity is not just about objective facts and figures but involves deeply ingrained beliefs, values, and perceptions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Alharahsheh</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and Pius, 2020</w:t>
      </w:r>
      <w:r w:rsidRPr="00A13FD2">
        <w:rPr>
          <w:rFonts w:ascii="Times New Roman" w:eastAsia="Times New Roman" w:hAnsi="Times New Roman" w:cs="Times New Roman"/>
          <w:color w:val="000000" w:themeColor="text1"/>
          <w:kern w:val="0"/>
          <w:sz w:val="24"/>
          <w:szCs w:val="24"/>
          <w:lang w:val="en-US" w:eastAsia="en-US" w:bidi="ar-SA"/>
          <w14:ligatures w14:val="none"/>
        </w:rPr>
        <w:t>). It recognizes that individuals from different cultural backgrounds bring unique perspectives, and these subjective viewpoints play a critical role in the success or failure of cross-border mergers.</w:t>
      </w:r>
    </w:p>
    <w:p w14:paraId="2134F531" w14:textId="77777777" w:rsidR="00A13FD2" w:rsidRPr="00A13FD2" w:rsidRDefault="00A13FD2" w:rsidP="00A13FD2">
      <w:pPr>
        <w:spacing w:before="300"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Within this research philosophy:</w:t>
      </w:r>
    </w:p>
    <w:p w14:paraId="07AF1D70"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Qualitative Data:</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Interpretivism places a strong emphasis on qualitative data collection methods such as journals, articles, reports, etc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Alharahsheh</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and Pius, 2020</w:t>
      </w:r>
      <w:r w:rsidRPr="00A13FD2">
        <w:rPr>
          <w:rFonts w:ascii="Times New Roman" w:eastAsia="Times New Roman" w:hAnsi="Times New Roman" w:cs="Times New Roman"/>
          <w:color w:val="000000" w:themeColor="text1"/>
          <w:kern w:val="0"/>
          <w:sz w:val="24"/>
          <w:szCs w:val="24"/>
          <w:lang w:val="en-US" w:eastAsia="en-US" w:bidi="ar-SA"/>
          <w14:ligatures w14:val="none"/>
        </w:rPr>
        <w:t>). These methods are well-suited to uncover the nuanced and context-specific aspects of cultural diversity management.</w:t>
      </w:r>
    </w:p>
    <w:p w14:paraId="640913D9"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Contextual Understanding:</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Interpretive researchers seek to understand the cultural dynamics in the specific context of Asia, recognizing that what works in one Asian country may not be effective in another due to varying cultural norms and practices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HR and Aithal, 2022</w:t>
      </w:r>
      <w:r w:rsidRPr="00A13FD2">
        <w:rPr>
          <w:rFonts w:ascii="Times New Roman" w:eastAsia="Times New Roman" w:hAnsi="Times New Roman" w:cs="Times New Roman"/>
          <w:color w:val="000000" w:themeColor="text1"/>
          <w:kern w:val="0"/>
          <w:sz w:val="24"/>
          <w:szCs w:val="24"/>
          <w:lang w:val="en-US" w:eastAsia="en-US" w:bidi="ar-SA"/>
          <w14:ligatures w14:val="none"/>
        </w:rPr>
        <w:t>).</w:t>
      </w:r>
    </w:p>
    <w:p w14:paraId="4B4B5495"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Subjective Insights: </w:t>
      </w:r>
      <w:r w:rsidRPr="00A13FD2">
        <w:rPr>
          <w:rFonts w:ascii="Times New Roman" w:eastAsia="Times New Roman" w:hAnsi="Times New Roman" w:cs="Times New Roman"/>
          <w:color w:val="000000" w:themeColor="text1"/>
          <w:kern w:val="0"/>
          <w:sz w:val="24"/>
          <w:szCs w:val="24"/>
          <w:lang w:val="en-US" w:eastAsia="en-US" w:bidi="ar-SA"/>
          <w14:ligatures w14:val="none"/>
        </w:rPr>
        <w:t>This philosophy encourages researchers to explore the perceptions and experiences of employees, managers, and other stakeholders involved in the mergers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Alharahsheh</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and Pius, 2020</w:t>
      </w:r>
      <w:r w:rsidRPr="00A13FD2">
        <w:rPr>
          <w:rFonts w:ascii="Times New Roman" w:eastAsia="Times New Roman" w:hAnsi="Times New Roman" w:cs="Times New Roman"/>
          <w:color w:val="000000" w:themeColor="text1"/>
          <w:kern w:val="0"/>
          <w:sz w:val="24"/>
          <w:szCs w:val="24"/>
          <w:lang w:val="en-US" w:eastAsia="en-US" w:bidi="ar-SA"/>
          <w14:ligatures w14:val="none"/>
        </w:rPr>
        <w:t>). By doing so, it provides a deeper understanding of how cultural diversity is perceived and managed on the ground.</w:t>
      </w:r>
    </w:p>
    <w:p w14:paraId="23F8AF6C"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Complexity and Reflexivity: </w:t>
      </w:r>
      <w:r w:rsidRPr="00A13FD2">
        <w:rPr>
          <w:rFonts w:ascii="Times New Roman" w:eastAsia="Times New Roman" w:hAnsi="Times New Roman" w:cs="Times New Roman"/>
          <w:color w:val="000000" w:themeColor="text1"/>
          <w:kern w:val="0"/>
          <w:sz w:val="24"/>
          <w:szCs w:val="24"/>
          <w:lang w:val="en-US" w:eastAsia="en-US" w:bidi="ar-SA"/>
          <w14:ligatures w14:val="none"/>
        </w:rPr>
        <w:t>Researchers adopting interpretive acknowledge the complexity of the subject matter and their role in shaping the research process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HR and Aithal, 2022</w:t>
      </w:r>
      <w:r w:rsidRPr="00A13FD2">
        <w:rPr>
          <w:rFonts w:ascii="Times New Roman" w:eastAsia="Times New Roman" w:hAnsi="Times New Roman" w:cs="Times New Roman"/>
          <w:color w:val="000000" w:themeColor="text1"/>
          <w:kern w:val="0"/>
          <w:sz w:val="24"/>
          <w:szCs w:val="24"/>
          <w:lang w:val="en-US" w:eastAsia="en-US" w:bidi="ar-SA"/>
          <w14:ligatures w14:val="none"/>
        </w:rPr>
        <w:t>). They engage in reflexivity, constantly examining their own biases and perspectives.</w:t>
      </w:r>
    </w:p>
    <w:p w14:paraId="166E8D2A"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35" w:name="_Toc145934235"/>
      <w:r w:rsidRPr="00A13FD2">
        <w:rPr>
          <w:rFonts w:ascii="Times New Roman" w:eastAsia="Arial" w:hAnsi="Times New Roman" w:cs="Arial"/>
          <w:b/>
          <w:color w:val="000000" w:themeColor="text1"/>
          <w:kern w:val="0"/>
          <w:sz w:val="26"/>
          <w:szCs w:val="32"/>
          <w:lang w:val="en-US" w:eastAsia="en-US" w:bidi="ar-SA"/>
          <w14:ligatures w14:val="none"/>
        </w:rPr>
        <w:lastRenderedPageBreak/>
        <w:t>3.4 Research Approach</w:t>
      </w:r>
      <w:bookmarkEnd w:id="35"/>
      <w:r w:rsidRPr="00A13FD2">
        <w:rPr>
          <w:rFonts w:ascii="Times New Roman" w:eastAsia="Arial" w:hAnsi="Times New Roman" w:cs="Arial"/>
          <w:b/>
          <w:color w:val="000000" w:themeColor="text1"/>
          <w:kern w:val="0"/>
          <w:sz w:val="26"/>
          <w:szCs w:val="32"/>
          <w:lang w:val="en-US" w:eastAsia="en-US" w:bidi="ar-SA"/>
          <w14:ligatures w14:val="none"/>
        </w:rPr>
        <w:t xml:space="preserve"> </w:t>
      </w:r>
    </w:p>
    <w:p w14:paraId="2A2A5050" w14:textId="77777777" w:rsidR="00A13FD2" w:rsidRPr="00A13FD2" w:rsidRDefault="00A13FD2" w:rsidP="00A13FD2">
      <w:pPr>
        <w:spacing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An </w:t>
      </w: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inductive research approach </w:t>
      </w:r>
      <w:r w:rsidRPr="00A13FD2">
        <w:rPr>
          <w:rFonts w:ascii="Times New Roman" w:eastAsia="Times New Roman" w:hAnsi="Times New Roman" w:cs="Times New Roman"/>
          <w:color w:val="000000" w:themeColor="text1"/>
          <w:kern w:val="0"/>
          <w:sz w:val="24"/>
          <w:szCs w:val="24"/>
          <w:lang w:val="en-US" w:eastAsia="en-US" w:bidi="ar-SA"/>
          <w14:ligatures w14:val="none"/>
        </w:rPr>
        <w:t>in the context of exploring ways to manage cultural diversity in cross-border mergers in Asia for UK-based companies involves a process of data-driven discovery and theory development. This approach is characterized by starting with specific observations and data and then working towards developing broader theories or generalizations. Here's how it applies to this research:</w:t>
      </w:r>
    </w:p>
    <w:p w14:paraId="3457CE8D"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Observation and Data Collection: </w:t>
      </w:r>
      <w:r w:rsidRPr="00A13FD2">
        <w:rPr>
          <w:rFonts w:ascii="Times New Roman" w:eastAsia="Times New Roman" w:hAnsi="Times New Roman" w:cs="Times New Roman"/>
          <w:color w:val="000000" w:themeColor="text1"/>
          <w:kern w:val="0"/>
          <w:sz w:val="24"/>
          <w:szCs w:val="24"/>
          <w:lang w:val="en-US" w:eastAsia="en-US" w:bidi="ar-SA"/>
          <w14:ligatures w14:val="none"/>
        </w:rPr>
        <w:t>The research process begins with the collection of rich and diverse data related to how UK-based companies manage cultural diversity in cross-border mergers in various Asian regions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Zhao </w:t>
      </w:r>
      <w:r w:rsidRPr="00A13FD2">
        <w:rPr>
          <w:rFonts w:ascii="Times New Roman" w:eastAsia="Times New Roman"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2022</w:t>
      </w:r>
      <w:r w:rsidRPr="00A13FD2">
        <w:rPr>
          <w:rFonts w:ascii="Times New Roman" w:eastAsia="Times New Roman" w:hAnsi="Times New Roman" w:cs="Times New Roman"/>
          <w:color w:val="000000" w:themeColor="text1"/>
          <w:kern w:val="0"/>
          <w:sz w:val="24"/>
          <w:szCs w:val="24"/>
          <w:lang w:val="en-US" w:eastAsia="en-US" w:bidi="ar-SA"/>
          <w14:ligatures w14:val="none"/>
        </w:rPr>
        <w:t>). This data may come from journals, articles, company reports, and case studies.</w:t>
      </w:r>
    </w:p>
    <w:p w14:paraId="279BC79F"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Identification of Patterns: </w:t>
      </w:r>
      <w:r w:rsidRPr="00A13FD2">
        <w:rPr>
          <w:rFonts w:ascii="Times New Roman" w:eastAsia="Times New Roman" w:hAnsi="Times New Roman" w:cs="Times New Roman"/>
          <w:color w:val="000000" w:themeColor="text1"/>
          <w:kern w:val="0"/>
          <w:sz w:val="24"/>
          <w:szCs w:val="24"/>
          <w:lang w:val="en-US" w:eastAsia="en-US" w:bidi="ar-SA"/>
          <w14:ligatures w14:val="none"/>
        </w:rPr>
        <w:t>Through a systematic analysis of the collected data, researchers identify recurring patterns, themes, or commonalities related to cultural diversity management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Corley</w:t>
      </w:r>
      <w:r w:rsidRPr="00A13FD2">
        <w:rPr>
          <w:rFonts w:ascii="Times New Roman" w:eastAsia="Times New Roman" w:hAnsi="Times New Roman" w:cs="Times New Roman"/>
          <w:i/>
          <w:iCs/>
          <w:color w:val="000000" w:themeColor="text1"/>
          <w:kern w:val="0"/>
          <w:sz w:val="24"/>
          <w:szCs w:val="24"/>
          <w:lang w:val="en-US" w:eastAsia="en-US" w:bidi="ar-SA"/>
          <w14:ligatures w14:val="none"/>
        </w:rPr>
        <w:t xml:space="preserve"> et al</w:t>
      </w:r>
      <w:r w:rsidRPr="00A13FD2">
        <w:rPr>
          <w:rFonts w:ascii="Times New Roman" w:eastAsia="Times New Roman" w:hAnsi="Times New Roman" w:cs="Times New Roman"/>
          <w:color w:val="000000" w:themeColor="text1"/>
          <w:kern w:val="0"/>
          <w:sz w:val="24"/>
          <w:szCs w:val="24"/>
          <w:lang w:val="en-US" w:eastAsia="en-US" w:bidi="ar-SA"/>
          <w14:ligatures w14:val="none"/>
        </w:rPr>
        <w:t>. 2021). These patterns emerge from the specific experiences and practices of the companies involved.</w:t>
      </w:r>
    </w:p>
    <w:p w14:paraId="1E45F4C8"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Generation of Theoretical Framework: </w:t>
      </w:r>
      <w:r w:rsidRPr="00A13FD2">
        <w:rPr>
          <w:rFonts w:ascii="Times New Roman" w:eastAsia="Times New Roman" w:hAnsi="Times New Roman" w:cs="Times New Roman"/>
          <w:color w:val="000000" w:themeColor="text1"/>
          <w:kern w:val="0"/>
          <w:sz w:val="24"/>
          <w:szCs w:val="24"/>
          <w:lang w:val="en-US" w:eastAsia="en-US" w:bidi="ar-SA"/>
          <w14:ligatures w14:val="none"/>
        </w:rPr>
        <w:t>As researchers observe and analyze these patterns, they gradually develop a theoretical framework or model that helps explain how cultural diversity is managed in the specific context of cross-border mergers in Asia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Zhao </w:t>
      </w:r>
      <w:r w:rsidRPr="00A13FD2">
        <w:rPr>
          <w:rFonts w:ascii="Times New Roman" w:eastAsia="Times New Roman"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2022</w:t>
      </w:r>
      <w:r w:rsidRPr="00A13FD2">
        <w:rPr>
          <w:rFonts w:ascii="Times New Roman" w:eastAsia="Times New Roman" w:hAnsi="Times New Roman" w:cs="Times New Roman"/>
          <w:color w:val="000000" w:themeColor="text1"/>
          <w:kern w:val="0"/>
          <w:sz w:val="24"/>
          <w:szCs w:val="24"/>
          <w:lang w:val="en-US" w:eastAsia="en-US" w:bidi="ar-SA"/>
          <w14:ligatures w14:val="none"/>
        </w:rPr>
        <w:t>). This framework is inductive because it emerges from the data itself rather than being imposed beforehand.</w:t>
      </w:r>
    </w:p>
    <w:p w14:paraId="7CCC6436"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Theory Refinement: </w:t>
      </w:r>
      <w:r w:rsidRPr="00A13FD2">
        <w:rPr>
          <w:rFonts w:ascii="Times New Roman" w:eastAsia="Times New Roman" w:hAnsi="Times New Roman" w:cs="Times New Roman"/>
          <w:color w:val="000000" w:themeColor="text1"/>
          <w:kern w:val="0"/>
          <w:sz w:val="24"/>
          <w:szCs w:val="24"/>
          <w:lang w:val="en-US" w:eastAsia="en-US" w:bidi="ar-SA"/>
          <w14:ligatures w14:val="none"/>
        </w:rPr>
        <w:t>The inductive approach allows for ongoing refinement and modification of the emerging theoretical framework as more data is collected and analyzed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Corley</w:t>
      </w:r>
      <w:r w:rsidRPr="00A13FD2">
        <w:rPr>
          <w:rFonts w:ascii="Times New Roman" w:eastAsia="Times New Roman" w:hAnsi="Times New Roman" w:cs="Times New Roman"/>
          <w:i/>
          <w:iCs/>
          <w:color w:val="000000" w:themeColor="text1"/>
          <w:kern w:val="0"/>
          <w:sz w:val="24"/>
          <w:szCs w:val="24"/>
          <w:lang w:val="en-US" w:eastAsia="en-US" w:bidi="ar-SA"/>
          <w14:ligatures w14:val="none"/>
        </w:rPr>
        <w:t xml:space="preserve"> et al</w:t>
      </w:r>
      <w:r w:rsidRPr="00A13FD2">
        <w:rPr>
          <w:rFonts w:ascii="Times New Roman" w:eastAsia="Times New Roman" w:hAnsi="Times New Roman" w:cs="Times New Roman"/>
          <w:color w:val="000000" w:themeColor="text1"/>
          <w:kern w:val="0"/>
          <w:sz w:val="24"/>
          <w:szCs w:val="24"/>
          <w:lang w:val="en-US" w:eastAsia="en-US" w:bidi="ar-SA"/>
          <w14:ligatures w14:val="none"/>
        </w:rPr>
        <w:t>. 2021). Researchers iteratively adjust their understanding based on new insights.</w:t>
      </w:r>
    </w:p>
    <w:p w14:paraId="482D575D"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Generalization:</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Ultimately, the inductive research approach aims to develop theories or insights that can be generalized to a broader context or applied to other similar situations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Zhao </w:t>
      </w:r>
      <w:r w:rsidRPr="00A13FD2">
        <w:rPr>
          <w:rFonts w:ascii="Times New Roman" w:eastAsia="Times New Roman"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2022</w:t>
      </w:r>
      <w:r w:rsidRPr="00A13FD2">
        <w:rPr>
          <w:rFonts w:ascii="Times New Roman" w:eastAsia="Times New Roman" w:hAnsi="Times New Roman" w:cs="Times New Roman"/>
          <w:color w:val="000000" w:themeColor="text1"/>
          <w:kern w:val="0"/>
          <w:sz w:val="24"/>
          <w:szCs w:val="24"/>
          <w:lang w:val="en-US" w:eastAsia="en-US" w:bidi="ar-SA"/>
          <w14:ligatures w14:val="none"/>
        </w:rPr>
        <w:t>). While the research starts with specific cases, the resulting theories can have broader applicability.</w:t>
      </w:r>
    </w:p>
    <w:p w14:paraId="0E7D6C45"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36" w:name="_Toc145934236"/>
      <w:r w:rsidRPr="00A13FD2">
        <w:rPr>
          <w:rFonts w:ascii="Times New Roman" w:eastAsia="Arial" w:hAnsi="Times New Roman" w:cs="Arial"/>
          <w:b/>
          <w:color w:val="000000" w:themeColor="text1"/>
          <w:kern w:val="0"/>
          <w:sz w:val="26"/>
          <w:szCs w:val="32"/>
          <w:lang w:val="en-US" w:eastAsia="en-US" w:bidi="ar-SA"/>
          <w14:ligatures w14:val="none"/>
        </w:rPr>
        <w:t>3.5 Research Design</w:t>
      </w:r>
      <w:bookmarkEnd w:id="36"/>
      <w:r w:rsidRPr="00A13FD2">
        <w:rPr>
          <w:rFonts w:ascii="Times New Roman" w:eastAsia="Arial" w:hAnsi="Times New Roman" w:cs="Arial"/>
          <w:b/>
          <w:color w:val="000000" w:themeColor="text1"/>
          <w:kern w:val="0"/>
          <w:sz w:val="26"/>
          <w:szCs w:val="32"/>
          <w:lang w:val="en-US" w:eastAsia="en-US" w:bidi="ar-SA"/>
          <w14:ligatures w14:val="none"/>
        </w:rPr>
        <w:t xml:space="preserve"> </w:t>
      </w:r>
    </w:p>
    <w:p w14:paraId="7CAF529A" w14:textId="77777777" w:rsidR="00A13FD2" w:rsidRPr="00A13FD2" w:rsidRDefault="00A13FD2" w:rsidP="00A13FD2">
      <w:pPr>
        <w:spacing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A qualitative research design for exploring ways to manage cultural diversity in cross-border mergers in Asia for UK-based companies is essential for gaining in-depth insights into the complexities of this phenomenon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Ishtiaq, 2019</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This qualitative approach offers a nuanced </w:t>
      </w:r>
      <w:r w:rsidRPr="00A13FD2">
        <w:rPr>
          <w:rFonts w:ascii="Times New Roman" w:eastAsia="Times New Roman" w:hAnsi="Times New Roman" w:cs="Times New Roman"/>
          <w:color w:val="000000" w:themeColor="text1"/>
          <w:kern w:val="0"/>
          <w:sz w:val="24"/>
          <w:szCs w:val="24"/>
          <w:lang w:val="en-US" w:eastAsia="en-US" w:bidi="ar-SA"/>
          <w14:ligatures w14:val="none"/>
        </w:rPr>
        <w:lastRenderedPageBreak/>
        <w:t xml:space="preserve">understanding of the strategies, challenges, and outcomes related to cultural diversity management in the context of cross-border mergers in Asia. The research design begins by clearly defining research objectives and questions (Johnson </w:t>
      </w:r>
      <w:r w:rsidRPr="00A13FD2">
        <w:rPr>
          <w:rFonts w:ascii="Times New Roman" w:eastAsia="Times New Roman" w:hAnsi="Times New Roman" w:cs="Times New Roman"/>
          <w:i/>
          <w:iCs/>
          <w:color w:val="000000" w:themeColor="text1"/>
          <w:kern w:val="0"/>
          <w:sz w:val="24"/>
          <w:szCs w:val="24"/>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lang w:val="en-US" w:eastAsia="en-US" w:bidi="ar-SA"/>
          <w14:ligatures w14:val="none"/>
        </w:rPr>
        <w:t>2020). These objectives guide the study in examining how UK-based companies navigate the intricacies of cultural diversity within the diverse Asian landscape during cross-border mergers.</w:t>
      </w:r>
    </w:p>
    <w:p w14:paraId="6D00DF58" w14:textId="77777777" w:rsidR="00A13FD2" w:rsidRPr="00A13FD2" w:rsidRDefault="00A13FD2" w:rsidP="00A13FD2">
      <w:pPr>
        <w:spacing w:before="300"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A case study methodology is chosen to facilitate in-depth exploration. Selecting a limited number of UK-based companies that have engaged in cross-border mergers across different Asian regions provides context-specific insights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Ishtiaq, 2019</w:t>
      </w:r>
      <w:r w:rsidRPr="00A13FD2">
        <w:rPr>
          <w:rFonts w:ascii="Times New Roman" w:eastAsia="Times New Roman" w:hAnsi="Times New Roman" w:cs="Times New Roman"/>
          <w:color w:val="000000" w:themeColor="text1"/>
          <w:kern w:val="0"/>
          <w:sz w:val="24"/>
          <w:szCs w:val="24"/>
          <w:lang w:val="en-US" w:eastAsia="en-US" w:bidi="ar-SA"/>
          <w14:ligatures w14:val="none"/>
        </w:rPr>
        <w:t>). These cases offer rich data sources for analysis. Data collection methods consist of document analysis of relevant internal company reports, merger communications, and diversity policies.</w:t>
      </w:r>
    </w:p>
    <w:p w14:paraId="5585277B" w14:textId="77777777" w:rsidR="00A13FD2" w:rsidRPr="00A13FD2" w:rsidRDefault="00A13FD2" w:rsidP="00A13FD2">
      <w:pPr>
        <w:spacing w:before="300"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Thematic data analysis is employed to systematically identify and analyze patterns and themes within the qualitative data. It allows for the emergence of insights related to cultural diversity management strategies and their contextual relevance (Johnson </w:t>
      </w:r>
      <w:r w:rsidRPr="00A13FD2">
        <w:rPr>
          <w:rFonts w:ascii="Times New Roman" w:eastAsia="Times New Roman" w:hAnsi="Times New Roman" w:cs="Times New Roman"/>
          <w:i/>
          <w:iCs/>
          <w:color w:val="000000" w:themeColor="text1"/>
          <w:kern w:val="0"/>
          <w:sz w:val="24"/>
          <w:szCs w:val="24"/>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lang w:val="en-US" w:eastAsia="en-US" w:bidi="ar-SA"/>
          <w14:ligatures w14:val="none"/>
        </w:rPr>
        <w:t>2020). This qualitative research design serves as a structured and rigorous approach to investigating how UK-based companies effectively manage cultural diversity during cross-border mergers in diverse Asian markets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Ishtiaq, 2019</w:t>
      </w:r>
      <w:r w:rsidRPr="00A13FD2">
        <w:rPr>
          <w:rFonts w:ascii="Times New Roman" w:eastAsia="Times New Roman" w:hAnsi="Times New Roman" w:cs="Times New Roman"/>
          <w:color w:val="000000" w:themeColor="text1"/>
          <w:kern w:val="0"/>
          <w:sz w:val="24"/>
          <w:szCs w:val="24"/>
          <w:lang w:val="en-US" w:eastAsia="en-US" w:bidi="ar-SA"/>
          <w14:ligatures w14:val="none"/>
        </w:rPr>
        <w:t>). It aims to provide valuable, context-specific insights that contribute to a deeper understanding of this vital aspect of international business.</w:t>
      </w:r>
    </w:p>
    <w:p w14:paraId="704884E7"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37" w:name="_Toc145934237"/>
      <w:r w:rsidRPr="00A13FD2">
        <w:rPr>
          <w:rFonts w:ascii="Times New Roman" w:eastAsia="Arial" w:hAnsi="Times New Roman" w:cs="Arial"/>
          <w:b/>
          <w:color w:val="000000" w:themeColor="text1"/>
          <w:kern w:val="0"/>
          <w:sz w:val="26"/>
          <w:szCs w:val="32"/>
          <w:lang w:val="en-US" w:eastAsia="en-US" w:bidi="ar-SA"/>
          <w14:ligatures w14:val="none"/>
        </w:rPr>
        <w:lastRenderedPageBreak/>
        <w:t>3.6 Inclusion and Exclusion Criteria</w:t>
      </w:r>
      <w:bookmarkEnd w:id="37"/>
      <w:r w:rsidRPr="00A13FD2">
        <w:rPr>
          <w:rFonts w:ascii="Times New Roman" w:eastAsia="Arial" w:hAnsi="Times New Roman" w:cs="Arial"/>
          <w:b/>
          <w:color w:val="000000" w:themeColor="text1"/>
          <w:kern w:val="0"/>
          <w:sz w:val="26"/>
          <w:szCs w:val="32"/>
          <w:lang w:val="en-US" w:eastAsia="en-US" w:bidi="ar-SA"/>
          <w14:ligatures w14:val="none"/>
        </w:rPr>
        <w:t xml:space="preserve"> </w:t>
      </w:r>
    </w:p>
    <w:p w14:paraId="291F8F5A" w14:textId="77777777" w:rsidR="00A13FD2" w:rsidRPr="00A13FD2" w:rsidRDefault="00A13FD2" w:rsidP="00A13FD2">
      <w:pPr>
        <w:spacing w:line="360" w:lineRule="auto"/>
        <w:jc w:val="center"/>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noProof/>
          <w:color w:val="000000" w:themeColor="text1"/>
          <w:kern w:val="0"/>
          <w:sz w:val="24"/>
          <w:szCs w:val="24"/>
          <w:bdr w:val="none" w:sz="0" w:space="0" w:color="auto" w:frame="1"/>
          <w:lang w:val="en-US" w:eastAsia="en-US" w:bidi="ar-SA"/>
          <w14:ligatures w14:val="none"/>
        </w:rPr>
        <w:drawing>
          <wp:inline distT="0" distB="0" distL="0" distR="0" wp14:anchorId="3BCDC41F" wp14:editId="5FE99C8C">
            <wp:extent cx="5685464" cy="3733101"/>
            <wp:effectExtent l="19050" t="0" r="0" b="0"/>
            <wp:docPr id="2" name="Picture 2" descr="https://lh6.googleusercontent.com/GFq781lx6Hur8_DqSSri2cKSS8rzJx6-8TX7GlyFKApuQYX1CB_SmfKgW0FvDbj-chVJnuhZYMJXOnA023y-mf2EXHIDwkKSpZ2VV1kqmbZT1iTP0wvu5HhxB9uXJ-YbiXXX1d7um1xYj8sCKfI_tm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https://lh6.googleusercontent.com/GFq781lx6Hur8_DqSSri2cKSS8rzJx6-8TX7GlyFKApuQYX1CB_SmfKgW0FvDbj-chVJnuhZYMJXOnA023y-mf2EXHIDwkKSpZ2VV1kqmbZT1iTP0wvu5HhxB9uXJ-YbiXXX1d7um1xYj8sCKfI_tmo"/>
                    <pic:cNvPicPr>
                      <a:picLocks noChangeAspect="1" noChangeArrowheads="1"/>
                    </pic:cNvPicPr>
                  </pic:nvPicPr>
                  <pic:blipFill>
                    <a:blip r:embed="rId35"/>
                    <a:srcRect t="14093"/>
                    <a:stretch>
                      <a:fillRect/>
                    </a:stretch>
                  </pic:blipFill>
                  <pic:spPr bwMode="auto">
                    <a:xfrm>
                      <a:off x="0" y="0"/>
                      <a:ext cx="5685464" cy="3733101"/>
                    </a:xfrm>
                    <a:prstGeom prst="rect">
                      <a:avLst/>
                    </a:prstGeom>
                    <a:noFill/>
                    <a:ln w="9525">
                      <a:noFill/>
                      <a:miter lim="800000"/>
                      <a:headEnd/>
                      <a:tailEnd/>
                    </a:ln>
                  </pic:spPr>
                </pic:pic>
              </a:graphicData>
            </a:graphic>
          </wp:inline>
        </w:drawing>
      </w:r>
    </w:p>
    <w:p w14:paraId="3ACB25B8" w14:textId="77777777" w:rsidR="00A13FD2" w:rsidRPr="00A13FD2" w:rsidRDefault="00A13FD2" w:rsidP="00A13FD2">
      <w:pPr>
        <w:keepNext/>
        <w:keepLines/>
        <w:spacing w:before="320" w:after="80" w:line="360" w:lineRule="auto"/>
        <w:jc w:val="center"/>
        <w:outlineLvl w:val="2"/>
        <w:rPr>
          <w:rFonts w:ascii="Times New Roman" w:eastAsia="Arial" w:hAnsi="Times New Roman" w:cs="Arial"/>
          <w:b/>
          <w:color w:val="000000" w:themeColor="text1"/>
          <w:kern w:val="0"/>
          <w:sz w:val="24"/>
          <w:szCs w:val="28"/>
          <w:lang w:val="en-US" w:eastAsia="en-US" w:bidi="ar-SA"/>
          <w14:ligatures w14:val="none"/>
        </w:rPr>
      </w:pPr>
      <w:bookmarkStart w:id="38" w:name="_Toc144666092"/>
      <w:bookmarkStart w:id="39" w:name="_Toc145060719"/>
      <w:bookmarkStart w:id="40" w:name="_Toc145934238"/>
      <w:bookmarkStart w:id="41" w:name="_Toc145936904"/>
      <w:bookmarkStart w:id="42" w:name="_Toc148097353"/>
      <w:r w:rsidRPr="00A13FD2">
        <w:rPr>
          <w:rFonts w:ascii="Times New Roman" w:eastAsia="Arial" w:hAnsi="Times New Roman" w:cs="Arial"/>
          <w:b/>
          <w:color w:val="000000" w:themeColor="text1"/>
          <w:kern w:val="0"/>
          <w:sz w:val="24"/>
          <w:szCs w:val="28"/>
          <w:lang w:val="en-US" w:eastAsia="en-US" w:bidi="ar-SA"/>
          <w14:ligatures w14:val="none"/>
        </w:rPr>
        <w:t>Figure 6: Prisma Diagram</w:t>
      </w:r>
      <w:bookmarkEnd w:id="38"/>
      <w:bookmarkEnd w:id="39"/>
      <w:bookmarkEnd w:id="40"/>
      <w:bookmarkEnd w:id="41"/>
      <w:bookmarkEnd w:id="42"/>
    </w:p>
    <w:p w14:paraId="1E72DC43" w14:textId="77777777" w:rsidR="00A13FD2" w:rsidRPr="00A13FD2" w:rsidRDefault="00A13FD2" w:rsidP="00A13FD2">
      <w:pPr>
        <w:spacing w:line="360" w:lineRule="auto"/>
        <w:jc w:val="center"/>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Cs/>
          <w:color w:val="000000" w:themeColor="text1"/>
          <w:kern w:val="0"/>
          <w:sz w:val="24"/>
          <w:szCs w:val="24"/>
          <w:lang w:val="en-US" w:eastAsia="en-US" w:bidi="ar-SA"/>
          <w14:ligatures w14:val="none"/>
        </w:rPr>
        <w:t>(Source: Self-created in Draw.io)</w:t>
      </w:r>
    </w:p>
    <w:p w14:paraId="3778B6B4"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43" w:name="_Toc145934239"/>
      <w:r w:rsidRPr="00A13FD2">
        <w:rPr>
          <w:rFonts w:ascii="Times New Roman" w:eastAsia="Arial" w:hAnsi="Times New Roman" w:cs="Arial"/>
          <w:b/>
          <w:color w:val="000000" w:themeColor="text1"/>
          <w:kern w:val="0"/>
          <w:sz w:val="26"/>
          <w:szCs w:val="32"/>
          <w:lang w:val="en-US" w:eastAsia="en-US" w:bidi="ar-SA"/>
          <w14:ligatures w14:val="none"/>
        </w:rPr>
        <w:t>3.7 Data Collection Method</w:t>
      </w:r>
      <w:bookmarkEnd w:id="43"/>
    </w:p>
    <w:p w14:paraId="2D05F25B" w14:textId="77777777" w:rsidR="00A13FD2" w:rsidRPr="00A13FD2" w:rsidRDefault="00A13FD2" w:rsidP="00A13FD2">
      <w:pPr>
        <w:spacing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Secondary data collection methods</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involve gathering and analyzing existing data from sources such as academic literature, reports, case studies, and publicly available documents. In the context of exploring ways to manage cultural diversity in cross-border mergers in Asia for UK-based companies, secondary data collection can provide valuable insights and complement primary research efforts. Here's how it can be implemented:</w:t>
      </w:r>
    </w:p>
    <w:p w14:paraId="582F542A" w14:textId="77777777" w:rsidR="00A13FD2" w:rsidRPr="00A13FD2" w:rsidRDefault="00A13FD2" w:rsidP="00A13FD2">
      <w:pPr>
        <w:spacing w:line="360" w:lineRule="auto"/>
        <w:jc w:val="both"/>
        <w:rPr>
          <w:rFonts w:ascii="Times New Roman" w:eastAsia="Times New Roman" w:hAnsi="Times New Roman" w:cs="Times New Roman"/>
          <w:b/>
          <w:i/>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Literature Review:</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It conducts an extensive review of academic journals, books, and articles related to cross-border mergers, cultural diversity management, and international business in Asia to identify relevant theories, models, and best practices outlined in existing literature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Susilawati</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2020</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w:t>
      </w:r>
      <w:r w:rsidRPr="00A13FD2">
        <w:rPr>
          <w:rFonts w:ascii="Times New Roman" w:eastAsia="Times New Roman" w:hAnsi="Times New Roman" w:cs="Times New Roman"/>
          <w:b/>
          <w:i/>
          <w:color w:val="000000" w:themeColor="text1"/>
          <w:kern w:val="0"/>
          <w:sz w:val="24"/>
          <w:szCs w:val="24"/>
          <w:lang w:val="en-US" w:eastAsia="en-US" w:bidi="ar-SA"/>
          <w14:ligatures w14:val="none"/>
        </w:rPr>
        <w:t>[Referred to Appendix 3]</w:t>
      </w:r>
    </w:p>
    <w:p w14:paraId="2ABCB78F"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lastRenderedPageBreak/>
        <w:t>Company Reports:</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It can be helpful to analyze publicly available annual reports, financial statements, and corporate documents of UK-based companies that have undergone cross-border mergers in Asia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Schuurman, 2020</w:t>
      </w:r>
      <w:r w:rsidRPr="00A13FD2">
        <w:rPr>
          <w:rFonts w:ascii="Times New Roman" w:eastAsia="Times New Roman" w:hAnsi="Times New Roman" w:cs="Times New Roman"/>
          <w:color w:val="000000" w:themeColor="text1"/>
          <w:kern w:val="0"/>
          <w:sz w:val="24"/>
          <w:szCs w:val="24"/>
          <w:lang w:val="en-US" w:eastAsia="en-US" w:bidi="ar-SA"/>
          <w14:ligatures w14:val="none"/>
        </w:rPr>
        <w:t>).  It looks for information on diversity policies, integration strategies, and outcomes related to cultural diversity.</w:t>
      </w:r>
    </w:p>
    <w:p w14:paraId="24DABCCC"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Case Studies:</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This helps to examine existing case studies or published reports on cross-border mergers involving UK-based companies in Asian markets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Susilawati</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2020</w:t>
      </w:r>
      <w:r w:rsidRPr="00A13FD2">
        <w:rPr>
          <w:rFonts w:ascii="Times New Roman" w:eastAsia="Times New Roman" w:hAnsi="Times New Roman" w:cs="Times New Roman"/>
          <w:color w:val="000000" w:themeColor="text1"/>
          <w:kern w:val="0"/>
          <w:sz w:val="24"/>
          <w:szCs w:val="24"/>
          <w:lang w:val="en-US" w:eastAsia="en-US" w:bidi="ar-SA"/>
          <w14:ligatures w14:val="none"/>
        </w:rPr>
        <w:t>). It extracts insights into the specific challenges faced and the strategies employed to manage cultural diversity.</w:t>
      </w:r>
    </w:p>
    <w:p w14:paraId="76899B66"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Government and Industry Reports:</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Review reports and publications from government agencies, trade associations, and industry groups that provide data and analysis on cross-border mergers, cultural issues, and business practices in Asia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Schuurman, 2020</w:t>
      </w:r>
      <w:r w:rsidRPr="00A13FD2">
        <w:rPr>
          <w:rFonts w:ascii="Times New Roman" w:eastAsia="Times New Roman" w:hAnsi="Times New Roman" w:cs="Times New Roman"/>
          <w:color w:val="000000" w:themeColor="text1"/>
          <w:kern w:val="0"/>
          <w:sz w:val="24"/>
          <w:szCs w:val="24"/>
          <w:lang w:val="en-US" w:eastAsia="en-US" w:bidi="ar-SA"/>
          <w14:ligatures w14:val="none"/>
        </w:rPr>
        <w:t>).</w:t>
      </w:r>
    </w:p>
    <w:p w14:paraId="181B883A"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News and Media Sources:</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It is significant to monitor news articles and media coverage of cross-border mergers involving UK companies in Asia to gather information on recent developments, challenges, and successes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Susilawati</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2020</w:t>
      </w:r>
      <w:r w:rsidRPr="00A13FD2">
        <w:rPr>
          <w:rFonts w:ascii="Times New Roman" w:eastAsia="Times New Roman" w:hAnsi="Times New Roman" w:cs="Times New Roman"/>
          <w:color w:val="000000" w:themeColor="text1"/>
          <w:kern w:val="0"/>
          <w:sz w:val="24"/>
          <w:szCs w:val="24"/>
          <w:lang w:val="en-US" w:eastAsia="en-US" w:bidi="ar-SA"/>
          <w14:ligatures w14:val="none"/>
        </w:rPr>
        <w:t>).</w:t>
      </w:r>
    </w:p>
    <w:p w14:paraId="7345C965"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Cross-Cultural Studies: </w:t>
      </w:r>
      <w:r w:rsidRPr="00A13FD2">
        <w:rPr>
          <w:rFonts w:ascii="Times New Roman" w:eastAsia="Times New Roman" w:hAnsi="Times New Roman" w:cs="Times New Roman"/>
          <w:color w:val="000000" w:themeColor="text1"/>
          <w:kern w:val="0"/>
          <w:sz w:val="24"/>
          <w:szCs w:val="24"/>
          <w:lang w:val="en-US" w:eastAsia="en-US" w:bidi="ar-SA"/>
          <w14:ligatures w14:val="none"/>
        </w:rPr>
        <w:t>This refers to cross-cultural studies and research that explore the cultural dimensions of Asian countries and the implications for international business and mergers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Schuurman, 2020</w:t>
      </w:r>
      <w:r w:rsidRPr="00A13FD2">
        <w:rPr>
          <w:rFonts w:ascii="Times New Roman" w:eastAsia="Times New Roman" w:hAnsi="Times New Roman" w:cs="Times New Roman"/>
          <w:color w:val="000000" w:themeColor="text1"/>
          <w:kern w:val="0"/>
          <w:sz w:val="24"/>
          <w:szCs w:val="24"/>
          <w:lang w:val="en-US" w:eastAsia="en-US" w:bidi="ar-SA"/>
          <w14:ligatures w14:val="none"/>
        </w:rPr>
        <w:t>).</w:t>
      </w:r>
    </w:p>
    <w:p w14:paraId="574C2DF6"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44" w:name="_Toc145934240"/>
      <w:r w:rsidRPr="00A13FD2">
        <w:rPr>
          <w:rFonts w:ascii="Times New Roman" w:eastAsia="Arial" w:hAnsi="Times New Roman" w:cs="Arial"/>
          <w:b/>
          <w:color w:val="000000" w:themeColor="text1"/>
          <w:kern w:val="0"/>
          <w:sz w:val="26"/>
          <w:szCs w:val="32"/>
          <w:lang w:val="en-US" w:eastAsia="en-US" w:bidi="ar-SA"/>
          <w14:ligatures w14:val="none"/>
        </w:rPr>
        <w:t>3.8 Data Analysis Method</w:t>
      </w:r>
      <w:bookmarkEnd w:id="44"/>
      <w:r w:rsidRPr="00A13FD2">
        <w:rPr>
          <w:rFonts w:ascii="Times New Roman" w:eastAsia="Arial" w:hAnsi="Times New Roman" w:cs="Arial"/>
          <w:b/>
          <w:color w:val="000000" w:themeColor="text1"/>
          <w:kern w:val="0"/>
          <w:sz w:val="26"/>
          <w:szCs w:val="32"/>
          <w:lang w:val="en-US" w:eastAsia="en-US" w:bidi="ar-SA"/>
          <w14:ligatures w14:val="none"/>
        </w:rPr>
        <w:t xml:space="preserve"> </w:t>
      </w:r>
    </w:p>
    <w:p w14:paraId="208C2364" w14:textId="77777777" w:rsidR="00A13FD2" w:rsidRPr="00A13FD2" w:rsidRDefault="00A13FD2" w:rsidP="00A13FD2">
      <w:pPr>
        <w:spacing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Thematic data analysis</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is a systematic process used to identify, analyze, and report patterns (themes) within qualitative data. In the context of exploring ways to manage cultural diversity in cross-border mergers in Asia for UK-based companies, here's a step-by-step overview of the thematic data analysis process:</w:t>
      </w:r>
    </w:p>
    <w:p w14:paraId="3B3671D2" w14:textId="77777777" w:rsidR="00A13FD2" w:rsidRPr="00A13FD2" w:rsidRDefault="00A13FD2" w:rsidP="00A13FD2">
      <w:pPr>
        <w:spacing w:line="360" w:lineRule="auto"/>
        <w:jc w:val="both"/>
        <w:rPr>
          <w:rFonts w:ascii="Times New Roman" w:eastAsia="Times New Roman" w:hAnsi="Times New Roman" w:cs="Times New Roman"/>
          <w:b/>
          <w:i/>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Initial Coding: </w:t>
      </w:r>
      <w:r w:rsidRPr="00A13FD2">
        <w:rPr>
          <w:rFonts w:ascii="Times New Roman" w:eastAsia="Times New Roman" w:hAnsi="Times New Roman" w:cs="Times New Roman"/>
          <w:color w:val="000000" w:themeColor="text1"/>
          <w:kern w:val="0"/>
          <w:sz w:val="24"/>
          <w:szCs w:val="24"/>
          <w:lang w:val="en-US" w:eastAsia="en-US" w:bidi="ar-SA"/>
          <w14:ligatures w14:val="none"/>
        </w:rPr>
        <w:t>Start the analysis process by generating initial codes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Sundler</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2019</w:t>
      </w:r>
      <w:r w:rsidRPr="00A13FD2">
        <w:rPr>
          <w:rFonts w:ascii="Times New Roman" w:eastAsia="Times New Roman" w:hAnsi="Times New Roman" w:cs="Times New Roman"/>
          <w:color w:val="000000" w:themeColor="text1"/>
          <w:kern w:val="0"/>
          <w:sz w:val="24"/>
          <w:szCs w:val="24"/>
          <w:lang w:val="en-US" w:eastAsia="en-US" w:bidi="ar-SA"/>
          <w14:ligatures w14:val="none"/>
        </w:rPr>
        <w:t>). These codes are short labels or tags that capture meaningful elements in the data. </w:t>
      </w:r>
      <w:r w:rsidRPr="00A13FD2">
        <w:rPr>
          <w:rFonts w:ascii="Times New Roman" w:eastAsia="Times New Roman" w:hAnsi="Times New Roman" w:cs="Times New Roman"/>
          <w:b/>
          <w:i/>
          <w:color w:val="000000" w:themeColor="text1"/>
          <w:kern w:val="0"/>
          <w:sz w:val="24"/>
          <w:szCs w:val="24"/>
          <w:lang w:val="en-US" w:eastAsia="en-US" w:bidi="ar-SA"/>
          <w14:ligatures w14:val="none"/>
        </w:rPr>
        <w:t>[Referred to Appendix 4]</w:t>
      </w:r>
    </w:p>
    <w:p w14:paraId="32B94B7F"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Code Grouping: </w:t>
      </w:r>
      <w:r w:rsidRPr="00A13FD2">
        <w:rPr>
          <w:rFonts w:ascii="Times New Roman" w:eastAsia="Times New Roman" w:hAnsi="Times New Roman" w:cs="Times New Roman"/>
          <w:color w:val="000000" w:themeColor="text1"/>
          <w:kern w:val="0"/>
          <w:sz w:val="24"/>
          <w:szCs w:val="24"/>
          <w:lang w:val="en-US" w:eastAsia="en-US" w:bidi="ar-SA"/>
          <w14:ligatures w14:val="none"/>
        </w:rPr>
        <w:t>Organize related codes into potential themes or patterns. Themes are broader categories that emerge from the codes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Peel, 2020</w:t>
      </w:r>
      <w:r w:rsidRPr="00A13FD2">
        <w:rPr>
          <w:rFonts w:ascii="Times New Roman" w:eastAsia="Times New Roman" w:hAnsi="Times New Roman" w:cs="Times New Roman"/>
          <w:color w:val="000000" w:themeColor="text1"/>
          <w:kern w:val="0"/>
          <w:sz w:val="24"/>
          <w:szCs w:val="24"/>
          <w:lang w:val="en-US" w:eastAsia="en-US" w:bidi="ar-SA"/>
          <w14:ligatures w14:val="none"/>
        </w:rPr>
        <w:t>). These could include themes like "Communication Strategies" or "Leadership Approaches."</w:t>
      </w:r>
    </w:p>
    <w:p w14:paraId="0992288C"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p>
    <w:p w14:paraId="472A3B6E"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lastRenderedPageBreak/>
        <w:t>Review and Refinement:</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Review the themes and codes iteratively. Refine and adjust them as needed to ensure they accurately represent the data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Sundler</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2019</w:t>
      </w:r>
      <w:r w:rsidRPr="00A13FD2">
        <w:rPr>
          <w:rFonts w:ascii="Times New Roman" w:eastAsia="Times New Roman" w:hAnsi="Times New Roman" w:cs="Times New Roman"/>
          <w:color w:val="000000" w:themeColor="text1"/>
          <w:kern w:val="0"/>
          <w:sz w:val="24"/>
          <w:szCs w:val="24"/>
          <w:lang w:val="en-US" w:eastAsia="en-US" w:bidi="ar-SA"/>
          <w14:ligatures w14:val="none"/>
        </w:rPr>
        <w:t>). Themes should be distinct and clearly defined.</w:t>
      </w:r>
    </w:p>
    <w:p w14:paraId="3A36CA1F"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Data Segmentation: </w:t>
      </w:r>
      <w:r w:rsidRPr="00A13FD2">
        <w:rPr>
          <w:rFonts w:ascii="Times New Roman" w:eastAsia="Times New Roman" w:hAnsi="Times New Roman" w:cs="Times New Roman"/>
          <w:color w:val="000000" w:themeColor="text1"/>
          <w:kern w:val="0"/>
          <w:sz w:val="24"/>
          <w:szCs w:val="24"/>
          <w:lang w:val="en-US" w:eastAsia="en-US" w:bidi="ar-SA"/>
          <w14:ligatures w14:val="none"/>
        </w:rPr>
        <w:t>Divide the data into segments based on the identified themes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Peel, 2020</w:t>
      </w:r>
      <w:r w:rsidRPr="00A13FD2">
        <w:rPr>
          <w:rFonts w:ascii="Times New Roman" w:eastAsia="Times New Roman" w:hAnsi="Times New Roman" w:cs="Times New Roman"/>
          <w:color w:val="000000" w:themeColor="text1"/>
          <w:kern w:val="0"/>
          <w:sz w:val="24"/>
          <w:szCs w:val="24"/>
          <w:lang w:val="en-US" w:eastAsia="en-US" w:bidi="ar-SA"/>
          <w14:ligatures w14:val="none"/>
        </w:rPr>
        <w:t>). Each segment should consist of relevant excerpts from the data that support and exemplify the theme.</w:t>
      </w:r>
    </w:p>
    <w:p w14:paraId="62F4D4F6"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Data Analysis:</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Analyze each segment within the context of its corresponding theme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Sundler</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2019</w:t>
      </w:r>
      <w:r w:rsidRPr="00A13FD2">
        <w:rPr>
          <w:rFonts w:ascii="Times New Roman" w:eastAsia="Times New Roman" w:hAnsi="Times New Roman" w:cs="Times New Roman"/>
          <w:color w:val="000000" w:themeColor="text1"/>
          <w:kern w:val="0"/>
          <w:sz w:val="24"/>
          <w:szCs w:val="24"/>
          <w:lang w:val="en-US" w:eastAsia="en-US" w:bidi="ar-SA"/>
          <w14:ligatures w14:val="none"/>
        </w:rPr>
        <w:t>). Explore the nuances and variations within each theme to understand the complexities of cultural diversity management.</w:t>
      </w:r>
    </w:p>
    <w:p w14:paraId="659AC911"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Report on Findings:</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Present the thematic findings in a clear and structured manner in your research report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Peel, 2020</w:t>
      </w:r>
      <w:r w:rsidRPr="00A13FD2">
        <w:rPr>
          <w:rFonts w:ascii="Times New Roman" w:eastAsia="Times New Roman" w:hAnsi="Times New Roman" w:cs="Times New Roman"/>
          <w:color w:val="000000" w:themeColor="text1"/>
          <w:kern w:val="0"/>
          <w:sz w:val="24"/>
          <w:szCs w:val="24"/>
          <w:lang w:val="en-US" w:eastAsia="en-US" w:bidi="ar-SA"/>
          <w14:ligatures w14:val="none"/>
        </w:rPr>
        <w:t>). Use quotes or examples from the data to illustrate each theme and support your analysis.</w:t>
      </w:r>
    </w:p>
    <w:p w14:paraId="7E2079FF"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Conclusion and Implications:</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Summarize the key findings from the thematic analysis and discuss their implications for managing cultural diversity in cross-border mergers in Asia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Sundler</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2019</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w:t>
      </w:r>
    </w:p>
    <w:p w14:paraId="3EF53043"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45" w:name="_Toc145934241"/>
      <w:r w:rsidRPr="00A13FD2">
        <w:rPr>
          <w:rFonts w:ascii="Times New Roman" w:eastAsia="Arial" w:hAnsi="Times New Roman" w:cs="Arial"/>
          <w:b/>
          <w:color w:val="000000" w:themeColor="text1"/>
          <w:kern w:val="0"/>
          <w:sz w:val="26"/>
          <w:szCs w:val="32"/>
          <w:lang w:val="en-US" w:eastAsia="en-US" w:bidi="ar-SA"/>
          <w14:ligatures w14:val="none"/>
        </w:rPr>
        <w:t>3.9 Research Timeline</w:t>
      </w:r>
      <w:bookmarkEnd w:id="45"/>
    </w:p>
    <w:p w14:paraId="5F494125"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p>
    <w:p w14:paraId="18551B3C" w14:textId="77777777" w:rsidR="00A13FD2" w:rsidRPr="00A13FD2" w:rsidRDefault="00A13FD2" w:rsidP="00A13FD2">
      <w:pPr>
        <w:spacing w:line="360" w:lineRule="auto"/>
        <w:jc w:val="center"/>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noProof/>
          <w:color w:val="000000" w:themeColor="text1"/>
          <w:kern w:val="0"/>
          <w:sz w:val="24"/>
          <w:szCs w:val="24"/>
          <w:bdr w:val="none" w:sz="0" w:space="0" w:color="auto" w:frame="1"/>
          <w:lang w:val="en-US" w:eastAsia="en-US" w:bidi="ar-SA"/>
          <w14:ligatures w14:val="none"/>
        </w:rPr>
        <w:drawing>
          <wp:inline distT="0" distB="0" distL="0" distR="0" wp14:anchorId="2027850C" wp14:editId="2727DD33">
            <wp:extent cx="6065520" cy="805180"/>
            <wp:effectExtent l="19050" t="0" r="0" b="0"/>
            <wp:docPr id="1" name="Picture 3" descr="https://lh6.googleusercontent.com/LI3FAhLZ_-BEtvy0j1Up5o8BdMyMWOLylYpJovY8SPyvCYQcgHo160YK6WiyUIRPhsprEaaJIk-OxsnJdm02AD-dS0NDLmnsVxfWwjsl9T9wUyQYwEdOm7RWylYpecKQOxsrax1bFEtvluQY87EKyG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https://lh6.googleusercontent.com/LI3FAhLZ_-BEtvy0j1Up5o8BdMyMWOLylYpJovY8SPyvCYQcgHo160YK6WiyUIRPhsprEaaJIk-OxsnJdm02AD-dS0NDLmnsVxfWwjsl9T9wUyQYwEdOm7RWylYpecKQOxsrax1bFEtvluQY87EKyGI"/>
                    <pic:cNvPicPr>
                      <a:picLocks noChangeAspect="1" noChangeArrowheads="1"/>
                    </pic:cNvPicPr>
                  </pic:nvPicPr>
                  <pic:blipFill>
                    <a:blip r:embed="rId36"/>
                    <a:stretch>
                      <a:fillRect/>
                    </a:stretch>
                  </pic:blipFill>
                  <pic:spPr bwMode="auto">
                    <a:xfrm>
                      <a:off x="0" y="0"/>
                      <a:ext cx="6065520" cy="805180"/>
                    </a:xfrm>
                    <a:prstGeom prst="rect">
                      <a:avLst/>
                    </a:prstGeom>
                    <a:noFill/>
                    <a:ln w="9525">
                      <a:noFill/>
                      <a:miter lim="800000"/>
                      <a:headEnd/>
                      <a:tailEnd/>
                    </a:ln>
                  </pic:spPr>
                </pic:pic>
              </a:graphicData>
            </a:graphic>
          </wp:inline>
        </w:drawing>
      </w:r>
    </w:p>
    <w:p w14:paraId="14028AC4" w14:textId="77777777" w:rsidR="00A13FD2" w:rsidRPr="00A13FD2" w:rsidRDefault="00A13FD2" w:rsidP="00A13FD2">
      <w:pPr>
        <w:keepNext/>
        <w:keepLines/>
        <w:spacing w:before="320" w:after="80" w:line="360" w:lineRule="auto"/>
        <w:jc w:val="center"/>
        <w:outlineLvl w:val="2"/>
        <w:rPr>
          <w:rFonts w:ascii="Times New Roman" w:eastAsia="Arial" w:hAnsi="Times New Roman" w:cs="Arial"/>
          <w:b/>
          <w:color w:val="000000" w:themeColor="text1"/>
          <w:kern w:val="0"/>
          <w:sz w:val="24"/>
          <w:szCs w:val="28"/>
          <w:lang w:val="en-US" w:eastAsia="en-US" w:bidi="ar-SA"/>
          <w14:ligatures w14:val="none"/>
        </w:rPr>
      </w:pPr>
      <w:bookmarkStart w:id="46" w:name="_Toc144666096"/>
      <w:bookmarkStart w:id="47" w:name="_Toc145060723"/>
      <w:bookmarkStart w:id="48" w:name="_Toc145934242"/>
      <w:bookmarkStart w:id="49" w:name="_Toc145936905"/>
      <w:bookmarkStart w:id="50" w:name="_Toc148097354"/>
      <w:r w:rsidRPr="00A13FD2">
        <w:rPr>
          <w:rFonts w:ascii="Times New Roman" w:eastAsia="Arial" w:hAnsi="Times New Roman" w:cs="Arial"/>
          <w:b/>
          <w:color w:val="000000" w:themeColor="text1"/>
          <w:kern w:val="0"/>
          <w:sz w:val="24"/>
          <w:szCs w:val="28"/>
          <w:lang w:val="en-US" w:eastAsia="en-US" w:bidi="ar-SA"/>
          <w14:ligatures w14:val="none"/>
        </w:rPr>
        <w:t>Figure 7: Research Timeline</w:t>
      </w:r>
      <w:bookmarkEnd w:id="46"/>
      <w:bookmarkEnd w:id="47"/>
      <w:bookmarkEnd w:id="48"/>
      <w:bookmarkEnd w:id="49"/>
      <w:bookmarkEnd w:id="50"/>
    </w:p>
    <w:p w14:paraId="40923CFF" w14:textId="77777777" w:rsidR="00A13FD2" w:rsidRPr="00A13FD2" w:rsidRDefault="00A13FD2" w:rsidP="00A13FD2">
      <w:pPr>
        <w:spacing w:line="360" w:lineRule="auto"/>
        <w:jc w:val="center"/>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Cs/>
          <w:color w:val="000000" w:themeColor="text1"/>
          <w:kern w:val="0"/>
          <w:sz w:val="24"/>
          <w:szCs w:val="24"/>
          <w:lang w:val="en-US" w:eastAsia="en-US" w:bidi="ar-SA"/>
          <w14:ligatures w14:val="none"/>
        </w:rPr>
        <w:t xml:space="preserve">(Source: Self-created in </w:t>
      </w:r>
      <w:proofErr w:type="spellStart"/>
      <w:r w:rsidRPr="00A13FD2">
        <w:rPr>
          <w:rFonts w:ascii="Times New Roman" w:eastAsia="Times New Roman" w:hAnsi="Times New Roman" w:cs="Times New Roman"/>
          <w:bCs/>
          <w:color w:val="000000" w:themeColor="text1"/>
          <w:kern w:val="0"/>
          <w:sz w:val="24"/>
          <w:szCs w:val="24"/>
          <w:lang w:val="en-US" w:eastAsia="en-US" w:bidi="ar-SA"/>
          <w14:ligatures w14:val="none"/>
        </w:rPr>
        <w:t>ProjectLibre</w:t>
      </w:r>
      <w:proofErr w:type="spellEnd"/>
      <w:r w:rsidRPr="00A13FD2">
        <w:rPr>
          <w:rFonts w:ascii="Times New Roman" w:eastAsia="Times New Roman" w:hAnsi="Times New Roman" w:cs="Times New Roman"/>
          <w:bCs/>
          <w:color w:val="000000" w:themeColor="text1"/>
          <w:kern w:val="0"/>
          <w:sz w:val="24"/>
          <w:szCs w:val="24"/>
          <w:lang w:val="en-US" w:eastAsia="en-US" w:bidi="ar-SA"/>
          <w14:ligatures w14:val="none"/>
        </w:rPr>
        <w:t>)</w:t>
      </w:r>
    </w:p>
    <w:p w14:paraId="453ADA87" w14:textId="77777777" w:rsidR="00A13FD2" w:rsidRPr="00A13FD2" w:rsidRDefault="00A13FD2" w:rsidP="00A13FD2">
      <w:pPr>
        <w:spacing w:line="360" w:lineRule="auto"/>
        <w:jc w:val="center"/>
        <w:rPr>
          <w:rFonts w:ascii="Times New Roman" w:eastAsia="Arial" w:hAnsi="Times New Roman" w:cs="Times New Roman"/>
          <w:color w:val="000000" w:themeColor="text1"/>
          <w:kern w:val="0"/>
          <w:sz w:val="24"/>
          <w:szCs w:val="24"/>
          <w:lang w:val="en-US" w:eastAsia="en-US" w:bidi="ar-SA"/>
          <w14:ligatures w14:val="none"/>
        </w:rPr>
      </w:pPr>
    </w:p>
    <w:p w14:paraId="7DDE495A"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51" w:name="_Toc145934243"/>
      <w:r w:rsidRPr="00A13FD2">
        <w:rPr>
          <w:rFonts w:ascii="Times New Roman" w:eastAsia="Arial" w:hAnsi="Times New Roman" w:cs="Arial"/>
          <w:b/>
          <w:color w:val="000000" w:themeColor="text1"/>
          <w:kern w:val="0"/>
          <w:sz w:val="26"/>
          <w:szCs w:val="32"/>
          <w:lang w:val="en-US" w:eastAsia="en-US" w:bidi="ar-SA"/>
          <w14:ligatures w14:val="none"/>
        </w:rPr>
        <w:t>3.10 Conclusion</w:t>
      </w:r>
      <w:bookmarkEnd w:id="51"/>
      <w:r w:rsidRPr="00A13FD2">
        <w:rPr>
          <w:rFonts w:ascii="Times New Roman" w:eastAsia="Arial" w:hAnsi="Times New Roman" w:cs="Arial"/>
          <w:b/>
          <w:color w:val="000000" w:themeColor="text1"/>
          <w:kern w:val="0"/>
          <w:sz w:val="26"/>
          <w:szCs w:val="32"/>
          <w:lang w:val="en-US" w:eastAsia="en-US" w:bidi="ar-SA"/>
          <w14:ligatures w14:val="none"/>
        </w:rPr>
        <w:t xml:space="preserve"> </w:t>
      </w:r>
    </w:p>
    <w:p w14:paraId="53B0F981" w14:textId="77777777" w:rsidR="00A13FD2" w:rsidRPr="00A13FD2" w:rsidRDefault="00A13FD2" w:rsidP="00A13FD2">
      <w:pPr>
        <w:spacing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The secondary qualitative thematic research methodology applied to the exploration of ways to manage cultural diversity in cross-border mergers in Asia for UK-based companies has yielded valuable insights and a deeper understanding of this complex business context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Roh</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2019</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w:t>
      </w:r>
      <w:r w:rsidRPr="00A13FD2">
        <w:rPr>
          <w:rFonts w:ascii="Times New Roman" w:eastAsia="Times New Roman" w:hAnsi="Times New Roman" w:cs="Times New Roman"/>
          <w:color w:val="000000" w:themeColor="text1"/>
          <w:kern w:val="0"/>
          <w:sz w:val="24"/>
          <w:szCs w:val="24"/>
          <w:lang w:val="en-US" w:eastAsia="en-US" w:bidi="ar-SA"/>
          <w14:ligatures w14:val="none"/>
        </w:rPr>
        <w:lastRenderedPageBreak/>
        <w:t>Through an extensive review of existing literature, case studies, and reports, key themes and patterns have emerged regarding how organizations address the challenges of cultural diversity within cross-border mergers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Hoque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2020</w:t>
      </w:r>
      <w:r w:rsidRPr="00A13FD2">
        <w:rPr>
          <w:rFonts w:ascii="Times New Roman" w:eastAsia="Times New Roman" w:hAnsi="Times New Roman" w:cs="Times New Roman"/>
          <w:color w:val="000000" w:themeColor="text1"/>
          <w:kern w:val="0"/>
          <w:sz w:val="24"/>
          <w:szCs w:val="24"/>
          <w:lang w:val="en-US" w:eastAsia="en-US" w:bidi="ar-SA"/>
          <w14:ligatures w14:val="none"/>
        </w:rPr>
        <w:t>). These themes encompass various strategies, challenges, and best practices employed by UK-based companies when expanding into diverse Asian markets.</w:t>
      </w:r>
    </w:p>
    <w:p w14:paraId="4760B4C9" w14:textId="77777777" w:rsidR="00A13FD2" w:rsidRPr="00A13FD2" w:rsidRDefault="00A13FD2" w:rsidP="00A13FD2">
      <w:pPr>
        <w:spacing w:before="300"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The research has shed light on the importance of context-specific approaches, recognizing that what works in one Asian region may not be suitable for another due to cultural variations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Peel, 2020</w:t>
      </w:r>
      <w:r w:rsidRPr="00A13FD2">
        <w:rPr>
          <w:rFonts w:ascii="Times New Roman" w:eastAsia="Times New Roman" w:hAnsi="Times New Roman" w:cs="Times New Roman"/>
          <w:color w:val="000000" w:themeColor="text1"/>
          <w:kern w:val="0"/>
          <w:sz w:val="24"/>
          <w:szCs w:val="24"/>
          <w:lang w:val="en-US" w:eastAsia="en-US" w:bidi="ar-SA"/>
          <w14:ligatures w14:val="none"/>
        </w:rPr>
        <w:t>). It has also highlighted the significance of effective communication, leadership, and integration strategies in successfully managing cultural diversity during mergers. Moreover, the findings emphasize the need for UK-based companies to be adaptable and flexible in their approach, considering the dynamic nature of cultural dynamics within cross-border contexts.</w:t>
      </w:r>
    </w:p>
    <w:p w14:paraId="64046493" w14:textId="77777777" w:rsidR="00A13FD2" w:rsidRPr="00A13FD2" w:rsidRDefault="00A13FD2" w:rsidP="00A13FD2">
      <w:pPr>
        <w:spacing w:line="276" w:lineRule="auto"/>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br w:type="page"/>
      </w:r>
    </w:p>
    <w:p w14:paraId="17934847" w14:textId="77777777" w:rsidR="00A13FD2" w:rsidRPr="00A13FD2" w:rsidRDefault="00A13FD2" w:rsidP="00A13FD2">
      <w:pPr>
        <w:keepNext/>
        <w:keepLines/>
        <w:spacing w:before="400" w:after="120" w:line="360" w:lineRule="auto"/>
        <w:jc w:val="both"/>
        <w:outlineLvl w:val="0"/>
        <w:rPr>
          <w:rFonts w:ascii="Times New Roman" w:eastAsia="Arial" w:hAnsi="Times New Roman" w:cs="Arial"/>
          <w:b/>
          <w:color w:val="000000" w:themeColor="text1"/>
          <w:kern w:val="0"/>
          <w:sz w:val="28"/>
          <w:szCs w:val="40"/>
          <w:lang w:val="en-US" w:eastAsia="en-US" w:bidi="ar-SA"/>
          <w14:ligatures w14:val="none"/>
        </w:rPr>
      </w:pPr>
      <w:bookmarkStart w:id="52" w:name="_Toc145934244"/>
      <w:r w:rsidRPr="00A13FD2">
        <w:rPr>
          <w:rFonts w:ascii="Times New Roman" w:eastAsia="Arial" w:hAnsi="Times New Roman" w:cs="Arial"/>
          <w:b/>
          <w:color w:val="000000" w:themeColor="text1"/>
          <w:kern w:val="0"/>
          <w:sz w:val="28"/>
          <w:szCs w:val="40"/>
          <w:lang w:val="en-US" w:eastAsia="en-US" w:bidi="ar-SA"/>
          <w14:ligatures w14:val="none"/>
        </w:rPr>
        <w:lastRenderedPageBreak/>
        <w:t>Chapter 4: Findings and Analysis</w:t>
      </w:r>
      <w:bookmarkEnd w:id="52"/>
    </w:p>
    <w:p w14:paraId="08487C5A"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53" w:name="_Toc145934245"/>
      <w:r w:rsidRPr="00A13FD2">
        <w:rPr>
          <w:rFonts w:ascii="Times New Roman" w:eastAsia="Arial" w:hAnsi="Times New Roman" w:cs="Arial"/>
          <w:b/>
          <w:color w:val="000000" w:themeColor="text1"/>
          <w:kern w:val="0"/>
          <w:sz w:val="26"/>
          <w:szCs w:val="32"/>
          <w:lang w:val="en-US" w:eastAsia="en-US" w:bidi="ar-SA"/>
          <w14:ligatures w14:val="none"/>
        </w:rPr>
        <w:t>4.1 Introduction</w:t>
      </w:r>
      <w:bookmarkEnd w:id="53"/>
      <w:r w:rsidRPr="00A13FD2">
        <w:rPr>
          <w:rFonts w:ascii="Times New Roman" w:eastAsia="Arial" w:hAnsi="Times New Roman" w:cs="Arial"/>
          <w:b/>
          <w:color w:val="000000" w:themeColor="text1"/>
          <w:kern w:val="0"/>
          <w:sz w:val="26"/>
          <w:szCs w:val="32"/>
          <w:lang w:val="en-US" w:eastAsia="en-US" w:bidi="ar-SA"/>
          <w14:ligatures w14:val="none"/>
        </w:rPr>
        <w:t xml:space="preserve"> </w:t>
      </w:r>
    </w:p>
    <w:p w14:paraId="5FD730C8" w14:textId="77777777" w:rsidR="00A13FD2" w:rsidRPr="00A13FD2" w:rsidRDefault="00A13FD2" w:rsidP="00A13FD2">
      <w:pPr>
        <w:spacing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In the context of cross-border mergers in Asia, managing cultural diversity is a paramount concern for UK-based companies. Our analysis reveals several key findings in this regard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Oikarainen</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2019</w:t>
      </w:r>
      <w:r w:rsidRPr="00A13FD2">
        <w:rPr>
          <w:rFonts w:ascii="Times New Roman" w:eastAsia="Times New Roman" w:hAnsi="Times New Roman" w:cs="Times New Roman"/>
          <w:color w:val="000000" w:themeColor="text1"/>
          <w:kern w:val="0"/>
          <w:sz w:val="24"/>
          <w:szCs w:val="24"/>
          <w:lang w:val="en-US" w:eastAsia="en-US" w:bidi="ar-SA"/>
          <w14:ligatures w14:val="none"/>
        </w:rPr>
        <w:t>). Firstly, it is imperative to conduct comprehensive cultural due diligence before mergers, encompassing an understanding of cultural norms, communication styles, and hierarchies in the target region. This knowledge facilitates effective integration planning.</w:t>
      </w:r>
    </w:p>
    <w:p w14:paraId="5D774950" w14:textId="77777777" w:rsidR="00A13FD2" w:rsidRPr="00A13FD2" w:rsidRDefault="00A13FD2" w:rsidP="00A13FD2">
      <w:pPr>
        <w:spacing w:before="300"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Secondly, fostering an inclusive corporate culture that values diversity and inclusion is crucial. This entails creating an environment where employees from diverse backgrounds feel respected and empowered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Christofi</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2019</w:t>
      </w:r>
      <w:r w:rsidRPr="00A13FD2">
        <w:rPr>
          <w:rFonts w:ascii="Times New Roman" w:eastAsia="Times New Roman" w:hAnsi="Times New Roman" w:cs="Times New Roman"/>
          <w:color w:val="000000" w:themeColor="text1"/>
          <w:kern w:val="0"/>
          <w:sz w:val="24"/>
          <w:szCs w:val="24"/>
          <w:lang w:val="en-US" w:eastAsia="en-US" w:bidi="ar-SA"/>
          <w14:ligatures w14:val="none"/>
        </w:rPr>
        <w:t>). Training programs and cross-cultural communication workshops can be instrumental in achieving this. Additionally, appointing culturally sensitive leadership teams and establishing cross-functional task forces can bridge cultural gaps and enhance collaboration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Evemy</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2023</w:t>
      </w:r>
      <w:r w:rsidRPr="00A13FD2">
        <w:rPr>
          <w:rFonts w:ascii="Times New Roman" w:eastAsia="Times New Roman" w:hAnsi="Times New Roman" w:cs="Times New Roman"/>
          <w:color w:val="000000" w:themeColor="text1"/>
          <w:kern w:val="0"/>
          <w:sz w:val="24"/>
          <w:szCs w:val="24"/>
          <w:lang w:val="en-US" w:eastAsia="en-US" w:bidi="ar-SA"/>
          <w14:ligatures w14:val="none"/>
        </w:rPr>
        <w:t>). Moreover, utilizing technology for remote cross-border communication and collaboration can mitigate geographical and cultural challenges.</w:t>
      </w:r>
    </w:p>
    <w:p w14:paraId="4444680A"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4"/>
          <w:szCs w:val="24"/>
          <w:lang w:val="en-US" w:eastAsia="en-US" w:bidi="ar-SA"/>
          <w14:ligatures w14:val="none"/>
        </w:rPr>
      </w:pPr>
      <w:bookmarkStart w:id="54" w:name="_Toc145934246"/>
      <w:r w:rsidRPr="00A13FD2">
        <w:rPr>
          <w:rFonts w:ascii="Times New Roman" w:eastAsia="Arial" w:hAnsi="Times New Roman" w:cs="Arial"/>
          <w:b/>
          <w:color w:val="000000" w:themeColor="text1"/>
          <w:kern w:val="0"/>
          <w:sz w:val="24"/>
          <w:szCs w:val="24"/>
          <w:lang w:val="en-US" w:eastAsia="en-US" w:bidi="ar-SA"/>
          <w14:ligatures w14:val="none"/>
        </w:rPr>
        <w:t>4.2 Findings</w:t>
      </w:r>
      <w:bookmarkEnd w:id="54"/>
    </w:p>
    <w:tbl>
      <w:tblPr>
        <w:tblW w:w="9360" w:type="dxa"/>
        <w:tblCellMar>
          <w:top w:w="15" w:type="dxa"/>
          <w:left w:w="15" w:type="dxa"/>
          <w:bottom w:w="15" w:type="dxa"/>
          <w:right w:w="15" w:type="dxa"/>
        </w:tblCellMar>
        <w:tblLook w:val="04A0" w:firstRow="1" w:lastRow="0" w:firstColumn="1" w:lastColumn="0" w:noHBand="0" w:noVBand="1"/>
      </w:tblPr>
      <w:tblGrid>
        <w:gridCol w:w="1926"/>
        <w:gridCol w:w="1893"/>
        <w:gridCol w:w="934"/>
        <w:gridCol w:w="1564"/>
        <w:gridCol w:w="3043"/>
      </w:tblGrid>
      <w:tr w:rsidR="00A13FD2" w:rsidRPr="00A13FD2" w14:paraId="17504AD4" w14:textId="77777777" w:rsidTr="00DE653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5829A4" w14:textId="77777777" w:rsidR="00A13FD2" w:rsidRPr="00A13FD2" w:rsidRDefault="00A13FD2" w:rsidP="00A13FD2">
            <w:pPr>
              <w:spacing w:line="360" w:lineRule="auto"/>
              <w:jc w:val="center"/>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Citation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424288" w14:textId="77777777" w:rsidR="00A13FD2" w:rsidRPr="00A13FD2" w:rsidRDefault="00A13FD2" w:rsidP="00A13FD2">
            <w:pPr>
              <w:spacing w:line="360" w:lineRule="auto"/>
              <w:jc w:val="center"/>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Keywords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FF3FF6" w14:textId="77777777" w:rsidR="00A13FD2" w:rsidRPr="00A13FD2" w:rsidRDefault="00A13FD2" w:rsidP="00A13FD2">
            <w:pPr>
              <w:spacing w:line="360" w:lineRule="auto"/>
              <w:jc w:val="center"/>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And/or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459111" w14:textId="77777777" w:rsidR="00A13FD2" w:rsidRPr="00A13FD2" w:rsidRDefault="00A13FD2" w:rsidP="00A13FD2">
            <w:pPr>
              <w:spacing w:line="360" w:lineRule="auto"/>
              <w:jc w:val="center"/>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Keywords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DB04B4" w14:textId="77777777" w:rsidR="00A13FD2" w:rsidRPr="00A13FD2" w:rsidRDefault="00A13FD2" w:rsidP="00A13FD2">
            <w:pPr>
              <w:spacing w:line="360" w:lineRule="auto"/>
              <w:jc w:val="center"/>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Justification</w:t>
            </w:r>
          </w:p>
        </w:tc>
      </w:tr>
      <w:tr w:rsidR="00A13FD2" w:rsidRPr="00A13FD2" w14:paraId="496144A0" w14:textId="77777777" w:rsidTr="00DE653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536DE5"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core.ac.uk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ABE3F3"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Cross-border acquisitions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54C190"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927473"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UK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8A3006"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The keyword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Cross-border acquisitions </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and keyword “UK” have been selected to identify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the impact of cross-border acquisitions by UK-based companies</w:t>
            </w:r>
          </w:p>
        </w:tc>
      </w:tr>
      <w:tr w:rsidR="00A13FD2" w:rsidRPr="00A13FD2" w14:paraId="4E116AAB" w14:textId="77777777" w:rsidTr="00DE653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927DED"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aabri.com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F5B1BC"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Challenges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B03B76"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E5E041"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MNE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D8F4E7"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The keyword "Challenges</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and keyword “MNE” have been selected to identify the </w:t>
            </w:r>
            <w:r w:rsidRPr="00A13FD2">
              <w:rPr>
                <w:rFonts w:ascii="Times New Roman" w:eastAsia="Times New Roman" w:hAnsi="Times New Roman" w:cs="Times New Roman"/>
                <w:color w:val="000000" w:themeColor="text1"/>
                <w:kern w:val="0"/>
                <w:sz w:val="24"/>
                <w:szCs w:val="24"/>
                <w:lang w:val="en-US" w:eastAsia="en-US" w:bidi="ar-SA"/>
                <w14:ligatures w14:val="none"/>
              </w:rPr>
              <w:lastRenderedPageBreak/>
              <w:t>effects of key challenges and issues faced by MNE</w:t>
            </w:r>
          </w:p>
          <w:p w14:paraId="73383335"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p>
        </w:tc>
      </w:tr>
      <w:tr w:rsidR="00A13FD2" w:rsidRPr="00A13FD2" w14:paraId="0DF26C0D" w14:textId="77777777" w:rsidTr="00DE653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360A0D"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lastRenderedPageBreak/>
              <w:t>indeed.com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2C45B9"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Cultural competence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7BC277"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E03D99"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Collaboration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A805C7"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The keyword "Cultural competence" and keyword "Collaboration" have been selected to identify cultural competence in enhancing sensitivity and collaboration</w:t>
            </w:r>
          </w:p>
        </w:tc>
      </w:tr>
      <w:tr w:rsidR="00A13FD2" w:rsidRPr="00A13FD2" w14:paraId="7C7BECB9" w14:textId="77777777" w:rsidTr="00DE653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27F083"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getimpactly.com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429780"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Intercultural competence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BACF08"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A55554"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Team collaboration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C72ED1"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The keyword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Intercultural competence </w:t>
            </w:r>
            <w:r w:rsidRPr="00A13FD2">
              <w:rPr>
                <w:rFonts w:ascii="Times New Roman" w:eastAsia="Times New Roman" w:hAnsi="Times New Roman" w:cs="Times New Roman"/>
                <w:color w:val="000000" w:themeColor="text1"/>
                <w:kern w:val="0"/>
                <w:sz w:val="24"/>
                <w:szCs w:val="24"/>
                <w:lang w:val="en-US" w:eastAsia="en-US" w:bidi="ar-SA"/>
                <w14:ligatures w14:val="none"/>
              </w:rPr>
              <w:t>” and keyword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Team collaboration</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have been selected to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develop intercultural competence by team collaboration</w:t>
            </w:r>
          </w:p>
          <w:p w14:paraId="0A5BBD5A"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p>
        </w:tc>
      </w:tr>
      <w:tr w:rsidR="00A13FD2" w:rsidRPr="00A13FD2" w14:paraId="608ED2AF" w14:textId="77777777" w:rsidTr="00DE653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357CE7"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sharpist.com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0581F5"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Multicultural leadership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577E40"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934CD2"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Integration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F6D999"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The keyword "Multicultural leadership" and keyword "Integration" have been selected to identify the effects of multicultural leadership on successful integration</w:t>
            </w:r>
          </w:p>
          <w:p w14:paraId="5B069D18"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 </w:t>
            </w:r>
          </w:p>
          <w:p w14:paraId="27C58BBE"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p>
        </w:tc>
      </w:tr>
      <w:tr w:rsidR="00A13FD2" w:rsidRPr="00A13FD2" w14:paraId="11FE5888" w14:textId="77777777" w:rsidTr="00DE653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357B88"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sciencedirect.com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D10931"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Inclusive leadership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5A6F26"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66D02F"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Collaboration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4D6A94"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The keyword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Inclusive leadership</w:t>
            </w:r>
            <w:r w:rsidRPr="00A13FD2">
              <w:rPr>
                <w:rFonts w:ascii="Times New Roman" w:eastAsia="Times New Roman" w:hAnsi="Times New Roman" w:cs="Times New Roman"/>
                <w:color w:val="000000" w:themeColor="text1"/>
                <w:kern w:val="0"/>
                <w:sz w:val="24"/>
                <w:szCs w:val="24"/>
                <w:lang w:val="en-US" w:eastAsia="en-US" w:bidi="ar-SA"/>
                <w14:ligatures w14:val="none"/>
              </w:rPr>
              <w:t>” and keyword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Collaboration</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have been selected to identify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the impact of cross-border acquisitions by UK-based companies</w:t>
            </w:r>
          </w:p>
        </w:tc>
      </w:tr>
      <w:tr w:rsidR="00A13FD2" w:rsidRPr="00A13FD2" w14:paraId="639AB583" w14:textId="77777777" w:rsidTr="00DE653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9705B0"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lastRenderedPageBreak/>
              <w:t>pumble.com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C223B0"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Collaboration and communication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E00B00"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12E6C6"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Diverse teams</w:t>
            </w:r>
          </w:p>
          <w:p w14:paraId="092C29BA"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497858"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The keyword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Cross-border acquisitions </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and keyword “UK” have been selected to identify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the impact of inclusive leadership in promoting collaboration and integration</w:t>
            </w:r>
          </w:p>
        </w:tc>
      </w:tr>
      <w:tr w:rsidR="00A13FD2" w:rsidRPr="00A13FD2" w14:paraId="00416E17" w14:textId="77777777" w:rsidTr="00DE653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3251DC"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linkedin.com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7B34A5"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Cultural intelligence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9F81F9"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49F3BE"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Team effectiveness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18820A"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The keyword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Cultural intelligence</w:t>
            </w:r>
            <w:r w:rsidRPr="00A13FD2">
              <w:rPr>
                <w:rFonts w:ascii="Times New Roman" w:eastAsia="Times New Roman" w:hAnsi="Times New Roman" w:cs="Times New Roman"/>
                <w:color w:val="000000" w:themeColor="text1"/>
                <w:kern w:val="0"/>
                <w:sz w:val="24"/>
                <w:szCs w:val="24"/>
                <w:lang w:val="en-US" w:eastAsia="en-US" w:bidi="ar-SA"/>
                <w14:ligatures w14:val="none"/>
              </w:rPr>
              <w:t>” and keyword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Team effectiveness</w:t>
            </w:r>
            <w:r w:rsidRPr="00A13FD2">
              <w:rPr>
                <w:rFonts w:ascii="Times New Roman" w:eastAsia="Times New Roman" w:hAnsi="Times New Roman" w:cs="Times New Roman"/>
                <w:color w:val="000000" w:themeColor="text1"/>
                <w:kern w:val="0"/>
                <w:sz w:val="24"/>
                <w:szCs w:val="24"/>
                <w:lang w:val="en-US" w:eastAsia="en-US" w:bidi="ar-SA"/>
                <w14:ligatures w14:val="none"/>
              </w:rPr>
              <w:t>" have been selected to identify effective strategies for developing collaboration and communication for diverse teams</w:t>
            </w:r>
          </w:p>
        </w:tc>
      </w:tr>
    </w:tbl>
    <w:p w14:paraId="692906A9" w14:textId="77777777" w:rsidR="00A13FD2" w:rsidRPr="00A13FD2" w:rsidRDefault="00A13FD2" w:rsidP="00A13FD2">
      <w:pPr>
        <w:spacing w:line="360" w:lineRule="auto"/>
        <w:jc w:val="center"/>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Table 1: Search Strategy</w:t>
      </w:r>
    </w:p>
    <w:p w14:paraId="65F18096" w14:textId="77777777" w:rsidR="00A13FD2" w:rsidRPr="00A13FD2" w:rsidRDefault="00A13FD2" w:rsidP="00A13FD2">
      <w:pPr>
        <w:spacing w:line="360" w:lineRule="auto"/>
        <w:jc w:val="center"/>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(Source: Self-created in Ms. Word)</w:t>
      </w:r>
    </w:p>
    <w:p w14:paraId="7CDEDC58"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Theme 1: The cultural differences and challenges faced by UK-based companies </w:t>
      </w:r>
    </w:p>
    <w:p w14:paraId="0CB824B7"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shd w:val="clear" w:color="auto" w:fill="FFFFFF"/>
          <w:lang w:val="en-US" w:eastAsia="en-US" w:bidi="ar-SA"/>
          <w14:ligatures w14:val="none"/>
        </w:rPr>
        <w:t>The impact of cross-border acquisitions by UK-based companies</w:t>
      </w:r>
    </w:p>
    <w:p w14:paraId="0F6546FE"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This study examines the impact of currency change events and social distancing in the host country on the value formation of UK-based institutions through alerts impact testing and cross-industry trading. To evaluate the completeness of the statement, the overall abnormal return for the 7-day trading period including the date of the claim will be used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aabri.com</w:t>
      </w:r>
      <w:r w:rsidRPr="00A13FD2">
        <w:rPr>
          <w:rFonts w:ascii="Times New Roman" w:eastAsia="Times New Roman" w:hAnsi="Times New Roman" w:cs="Times New Roman"/>
          <w:color w:val="000000" w:themeColor="text1"/>
          <w:kern w:val="0"/>
          <w:sz w:val="24"/>
          <w:szCs w:val="24"/>
          <w:lang w:val="en-US" w:eastAsia="en-US" w:bidi="ar-SA"/>
          <w14:ligatures w14:val="none"/>
        </w:rPr>
        <w:t>). This example recalls 839 acquisitions made by 280 institutions for 41 countries between 1997 and 2019. The results show that the acquisition of an objective organization in an emerging country will be expensive. This social improvement and vulnerability negatively affects the creation of respect. Further examination will determine whether social distance has a moderate effect on the link between a country's financial performance and value creation. Social contrast is mainly focused on conceptualizing public social distance between countries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aabri.com</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They deal with trend </w:t>
      </w:r>
      <w:r w:rsidRPr="00A13FD2">
        <w:rPr>
          <w:rFonts w:ascii="Times New Roman" w:eastAsia="Times New Roman" w:hAnsi="Times New Roman" w:cs="Times New Roman"/>
          <w:color w:val="000000" w:themeColor="text1"/>
          <w:kern w:val="0"/>
          <w:sz w:val="24"/>
          <w:szCs w:val="24"/>
          <w:lang w:val="en-US" w:eastAsia="en-US" w:bidi="ar-SA"/>
          <w14:ligatures w14:val="none"/>
        </w:rPr>
        <w:lastRenderedPageBreak/>
        <w:t>contrasts and hierarchical collections, established by shared norms and values. The diversity of society promotes progress, opens doors to learning and information exchange, and fosters new and diverse ways to manage critical thinking, all of which contribute to efficient collection. </w:t>
      </w:r>
    </w:p>
    <w:p w14:paraId="3B612ED4"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Cross-cutting effects during the month of the impetus were small, although cross-cutting targets generally achieved more than local targets in the months surrounding the impetus. The scientists found no evidence linking the unusual cross-sectional results with demonstration of impact at the access or conversion scale and simply limited support for an impact (core.ac.uk). Nevertheless, by all accounts, the cross-cutting effects appear to be associated with large effects on payments and no significant cross-cutting effects persist from the presentation of the attributes difference of transactions. Over the long term of the proposed statement, the UK intends to achieve a significant expansion of local and cross-industry acquisitions, with odd returns (using the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size  deciles  model</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in turn being 18.76% and 19.60% in local and cross acquisitions. </w:t>
      </w:r>
    </w:p>
    <w:p w14:paraId="1A4E4978"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During the supply month, the UK focused on a large increase in domestic and cross-sector acquisitions, with a separate (using the size decimal model) abnormal return of 18.76% and 19.60% in local and transnational acquisitions, respectively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core.</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ac. UK). Companies' exotic returns vary widely between national and cross-acquired acquisitions, and check these speculations on the UK news for the period 1986-1991, based on examples: including 514 national acquisitions and 116 UK cross-acquisitions.</w:t>
      </w:r>
    </w:p>
    <w:p w14:paraId="48653AE3"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The effects of key challenges and issues faced by MNE</w:t>
      </w:r>
    </w:p>
    <w:p w14:paraId="6E90FC71"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This case examines some of the key issues and challenges faced by the multinational enterprise  (MNE) in the rapidly growing building materials sector over the past few years, based largely on an integrated approach. This case presents the link between the business system and the management in general, and more clearly the work of the organization's human resources compared to an organization with a centralized culture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core.</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ac. UK). This describes some of the complexities of board selection and competence in emerging and developing business industries in Central and Eastern Europe (CEE) and Asia. Board difficulty is thought to be more acute in these regions due to greater social and institutional contrasts, resulting in a specific requirement for a particular type of administrative capacity, readily available. Successfully work in </w:t>
      </w:r>
      <w:r w:rsidRPr="00A13FD2">
        <w:rPr>
          <w:rFonts w:ascii="Times New Roman" w:eastAsia="Times New Roman" w:hAnsi="Times New Roman" w:cs="Times New Roman"/>
          <w:color w:val="000000" w:themeColor="text1"/>
          <w:kern w:val="0"/>
          <w:sz w:val="24"/>
          <w:szCs w:val="24"/>
          <w:lang w:val="en-US" w:eastAsia="en-US" w:bidi="ar-SA"/>
          <w14:ligatures w14:val="none"/>
        </w:rPr>
        <w:lastRenderedPageBreak/>
        <w:t>geographically remote and socially complex businesses. About 90% of this work is done outside of EBMC's home country.</w:t>
      </w:r>
    </w:p>
    <w:p w14:paraId="4B315D0E"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Here are some common challenges that many organizations around the world face: social contrasts, legal and administrative cohesion, cash flow gaps, disruptions in production networks, competition, managerial competence and board reputation. This article explores the difficulties faced by global organizations in developing their business sectors, with particular emphasis on issues of friendly obligations (</w:t>
      </w:r>
      <w:r w:rsidRPr="00A13FD2">
        <w:rPr>
          <w:rFonts w:ascii="Times New Roman" w:eastAsia="Times New Roman" w:hAnsi="Times New Roman" w:cs="Times New Roman"/>
          <w:color w:val="000000" w:themeColor="text1"/>
          <w:kern w:val="0"/>
          <w:szCs w:val="22"/>
          <w:shd w:val="clear" w:color="auto" w:fill="FFFFFF"/>
          <w:lang w:val="en-US" w:eastAsia="en-US" w:bidi="ar-SA"/>
          <w14:ligatures w14:val="none"/>
        </w:rPr>
        <w:t>aabri.com</w:t>
      </w:r>
      <w:r w:rsidRPr="00A13FD2">
        <w:rPr>
          <w:rFonts w:ascii="Times New Roman" w:eastAsia="Times New Roman" w:hAnsi="Times New Roman" w:cs="Times New Roman"/>
          <w:color w:val="000000" w:themeColor="text1"/>
          <w:kern w:val="0"/>
          <w:sz w:val="24"/>
          <w:szCs w:val="24"/>
          <w:lang w:val="en-US" w:eastAsia="en-US" w:bidi="ar-SA"/>
          <w14:ligatures w14:val="none"/>
        </w:rPr>
        <w:t>). Growing business sectors offer open doors to organizations across the globe in terms of a huge buyer base, popularity of products and services, and new business doors. Regardless, whether local or unknown, multinational enterprises (MNEs) operating in growing industries face confusing and complex challenges. These developments range from obvious organizational issues to specific national or global issues. Even more broadly, the constraints include the options that global organizations are seeking: developing essential wear; new management techniques; risk board strategy; and social obligation strategy (</w:t>
      </w:r>
      <w:r w:rsidRPr="00A13FD2">
        <w:rPr>
          <w:rFonts w:ascii="Times New Roman" w:eastAsia="Times New Roman" w:hAnsi="Times New Roman" w:cs="Times New Roman"/>
          <w:color w:val="000000" w:themeColor="text1"/>
          <w:kern w:val="0"/>
          <w:szCs w:val="22"/>
          <w:shd w:val="clear" w:color="auto" w:fill="FFFFFF"/>
          <w:lang w:val="en-US" w:eastAsia="en-US" w:bidi="ar-SA"/>
          <w14:ligatures w14:val="none"/>
        </w:rPr>
        <w:t>aabri.com</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The real challenge for global organizations is to achieve reasonable growth and profitability in these growing business sectors, while always making a clear contribution to the common well-being of humanity. </w:t>
      </w:r>
    </w:p>
    <w:p w14:paraId="3FCBD267"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Theme 2: The best practices for promoting cultural awareness and sensitivity among employees</w:t>
      </w:r>
    </w:p>
    <w:p w14:paraId="09539DFA"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Learning cultural competence to enhance sensitivity and collaboration</w:t>
      </w:r>
    </w:p>
    <w:p w14:paraId="67E02A27"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Global relocation flows and financial isolation have led to social and semantic diversity in schools around the planet. The need for socially competent teachers is important because student achievement and basic cognitive and social skills are tied to the overall learning environment (getimpactly.com). Collaborative teacher study groups (CTSGs) can provide successful professional development opportunities that prepare teachers to be socially equipped, using teaching methods appropriate to their needs. CTSG offers instructors a stage to cultivate diverse perspectives on race, identity, and culture in teaching practice. Through progressive, engaged, and planned advancement, teachers support their socially meaningful assignments through focused conversations and critical thinking (getimpactly.com). A successful CTSG incorporates individual monitoring through insight and criticism, feedback, and mentoring; if the truth be told, paid SGs </w:t>
      </w:r>
      <w:r w:rsidRPr="00A13FD2">
        <w:rPr>
          <w:rFonts w:ascii="Times New Roman" w:eastAsia="Times New Roman" w:hAnsi="Times New Roman" w:cs="Times New Roman"/>
          <w:color w:val="000000" w:themeColor="text1"/>
          <w:kern w:val="0"/>
          <w:sz w:val="24"/>
          <w:szCs w:val="24"/>
          <w:lang w:val="en-US" w:eastAsia="en-US" w:bidi="ar-SA"/>
          <w14:ligatures w14:val="none"/>
        </w:rPr>
        <w:lastRenderedPageBreak/>
        <w:t xml:space="preserve">are committed to fulfilling the usual responsibilities for meeting goals and the standards behind them. Analysts agree that the core strengths of a viable event for professionals, such as content orientation, duration, dynamic learning, engagement, and consistency, are very important. </w:t>
      </w:r>
    </w:p>
    <w:p w14:paraId="1DBE0C10"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Socially competent representatives will be much more open to the views and perspectives  of others. They have a sense of understanding about their colleagues' encounters. This can enhance workers' performance by further developing joint efforts and courage. Social skills benefit group solidarity by reducing false assumptions and erosion (indeed.com). The connection between social competence and collective effort was mentioned repeatedly in Form 2021 interviews with 15 pioneers in human resources and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diversity, equity and inclusion</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(DEI). Social awareness involves maintaining attention to different societies. Knowing and understanding diverse societies and recognizing contrasts and similarities helps people communicate more authentically and create meaningful connections.</w:t>
      </w:r>
    </w:p>
    <w:p w14:paraId="1EE178E3"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Creating a representative social conscience further enhances organizational effectiveness. Social awareness among representatives promotes possible correspondence and solidarity in the work environment (getimpactly.com). As a result, it's easier for organizations to consider succeeding with international clients. By understanding diverse societies and beliefs, organizations create a global and distinct culture. By combating racist strategies, organizations can erase contrasts between workers.</w:t>
      </w:r>
    </w:p>
    <w:p w14:paraId="4AE76359"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shd w:val="clear" w:color="auto" w:fill="FFFFFF"/>
          <w:lang w:val="en-US" w:eastAsia="en-US" w:bidi="ar-SA"/>
          <w14:ligatures w14:val="none"/>
        </w:rPr>
        <w:t>Developing intercultural competence through team collaboration</w:t>
      </w:r>
    </w:p>
    <w:p w14:paraId="29DB20BB"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Innovative innovations have also advanced this goal by enabling consultative learning, collaborative phases, and the use of virtual entertainment and applications for work in progress. Evolve by changing classes. Frustrated with the rest of the community, educators have gone beyond their public boundaries to create globally networked learning environments (GNLE) to provide students with opportunities to develop </w:t>
      </w:r>
      <w:r w:rsidRPr="00A13FD2">
        <w:rPr>
          <w:rFonts w:ascii="Times New Roman" w:eastAsia="Arial" w:hAnsi="Times New Roman" w:cs="Times New Roman"/>
          <w:color w:val="000000" w:themeColor="text1"/>
          <w:kern w:val="0"/>
          <w:sz w:val="24"/>
          <w:szCs w:val="24"/>
          <w:lang w:val="en-US" w:eastAsia="en-US" w:bidi="ar-SA"/>
          <w14:ligatures w14:val="none"/>
        </w:rPr>
        <w:t>(indeed.com)</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GNLE helps all students involved in intercultural exchange, especially students who do not have the opportunity to study a semester abroad, and who are determined to develop their intercultural competence. </w:t>
      </w:r>
      <w:proofErr w:type="spellStart"/>
      <w:r w:rsidRPr="00A13FD2">
        <w:rPr>
          <w:rFonts w:ascii="Times New Roman" w:eastAsia="Times New Roman" w:hAnsi="Times New Roman" w:cs="Times New Roman"/>
          <w:color w:val="000000" w:themeColor="text1"/>
          <w:kern w:val="0"/>
          <w:sz w:val="24"/>
          <w:szCs w:val="24"/>
          <w:lang w:val="en-US" w:eastAsia="en-US" w:bidi="ar-SA"/>
          <w14:ligatures w14:val="none"/>
        </w:rPr>
        <w:t>Starke-Meyerring</w:t>
      </w:r>
      <w:proofErr w:type="spellEnd"/>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(2007) highlights the difficulty of making students aware of their social informational limitations during conventional classroom instruction and presents the benefits of experiential learning. This article describes one such collaborative enterprise and discusses its viability in improving cross-</w:t>
      </w:r>
      <w:r w:rsidRPr="00A13FD2">
        <w:rPr>
          <w:rFonts w:ascii="Times New Roman" w:eastAsia="Times New Roman" w:hAnsi="Times New Roman" w:cs="Times New Roman"/>
          <w:color w:val="000000" w:themeColor="text1"/>
          <w:kern w:val="0"/>
          <w:sz w:val="24"/>
          <w:szCs w:val="24"/>
          <w:lang w:val="en-US" w:eastAsia="en-US" w:bidi="ar-SA"/>
          <w14:ligatures w14:val="none"/>
        </w:rPr>
        <w:lastRenderedPageBreak/>
        <w:t xml:space="preserve">cultural awareness and cross-cultural relations skills based on the results of pre-and post-project assessments </w:t>
      </w:r>
      <w:r w:rsidRPr="00A13FD2">
        <w:rPr>
          <w:rFonts w:ascii="Times New Roman" w:eastAsia="Arial" w:hAnsi="Times New Roman" w:cs="Times New Roman"/>
          <w:color w:val="000000" w:themeColor="text1"/>
          <w:kern w:val="0"/>
          <w:sz w:val="24"/>
          <w:szCs w:val="24"/>
          <w:lang w:val="en-US" w:eastAsia="en-US" w:bidi="ar-SA"/>
          <w14:ligatures w14:val="none"/>
        </w:rPr>
        <w:t>(indeed.com)</w:t>
      </w:r>
      <w:r w:rsidRPr="00A13FD2">
        <w:rPr>
          <w:rFonts w:ascii="Times New Roman" w:eastAsia="Times New Roman" w:hAnsi="Times New Roman" w:cs="Times New Roman"/>
          <w:color w:val="000000" w:themeColor="text1"/>
          <w:kern w:val="0"/>
          <w:sz w:val="24"/>
          <w:szCs w:val="24"/>
          <w:lang w:val="en-US" w:eastAsia="en-US" w:bidi="ar-SA"/>
          <w14:ligatures w14:val="none"/>
        </w:rPr>
        <w:t>. The researcher states intercultural competence is "the set of mental, sensory, and social abilities and qualities that facilitate effective and appropriate communication within diverse social contexts".</w:t>
      </w:r>
    </w:p>
    <w:p w14:paraId="56835FC7"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Team learning promotes a range of entrepreneurial capabilities that are believed to be transmitted across societies, e.g. team building, collaboration, initiative, goal setting, organization, independent leadership , effective use of time, imaginative and decisive reasoning, critical thinking, solving actions and goals (rgu-repository.worktribe.com). Intercultural competence can be described as possessing intelligent perspectives and important social abilities and using them to act authentically and correctly in intercultural situations. Cross-cultural responsiveness combines “the expertise, critical thinking methods, adaptability, and empathy that an individual seeks to understand, evaluate, and describe for active communication.” Cross-cultural competence is “the set of mental, emotional, and behavioral abilities and qualities that contribute to engaging and responsive connections in diverse social contexts” (rgu-repository.worktribe.com). The term intercultural competence is often used interchangeably in school discourse with the terms intercultural understanding, intercultural awareness, and social vision. Intercultural awareness and intercultural competence are indicative of a broader idea of ​​intercultural competence. In both cases, mental, emotional, and social components play a role in engaging and improving intercultural skills (rgu-repository.worktribe.com). Mental complexity describes the ability to make connections and develop messages that others can understand, emotionally, alluding to an individual's strong connection to another culture and ability to relate to others. </w:t>
      </w:r>
    </w:p>
    <w:p w14:paraId="08FE37D4"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Theme 3: The role of multicultural leadership in facilitating successful integration</w:t>
      </w:r>
    </w:p>
    <w:p w14:paraId="1BB06E06"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The effects of multicultural leadership on successful integration</w:t>
      </w:r>
    </w:p>
    <w:p w14:paraId="5A79A3E3"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When drafting a development project, the role of the project manager in providing control over tasks and activities is often assumed, with emphasis on power structures. Gradually, development organizations are facing functional gaps specifically due to changes in risk, innovation, and workforce environments (sciencedirect.com). Comparable difficulties in different contexts have led to progress in discovering conventional or even government approaches, which have proven particularly effective. Effective in helping associations become more vigilant. Researchers argued </w:t>
      </w:r>
      <w:r w:rsidRPr="00A13FD2">
        <w:rPr>
          <w:rFonts w:ascii="Times New Roman" w:eastAsia="Times New Roman" w:hAnsi="Times New Roman" w:cs="Times New Roman"/>
          <w:color w:val="000000" w:themeColor="text1"/>
          <w:kern w:val="0"/>
          <w:sz w:val="24"/>
          <w:szCs w:val="24"/>
          <w:lang w:val="en-US" w:eastAsia="en-US" w:bidi="ar-SA"/>
          <w14:ligatures w14:val="none"/>
        </w:rPr>
        <w:lastRenderedPageBreak/>
        <w:t xml:space="preserve">that despite the growing evidence of flat power in development projects, the longitudinal management hypothesis dominates the investigation of development management (sciencedirect.com). Meanwhile, there is little understanding of management and little interest in regulating authority. By establishing the right levels of leadership, pioneers can influence all parts of the business process, from the store network to trying their luck with the board. </w:t>
      </w:r>
    </w:p>
    <w:p w14:paraId="07910ECA" w14:textId="77777777" w:rsidR="00A13FD2" w:rsidRPr="00A13FD2" w:rsidRDefault="00A13FD2" w:rsidP="00A13FD2">
      <w:pPr>
        <w:spacing w:before="240" w:line="360" w:lineRule="auto"/>
        <w:jc w:val="center"/>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Arial" w:eastAsia="Arial" w:hAnsi="Arial" w:cs="Arial"/>
          <w:noProof/>
          <w:color w:val="000000" w:themeColor="text1"/>
          <w:kern w:val="0"/>
          <w:szCs w:val="22"/>
          <w:lang w:val="en-US" w:eastAsia="en-US" w:bidi="ar-SA"/>
          <w14:ligatures w14:val="none"/>
        </w:rPr>
        <w:drawing>
          <wp:inline distT="0" distB="0" distL="0" distR="0" wp14:anchorId="3F5DBE13" wp14:editId="0A51C2DC">
            <wp:extent cx="5360275" cy="3778881"/>
            <wp:effectExtent l="0" t="0" r="0" b="0"/>
            <wp:docPr id="12" name="Picture 1" descr="Multicultural Management… | crossculturalindran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ulticultural Management… | crossculturalindrani"/>
                    <pic:cNvPicPr>
                      <a:picLocks noChangeAspect="1" noChangeArrowheads="1"/>
                    </pic:cNvPicPr>
                  </pic:nvPicPr>
                  <pic:blipFill>
                    <a:blip r:embed="rId37"/>
                    <a:srcRect/>
                    <a:stretch>
                      <a:fillRect/>
                    </a:stretch>
                  </pic:blipFill>
                  <pic:spPr bwMode="auto">
                    <a:xfrm>
                      <a:off x="0" y="0"/>
                      <a:ext cx="5361737" cy="3779912"/>
                    </a:xfrm>
                    <a:prstGeom prst="rect">
                      <a:avLst/>
                    </a:prstGeom>
                    <a:noFill/>
                    <a:ln w="9525">
                      <a:noFill/>
                      <a:miter lim="800000"/>
                      <a:headEnd/>
                      <a:tailEnd/>
                    </a:ln>
                  </pic:spPr>
                </pic:pic>
              </a:graphicData>
            </a:graphic>
          </wp:inline>
        </w:drawing>
      </w:r>
    </w:p>
    <w:p w14:paraId="62F10E42" w14:textId="77777777" w:rsidR="00A13FD2" w:rsidRPr="00A13FD2" w:rsidRDefault="00A13FD2" w:rsidP="00A13FD2">
      <w:pPr>
        <w:keepNext/>
        <w:keepLines/>
        <w:spacing w:before="320" w:after="80" w:line="360" w:lineRule="auto"/>
        <w:jc w:val="center"/>
        <w:outlineLvl w:val="2"/>
        <w:rPr>
          <w:rFonts w:ascii="Times New Roman" w:eastAsia="Arial" w:hAnsi="Times New Roman" w:cs="Arial"/>
          <w:b/>
          <w:bCs/>
          <w:color w:val="000000" w:themeColor="text1"/>
          <w:kern w:val="0"/>
          <w:sz w:val="24"/>
          <w:szCs w:val="28"/>
          <w:lang w:val="en-US" w:eastAsia="en-US" w:bidi="ar-SA"/>
          <w14:ligatures w14:val="none"/>
        </w:rPr>
      </w:pPr>
      <w:bookmarkStart w:id="55" w:name="_Toc148097355"/>
      <w:r w:rsidRPr="00A13FD2">
        <w:rPr>
          <w:rFonts w:ascii="Times New Roman" w:eastAsia="Arial" w:hAnsi="Times New Roman" w:cs="Arial"/>
          <w:b/>
          <w:color w:val="000000" w:themeColor="text1"/>
          <w:kern w:val="0"/>
          <w:sz w:val="24"/>
          <w:szCs w:val="28"/>
          <w:lang w:val="en-US" w:eastAsia="en-US" w:bidi="ar-SA"/>
          <w14:ligatures w14:val="none"/>
        </w:rPr>
        <w:t xml:space="preserve">Figure 8: </w:t>
      </w:r>
      <w:r w:rsidRPr="00A13FD2">
        <w:rPr>
          <w:rFonts w:ascii="Times New Roman" w:eastAsia="Times New Roman" w:hAnsi="Times New Roman" w:cs="Times New Roman"/>
          <w:b/>
          <w:bCs/>
          <w:color w:val="000000" w:themeColor="text1"/>
          <w:kern w:val="0"/>
          <w:sz w:val="24"/>
          <w:szCs w:val="24"/>
          <w:lang w:val="en-US" w:eastAsia="en-US" w:bidi="ar-SA"/>
          <w14:ligatures w14:val="none"/>
        </w:rPr>
        <w:t>Role of multicultural leadership on successful integration</w:t>
      </w:r>
      <w:bookmarkEnd w:id="55"/>
      <w:r w:rsidRPr="00A13FD2">
        <w:rPr>
          <w:rFonts w:ascii="Times New Roman" w:eastAsia="Arial" w:hAnsi="Times New Roman" w:cs="Arial"/>
          <w:b/>
          <w:bCs/>
          <w:color w:val="000000" w:themeColor="text1"/>
          <w:kern w:val="0"/>
          <w:sz w:val="24"/>
          <w:szCs w:val="28"/>
          <w:lang w:val="en-US" w:eastAsia="en-US" w:bidi="ar-SA"/>
          <w14:ligatures w14:val="none"/>
        </w:rPr>
        <w:t xml:space="preserve"> </w:t>
      </w:r>
    </w:p>
    <w:p w14:paraId="54BCE0A1" w14:textId="77777777" w:rsidR="00A13FD2" w:rsidRPr="00A13FD2" w:rsidRDefault="00A13FD2" w:rsidP="00A13FD2">
      <w:pPr>
        <w:keepNext/>
        <w:keepLines/>
        <w:spacing w:before="320" w:after="80" w:line="360" w:lineRule="auto"/>
        <w:jc w:val="center"/>
        <w:outlineLvl w:val="2"/>
        <w:rPr>
          <w:rFonts w:ascii="Times New Roman" w:eastAsia="Arial" w:hAnsi="Times New Roman" w:cs="Arial"/>
          <w:color w:val="000000" w:themeColor="text1"/>
          <w:kern w:val="0"/>
          <w:sz w:val="24"/>
          <w:szCs w:val="28"/>
          <w:lang w:val="en-US" w:eastAsia="en-US" w:bidi="ar-SA"/>
          <w14:ligatures w14:val="none"/>
        </w:rPr>
      </w:pPr>
      <w:bookmarkStart w:id="56" w:name="_Toc148097356"/>
      <w:r w:rsidRPr="00A13FD2">
        <w:rPr>
          <w:rFonts w:ascii="Times New Roman" w:eastAsia="Arial" w:hAnsi="Times New Roman" w:cs="Arial"/>
          <w:bCs/>
          <w:color w:val="000000" w:themeColor="text1"/>
          <w:kern w:val="0"/>
          <w:sz w:val="24"/>
          <w:szCs w:val="28"/>
          <w:lang w:val="en-US" w:eastAsia="en-US" w:bidi="ar-SA"/>
          <w14:ligatures w14:val="none"/>
        </w:rPr>
        <w:t>(Source: https://crossculturalindrani.files.wordpress.com)</w:t>
      </w:r>
      <w:bookmarkEnd w:id="56"/>
    </w:p>
    <w:p w14:paraId="6D02547B"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The benefits of multiculturalism include growth and innovation, business  and financial development, a sense of regional belonging, and that's just the tip of the iceberg. Today, due to the internationalization of finance, many individuals from many different countries and races live in the same city, forever or for a short time, as occupiers (sharpist.com). Socially intelligent pioneers will try to see the value of social differences within their group and will consciously try to reach agreement on something worth accepting, ensuring that everyone feels valued and included. Public solidarity can become confusing in cases where individuals see themselves as belonging to ethnic </w:t>
      </w:r>
      <w:r w:rsidRPr="00A13FD2">
        <w:rPr>
          <w:rFonts w:ascii="Times New Roman" w:eastAsia="Times New Roman" w:hAnsi="Times New Roman" w:cs="Times New Roman"/>
          <w:color w:val="000000" w:themeColor="text1"/>
          <w:kern w:val="0"/>
          <w:sz w:val="24"/>
          <w:szCs w:val="24"/>
          <w:lang w:val="en-US" w:eastAsia="en-US" w:bidi="ar-SA"/>
          <w14:ligatures w14:val="none"/>
        </w:rPr>
        <w:lastRenderedPageBreak/>
        <w:t>or racial groups rather than as residents of a typical country (sharpist.com). Second, multiculturalism undermines the concept of individual justice, thereby weakening the political value of equal treatment. A multicultural pioneer will demonstrate respect and make it easier for people from diverse societies to interact and contribute with individuals from different societies and faiths (sharpist.com). Pioneers must be educated and open to different societies so that they can better understand the representatives of different organizations and find ways to help them cooperate collectively. </w:t>
      </w:r>
    </w:p>
    <w:p w14:paraId="0D6FE447"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Most explorations of power and culture take a culturally diverse perspective to examine the differences and similarities in the qualities of power across societies. Either way, this approach may not work in multifaceted groups, where pioneers nonetheless have to deal with a socially disparate workforce (sciencedirect.com). Therefore, research on world management in general and on many aspects of power, in particular, should strive to recognize the special qualities and behaviors in pioneers that enable them to successfully lead the leader (sciencedirect.com). Nearly 70% of job seekers effectively and implicitly check whether their organization's workforce is different before applying or accepting a job offer.</w:t>
      </w:r>
    </w:p>
    <w:p w14:paraId="1895395C"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shd w:val="clear" w:color="auto" w:fill="FFFFFF"/>
          <w:lang w:val="en-US" w:eastAsia="en-US" w:bidi="ar-SA"/>
          <w14:ligatures w14:val="none"/>
        </w:rPr>
        <w:t>The impact of inclusive leadership in promoting collaboration and integration</w:t>
      </w:r>
    </w:p>
    <w:p w14:paraId="2FC62F6D"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Although the exploration of diversity and power has given rise to the idea of ​​a holistic governing body, work here has progressed along hypothetical trends of moderate autonomy with little mixing of different industries. To incorporate biblical findings and spur speculation about any generalization initiative, this study examines the idea and practice of global governance from a pioneer's perspective (</w:t>
      </w:r>
      <w:r w:rsidRPr="00A13FD2">
        <w:rPr>
          <w:rFonts w:ascii="Times New Roman" w:eastAsia="Arial" w:hAnsi="Times New Roman" w:cs="Times New Roman"/>
          <w:color w:val="000000" w:themeColor="text1"/>
          <w:kern w:val="0"/>
          <w:sz w:val="24"/>
          <w:szCs w:val="24"/>
          <w:lang w:val="en-US" w:eastAsia="en-US" w:bidi="ar-SA"/>
          <w14:ligatures w14:val="none"/>
        </w:rPr>
        <w:t>sharpist.com</w:t>
      </w:r>
      <w:r w:rsidRPr="00A13FD2">
        <w:rPr>
          <w:rFonts w:ascii="Times New Roman" w:eastAsia="Times New Roman" w:hAnsi="Times New Roman" w:cs="Times New Roman"/>
          <w:color w:val="000000" w:themeColor="text1"/>
          <w:kern w:val="0"/>
          <w:sz w:val="24"/>
          <w:szCs w:val="24"/>
          <w:lang w:val="en-US" w:eastAsia="en-US" w:bidi="ar-SA"/>
          <w14:ligatures w14:val="none"/>
        </w:rPr>
        <w:t>). These findings also emphasize the importance of establishing conditions in which individuals wholeheartedly share and develop the thoughts of others, in which pioneers take reality for granted (</w:t>
      </w:r>
      <w:r w:rsidRPr="00A13FD2">
        <w:rPr>
          <w:rFonts w:ascii="Times New Roman" w:eastAsia="Arial" w:hAnsi="Times New Roman" w:cs="Times New Roman"/>
          <w:color w:val="000000" w:themeColor="text1"/>
          <w:kern w:val="0"/>
          <w:sz w:val="24"/>
          <w:szCs w:val="24"/>
          <w:lang w:val="en-US" w:eastAsia="en-US" w:bidi="ar-SA"/>
          <w14:ligatures w14:val="none"/>
        </w:rPr>
        <w:t>sharpist.com</w:t>
      </w:r>
      <w:r w:rsidRPr="00A13FD2">
        <w:rPr>
          <w:rFonts w:ascii="Times New Roman" w:eastAsia="Times New Roman" w:hAnsi="Times New Roman" w:cs="Times New Roman"/>
          <w:color w:val="000000" w:themeColor="text1"/>
          <w:kern w:val="0"/>
          <w:sz w:val="24"/>
          <w:szCs w:val="24"/>
          <w:lang w:val="en-US" w:eastAsia="en-US" w:bidi="ar-SA"/>
          <w14:ligatures w14:val="none"/>
        </w:rPr>
        <w:t>). With this in mind, over the past few years, associations have explored projects and initiatives that aim to break down the boundaries that prevent workers from using their shared abilities and experiences. Although initially seen as reconciliation aimed at accepting different representations - especially women and underrepresented minorities - in organizing cooperation and at higher levels of association, such efforts have evolved into broader change efforts.</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w:t>
      </w:r>
    </w:p>
    <w:p w14:paraId="61163A7E"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lastRenderedPageBreak/>
        <w:t xml:space="preserve">The overall authority inspires colleagues to communicate their thoughts and opinions in meetings, reassuring them decisively to speak and exchange different views and thoughts. At the same time, the global initiative encourages effective coordinated efforts among different colleagues. For the vast majority of public unions, creating a differentiated workforce is a central theme because of the common results that diversity can bring (sagepub.com). In fact, depending on the perspective of the authorized regulator, workforce diversity can improve the authenticity and responsiveness of the association to a different society and, in this board strives to increase workforce diversity in open unions. The overall atmosphere was considered an essential factor to consider and take into account the use of different perspectives and thoughts to be able to improve the navigation and execution of the exhibition by different groups (sagepub.com). The center then moved from the simple pursuit of diversity to the need to develop inclusive workplaces that value differences and support the incorporation of minority representation. According to the ideal separation hypothesis, membership has been conceptualized in terms of two necessary needs that people strive to satisfy:  a unique location and nature (sagepub.com). There is a position that includes people who seek comparison and approval from others. Uniqueness refers to people looking for uniqueness in others. </w:t>
      </w:r>
    </w:p>
    <w:p w14:paraId="2CCEE212"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Theme 4: Propose strategies for fostering effective communication and collaboration in culturally diverse teams</w:t>
      </w:r>
    </w:p>
    <w:p w14:paraId="17C38E67"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Effective strategies in developing collaboration and communication for diverse teams</w:t>
      </w:r>
    </w:p>
    <w:p w14:paraId="443AD24B"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Organizational culture can hinder or destroy success. The representative's statements are notoriously inconsistent. For example, the qualities and beliefs that individuals consider important are often not reflected in how they behave (slejournal.springeropen.com). In addition, self-assessment provides a static or, ideally, step-by-step overview of ever-changing associations. By focusing on the language used by representatives in these specialized devices, they were able to gauge what culture means for their thinking and behavior in the work environment, not just how they communicate their beliefs about intimate and deep insights. </w:t>
      </w:r>
    </w:p>
    <w:p w14:paraId="1FA26F06"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Constantly seek the advice of your colleagues, acknowledging and considering their other perspectives and sources of inspiration. Influence the qualities and imaginative thinking of diverse colleagues. Appreciate the commitments of others. Obviously perceive and manage elements of another group (pumble.com). The first step to successfully collaborating with diverse and remote teams is to set clear assumptions and goals for each colleague as well as for the company as a </w:t>
      </w:r>
      <w:r w:rsidRPr="00A13FD2">
        <w:rPr>
          <w:rFonts w:ascii="Times New Roman" w:eastAsia="Times New Roman" w:hAnsi="Times New Roman" w:cs="Times New Roman"/>
          <w:color w:val="000000" w:themeColor="text1"/>
          <w:kern w:val="0"/>
          <w:sz w:val="24"/>
          <w:szCs w:val="24"/>
          <w:lang w:val="en-US" w:eastAsia="en-US" w:bidi="ar-SA"/>
          <w14:ligatures w14:val="none"/>
        </w:rPr>
        <w:lastRenderedPageBreak/>
        <w:t>whole. The second step toward true collaboration with diverse and distant teams is to use specialized equipment and techniques that are appropriate for each specific situation. You should choose stages that are open, trustworthy, and secure, and that allow you to easily share data, feedback, and thoughts (pumble.com). The third step to truly collaborating with diverse and remote teams is to build trust and relationships among your colleagues. Trust is fundamental in cooperation because it encourages common efforts, obligations and growth. The fourth step to successfully collaborating with diverse and remote teams is to demonstrate diversity and consideration within your team (pumble.com). Diversity and consideration are virtuous qualities as well as essential resources because they can further develop imagination, critical thinking, and execution. The fifth step to successfully collaborating with disparate and distant teams is to monitor conflicts and difficulties that may arise within your team (pumble.com). Struggles and difficulties are inevitable in any group, but they can be more difficult to deal with in diverse groups that are far apart due to variables such as distance, misconceptions or bias.</w:t>
      </w:r>
    </w:p>
    <w:p w14:paraId="358A029C"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In a co-creation study, they both collaborated with a mid-sized tech organization to assess the social fit between representatives and their partners based on similarity in style. However, social flexibility is much more important to progress. The explosion of computer-based tracking information such as email and Slack exchanges, combined with the accessibility of faster, cheaper, and easier-to-use processing techniques, has opened up a rational methodology. The LEARNING (Listen, Explain, Acknowledge, Recommend, Negotiate) model is a diverse correspondence structure that helps build shared understanding and works on silent contemplation (slejournal.springeropen.com). In particular, a multitude of coordinated and non-simultaneous electronic devices are used to support and work together in a joint effort between the scattered gatherings around the world and the participants in the network or associations.</w:t>
      </w:r>
    </w:p>
    <w:p w14:paraId="0A92F4D0" w14:textId="77777777" w:rsidR="00A13FD2" w:rsidRPr="00A13FD2" w:rsidRDefault="00A13FD2" w:rsidP="00A13FD2">
      <w:pPr>
        <w:spacing w:before="24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The impact of </w:t>
      </w:r>
      <w:r w:rsidRPr="00A13FD2">
        <w:rPr>
          <w:rFonts w:ascii="Times New Roman" w:eastAsia="Times New Roman" w:hAnsi="Times New Roman" w:cs="Times New Roman"/>
          <w:b/>
          <w:bCs/>
          <w:color w:val="000000" w:themeColor="text1"/>
          <w:kern w:val="0"/>
          <w:sz w:val="24"/>
          <w:szCs w:val="24"/>
          <w:shd w:val="clear" w:color="auto" w:fill="FFFFFF"/>
          <w:lang w:val="en-US" w:eastAsia="en-US" w:bidi="ar-SA"/>
          <w14:ligatures w14:val="none"/>
        </w:rPr>
        <w:t>cultural intelligence in promoting multicultural team effectiveness</w:t>
      </w:r>
    </w:p>
    <w:p w14:paraId="42C696BF"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Based on the hypothesis of social characteristics and self-classification, their results show that social knowledge is strongly related to group personality and Multicultural Team fit (MCT), and shared group personality was strongly associated with MCT correspondence and viability. Even more clearly, the general characteristics of the group and the quality of the correspondence play an important mediating role in the overall linkage between social knowledge and the adequacy of MCTs. From a global education perspective, these findings provide insight into the systems and activities believed to ensure the relevance of MCTs in diverse collaboration </w:t>
      </w:r>
      <w:r w:rsidRPr="00A13FD2">
        <w:rPr>
          <w:rFonts w:ascii="Times New Roman" w:eastAsia="Times New Roman" w:hAnsi="Times New Roman" w:cs="Times New Roman"/>
          <w:color w:val="000000" w:themeColor="text1"/>
          <w:kern w:val="0"/>
          <w:sz w:val="24"/>
          <w:szCs w:val="24"/>
          <w:lang w:val="en-US" w:eastAsia="en-US" w:bidi="ar-SA"/>
          <w14:ligatures w14:val="none"/>
        </w:rPr>
        <w:lastRenderedPageBreak/>
        <w:t xml:space="preserve">(slejournal.springeropen.com). The second concerns the involvement of global companies with their employees, customers, and external partners. The group's viability has attracted a lot of attention from experts in the interconnected world. In their original paper, Mathieu </w:t>
      </w:r>
      <w:r w:rsidRPr="00A13FD2">
        <w:rPr>
          <w:rFonts w:ascii="Times New Roman" w:eastAsia="Times New Roman" w:hAnsi="Times New Roman" w:cs="Times New Roman"/>
          <w:i/>
          <w:iCs/>
          <w:color w:val="000000" w:themeColor="text1"/>
          <w:kern w:val="0"/>
          <w:sz w:val="24"/>
          <w:szCs w:val="24"/>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(2008) suggest a structure that takes into account the cycles and outcomes of the group. Their input-mediators-outcomes (IMO) system separates the middlemen between “emerging countries” and the cycles (slejournal.springeropen.com). This approach is tailored to the viability of the team, including process factors (e.g., senior management, professional development, rewards, relationships, correspondence, fairness, and recognition). </w:t>
      </w:r>
    </w:p>
    <w:p w14:paraId="5791E64A"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Social knowledge, or the ability to understand and adapt to diverse social contexts, is fundamental to achieving effective, culturally diverse correspondence and joint efforts. Cross-cultural correspondence refers to the exchange of data between people or gatherings of different societies. The Working Environment letter explains how to consider driving in the new climate (linkedin.com). A socially astute group can see each other more effectively and connect more authentically, thereby limiting conformity problems. The ability to truly communicate and collaborate with individuals from different companies is fundamental to success in many projects, such as international business, advertising, and customer support. Social knowledge, or the ability to understand and adapt to diverse social contexts, is fundamental to achieving effective multifaceted correspondence and joint efforts (linkedin.com). Cross-cultural correspondence refers to the exchange of data between people or gatherings of different societies. Matching is not only verbal but also incorporates non-verbal cues such as non-verbal communication, appearance and speech patterns. In cross-cultural correspondence, these signs can often be misinterpreted or confused due to social contrasts (linkedin.com). Collaboration is also an important part of diverse correspondence. In today's globalized world, many associations operate in groups across many sectors and societies. Collaborating with individuals from different companies can be difficult due to contrasting styles, attitudes, and values ​​of hard work. Social literacy helps people understand these differences and actually work with others from diverse social backgrounds.</w:t>
      </w:r>
    </w:p>
    <w:p w14:paraId="133C9AF9"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57" w:name="_Toc145934247"/>
      <w:r w:rsidRPr="00A13FD2">
        <w:rPr>
          <w:rFonts w:ascii="Times New Roman" w:eastAsia="Arial" w:hAnsi="Times New Roman" w:cs="Arial"/>
          <w:b/>
          <w:color w:val="000000" w:themeColor="text1"/>
          <w:kern w:val="0"/>
          <w:sz w:val="26"/>
          <w:szCs w:val="32"/>
          <w:lang w:val="en-US" w:eastAsia="en-US" w:bidi="ar-SA"/>
          <w14:ligatures w14:val="none"/>
        </w:rPr>
        <w:t>4.3 Analysis</w:t>
      </w:r>
      <w:bookmarkEnd w:id="57"/>
      <w:r w:rsidRPr="00A13FD2">
        <w:rPr>
          <w:rFonts w:ascii="Times New Roman" w:eastAsia="Arial" w:hAnsi="Times New Roman" w:cs="Arial"/>
          <w:b/>
          <w:color w:val="000000" w:themeColor="text1"/>
          <w:kern w:val="0"/>
          <w:sz w:val="26"/>
          <w:szCs w:val="32"/>
          <w:lang w:val="en-US" w:eastAsia="en-US" w:bidi="ar-SA"/>
          <w14:ligatures w14:val="none"/>
        </w:rPr>
        <w:t xml:space="preserve"> </w:t>
      </w:r>
    </w:p>
    <w:p w14:paraId="17120020"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Theme 1: The cultural differences and challenges faced by UK-based companies </w:t>
      </w:r>
    </w:p>
    <w:p w14:paraId="289B91E9" w14:textId="77777777" w:rsidR="00A13FD2" w:rsidRPr="00A13FD2" w:rsidRDefault="00A13FD2" w:rsidP="00A13FD2">
      <w:pPr>
        <w:spacing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UK-based companies embarking on cross-border ventures in Asia encounter a multitude of cultural differences and challenges that significantly impact their operations. Firstly, communication styles </w:t>
      </w:r>
      <w:r w:rsidRPr="00A13FD2">
        <w:rPr>
          <w:rFonts w:ascii="Times New Roman" w:eastAsia="Times New Roman" w:hAnsi="Times New Roman" w:cs="Times New Roman"/>
          <w:color w:val="000000" w:themeColor="text1"/>
          <w:kern w:val="0"/>
          <w:sz w:val="24"/>
          <w:szCs w:val="24"/>
          <w:lang w:val="en-US" w:eastAsia="en-US" w:bidi="ar-SA"/>
          <w14:ligatures w14:val="none"/>
        </w:rPr>
        <w:lastRenderedPageBreak/>
        <w:t>and norms can differ dramatically, leading to misunderstandings and reduced productivity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Evemy</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2023</w:t>
      </w:r>
      <w:r w:rsidRPr="00A13FD2">
        <w:rPr>
          <w:rFonts w:ascii="Times New Roman" w:eastAsia="Times New Roman" w:hAnsi="Times New Roman" w:cs="Times New Roman"/>
          <w:color w:val="000000" w:themeColor="text1"/>
          <w:kern w:val="0"/>
          <w:sz w:val="24"/>
          <w:szCs w:val="24"/>
          <w:lang w:val="en-US" w:eastAsia="en-US" w:bidi="ar-SA"/>
          <w14:ligatures w14:val="none"/>
        </w:rPr>
        <w:t>). For example, the direct communication prevalent in the UK may clash with the more indirect, hierarchy-respecting communication often found in Asian cultures. Furthermore, differing work ethics and approaches to time management can create challenges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Kruse, 2021</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In some Asian companies, long working hours and employee dedication are highly valued, while UK-based organizations may focus on balancing the pursuit of their passions. </w:t>
      </w:r>
    </w:p>
    <w:p w14:paraId="733959A7" w14:textId="77777777" w:rsidR="00A13FD2" w:rsidRPr="00A13FD2" w:rsidRDefault="00A13FD2" w:rsidP="00A13FD2">
      <w:pPr>
        <w:spacing w:before="300"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The message design and dynamic cycle also differ, affecting the speed and efficiency of the dynamics in the association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Evemy</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2023</w:t>
      </w:r>
      <w:r w:rsidRPr="00A13FD2">
        <w:rPr>
          <w:rFonts w:ascii="Times New Roman" w:eastAsia="Times New Roman" w:hAnsi="Times New Roman" w:cs="Times New Roman"/>
          <w:color w:val="000000" w:themeColor="text1"/>
          <w:kern w:val="0"/>
          <w:sz w:val="24"/>
          <w:szCs w:val="24"/>
          <w:lang w:val="en-US" w:eastAsia="en-US" w:bidi="ar-SA"/>
          <w14:ligatures w14:val="none"/>
        </w:rPr>
        <w:t>). The impact of these social differences can be significant, potentially leading to project delays, errors, and stress for co-conspirators and neighboring workers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Kruse, 2021</w:t>
      </w:r>
      <w:r w:rsidRPr="00A13FD2">
        <w:rPr>
          <w:rFonts w:ascii="Times New Roman" w:eastAsia="Times New Roman" w:hAnsi="Times New Roman" w:cs="Times New Roman"/>
          <w:color w:val="000000" w:themeColor="text1"/>
          <w:kern w:val="0"/>
          <w:sz w:val="24"/>
          <w:szCs w:val="24"/>
          <w:lang w:val="en-US" w:eastAsia="en-US" w:bidi="ar-SA"/>
          <w14:ligatures w14:val="none"/>
        </w:rPr>
        <w:t>). Therefore, UK-based companies must invest in cultural training and sensitivity to navigate these challenges successfully and foster productive cross-border collaborations in the diverse Asian market.</w:t>
      </w:r>
    </w:p>
    <w:p w14:paraId="7A315CD7"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Theme 2: The best practices for promoting cultural awareness and sensitivity among employees </w:t>
      </w:r>
    </w:p>
    <w:p w14:paraId="52C3AA00" w14:textId="77777777" w:rsidR="00A13FD2" w:rsidRPr="00A13FD2" w:rsidRDefault="00A13FD2" w:rsidP="00A13FD2">
      <w:pPr>
        <w:spacing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Promoting cultural awareness and sensitivity among employees is essential for fostering a diverse and inclusive workplace. Several best practices can help achieve this:</w:t>
      </w:r>
    </w:p>
    <w:p w14:paraId="375DB29E" w14:textId="77777777" w:rsidR="00A13FD2" w:rsidRPr="00A13FD2" w:rsidRDefault="00A13FD2" w:rsidP="00A13FD2">
      <w:pPr>
        <w:spacing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Training and Education:</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Conduct regular cultural sensitivity training sessions that cover cultural differences, biases, and stereotypes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Oikarainen</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2019</w:t>
      </w:r>
      <w:r w:rsidRPr="00A13FD2">
        <w:rPr>
          <w:rFonts w:ascii="Times New Roman" w:eastAsia="Times New Roman" w:hAnsi="Times New Roman" w:cs="Times New Roman"/>
          <w:color w:val="000000" w:themeColor="text1"/>
          <w:kern w:val="0"/>
          <w:sz w:val="24"/>
          <w:szCs w:val="24"/>
          <w:lang w:val="en-US" w:eastAsia="en-US" w:bidi="ar-SA"/>
          <w14:ligatures w14:val="none"/>
        </w:rPr>
        <w:t>). These workshops should encourage open dialogue and provide practical tools for employees to navigate diverse interactions.</w:t>
      </w:r>
    </w:p>
    <w:p w14:paraId="209A3177"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Cultural Exposure:</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Encourage employees to engage in cross-cultural experiences, such as international assignments or cultural immersion programs (</w:t>
      </w:r>
      <w:proofErr w:type="spellStart"/>
      <w:r w:rsidRPr="00A13FD2">
        <w:rPr>
          <w:rFonts w:ascii="Times New Roman" w:eastAsia="Times New Roman" w:hAnsi="Times New Roman" w:cs="Times New Roman"/>
          <w:color w:val="000000" w:themeColor="text1"/>
          <w:kern w:val="0"/>
          <w:sz w:val="24"/>
          <w:szCs w:val="24"/>
          <w:lang w:val="en-US" w:eastAsia="en-US" w:bidi="ar-SA"/>
          <w14:ligatures w14:val="none"/>
        </w:rPr>
        <w:t>Darvishmotevali</w:t>
      </w:r>
      <w:proofErr w:type="spellEnd"/>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and </w:t>
      </w:r>
      <w:proofErr w:type="spellStart"/>
      <w:r w:rsidRPr="00A13FD2">
        <w:rPr>
          <w:rFonts w:ascii="Times New Roman" w:eastAsia="Times New Roman" w:hAnsi="Times New Roman" w:cs="Times New Roman"/>
          <w:color w:val="000000" w:themeColor="text1"/>
          <w:kern w:val="0"/>
          <w:sz w:val="24"/>
          <w:szCs w:val="24"/>
          <w:lang w:val="en-US" w:eastAsia="en-US" w:bidi="ar-SA"/>
          <w14:ligatures w14:val="none"/>
        </w:rPr>
        <w:t>Altinay</w:t>
      </w:r>
      <w:proofErr w:type="spellEnd"/>
      <w:r w:rsidRPr="00A13FD2">
        <w:rPr>
          <w:rFonts w:ascii="Times New Roman" w:eastAsia="Times New Roman" w:hAnsi="Times New Roman" w:cs="Times New Roman"/>
          <w:color w:val="000000" w:themeColor="text1"/>
          <w:kern w:val="0"/>
          <w:sz w:val="24"/>
          <w:szCs w:val="24"/>
          <w:lang w:val="en-US" w:eastAsia="en-US" w:bidi="ar-SA"/>
          <w14:ligatures w14:val="none"/>
        </w:rPr>
        <w:t>, 2022). Exposure to different cultures can deepen understanding and empathy.</w:t>
      </w:r>
    </w:p>
    <w:p w14:paraId="56686271"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Inclusive Leadership: </w:t>
      </w:r>
      <w:r w:rsidRPr="00A13FD2">
        <w:rPr>
          <w:rFonts w:ascii="Times New Roman" w:eastAsia="Times New Roman" w:hAnsi="Times New Roman" w:cs="Times New Roman"/>
          <w:color w:val="000000" w:themeColor="text1"/>
          <w:kern w:val="0"/>
          <w:sz w:val="24"/>
          <w:szCs w:val="24"/>
          <w:lang w:val="en-US" w:eastAsia="en-US" w:bidi="ar-SA"/>
          <w14:ligatures w14:val="none"/>
        </w:rPr>
        <w:t>Ensure leadership sets an example by actively demonstrating cultural awareness and inclusivity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Oikarainen</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2019</w:t>
      </w:r>
      <w:r w:rsidRPr="00A13FD2">
        <w:rPr>
          <w:rFonts w:ascii="Times New Roman" w:eastAsia="Times New Roman" w:hAnsi="Times New Roman" w:cs="Times New Roman"/>
          <w:color w:val="000000" w:themeColor="text1"/>
          <w:kern w:val="0"/>
          <w:sz w:val="24"/>
          <w:szCs w:val="24"/>
          <w:lang w:val="en-US" w:eastAsia="en-US" w:bidi="ar-SA"/>
          <w14:ligatures w14:val="none"/>
        </w:rPr>
        <w:t>). Leaders should promote diversity in decision-making processes and visibly support cultural sensitivity initiatives.</w:t>
      </w:r>
    </w:p>
    <w:p w14:paraId="7D957C70"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p>
    <w:p w14:paraId="6AD3CA66"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lastRenderedPageBreak/>
        <w:t>Employee Resource Groups (ERGs):</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Establish ERGs representing various cultures and backgrounds within the organization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Darvishmotevali</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and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Altinay</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2022</w:t>
      </w:r>
      <w:r w:rsidRPr="00A13FD2">
        <w:rPr>
          <w:rFonts w:ascii="Times New Roman" w:eastAsia="Times New Roman" w:hAnsi="Times New Roman" w:cs="Times New Roman"/>
          <w:color w:val="000000" w:themeColor="text1"/>
          <w:kern w:val="0"/>
          <w:sz w:val="24"/>
          <w:szCs w:val="24"/>
          <w:lang w:val="en-US" w:eastAsia="en-US" w:bidi="ar-SA"/>
          <w14:ligatures w14:val="none"/>
        </w:rPr>
        <w:t>). These groups can organize events, share insights, and provide a support network for employees.</w:t>
      </w:r>
    </w:p>
    <w:p w14:paraId="5A0892AE"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Theme 3: The role of multicultural leadership in facilitating successful integration 150</w:t>
      </w:r>
    </w:p>
    <w:p w14:paraId="15EFFF25" w14:textId="77777777" w:rsidR="00A13FD2" w:rsidRPr="00A13FD2" w:rsidRDefault="00A13FD2" w:rsidP="00A13FD2">
      <w:pPr>
        <w:spacing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Multicultural leadership plays a pivotal role in facilitating successful integration, especially in diverse organizations or during cross-border mergers and acquisitions. Multicultural leaders possess a unique set of skills and attributes that contribute to integration success:</w:t>
      </w:r>
    </w:p>
    <w:p w14:paraId="331BF16E"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Cultural Competence: </w:t>
      </w:r>
      <w:r w:rsidRPr="00A13FD2">
        <w:rPr>
          <w:rFonts w:ascii="Times New Roman" w:eastAsia="Times New Roman" w:hAnsi="Times New Roman" w:cs="Times New Roman"/>
          <w:color w:val="000000" w:themeColor="text1"/>
          <w:kern w:val="0"/>
          <w:sz w:val="24"/>
          <w:szCs w:val="24"/>
          <w:lang w:val="en-US" w:eastAsia="en-US" w:bidi="ar-SA"/>
          <w14:ligatures w14:val="none"/>
        </w:rPr>
        <w:t>Multicultural leaders are typically well-versed in different cultural norms, communication styles, and expectations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Pellegrini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2020</w:t>
      </w:r>
      <w:r w:rsidRPr="00A13FD2">
        <w:rPr>
          <w:rFonts w:ascii="Times New Roman" w:eastAsia="Times New Roman" w:hAnsi="Times New Roman" w:cs="Times New Roman"/>
          <w:color w:val="000000" w:themeColor="text1"/>
          <w:kern w:val="0"/>
          <w:sz w:val="24"/>
          <w:szCs w:val="24"/>
          <w:lang w:val="en-US" w:eastAsia="en-US" w:bidi="ar-SA"/>
          <w14:ligatures w14:val="none"/>
        </w:rPr>
        <w:t>). This knowledge helps bridge cultural gaps and fosters mutual understanding.</w:t>
      </w:r>
    </w:p>
    <w:p w14:paraId="5209CB46"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Conflict Resolution:</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They excel in conflict resolution and mediation, crucial when cultural differences lead to misunderstandings or disputes.</w:t>
      </w:r>
    </w:p>
    <w:p w14:paraId="5CC80CC0"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Adaptability:</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Multicultural leaders are adaptable and open to change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ElKaleh</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2019</w:t>
      </w:r>
      <w:r w:rsidRPr="00A13FD2">
        <w:rPr>
          <w:rFonts w:ascii="Times New Roman" w:eastAsia="Times New Roman" w:hAnsi="Times New Roman" w:cs="Times New Roman"/>
          <w:color w:val="000000" w:themeColor="text1"/>
          <w:kern w:val="0"/>
          <w:sz w:val="24"/>
          <w:szCs w:val="24"/>
          <w:lang w:val="en-US" w:eastAsia="en-US" w:bidi="ar-SA"/>
          <w14:ligatures w14:val="none"/>
        </w:rPr>
        <w:t>). They can navigate shifting dynamics during integration and adjust strategies as needed.</w:t>
      </w:r>
    </w:p>
    <w:p w14:paraId="019E172B"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Communication:</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Effective cross-cultural communication is a hallmark of multicultural leaders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Pellegrini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2020</w:t>
      </w:r>
      <w:r w:rsidRPr="00A13FD2">
        <w:rPr>
          <w:rFonts w:ascii="Times New Roman" w:eastAsia="Times New Roman" w:hAnsi="Times New Roman" w:cs="Times New Roman"/>
          <w:color w:val="000000" w:themeColor="text1"/>
          <w:kern w:val="0"/>
          <w:sz w:val="24"/>
          <w:szCs w:val="24"/>
          <w:lang w:val="en-US" w:eastAsia="en-US" w:bidi="ar-SA"/>
          <w14:ligatures w14:val="none"/>
        </w:rPr>
        <w:t>). They can convey messages clearly while considering cultural nuances.</w:t>
      </w:r>
    </w:p>
    <w:p w14:paraId="28EB71F0"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Relationship Building: </w:t>
      </w:r>
      <w:r w:rsidRPr="00A13FD2">
        <w:rPr>
          <w:rFonts w:ascii="Times New Roman" w:eastAsia="Times New Roman" w:hAnsi="Times New Roman" w:cs="Times New Roman"/>
          <w:color w:val="000000" w:themeColor="text1"/>
          <w:kern w:val="0"/>
          <w:sz w:val="24"/>
          <w:szCs w:val="24"/>
          <w:lang w:val="en-US" w:eastAsia="en-US" w:bidi="ar-SA"/>
          <w14:ligatures w14:val="none"/>
        </w:rPr>
        <w:t>They excel in building relationships across diverse teams, which is vital for collaboration and integration success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ElKaleh</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2019</w:t>
      </w:r>
      <w:r w:rsidRPr="00A13FD2">
        <w:rPr>
          <w:rFonts w:ascii="Times New Roman" w:eastAsia="Times New Roman" w:hAnsi="Times New Roman" w:cs="Times New Roman"/>
          <w:color w:val="000000" w:themeColor="text1"/>
          <w:kern w:val="0"/>
          <w:sz w:val="24"/>
          <w:szCs w:val="24"/>
          <w:lang w:val="en-US" w:eastAsia="en-US" w:bidi="ar-SA"/>
          <w14:ligatures w14:val="none"/>
        </w:rPr>
        <w:t>).</w:t>
      </w:r>
    </w:p>
    <w:p w14:paraId="6B7EC932"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Theme 4: Propose strategies for fostering effective communication and collaboration in culturally diverse teams</w:t>
      </w:r>
    </w:p>
    <w:p w14:paraId="79F973AA" w14:textId="77777777" w:rsidR="00A13FD2" w:rsidRPr="00A13FD2" w:rsidRDefault="00A13FD2" w:rsidP="00A13FD2">
      <w:pPr>
        <w:spacing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Fostering effective communication and collaboration in culturally diverse teams is essential for achieving success in today's globalized business landscape. Here are strategies for achieving this:</w:t>
      </w:r>
    </w:p>
    <w:p w14:paraId="71D749F3"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Cross-Cultural Training:</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Provide cultural awareness training to team members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Christofi</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2019</w:t>
      </w:r>
      <w:r w:rsidRPr="00A13FD2">
        <w:rPr>
          <w:rFonts w:ascii="Times New Roman" w:eastAsia="Times New Roman" w:hAnsi="Times New Roman" w:cs="Times New Roman"/>
          <w:color w:val="000000" w:themeColor="text1"/>
          <w:kern w:val="0"/>
          <w:sz w:val="24"/>
          <w:szCs w:val="24"/>
          <w:lang w:val="en-US" w:eastAsia="en-US" w:bidi="ar-SA"/>
          <w14:ligatures w14:val="none"/>
        </w:rPr>
        <w:t>). Understanding cultural differences in communication styles, hierarchy, and decision-making can reduce misunderstandings.</w:t>
      </w:r>
    </w:p>
    <w:p w14:paraId="6B3CDF98"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Clear Communication Guidelines: </w:t>
      </w:r>
      <w:r w:rsidRPr="00A13FD2">
        <w:rPr>
          <w:rFonts w:ascii="Times New Roman" w:eastAsia="Times New Roman" w:hAnsi="Times New Roman" w:cs="Times New Roman"/>
          <w:color w:val="000000" w:themeColor="text1"/>
          <w:kern w:val="0"/>
          <w:sz w:val="24"/>
          <w:szCs w:val="24"/>
          <w:lang w:val="en-US" w:eastAsia="en-US" w:bidi="ar-SA"/>
          <w14:ligatures w14:val="none"/>
        </w:rPr>
        <w:t>Establish clear and inclusive communication guidelines within the team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Ratasuk</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and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Charoensukmongkol</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2020</w:t>
      </w:r>
      <w:r w:rsidRPr="00A13FD2">
        <w:rPr>
          <w:rFonts w:ascii="Times New Roman" w:eastAsia="Times New Roman" w:hAnsi="Times New Roman" w:cs="Times New Roman"/>
          <w:color w:val="000000" w:themeColor="text1"/>
          <w:kern w:val="0"/>
          <w:sz w:val="24"/>
          <w:szCs w:val="24"/>
          <w:lang w:val="en-US" w:eastAsia="en-US" w:bidi="ar-SA"/>
          <w14:ligatures w14:val="none"/>
        </w:rPr>
        <w:t>). Encourage open dialogue, active listening, and the use of shared communication tools.</w:t>
      </w:r>
    </w:p>
    <w:p w14:paraId="195AAEDA"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p>
    <w:p w14:paraId="46F29293"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lastRenderedPageBreak/>
        <w:t>Diverse Leadership:</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Ensure team leadership is diverse, with leaders who understand and appreciate various cultures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Christofi</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2019</w:t>
      </w:r>
      <w:r w:rsidRPr="00A13FD2">
        <w:rPr>
          <w:rFonts w:ascii="Times New Roman" w:eastAsia="Times New Roman" w:hAnsi="Times New Roman" w:cs="Times New Roman"/>
          <w:color w:val="000000" w:themeColor="text1"/>
          <w:kern w:val="0"/>
          <w:sz w:val="24"/>
          <w:szCs w:val="24"/>
          <w:lang w:val="en-US" w:eastAsia="en-US" w:bidi="ar-SA"/>
          <w14:ligatures w14:val="none"/>
        </w:rPr>
        <w:t>). This promotes a culture of inclusivity and sets a positive example.</w:t>
      </w:r>
    </w:p>
    <w:p w14:paraId="62EDDFC7"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Team Building Activities:</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Organize team-building activities that celebrate diversity, such as cultural exchange events, to strengthen bonds among team members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Ratasuk</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and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Charoensukmongkol</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2020</w:t>
      </w:r>
      <w:r w:rsidRPr="00A13FD2">
        <w:rPr>
          <w:rFonts w:ascii="Times New Roman" w:eastAsia="Times New Roman" w:hAnsi="Times New Roman" w:cs="Times New Roman"/>
          <w:color w:val="000000" w:themeColor="text1"/>
          <w:kern w:val="0"/>
          <w:sz w:val="24"/>
          <w:szCs w:val="24"/>
          <w:lang w:val="en-US" w:eastAsia="en-US" w:bidi="ar-SA"/>
          <w14:ligatures w14:val="none"/>
        </w:rPr>
        <w:t>).</w:t>
      </w:r>
    </w:p>
    <w:p w14:paraId="5AAEAEFB"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Language Support:</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Offer language support for team members who may not be fluent in the team's primary language.</w:t>
      </w:r>
    </w:p>
    <w:p w14:paraId="7A7BBD47"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Feedback Mechanisms:</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Establish feedback mechanisms for team members to express concerns or suggest improvements in communication and collaboration processes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Christofi</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2019</w:t>
      </w:r>
      <w:r w:rsidRPr="00A13FD2">
        <w:rPr>
          <w:rFonts w:ascii="Times New Roman" w:eastAsia="Times New Roman" w:hAnsi="Times New Roman" w:cs="Times New Roman"/>
          <w:color w:val="000000" w:themeColor="text1"/>
          <w:kern w:val="0"/>
          <w:sz w:val="24"/>
          <w:szCs w:val="24"/>
          <w:lang w:val="en-US" w:eastAsia="en-US" w:bidi="ar-SA"/>
          <w14:ligatures w14:val="none"/>
        </w:rPr>
        <w:t>).</w:t>
      </w:r>
    </w:p>
    <w:p w14:paraId="781954C9" w14:textId="77777777" w:rsidR="00A13FD2" w:rsidRPr="00A13FD2" w:rsidRDefault="00A13FD2" w:rsidP="00A13FD2">
      <w:pPr>
        <w:keepNext/>
        <w:keepLines/>
        <w:spacing w:before="360" w:after="120" w:line="360" w:lineRule="auto"/>
        <w:jc w:val="both"/>
        <w:outlineLvl w:val="1"/>
        <w:rPr>
          <w:rFonts w:ascii="Times New Roman" w:eastAsia="Arial" w:hAnsi="Times New Roman" w:cs="Arial"/>
          <w:b/>
          <w:color w:val="000000" w:themeColor="text1"/>
          <w:kern w:val="0"/>
          <w:sz w:val="26"/>
          <w:szCs w:val="32"/>
          <w:lang w:val="en-US" w:eastAsia="en-US" w:bidi="ar-SA"/>
          <w14:ligatures w14:val="none"/>
        </w:rPr>
      </w:pPr>
      <w:bookmarkStart w:id="58" w:name="_Toc145934248"/>
      <w:r w:rsidRPr="00A13FD2">
        <w:rPr>
          <w:rFonts w:ascii="Times New Roman" w:eastAsia="Arial" w:hAnsi="Times New Roman" w:cs="Arial"/>
          <w:b/>
          <w:color w:val="000000" w:themeColor="text1"/>
          <w:kern w:val="0"/>
          <w:sz w:val="26"/>
          <w:szCs w:val="32"/>
          <w:lang w:val="en-US" w:eastAsia="en-US" w:bidi="ar-SA"/>
          <w14:ligatures w14:val="none"/>
        </w:rPr>
        <w:t>4.4 Conclusion</w:t>
      </w:r>
      <w:bookmarkEnd w:id="58"/>
    </w:p>
    <w:p w14:paraId="7ED696EE" w14:textId="77777777" w:rsidR="00A13FD2" w:rsidRPr="00A13FD2" w:rsidRDefault="00A13FD2" w:rsidP="00A13FD2">
      <w:pPr>
        <w:spacing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The exploration of ways to manage cultural diversity in cross-border mergers involving UK-based companies in Asia underscores the paramount importance of cultural sensitivity and strategic planning in the success of such endeavors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Pellegrini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2020</w:t>
      </w:r>
      <w:r w:rsidRPr="00A13FD2">
        <w:rPr>
          <w:rFonts w:ascii="Times New Roman" w:eastAsia="Times New Roman" w:hAnsi="Times New Roman" w:cs="Times New Roman"/>
          <w:color w:val="000000" w:themeColor="text1"/>
          <w:kern w:val="0"/>
          <w:sz w:val="24"/>
          <w:szCs w:val="24"/>
          <w:lang w:val="en-US" w:eastAsia="en-US" w:bidi="ar-SA"/>
          <w14:ligatures w14:val="none"/>
        </w:rPr>
        <w:t>). Firstly, comprehensive cultural due diligence must precede any merger, enabling a deep understanding of the cultural nuances in the target region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Christofi</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2019</w:t>
      </w:r>
      <w:r w:rsidRPr="00A13FD2">
        <w:rPr>
          <w:rFonts w:ascii="Times New Roman" w:eastAsia="Times New Roman" w:hAnsi="Times New Roman" w:cs="Times New Roman"/>
          <w:color w:val="000000" w:themeColor="text1"/>
          <w:kern w:val="0"/>
          <w:sz w:val="24"/>
          <w:szCs w:val="24"/>
          <w:lang w:val="en-US" w:eastAsia="en-US" w:bidi="ar-SA"/>
          <w14:ligatures w14:val="none"/>
        </w:rPr>
        <w:t>). This knowledge informs integration strategies and minimizes potential conflicts.</w:t>
      </w:r>
    </w:p>
    <w:p w14:paraId="096928AB" w14:textId="77777777" w:rsidR="00A13FD2" w:rsidRPr="00A13FD2" w:rsidRDefault="00A13FD2" w:rsidP="00A13FD2">
      <w:pPr>
        <w:spacing w:before="300"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Secondly, fostering an inclusive corporate culture that respects and values diversity is not just a nicety but a necessity. Creating an environment where employees from various cultural backgrounds feel respected and empowered bolsters collaboration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Kruse, 2021</w:t>
      </w:r>
      <w:r w:rsidRPr="00A13FD2">
        <w:rPr>
          <w:rFonts w:ascii="Times New Roman" w:eastAsia="Times New Roman" w:hAnsi="Times New Roman" w:cs="Times New Roman"/>
          <w:color w:val="000000" w:themeColor="text1"/>
          <w:kern w:val="0"/>
          <w:sz w:val="24"/>
          <w:szCs w:val="24"/>
          <w:lang w:val="en-US" w:eastAsia="en-US" w:bidi="ar-SA"/>
          <w14:ligatures w14:val="none"/>
        </w:rPr>
        <w:t>). Furthermore, the strategic selection of culturally sensitive leadership teams and the deployment of cross-functional task forces bridge cultural gaps and enhance cooperation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Oikarainen</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2019</w:t>
      </w:r>
      <w:r w:rsidRPr="00A13FD2">
        <w:rPr>
          <w:rFonts w:ascii="Times New Roman" w:eastAsia="Times New Roman" w:hAnsi="Times New Roman" w:cs="Times New Roman"/>
          <w:color w:val="000000" w:themeColor="text1"/>
          <w:kern w:val="0"/>
          <w:sz w:val="24"/>
          <w:szCs w:val="24"/>
          <w:lang w:val="en-US" w:eastAsia="en-US" w:bidi="ar-SA"/>
          <w14:ligatures w14:val="none"/>
        </w:rPr>
        <w:t>). Lastly, technology can serve as a powerful enabler, facilitating remote cross-border communication and collaboration.</w:t>
      </w:r>
    </w:p>
    <w:p w14:paraId="2249D382" w14:textId="77777777" w:rsidR="00A13FD2" w:rsidRPr="00A13FD2" w:rsidRDefault="00A13FD2" w:rsidP="00A13FD2">
      <w:pPr>
        <w:spacing w:line="276" w:lineRule="auto"/>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br w:type="page"/>
      </w:r>
    </w:p>
    <w:p w14:paraId="0543DC3A" w14:textId="77777777" w:rsidR="00A13FD2" w:rsidRPr="00A13FD2" w:rsidRDefault="00A13FD2" w:rsidP="00A13FD2">
      <w:pPr>
        <w:keepNext/>
        <w:keepLines/>
        <w:spacing w:before="400" w:after="120" w:line="360" w:lineRule="auto"/>
        <w:jc w:val="both"/>
        <w:outlineLvl w:val="0"/>
        <w:rPr>
          <w:rFonts w:ascii="Times New Roman" w:eastAsia="Arial" w:hAnsi="Times New Roman" w:cs="Arial"/>
          <w:b/>
          <w:color w:val="000000" w:themeColor="text1"/>
          <w:kern w:val="0"/>
          <w:sz w:val="28"/>
          <w:szCs w:val="40"/>
          <w:lang w:val="en-US" w:eastAsia="en-US" w:bidi="ar-SA"/>
          <w14:ligatures w14:val="none"/>
        </w:rPr>
      </w:pPr>
      <w:bookmarkStart w:id="59" w:name="_Toc145934249"/>
      <w:r w:rsidRPr="00A13FD2">
        <w:rPr>
          <w:rFonts w:ascii="Times New Roman" w:eastAsia="Arial" w:hAnsi="Times New Roman" w:cs="Arial"/>
          <w:b/>
          <w:color w:val="000000" w:themeColor="text1"/>
          <w:kern w:val="0"/>
          <w:sz w:val="28"/>
          <w:szCs w:val="40"/>
          <w:lang w:val="en-US" w:eastAsia="en-US" w:bidi="ar-SA"/>
          <w14:ligatures w14:val="none"/>
        </w:rPr>
        <w:lastRenderedPageBreak/>
        <w:t>Chapter 5: Recommendation and Conclusion</w:t>
      </w:r>
      <w:bookmarkEnd w:id="59"/>
      <w:r w:rsidRPr="00A13FD2">
        <w:rPr>
          <w:rFonts w:ascii="Times New Roman" w:eastAsia="Arial" w:hAnsi="Times New Roman" w:cs="Arial"/>
          <w:b/>
          <w:color w:val="000000" w:themeColor="text1"/>
          <w:kern w:val="0"/>
          <w:sz w:val="28"/>
          <w:szCs w:val="40"/>
          <w:lang w:val="en-US" w:eastAsia="en-US" w:bidi="ar-SA"/>
          <w14:ligatures w14:val="none"/>
        </w:rPr>
        <w:t xml:space="preserve"> </w:t>
      </w:r>
    </w:p>
    <w:p w14:paraId="176440D0" w14:textId="77777777" w:rsidR="00A13FD2" w:rsidRPr="00A13FD2" w:rsidRDefault="00A13FD2" w:rsidP="00A13FD2">
      <w:pPr>
        <w:keepNext/>
        <w:keepLines/>
        <w:spacing w:before="360" w:after="120" w:line="360" w:lineRule="auto"/>
        <w:jc w:val="both"/>
        <w:outlineLvl w:val="1"/>
        <w:rPr>
          <w:rFonts w:ascii="Times New Roman" w:eastAsia="Arial" w:hAnsi="Times New Roman" w:cs="Times New Roman"/>
          <w:b/>
          <w:color w:val="000000" w:themeColor="text1"/>
          <w:kern w:val="0"/>
          <w:sz w:val="24"/>
          <w:szCs w:val="24"/>
          <w:lang w:val="en-US" w:eastAsia="en-US" w:bidi="ar-SA"/>
          <w14:ligatures w14:val="none"/>
        </w:rPr>
      </w:pPr>
      <w:bookmarkStart w:id="60" w:name="_Toc145934250"/>
      <w:r w:rsidRPr="00A13FD2">
        <w:rPr>
          <w:rFonts w:ascii="Times New Roman" w:eastAsia="Arial" w:hAnsi="Times New Roman" w:cs="Times New Roman"/>
          <w:b/>
          <w:color w:val="000000" w:themeColor="text1"/>
          <w:kern w:val="0"/>
          <w:sz w:val="24"/>
          <w:szCs w:val="24"/>
          <w:lang w:val="en-US" w:eastAsia="en-US" w:bidi="ar-SA"/>
          <w14:ligatures w14:val="none"/>
        </w:rPr>
        <w:t>5.1 Introduction</w:t>
      </w:r>
      <w:bookmarkEnd w:id="60"/>
      <w:r w:rsidRPr="00A13FD2">
        <w:rPr>
          <w:rFonts w:ascii="Times New Roman" w:eastAsia="Arial" w:hAnsi="Times New Roman" w:cs="Times New Roman"/>
          <w:b/>
          <w:color w:val="000000" w:themeColor="text1"/>
          <w:kern w:val="0"/>
          <w:sz w:val="24"/>
          <w:szCs w:val="24"/>
          <w:lang w:val="en-US" w:eastAsia="en-US" w:bidi="ar-SA"/>
          <w14:ligatures w14:val="none"/>
        </w:rPr>
        <w:t xml:space="preserve"> </w:t>
      </w:r>
    </w:p>
    <w:p w14:paraId="7C1737B0"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This comprehensive exploration of managing cultural diversity in cross-border mergers within the context of UK-based companies expanding into Asia has shed light on the intricate challenges and potential solutions that arise in this dynamic business landscape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Degbey</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2021</w:t>
      </w:r>
      <w:r w:rsidRPr="00A13FD2">
        <w:rPr>
          <w:rFonts w:ascii="Times New Roman" w:eastAsia="Times New Roman" w:hAnsi="Times New Roman" w:cs="Times New Roman"/>
          <w:color w:val="000000" w:themeColor="text1"/>
          <w:kern w:val="0"/>
          <w:sz w:val="24"/>
          <w:szCs w:val="24"/>
          <w:lang w:val="en-US" w:eastAsia="en-US" w:bidi="ar-SA"/>
          <w14:ligatures w14:val="none"/>
        </w:rPr>
        <w:t>). Through an in-depth analysis of cultural dimensions, communication strategies, leadership approaches, and case studies, valuable insights have been uncovered. It is evident that successfully navigating cultural diversity is pivotal to the success of such mergers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Iwao, 2020</w:t>
      </w:r>
      <w:r w:rsidRPr="00A13FD2">
        <w:rPr>
          <w:rFonts w:ascii="Times New Roman" w:eastAsia="Times New Roman" w:hAnsi="Times New Roman" w:cs="Times New Roman"/>
          <w:color w:val="000000" w:themeColor="text1"/>
          <w:kern w:val="0"/>
          <w:sz w:val="24"/>
          <w:szCs w:val="24"/>
          <w:lang w:val="en-US" w:eastAsia="en-US" w:bidi="ar-SA"/>
          <w14:ligatures w14:val="none"/>
        </w:rPr>
        <w:t>). As companies continue to globalize, the significance of understanding and effectively managing cultural differences cannot be overstated. This concluding chapter summarizes findings and underscores the importance of adaptability, cultural competence, and strategic planning in the pursuit of cross-border success in the Asian market.</w:t>
      </w:r>
    </w:p>
    <w:p w14:paraId="21C049C2" w14:textId="77777777" w:rsidR="00A13FD2" w:rsidRPr="00A13FD2" w:rsidRDefault="00A13FD2" w:rsidP="00A13FD2">
      <w:pPr>
        <w:keepNext/>
        <w:keepLines/>
        <w:spacing w:before="360" w:after="120" w:line="360" w:lineRule="auto"/>
        <w:jc w:val="both"/>
        <w:outlineLvl w:val="1"/>
        <w:rPr>
          <w:rFonts w:ascii="Times New Roman" w:eastAsia="Arial" w:hAnsi="Times New Roman" w:cs="Times New Roman"/>
          <w:b/>
          <w:color w:val="000000" w:themeColor="text1"/>
          <w:kern w:val="0"/>
          <w:sz w:val="24"/>
          <w:szCs w:val="24"/>
          <w:lang w:val="en-US" w:eastAsia="en-US" w:bidi="ar-SA"/>
          <w14:ligatures w14:val="none"/>
        </w:rPr>
      </w:pPr>
      <w:bookmarkStart w:id="61" w:name="_Toc145934251"/>
      <w:r w:rsidRPr="00A13FD2">
        <w:rPr>
          <w:rFonts w:ascii="Times New Roman" w:eastAsia="Arial" w:hAnsi="Times New Roman" w:cs="Times New Roman"/>
          <w:b/>
          <w:color w:val="000000" w:themeColor="text1"/>
          <w:kern w:val="0"/>
          <w:sz w:val="24"/>
          <w:szCs w:val="24"/>
          <w:lang w:val="en-US" w:eastAsia="en-US" w:bidi="ar-SA"/>
          <w14:ligatures w14:val="none"/>
        </w:rPr>
        <w:t>5.2 Linking with Objectives</w:t>
      </w:r>
      <w:bookmarkEnd w:id="61"/>
    </w:p>
    <w:p w14:paraId="68DA63D4" w14:textId="77777777" w:rsidR="00A13FD2" w:rsidRPr="00A13FD2" w:rsidRDefault="00A13FD2" w:rsidP="00A13FD2">
      <w:pPr>
        <w:numPr>
          <w:ilvl w:val="0"/>
          <w:numId w:val="3"/>
        </w:numPr>
        <w:spacing w:line="360" w:lineRule="auto"/>
        <w:jc w:val="both"/>
        <w:textAlignment w:val="baseline"/>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In the pursuit of the primary objective to investigate the cultural differences and challenges confronted by UK-based companies engaged in cross-border mergers in Asia, this concluding chapter synthesizes our findings and underscores their relevance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He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2020</w:t>
      </w:r>
      <w:r w:rsidRPr="00A13FD2">
        <w:rPr>
          <w:rFonts w:ascii="Times New Roman" w:eastAsia="Times New Roman" w:hAnsi="Times New Roman" w:cs="Times New Roman"/>
          <w:color w:val="000000" w:themeColor="text1"/>
          <w:kern w:val="0"/>
          <w:sz w:val="24"/>
          <w:szCs w:val="24"/>
          <w:lang w:val="en-US" w:eastAsia="en-US" w:bidi="ar-SA"/>
          <w14:ligatures w14:val="none"/>
        </w:rPr>
        <w:t>). Throughout this study, multifaceted facets of cultural diversity have been developed, elucidating its profound impact on every aspect of cross-border mergers. This research has brought to the forefront the intricacies of cultural differences, ranging from communication barriers to leadership dissonance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Albuquerque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2019</w:t>
      </w:r>
      <w:r w:rsidRPr="00A13FD2">
        <w:rPr>
          <w:rFonts w:ascii="Times New Roman" w:eastAsia="Times New Roman" w:hAnsi="Times New Roman" w:cs="Times New Roman"/>
          <w:color w:val="000000" w:themeColor="text1"/>
          <w:kern w:val="0"/>
          <w:sz w:val="24"/>
          <w:szCs w:val="24"/>
          <w:lang w:val="en-US" w:eastAsia="en-US" w:bidi="ar-SA"/>
          <w14:ligatures w14:val="none"/>
        </w:rPr>
        <w:t>). These findings serve as a critical roadmap for UK-based companies seeking to navigate the challenging landscape of cross-border mergers in Asia, emphasizing the need for cultural sensitivity, adaptation, and proactive strategies to ensure successful business integration.</w:t>
      </w:r>
    </w:p>
    <w:p w14:paraId="1D349961" w14:textId="77777777" w:rsidR="00A13FD2" w:rsidRPr="00A13FD2" w:rsidRDefault="00A13FD2" w:rsidP="00A13FD2">
      <w:pPr>
        <w:numPr>
          <w:ilvl w:val="0"/>
          <w:numId w:val="4"/>
        </w:numPr>
        <w:spacing w:line="360" w:lineRule="auto"/>
        <w:jc w:val="both"/>
        <w:textAlignment w:val="baseline"/>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In alignment with the core objective of identifying best practices for fostering cultural awareness and sensitivity among employees engaged in cross-border mergers, this concluding chapter encapsulates the pivotal role of cultural competence in merger success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Tian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2021</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This research journey has unveiled a range of effective strategies, from cross-cultural training programs to mentorship initiatives, which empower employees to navigate cultural differences skillfully. These best practices emphasize the cultivation of </w:t>
      </w:r>
      <w:r w:rsidRPr="00A13FD2">
        <w:rPr>
          <w:rFonts w:ascii="Times New Roman" w:eastAsia="Times New Roman" w:hAnsi="Times New Roman" w:cs="Times New Roman"/>
          <w:color w:val="000000" w:themeColor="text1"/>
          <w:kern w:val="0"/>
          <w:sz w:val="24"/>
          <w:szCs w:val="24"/>
          <w:lang w:val="en-US" w:eastAsia="en-US" w:bidi="ar-SA"/>
          <w14:ligatures w14:val="none"/>
        </w:rPr>
        <w:lastRenderedPageBreak/>
        <w:t>empathy, open communication, and a willingness to learn from diverse perspectives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Hughes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2020</w:t>
      </w:r>
      <w:r w:rsidRPr="00A13FD2">
        <w:rPr>
          <w:rFonts w:ascii="Times New Roman" w:eastAsia="Times New Roman" w:hAnsi="Times New Roman" w:cs="Times New Roman"/>
          <w:color w:val="000000" w:themeColor="text1"/>
          <w:kern w:val="0"/>
          <w:sz w:val="24"/>
          <w:szCs w:val="24"/>
          <w:lang w:val="en-US" w:eastAsia="en-US" w:bidi="ar-SA"/>
          <w14:ligatures w14:val="none"/>
        </w:rPr>
        <w:t>). As UK-based companies venture into Asian markets, embracing these practices becomes imperative to create harmonious workplaces and bolster cross-border merger outcomes, fostering an environment where cultural diversity is not just acknowledged but celebrated.</w:t>
      </w:r>
    </w:p>
    <w:p w14:paraId="05ECDE28" w14:textId="77777777" w:rsidR="00A13FD2" w:rsidRPr="00A13FD2" w:rsidRDefault="00A13FD2" w:rsidP="00A13FD2">
      <w:pPr>
        <w:numPr>
          <w:ilvl w:val="0"/>
          <w:numId w:val="5"/>
        </w:numPr>
        <w:spacing w:line="360" w:lineRule="auto"/>
        <w:jc w:val="both"/>
        <w:textAlignment w:val="baseline"/>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In line with the overarching objective of scrutinizing the role of multicultural leadership in facilitating seamless integration within cross-border mergers, this concluding chapter synthesizes the critical significance of leadership styles and approaches in these research findings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Gupta, 2022</w:t>
      </w:r>
      <w:r w:rsidRPr="00A13FD2">
        <w:rPr>
          <w:rFonts w:ascii="Times New Roman" w:eastAsia="Times New Roman" w:hAnsi="Times New Roman" w:cs="Times New Roman"/>
          <w:color w:val="000000" w:themeColor="text1"/>
          <w:kern w:val="0"/>
          <w:sz w:val="24"/>
          <w:szCs w:val="24"/>
          <w:lang w:val="en-US" w:eastAsia="en-US" w:bidi="ar-SA"/>
          <w14:ligatures w14:val="none"/>
        </w:rPr>
        <w:t>). The study has underscored that adept multicultural leadership serves as the linchpin for harmonious merger integration. Leaders who embrace inclusivity, adaptability, and cultural intelligence become catalysts for fostering trust and collaboration across diverse teams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Bhatt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2021</w:t>
      </w:r>
      <w:r w:rsidRPr="00A13FD2">
        <w:rPr>
          <w:rFonts w:ascii="Times New Roman" w:eastAsia="Times New Roman" w:hAnsi="Times New Roman" w:cs="Times New Roman"/>
          <w:color w:val="000000" w:themeColor="text1"/>
          <w:kern w:val="0"/>
          <w:sz w:val="24"/>
          <w:szCs w:val="24"/>
          <w:lang w:val="en-US" w:eastAsia="en-US" w:bidi="ar-SA"/>
          <w14:ligatures w14:val="none"/>
        </w:rPr>
        <w:t>). As UK-based companies venture into the intricate landscape of Asian markets, recognizing the instrumental role of multicultural leadership becomes paramount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Gupta, 2022</w:t>
      </w:r>
      <w:r w:rsidRPr="00A13FD2">
        <w:rPr>
          <w:rFonts w:ascii="Times New Roman" w:eastAsia="Times New Roman" w:hAnsi="Times New Roman" w:cs="Times New Roman"/>
          <w:color w:val="000000" w:themeColor="text1"/>
          <w:kern w:val="0"/>
          <w:sz w:val="24"/>
          <w:szCs w:val="24"/>
          <w:lang w:val="en-US" w:eastAsia="en-US" w:bidi="ar-SA"/>
          <w14:ligatures w14:val="none"/>
        </w:rPr>
        <w:t>). Effective leadership bridges cultural gaps, promoting synergy, and ensuring the attainment of the merger's strategic goals.</w:t>
      </w:r>
    </w:p>
    <w:p w14:paraId="6B1355AF" w14:textId="77777777" w:rsidR="00A13FD2" w:rsidRPr="00A13FD2" w:rsidRDefault="00A13FD2" w:rsidP="00A13FD2">
      <w:pPr>
        <w:numPr>
          <w:ilvl w:val="0"/>
          <w:numId w:val="6"/>
        </w:numPr>
        <w:spacing w:line="360" w:lineRule="auto"/>
        <w:jc w:val="both"/>
        <w:textAlignment w:val="baseline"/>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In pursuit of a central objective to propose strategies for nurturing effective communication and collaboration within culturally diverse teams, this concluding chapter synthesizes the pivotal role of communication in the context of cross-border mergers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Choe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2021</w:t>
      </w:r>
      <w:r w:rsidRPr="00A13FD2">
        <w:rPr>
          <w:rFonts w:ascii="Times New Roman" w:eastAsia="Times New Roman" w:hAnsi="Times New Roman" w:cs="Times New Roman"/>
          <w:color w:val="000000" w:themeColor="text1"/>
          <w:kern w:val="0"/>
          <w:sz w:val="24"/>
          <w:szCs w:val="24"/>
          <w:lang w:val="en-US" w:eastAsia="en-US" w:bidi="ar-SA"/>
          <w14:ligatures w14:val="none"/>
        </w:rPr>
        <w:t>). This research has illuminated that establishing a robust communication framework, encompassing culturally sensitive practices like active listening and clarity in messaging is fundamental. Moreover, promoting a culture of open dialogue, where diverse perspectives are valued, fosters innovation and mutual understanding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Johnson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2021</w:t>
      </w:r>
      <w:r w:rsidRPr="00A13FD2">
        <w:rPr>
          <w:rFonts w:ascii="Times New Roman" w:eastAsia="Times New Roman" w:hAnsi="Times New Roman" w:cs="Times New Roman"/>
          <w:color w:val="000000" w:themeColor="text1"/>
          <w:kern w:val="0"/>
          <w:sz w:val="24"/>
          <w:szCs w:val="24"/>
          <w:lang w:val="en-US" w:eastAsia="en-US" w:bidi="ar-SA"/>
          <w14:ligatures w14:val="none"/>
        </w:rPr>
        <w:t>). As UK-based companies expand into Asia, embracing these communication strategies becomes essential for building cohesive and high-performing teams. Ultimately, these practices ensure that the rich tapestry of cultural diversity enhances rather than hinders the achievement of merger objectives.</w:t>
      </w:r>
    </w:p>
    <w:p w14:paraId="5FCAFA68" w14:textId="77777777" w:rsidR="00A13FD2" w:rsidRPr="00A13FD2" w:rsidRDefault="00A13FD2" w:rsidP="00A13FD2">
      <w:pPr>
        <w:keepNext/>
        <w:keepLines/>
        <w:spacing w:before="360" w:after="120" w:line="360" w:lineRule="auto"/>
        <w:jc w:val="both"/>
        <w:outlineLvl w:val="1"/>
        <w:rPr>
          <w:rFonts w:ascii="Times New Roman" w:eastAsia="Arial" w:hAnsi="Times New Roman" w:cs="Times New Roman"/>
          <w:b/>
          <w:color w:val="000000" w:themeColor="text1"/>
          <w:kern w:val="0"/>
          <w:sz w:val="24"/>
          <w:szCs w:val="24"/>
          <w:lang w:val="en-US" w:eastAsia="en-US" w:bidi="ar-SA"/>
          <w14:ligatures w14:val="none"/>
        </w:rPr>
      </w:pPr>
      <w:bookmarkStart w:id="62" w:name="_Toc145934252"/>
      <w:r w:rsidRPr="00A13FD2">
        <w:rPr>
          <w:rFonts w:ascii="Times New Roman" w:eastAsia="Arial" w:hAnsi="Times New Roman" w:cs="Times New Roman"/>
          <w:b/>
          <w:color w:val="000000" w:themeColor="text1"/>
          <w:kern w:val="0"/>
          <w:sz w:val="24"/>
          <w:szCs w:val="24"/>
          <w:lang w:val="en-US" w:eastAsia="en-US" w:bidi="ar-SA"/>
          <w14:ligatures w14:val="none"/>
        </w:rPr>
        <w:t>5.3 Recommendations</w:t>
      </w:r>
      <w:bookmarkEnd w:id="62"/>
      <w:r w:rsidRPr="00A13FD2">
        <w:rPr>
          <w:rFonts w:ascii="Times New Roman" w:eastAsia="Arial" w:hAnsi="Times New Roman" w:cs="Times New Roman"/>
          <w:b/>
          <w:color w:val="000000" w:themeColor="text1"/>
          <w:kern w:val="0"/>
          <w:sz w:val="24"/>
          <w:szCs w:val="24"/>
          <w:lang w:val="en-US" w:eastAsia="en-US" w:bidi="ar-SA"/>
          <w14:ligatures w14:val="none"/>
        </w:rPr>
        <w:t xml:space="preserve"> </w:t>
      </w:r>
    </w:p>
    <w:p w14:paraId="08F54DEA" w14:textId="77777777" w:rsidR="00A13FD2" w:rsidRPr="00A13FD2" w:rsidRDefault="00A13FD2" w:rsidP="00A13FD2">
      <w:pPr>
        <w:spacing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Based on our comprehensive exploration of managing cultural diversity in cross-border mergers for UK-based companies in Asia, several key recommendations emerge to enhance the effectiveness of this process:</w:t>
      </w:r>
    </w:p>
    <w:p w14:paraId="45BAAD39"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lastRenderedPageBreak/>
        <w:t xml:space="preserve">Cross-Cultural Training: </w:t>
      </w:r>
      <w:r w:rsidRPr="00A13FD2">
        <w:rPr>
          <w:rFonts w:ascii="Times New Roman" w:eastAsia="Times New Roman" w:hAnsi="Times New Roman" w:cs="Times New Roman"/>
          <w:color w:val="000000" w:themeColor="text1"/>
          <w:kern w:val="0"/>
          <w:sz w:val="24"/>
          <w:szCs w:val="24"/>
          <w:lang w:val="en-US" w:eastAsia="en-US" w:bidi="ar-SA"/>
          <w14:ligatures w14:val="none"/>
        </w:rPr>
        <w:t>Implement structured cross-cultural training programs for employees involved in cross-border mergers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Engelsberger</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2022</w:t>
      </w:r>
      <w:r w:rsidRPr="00A13FD2">
        <w:rPr>
          <w:rFonts w:ascii="Times New Roman" w:eastAsia="Times New Roman" w:hAnsi="Times New Roman" w:cs="Times New Roman"/>
          <w:color w:val="000000" w:themeColor="text1"/>
          <w:kern w:val="0"/>
          <w:sz w:val="24"/>
          <w:szCs w:val="24"/>
          <w:lang w:val="en-US" w:eastAsia="en-US" w:bidi="ar-SA"/>
          <w14:ligatures w14:val="none"/>
        </w:rPr>
        <w:t>). These programs should provide cultural awareness, sensitivity training, and practical insights into the target Asian market's customs, norms, and business practices.</w:t>
      </w:r>
    </w:p>
    <w:p w14:paraId="25944BC9"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Diversity in Leadership:</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Foster multicultural leadership at all levels of the organization. Encourage the selection of leaders who possess cultural intelligence and are adept at managing diverse teams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Hashimy</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2023</w:t>
      </w:r>
      <w:r w:rsidRPr="00A13FD2">
        <w:rPr>
          <w:rFonts w:ascii="Times New Roman" w:eastAsia="Times New Roman" w:hAnsi="Times New Roman" w:cs="Times New Roman"/>
          <w:color w:val="000000" w:themeColor="text1"/>
          <w:kern w:val="0"/>
          <w:sz w:val="24"/>
          <w:szCs w:val="24"/>
          <w:lang w:val="en-US" w:eastAsia="en-US" w:bidi="ar-SA"/>
          <w14:ligatures w14:val="none"/>
        </w:rPr>
        <w:t>). Such leaders can serve as role models for cross-cultural collaboration.</w:t>
      </w:r>
    </w:p>
    <w:p w14:paraId="452C1CF6"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noProof/>
          <w:color w:val="000000" w:themeColor="text1"/>
          <w:kern w:val="0"/>
          <w:sz w:val="24"/>
          <w:szCs w:val="24"/>
          <w:lang w:val="en-US" w:eastAsia="en-US" w:bidi="ar-SA"/>
          <w14:ligatures w14:val="none"/>
        </w:rPr>
        <w:drawing>
          <wp:inline distT="0" distB="0" distL="0" distR="0" wp14:anchorId="7DAD313C" wp14:editId="7846B74A">
            <wp:extent cx="5727409" cy="3204595"/>
            <wp:effectExtent l="38100" t="38100" r="38735" b="3429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inline>
        </w:drawing>
      </w:r>
    </w:p>
    <w:p w14:paraId="485FD306" w14:textId="77777777" w:rsidR="00A13FD2" w:rsidRPr="00A13FD2" w:rsidRDefault="00A13FD2" w:rsidP="00A13FD2">
      <w:pPr>
        <w:keepNext/>
        <w:keepLines/>
        <w:spacing w:before="320" w:after="80" w:line="360" w:lineRule="auto"/>
        <w:jc w:val="center"/>
        <w:outlineLvl w:val="2"/>
        <w:rPr>
          <w:rFonts w:ascii="Times New Roman" w:eastAsia="Arial" w:hAnsi="Times New Roman" w:cs="Arial"/>
          <w:b/>
          <w:color w:val="000000" w:themeColor="text1"/>
          <w:kern w:val="0"/>
          <w:sz w:val="24"/>
          <w:szCs w:val="28"/>
          <w:lang w:val="en-US" w:eastAsia="en-US" w:bidi="ar-SA"/>
          <w14:ligatures w14:val="none"/>
        </w:rPr>
      </w:pPr>
      <w:bookmarkStart w:id="63" w:name="_Toc145936906"/>
      <w:bookmarkStart w:id="64" w:name="_Toc148097357"/>
      <w:r w:rsidRPr="00A13FD2">
        <w:rPr>
          <w:rFonts w:ascii="Times New Roman" w:eastAsia="Arial" w:hAnsi="Times New Roman" w:cs="Arial"/>
          <w:b/>
          <w:color w:val="000000" w:themeColor="text1"/>
          <w:kern w:val="0"/>
          <w:sz w:val="24"/>
          <w:szCs w:val="28"/>
          <w:lang w:val="en-US" w:eastAsia="en-US" w:bidi="ar-SA"/>
          <w14:ligatures w14:val="none"/>
        </w:rPr>
        <w:t>Figure 9: Recommendation for improvement of cultural diversity in cross-border mergers</w:t>
      </w:r>
      <w:bookmarkEnd w:id="63"/>
      <w:bookmarkEnd w:id="64"/>
    </w:p>
    <w:p w14:paraId="1F2F55DD" w14:textId="77777777" w:rsidR="00A13FD2" w:rsidRPr="00A13FD2" w:rsidRDefault="00A13FD2" w:rsidP="00A13FD2">
      <w:pPr>
        <w:spacing w:line="360" w:lineRule="auto"/>
        <w:jc w:val="center"/>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(Source: Self-created in Ms. Word)</w:t>
      </w:r>
    </w:p>
    <w:p w14:paraId="75FDBA1A"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Communication Strategies: </w:t>
      </w:r>
      <w:r w:rsidRPr="00A13FD2">
        <w:rPr>
          <w:rFonts w:ascii="Times New Roman" w:eastAsia="Times New Roman" w:hAnsi="Times New Roman" w:cs="Times New Roman"/>
          <w:color w:val="000000" w:themeColor="text1"/>
          <w:kern w:val="0"/>
          <w:sz w:val="24"/>
          <w:szCs w:val="24"/>
          <w:lang w:val="en-US" w:eastAsia="en-US" w:bidi="ar-SA"/>
          <w14:ligatures w14:val="none"/>
        </w:rPr>
        <w:t>Develop clear and adaptable communication strategies that consider language barriers and cultural nuances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Pellegrini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2020</w:t>
      </w:r>
      <w:r w:rsidRPr="00A13FD2">
        <w:rPr>
          <w:rFonts w:ascii="Times New Roman" w:eastAsia="Times New Roman" w:hAnsi="Times New Roman" w:cs="Times New Roman"/>
          <w:color w:val="000000" w:themeColor="text1"/>
          <w:kern w:val="0"/>
          <w:sz w:val="24"/>
          <w:szCs w:val="24"/>
          <w:lang w:val="en-US" w:eastAsia="en-US" w:bidi="ar-SA"/>
          <w14:ligatures w14:val="none"/>
        </w:rPr>
        <w:t>). Utilize interpreters or translators when necessary and emphasize the importance of active listening and feedback mechanisms.</w:t>
      </w:r>
    </w:p>
    <w:p w14:paraId="21D967D7"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Cultural Liaisons: </w:t>
      </w:r>
      <w:r w:rsidRPr="00A13FD2">
        <w:rPr>
          <w:rFonts w:ascii="Times New Roman" w:eastAsia="Times New Roman" w:hAnsi="Times New Roman" w:cs="Times New Roman"/>
          <w:color w:val="000000" w:themeColor="text1"/>
          <w:kern w:val="0"/>
          <w:sz w:val="24"/>
          <w:szCs w:val="24"/>
          <w:lang w:val="en-US" w:eastAsia="en-US" w:bidi="ar-SA"/>
          <w14:ligatures w14:val="none"/>
        </w:rPr>
        <w:t>Appoint cultural liaisons or advisors who can bridge cultural gaps, offering insights and guidance during the merger process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Lundberg, 2020</w:t>
      </w:r>
      <w:r w:rsidRPr="00A13FD2">
        <w:rPr>
          <w:rFonts w:ascii="Times New Roman" w:eastAsia="Times New Roman" w:hAnsi="Times New Roman" w:cs="Times New Roman"/>
          <w:color w:val="000000" w:themeColor="text1"/>
          <w:kern w:val="0"/>
          <w:sz w:val="24"/>
          <w:szCs w:val="24"/>
          <w:lang w:val="en-US" w:eastAsia="en-US" w:bidi="ar-SA"/>
          <w14:ligatures w14:val="none"/>
        </w:rPr>
        <w:t>). These individuals can be instrumental in building trust and facilitating smooth integration.</w:t>
      </w:r>
    </w:p>
    <w:p w14:paraId="2C716844"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lastRenderedPageBreak/>
        <w:t xml:space="preserve">Employee Resource Groups: </w:t>
      </w:r>
      <w:r w:rsidRPr="00A13FD2">
        <w:rPr>
          <w:rFonts w:ascii="Times New Roman" w:eastAsia="Times New Roman" w:hAnsi="Times New Roman" w:cs="Times New Roman"/>
          <w:color w:val="000000" w:themeColor="text1"/>
          <w:kern w:val="0"/>
          <w:sz w:val="24"/>
          <w:szCs w:val="24"/>
          <w:lang w:val="en-US" w:eastAsia="en-US" w:bidi="ar-SA"/>
          <w14:ligatures w14:val="none"/>
        </w:rPr>
        <w:t>Establish Employee Resource Groups (ERGs) or affinity groups to provide a platform for employees from different cultural backgrounds to connect, share experiences, and contribute ideas for improving cultural integration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Graham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2020</w:t>
      </w:r>
      <w:r w:rsidRPr="00A13FD2">
        <w:rPr>
          <w:rFonts w:ascii="Times New Roman" w:eastAsia="Times New Roman" w:hAnsi="Times New Roman" w:cs="Times New Roman"/>
          <w:color w:val="000000" w:themeColor="text1"/>
          <w:kern w:val="0"/>
          <w:sz w:val="24"/>
          <w:szCs w:val="24"/>
          <w:lang w:val="en-US" w:eastAsia="en-US" w:bidi="ar-SA"/>
          <w14:ligatures w14:val="none"/>
        </w:rPr>
        <w:t>).</w:t>
      </w:r>
    </w:p>
    <w:p w14:paraId="15B9C548" w14:textId="77777777" w:rsidR="00A13FD2" w:rsidRPr="00A13FD2" w:rsidRDefault="00A13FD2" w:rsidP="00A13FD2">
      <w:pPr>
        <w:spacing w:before="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Incorporating these recommendations into the merger strategy will not only mitigate cultural challenges but also position UK-based companies for more successful and sustainable growth in the diverse and dynamic markets of Asia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Pellegrini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2020</w:t>
      </w:r>
      <w:r w:rsidRPr="00A13FD2">
        <w:rPr>
          <w:rFonts w:ascii="Times New Roman" w:eastAsia="Times New Roman" w:hAnsi="Times New Roman" w:cs="Times New Roman"/>
          <w:color w:val="000000" w:themeColor="text1"/>
          <w:kern w:val="0"/>
          <w:sz w:val="24"/>
          <w:szCs w:val="24"/>
          <w:lang w:val="en-US" w:eastAsia="en-US" w:bidi="ar-SA"/>
          <w14:ligatures w14:val="none"/>
        </w:rPr>
        <w:t>). Effective cultural integration not only enhances the bottom line but also fosters an inclusive and harmonious work environment.</w:t>
      </w:r>
    </w:p>
    <w:p w14:paraId="12D22710" w14:textId="77777777" w:rsidR="00A13FD2" w:rsidRPr="00A13FD2" w:rsidRDefault="00A13FD2" w:rsidP="00A13FD2">
      <w:pPr>
        <w:keepNext/>
        <w:keepLines/>
        <w:spacing w:before="360" w:after="120" w:line="360" w:lineRule="auto"/>
        <w:jc w:val="both"/>
        <w:outlineLvl w:val="1"/>
        <w:rPr>
          <w:rFonts w:ascii="Times New Roman" w:eastAsia="Arial" w:hAnsi="Times New Roman" w:cs="Times New Roman"/>
          <w:b/>
          <w:color w:val="000000" w:themeColor="text1"/>
          <w:kern w:val="0"/>
          <w:sz w:val="24"/>
          <w:szCs w:val="24"/>
          <w:lang w:val="en-US" w:eastAsia="en-US" w:bidi="ar-SA"/>
          <w14:ligatures w14:val="none"/>
        </w:rPr>
      </w:pPr>
      <w:bookmarkStart w:id="65" w:name="_Toc145934253"/>
      <w:r w:rsidRPr="00A13FD2">
        <w:rPr>
          <w:rFonts w:ascii="Times New Roman" w:eastAsia="Arial" w:hAnsi="Times New Roman" w:cs="Times New Roman"/>
          <w:b/>
          <w:color w:val="000000" w:themeColor="text1"/>
          <w:kern w:val="0"/>
          <w:sz w:val="24"/>
          <w:szCs w:val="24"/>
          <w:lang w:val="en-US" w:eastAsia="en-US" w:bidi="ar-SA"/>
          <w14:ligatures w14:val="none"/>
        </w:rPr>
        <w:t>5.4 Limitations</w:t>
      </w:r>
      <w:bookmarkEnd w:id="65"/>
      <w:r w:rsidRPr="00A13FD2">
        <w:rPr>
          <w:rFonts w:ascii="Times New Roman" w:eastAsia="Arial" w:hAnsi="Times New Roman" w:cs="Times New Roman"/>
          <w:b/>
          <w:color w:val="000000" w:themeColor="text1"/>
          <w:kern w:val="0"/>
          <w:sz w:val="24"/>
          <w:szCs w:val="24"/>
          <w:lang w:val="en-US" w:eastAsia="en-US" w:bidi="ar-SA"/>
          <w14:ligatures w14:val="none"/>
        </w:rPr>
        <w:t xml:space="preserve"> </w:t>
      </w:r>
    </w:p>
    <w:p w14:paraId="2331445E"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While the exploration of managing cultural diversity in cross-border mergers in Asia for UK-based companies provides valuable insights, it is essential to acknowledge its limitations:</w:t>
      </w:r>
    </w:p>
    <w:p w14:paraId="34187C6D" w14:textId="77777777" w:rsidR="00A13FD2" w:rsidRPr="00A13FD2" w:rsidRDefault="00A13FD2" w:rsidP="00A13FD2">
      <w:pPr>
        <w:spacing w:line="360" w:lineRule="auto"/>
        <w:jc w:val="both"/>
        <w:rPr>
          <w:rFonts w:ascii="Times New Roman" w:eastAsia="Times New Roman" w:hAnsi="Times New Roman" w:cs="Times New Roman"/>
          <w:b/>
          <w:i/>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Generalizability:</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Findings from specific case studies and research may not be universally applicable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Chen, 2021</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Cultural dynamics vary across regions in Asia and among different organizations, making it challenging to generalize strategies across all situations. </w:t>
      </w:r>
      <w:r w:rsidRPr="00A13FD2">
        <w:rPr>
          <w:rFonts w:ascii="Times New Roman" w:eastAsia="Times New Roman" w:hAnsi="Times New Roman" w:cs="Times New Roman"/>
          <w:b/>
          <w:i/>
          <w:color w:val="000000" w:themeColor="text1"/>
          <w:kern w:val="0"/>
          <w:sz w:val="24"/>
          <w:szCs w:val="24"/>
          <w:lang w:val="en-US" w:eastAsia="en-US" w:bidi="ar-SA"/>
          <w14:ligatures w14:val="none"/>
        </w:rPr>
        <w:t>[Referred to Appendix 5]</w:t>
      </w:r>
    </w:p>
    <w:p w14:paraId="2A6A36DE"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Dynamic Nature of Culture:</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Culture is not static and can change over time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Davidavičienė</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2020</w:t>
      </w:r>
      <w:r w:rsidRPr="00A13FD2">
        <w:rPr>
          <w:rFonts w:ascii="Times New Roman" w:eastAsia="Times New Roman" w:hAnsi="Times New Roman" w:cs="Times New Roman"/>
          <w:color w:val="000000" w:themeColor="text1"/>
          <w:kern w:val="0"/>
          <w:sz w:val="24"/>
          <w:szCs w:val="24"/>
          <w:lang w:val="en-US" w:eastAsia="en-US" w:bidi="ar-SA"/>
          <w14:ligatures w14:val="none"/>
        </w:rPr>
        <w:t>). The research may not fully capture the evolving nature of cultures within Asia and how they impact cross-border mergers.</w:t>
      </w:r>
    </w:p>
    <w:p w14:paraId="47C7B140"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Limited Perspective:</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The study might focus primarily on the perspective of UK-based companies, potentially overlooking the views and experiences of their Asian counterparts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Moirano</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2020</w:t>
      </w:r>
      <w:r w:rsidRPr="00A13FD2">
        <w:rPr>
          <w:rFonts w:ascii="Times New Roman" w:eastAsia="Times New Roman" w:hAnsi="Times New Roman" w:cs="Times New Roman"/>
          <w:color w:val="000000" w:themeColor="text1"/>
          <w:kern w:val="0"/>
          <w:sz w:val="24"/>
          <w:szCs w:val="24"/>
          <w:lang w:val="en-US" w:eastAsia="en-US" w:bidi="ar-SA"/>
          <w14:ligatures w14:val="none"/>
        </w:rPr>
        <w:t>). A more holistic approach would consider both sides of the merger.</w:t>
      </w:r>
    </w:p>
    <w:p w14:paraId="52E7AC7B"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The complexity of Mergers:</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Cross-border mergers involve numerous variables, including legal, financial, and operational aspects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Elia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2019</w:t>
      </w:r>
      <w:r w:rsidRPr="00A13FD2">
        <w:rPr>
          <w:rFonts w:ascii="Times New Roman" w:eastAsia="Times New Roman" w:hAnsi="Times New Roman" w:cs="Times New Roman"/>
          <w:color w:val="000000" w:themeColor="text1"/>
          <w:kern w:val="0"/>
          <w:sz w:val="24"/>
          <w:szCs w:val="24"/>
          <w:lang w:val="en-US" w:eastAsia="en-US" w:bidi="ar-SA"/>
          <w14:ligatures w14:val="none"/>
        </w:rPr>
        <w:t>). Cultural diversity is just one facet, and its effects may be intertwined with other complexities.</w:t>
      </w:r>
    </w:p>
    <w:p w14:paraId="1CD0C86C"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Language Barriers:</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Language plays a significant role in communication within diverse teams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Wenxin and Yue, 2022</w:t>
      </w:r>
      <w:r w:rsidRPr="00A13FD2">
        <w:rPr>
          <w:rFonts w:ascii="Times New Roman" w:eastAsia="Times New Roman" w:hAnsi="Times New Roman" w:cs="Times New Roman"/>
          <w:color w:val="000000" w:themeColor="text1"/>
          <w:kern w:val="0"/>
          <w:sz w:val="24"/>
          <w:szCs w:val="24"/>
          <w:lang w:val="en-US" w:eastAsia="en-US" w:bidi="ar-SA"/>
          <w14:ligatures w14:val="none"/>
        </w:rPr>
        <w:t>). The research may not delve deep into the intricacies of language challenges and how they affect collaboration.</w:t>
      </w:r>
    </w:p>
    <w:p w14:paraId="10A593A1" w14:textId="77777777" w:rsidR="00A13FD2" w:rsidRPr="00A13FD2" w:rsidRDefault="00A13FD2" w:rsidP="00A13FD2">
      <w:pPr>
        <w:spacing w:before="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Despite these limitations, the research serves as a valuable starting point for understanding and addressing cultural diversity challenges in cross-border mergers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Hashimy</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2023</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Further </w:t>
      </w:r>
      <w:r w:rsidRPr="00A13FD2">
        <w:rPr>
          <w:rFonts w:ascii="Times New Roman" w:eastAsia="Times New Roman" w:hAnsi="Times New Roman" w:cs="Times New Roman"/>
          <w:color w:val="000000" w:themeColor="text1"/>
          <w:kern w:val="0"/>
          <w:sz w:val="24"/>
          <w:szCs w:val="24"/>
          <w:lang w:val="en-US" w:eastAsia="en-US" w:bidi="ar-SA"/>
          <w14:ligatures w14:val="none"/>
        </w:rPr>
        <w:lastRenderedPageBreak/>
        <w:t>studies and ongoing assessment are needed to refine strategies and adapt them to the evolving landscape of cross-border business interactions in Asia.</w:t>
      </w:r>
    </w:p>
    <w:p w14:paraId="3B1D4A66" w14:textId="77777777" w:rsidR="00A13FD2" w:rsidRPr="00A13FD2" w:rsidRDefault="00A13FD2" w:rsidP="00A13FD2">
      <w:pPr>
        <w:keepNext/>
        <w:keepLines/>
        <w:spacing w:before="360" w:after="120" w:line="360" w:lineRule="auto"/>
        <w:jc w:val="both"/>
        <w:outlineLvl w:val="1"/>
        <w:rPr>
          <w:rFonts w:ascii="Times New Roman" w:eastAsia="Arial" w:hAnsi="Times New Roman" w:cs="Times New Roman"/>
          <w:b/>
          <w:color w:val="000000" w:themeColor="text1"/>
          <w:kern w:val="0"/>
          <w:sz w:val="24"/>
          <w:szCs w:val="24"/>
          <w:lang w:val="en-US" w:eastAsia="en-US" w:bidi="ar-SA"/>
          <w14:ligatures w14:val="none"/>
        </w:rPr>
      </w:pPr>
      <w:bookmarkStart w:id="66" w:name="_Toc145934254"/>
      <w:r w:rsidRPr="00A13FD2">
        <w:rPr>
          <w:rFonts w:ascii="Times New Roman" w:eastAsia="Arial" w:hAnsi="Times New Roman" w:cs="Times New Roman"/>
          <w:b/>
          <w:color w:val="000000" w:themeColor="text1"/>
          <w:kern w:val="0"/>
          <w:sz w:val="24"/>
          <w:szCs w:val="24"/>
          <w:lang w:val="en-US" w:eastAsia="en-US" w:bidi="ar-SA"/>
          <w14:ligatures w14:val="none"/>
        </w:rPr>
        <w:t>5.5 Future Scope</w:t>
      </w:r>
      <w:bookmarkEnd w:id="66"/>
      <w:r w:rsidRPr="00A13FD2">
        <w:rPr>
          <w:rFonts w:ascii="Times New Roman" w:eastAsia="Arial" w:hAnsi="Times New Roman" w:cs="Times New Roman"/>
          <w:b/>
          <w:color w:val="000000" w:themeColor="text1"/>
          <w:kern w:val="0"/>
          <w:sz w:val="24"/>
          <w:szCs w:val="24"/>
          <w:lang w:val="en-US" w:eastAsia="en-US" w:bidi="ar-SA"/>
          <w14:ligatures w14:val="none"/>
        </w:rPr>
        <w:t xml:space="preserve"> </w:t>
      </w:r>
    </w:p>
    <w:p w14:paraId="6DBC0CC2" w14:textId="77777777" w:rsidR="00A13FD2" w:rsidRPr="00A13FD2" w:rsidRDefault="00A13FD2" w:rsidP="00A13FD2">
      <w:pPr>
        <w:spacing w:after="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The exploration of managing cultural diversity in cross-border mergers in Asia for UK-based companies offers a rich field for future research and practical application. Several areas hold significant promise for further investigation and development:</w:t>
      </w:r>
    </w:p>
    <w:p w14:paraId="62426948" w14:textId="77777777" w:rsidR="00A13FD2" w:rsidRPr="00A13FD2" w:rsidRDefault="00A13FD2" w:rsidP="00A13FD2">
      <w:pPr>
        <w:spacing w:line="360" w:lineRule="auto"/>
        <w:jc w:val="both"/>
        <w:rPr>
          <w:rFonts w:ascii="Times New Roman" w:eastAsia="Times New Roman" w:hAnsi="Times New Roman" w:cs="Times New Roman"/>
          <w:b/>
          <w:i/>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Longitudinal Studies:</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Conduct longitudinal studies to track the long-term effects of cultural integration in cross-border mergers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Hashimy</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et al.</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2023</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Understanding how cultural dynamics evolve and impact organizational performance is critical. </w:t>
      </w:r>
      <w:r w:rsidRPr="00A13FD2">
        <w:rPr>
          <w:rFonts w:ascii="Times New Roman" w:eastAsia="Times New Roman" w:hAnsi="Times New Roman" w:cs="Times New Roman"/>
          <w:b/>
          <w:i/>
          <w:color w:val="000000" w:themeColor="text1"/>
          <w:kern w:val="0"/>
          <w:sz w:val="24"/>
          <w:szCs w:val="24"/>
          <w:lang w:val="en-US" w:eastAsia="en-US" w:bidi="ar-SA"/>
          <w14:ligatures w14:val="none"/>
        </w:rPr>
        <w:t>[Referred to Appendix 6]</w:t>
      </w:r>
    </w:p>
    <w:p w14:paraId="28CDE445"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Industry-Specific Research:</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Focusing on industry-specific nuances in cross-border mergers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Lundberg, 2020</w:t>
      </w:r>
      <w:r w:rsidRPr="00A13FD2">
        <w:rPr>
          <w:rFonts w:ascii="Times New Roman" w:eastAsia="Times New Roman" w:hAnsi="Times New Roman" w:cs="Times New Roman"/>
          <w:color w:val="000000" w:themeColor="text1"/>
          <w:kern w:val="0"/>
          <w:sz w:val="24"/>
          <w:szCs w:val="24"/>
          <w:lang w:val="en-US" w:eastAsia="en-US" w:bidi="ar-SA"/>
          <w14:ligatures w14:val="none"/>
        </w:rPr>
        <w:t>). Different sectors may face distinct cultural challenges and require tailored strategies.</w:t>
      </w:r>
    </w:p>
    <w:p w14:paraId="7DBB013B"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 xml:space="preserve">Technology and Remote Work: </w:t>
      </w:r>
      <w:r w:rsidRPr="00A13FD2">
        <w:rPr>
          <w:rFonts w:ascii="Times New Roman" w:eastAsia="Times New Roman" w:hAnsi="Times New Roman" w:cs="Times New Roman"/>
          <w:color w:val="000000" w:themeColor="text1"/>
          <w:kern w:val="0"/>
          <w:sz w:val="24"/>
          <w:szCs w:val="24"/>
          <w:lang w:val="en-US" w:eastAsia="en-US" w:bidi="ar-SA"/>
          <w14:ligatures w14:val="none"/>
        </w:rPr>
        <w:t>Exploring the influence of technology and remote work on cross-border mergers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Wenxin and Yue, 2022</w:t>
      </w:r>
      <w:r w:rsidRPr="00A13FD2">
        <w:rPr>
          <w:rFonts w:ascii="Times New Roman" w:eastAsia="Times New Roman" w:hAnsi="Times New Roman" w:cs="Times New Roman"/>
          <w:color w:val="000000" w:themeColor="text1"/>
          <w:kern w:val="0"/>
          <w:sz w:val="24"/>
          <w:szCs w:val="24"/>
          <w:lang w:val="en-US" w:eastAsia="en-US" w:bidi="ar-SA"/>
          <w14:ligatures w14:val="none"/>
        </w:rPr>
        <w:t>). The COVID-19 pandemic has accelerated digital transformation, altering the dynamics of cross-cultural collaboration.</w:t>
      </w:r>
    </w:p>
    <w:p w14:paraId="0A2B304B"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Crisis Management:</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Investigating how cultural diversity impacts crisis management and resilience within merged organizations, as cross-border mergers often face unexpected challenges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Chen, 2021</w:t>
      </w:r>
      <w:r w:rsidRPr="00A13FD2">
        <w:rPr>
          <w:rFonts w:ascii="Times New Roman" w:eastAsia="Times New Roman" w:hAnsi="Times New Roman" w:cs="Times New Roman"/>
          <w:color w:val="000000" w:themeColor="text1"/>
          <w:kern w:val="0"/>
          <w:sz w:val="24"/>
          <w:szCs w:val="24"/>
          <w:lang w:val="en-US" w:eastAsia="en-US" w:bidi="ar-SA"/>
          <w14:ligatures w14:val="none"/>
        </w:rPr>
        <w:t>).</w:t>
      </w:r>
    </w:p>
    <w:p w14:paraId="35E86A77"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
          <w:bCs/>
          <w:color w:val="000000" w:themeColor="text1"/>
          <w:kern w:val="0"/>
          <w:sz w:val="24"/>
          <w:szCs w:val="24"/>
          <w:lang w:val="en-US" w:eastAsia="en-US" w:bidi="ar-SA"/>
          <w14:ligatures w14:val="none"/>
        </w:rPr>
        <w:t>Comparative Analysis:</w:t>
      </w:r>
      <w:r w:rsidRPr="00A13FD2">
        <w:rPr>
          <w:rFonts w:ascii="Times New Roman" w:eastAsia="Times New Roman" w:hAnsi="Times New Roman" w:cs="Times New Roman"/>
          <w:color w:val="000000" w:themeColor="text1"/>
          <w:kern w:val="0"/>
          <w:sz w:val="24"/>
          <w:szCs w:val="24"/>
          <w:lang w:val="en-US" w:eastAsia="en-US" w:bidi="ar-SA"/>
          <w14:ligatures w14:val="none"/>
        </w:rPr>
        <w:t xml:space="preserve"> Comparing the experiences of UK-based companies in different regions of Asia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Graham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2020</w:t>
      </w:r>
      <w:r w:rsidRPr="00A13FD2">
        <w:rPr>
          <w:rFonts w:ascii="Times New Roman" w:eastAsia="Times New Roman" w:hAnsi="Times New Roman" w:cs="Times New Roman"/>
          <w:color w:val="000000" w:themeColor="text1"/>
          <w:kern w:val="0"/>
          <w:sz w:val="24"/>
          <w:szCs w:val="24"/>
          <w:lang w:val="en-US" w:eastAsia="en-US" w:bidi="ar-SA"/>
          <w14:ligatures w14:val="none"/>
        </w:rPr>
        <w:t>). Understanding regional variations in cultural dynamics can inform more targeted strategies.</w:t>
      </w:r>
    </w:p>
    <w:p w14:paraId="30491A11" w14:textId="77777777" w:rsidR="00A13FD2" w:rsidRPr="00A13FD2" w:rsidRDefault="00A13FD2" w:rsidP="00A13FD2">
      <w:pPr>
        <w:spacing w:before="300"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The future scope in this field is not only academically enriching but also directly relevant to the success of businesses expanding into the diverse and dynamic markets of Asia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Moirano</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2020</w:t>
      </w:r>
      <w:r w:rsidRPr="00A13FD2">
        <w:rPr>
          <w:rFonts w:ascii="Times New Roman" w:eastAsia="Times New Roman" w:hAnsi="Times New Roman" w:cs="Times New Roman"/>
          <w:color w:val="000000" w:themeColor="text1"/>
          <w:kern w:val="0"/>
          <w:sz w:val="24"/>
          <w:szCs w:val="24"/>
          <w:lang w:val="en-US" w:eastAsia="en-US" w:bidi="ar-SA"/>
          <w14:ligatures w14:val="none"/>
        </w:rPr>
        <w:t>). As globalization continues to accelerate, an understanding of how to effectively manage cultural diversity in cross-border mergers becomes increasingly vital for sustained growth and competitiveness.</w:t>
      </w:r>
    </w:p>
    <w:p w14:paraId="7F79D8E9" w14:textId="77777777" w:rsidR="00A13FD2" w:rsidRPr="00A13FD2" w:rsidRDefault="00A13FD2" w:rsidP="00A13FD2">
      <w:pPr>
        <w:keepNext/>
        <w:keepLines/>
        <w:spacing w:before="360" w:after="120" w:line="360" w:lineRule="auto"/>
        <w:jc w:val="both"/>
        <w:outlineLvl w:val="1"/>
        <w:rPr>
          <w:rFonts w:ascii="Times New Roman" w:eastAsia="Arial" w:hAnsi="Times New Roman" w:cs="Times New Roman"/>
          <w:b/>
          <w:color w:val="000000" w:themeColor="text1"/>
          <w:kern w:val="0"/>
          <w:sz w:val="24"/>
          <w:szCs w:val="24"/>
          <w:lang w:val="en-US" w:eastAsia="en-US" w:bidi="ar-SA"/>
          <w14:ligatures w14:val="none"/>
        </w:rPr>
      </w:pPr>
      <w:bookmarkStart w:id="67" w:name="_Toc145934255"/>
      <w:r w:rsidRPr="00A13FD2">
        <w:rPr>
          <w:rFonts w:ascii="Times New Roman" w:eastAsia="Arial" w:hAnsi="Times New Roman" w:cs="Times New Roman"/>
          <w:b/>
          <w:color w:val="000000" w:themeColor="text1"/>
          <w:kern w:val="0"/>
          <w:sz w:val="24"/>
          <w:szCs w:val="24"/>
          <w:lang w:val="en-US" w:eastAsia="en-US" w:bidi="ar-SA"/>
          <w14:ligatures w14:val="none"/>
        </w:rPr>
        <w:lastRenderedPageBreak/>
        <w:t>5.6 Conclusion</w:t>
      </w:r>
      <w:bookmarkEnd w:id="67"/>
      <w:r w:rsidRPr="00A13FD2">
        <w:rPr>
          <w:rFonts w:ascii="Times New Roman" w:eastAsia="Arial" w:hAnsi="Times New Roman" w:cs="Times New Roman"/>
          <w:b/>
          <w:color w:val="000000" w:themeColor="text1"/>
          <w:kern w:val="0"/>
          <w:sz w:val="24"/>
          <w:szCs w:val="24"/>
          <w:lang w:val="en-US" w:eastAsia="en-US" w:bidi="ar-SA"/>
          <w14:ligatures w14:val="none"/>
        </w:rPr>
        <w:t xml:space="preserve"> </w:t>
      </w:r>
    </w:p>
    <w:p w14:paraId="00836194"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This exploration of managing cultural diversity in cross-border mergers for UK-based companies in Asia has illuminated both the complexities and opportunities inherent in this dynamic process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Lundberg, 2020</w:t>
      </w:r>
      <w:r w:rsidRPr="00A13FD2">
        <w:rPr>
          <w:rFonts w:ascii="Times New Roman" w:eastAsia="Times New Roman" w:hAnsi="Times New Roman" w:cs="Times New Roman"/>
          <w:color w:val="000000" w:themeColor="text1"/>
          <w:kern w:val="0"/>
          <w:sz w:val="24"/>
          <w:szCs w:val="24"/>
          <w:lang w:val="en-US" w:eastAsia="en-US" w:bidi="ar-SA"/>
          <w14:ligatures w14:val="none"/>
        </w:rPr>
        <w:t>). Through the lens of culture, communication, leadership, and integration, valuable insights and recommendations have been discussed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Chen, 2021</w:t>
      </w:r>
      <w:r w:rsidRPr="00A13FD2">
        <w:rPr>
          <w:rFonts w:ascii="Times New Roman" w:eastAsia="Times New Roman" w:hAnsi="Times New Roman" w:cs="Times New Roman"/>
          <w:color w:val="000000" w:themeColor="text1"/>
          <w:kern w:val="0"/>
          <w:sz w:val="24"/>
          <w:szCs w:val="24"/>
          <w:lang w:val="en-US" w:eastAsia="en-US" w:bidi="ar-SA"/>
          <w14:ligatures w14:val="none"/>
        </w:rPr>
        <w:t>). The study underscores that successful cross-border mergers hinge on embracing diversity, fostering open dialogue, and cultivating multicultural leadership (</w:t>
      </w:r>
      <w:proofErr w:type="spellStart"/>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Moirano</w:t>
      </w:r>
      <w:proofErr w:type="spellEnd"/>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Times New Roman" w:hAnsi="Times New Roman" w:cs="Times New Roman"/>
          <w:i/>
          <w:iCs/>
          <w:color w:val="000000" w:themeColor="text1"/>
          <w:kern w:val="0"/>
          <w:sz w:val="24"/>
          <w:szCs w:val="24"/>
          <w:shd w:val="clear" w:color="auto" w:fill="FFFFFF"/>
          <w:lang w:val="en-US" w:eastAsia="en-US" w:bidi="ar-SA"/>
          <w14:ligatures w14:val="none"/>
        </w:rPr>
        <w:t xml:space="preserve">et al. </w:t>
      </w:r>
      <w:r w:rsidRPr="00A13FD2">
        <w:rPr>
          <w:rFonts w:ascii="Times New Roman" w:eastAsia="Times New Roman" w:hAnsi="Times New Roman" w:cs="Times New Roman"/>
          <w:color w:val="000000" w:themeColor="text1"/>
          <w:kern w:val="0"/>
          <w:sz w:val="24"/>
          <w:szCs w:val="24"/>
          <w:shd w:val="clear" w:color="auto" w:fill="FFFFFF"/>
          <w:lang w:val="en-US" w:eastAsia="en-US" w:bidi="ar-SA"/>
          <w14:ligatures w14:val="none"/>
        </w:rPr>
        <w:t>2020</w:t>
      </w:r>
      <w:r w:rsidRPr="00A13FD2">
        <w:rPr>
          <w:rFonts w:ascii="Times New Roman" w:eastAsia="Times New Roman" w:hAnsi="Times New Roman" w:cs="Times New Roman"/>
          <w:color w:val="000000" w:themeColor="text1"/>
          <w:kern w:val="0"/>
          <w:sz w:val="24"/>
          <w:szCs w:val="24"/>
          <w:lang w:val="en-US" w:eastAsia="en-US" w:bidi="ar-SA"/>
          <w14:ligatures w14:val="none"/>
        </w:rPr>
        <w:t>). These strategies, adaptable to the evolving global landscape, pave the way for harmonious integration and sustained success in the culturally rich tapestry of Asian markets.</w:t>
      </w:r>
    </w:p>
    <w:p w14:paraId="4B4312B4" w14:textId="77777777" w:rsidR="00A13FD2" w:rsidRPr="00A13FD2" w:rsidRDefault="00A13FD2" w:rsidP="00A13FD2">
      <w:pPr>
        <w:keepNext/>
        <w:keepLines/>
        <w:spacing w:before="400" w:after="120" w:line="360" w:lineRule="auto"/>
        <w:jc w:val="both"/>
        <w:outlineLvl w:val="0"/>
        <w:rPr>
          <w:rFonts w:ascii="Times New Roman" w:eastAsia="Arial" w:hAnsi="Times New Roman" w:cs="Times New Roman"/>
          <w:b/>
          <w:color w:val="000000" w:themeColor="text1"/>
          <w:kern w:val="0"/>
          <w:sz w:val="24"/>
          <w:szCs w:val="24"/>
          <w:lang w:val="en-US" w:eastAsia="en-US" w:bidi="ar-SA"/>
          <w14:ligatures w14:val="none"/>
        </w:rPr>
      </w:pPr>
      <w:r w:rsidRPr="00A13FD2">
        <w:rPr>
          <w:rFonts w:ascii="Times New Roman" w:eastAsia="Arial" w:hAnsi="Times New Roman" w:cs="Times New Roman"/>
          <w:b/>
          <w:color w:val="000000" w:themeColor="text1"/>
          <w:kern w:val="0"/>
          <w:sz w:val="24"/>
          <w:szCs w:val="24"/>
          <w:lang w:val="en-US" w:eastAsia="en-US" w:bidi="ar-SA"/>
          <w14:ligatures w14:val="none"/>
        </w:rPr>
        <w:br w:type="page"/>
      </w:r>
      <w:bookmarkStart w:id="68" w:name="_Toc145934256"/>
      <w:r w:rsidRPr="00A13FD2">
        <w:rPr>
          <w:rFonts w:ascii="Times New Roman" w:eastAsia="Arial" w:hAnsi="Times New Roman" w:cs="Arial"/>
          <w:b/>
          <w:color w:val="000000" w:themeColor="text1"/>
          <w:kern w:val="0"/>
          <w:sz w:val="28"/>
          <w:szCs w:val="40"/>
          <w:lang w:val="en-GB" w:eastAsia="en-US" w:bidi="ar-SA"/>
          <w14:ligatures w14:val="none"/>
        </w:rPr>
        <w:lastRenderedPageBreak/>
        <w:t>Reference list</w:t>
      </w:r>
      <w:bookmarkEnd w:id="68"/>
    </w:p>
    <w:p w14:paraId="6731561C" w14:textId="77777777" w:rsidR="00A13FD2" w:rsidRPr="00A13FD2" w:rsidRDefault="00A13FD2" w:rsidP="00A13FD2">
      <w:pPr>
        <w:spacing w:line="360" w:lineRule="auto"/>
        <w:jc w:val="both"/>
        <w:rPr>
          <w:rFonts w:ascii="Times New Roman" w:eastAsia="Arial" w:hAnsi="Times New Roman" w:cs="Times New Roman"/>
          <w:b/>
          <w:color w:val="000000" w:themeColor="text1"/>
          <w:kern w:val="0"/>
          <w:sz w:val="24"/>
          <w:szCs w:val="24"/>
          <w:lang w:val="en-GB" w:eastAsia="en-US" w:bidi="ar-SA"/>
          <w14:ligatures w14:val="none"/>
        </w:rPr>
      </w:pPr>
      <w:r w:rsidRPr="00A13FD2">
        <w:rPr>
          <w:rFonts w:ascii="Times New Roman" w:eastAsia="Arial" w:hAnsi="Times New Roman" w:cs="Times New Roman"/>
          <w:b/>
          <w:color w:val="000000" w:themeColor="text1"/>
          <w:kern w:val="0"/>
          <w:sz w:val="24"/>
          <w:szCs w:val="24"/>
          <w:lang w:val="en-GB" w:eastAsia="en-US" w:bidi="ar-SA"/>
          <w14:ligatures w14:val="none"/>
        </w:rPr>
        <w:t>Journals</w:t>
      </w:r>
    </w:p>
    <w:p w14:paraId="6AC169DA"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aabri.com</w:t>
      </w:r>
      <w:r w:rsidRPr="00A13FD2">
        <w:rPr>
          <w:rFonts w:ascii="Times New Roman" w:eastAsia="Arial" w:hAnsi="Times New Roman" w:cs="Times New Roman"/>
          <w:color w:val="000000" w:themeColor="text1"/>
          <w:kern w:val="0"/>
          <w:sz w:val="24"/>
          <w:szCs w:val="24"/>
          <w:lang w:val="en-US" w:eastAsia="en-US" w:bidi="ar-SA"/>
          <w14:ligatures w14:val="none"/>
        </w:rPr>
        <w:t xml:space="preserve">, 2023, </w:t>
      </w:r>
      <w:r w:rsidRPr="00A13FD2">
        <w:rPr>
          <w:rFonts w:ascii="Times New Roman" w:eastAsia="Arial" w:hAnsi="Times New Roman" w:cs="Times New Roman"/>
          <w:i/>
          <w:color w:val="000000" w:themeColor="text1"/>
          <w:kern w:val="0"/>
          <w:sz w:val="24"/>
          <w:szCs w:val="24"/>
          <w:lang w:val="en-US" w:eastAsia="en-US" w:bidi="ar-SA"/>
          <w14:ligatures w14:val="none"/>
        </w:rPr>
        <w:t>CHALLENGES FOR MNEs OPERATING IN EMERGING MARKETS</w:t>
      </w:r>
      <w:r w:rsidRPr="00A13FD2">
        <w:rPr>
          <w:rFonts w:ascii="Times New Roman" w:eastAsia="Arial" w:hAnsi="Times New Roman" w:cs="Times New Roman"/>
          <w:color w:val="000000" w:themeColor="text1"/>
          <w:kern w:val="0"/>
          <w:sz w:val="24"/>
          <w:szCs w:val="24"/>
          <w:lang w:val="en-US" w:eastAsia="en-US" w:bidi="ar-SA"/>
          <w14:ligatures w14:val="none"/>
        </w:rPr>
        <w:t>, Available at:</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http://www.aabri.com/LV2014Manuscripts/LV14045.pdf </w:t>
      </w:r>
      <w:r w:rsidRPr="00A13FD2">
        <w:rPr>
          <w:rFonts w:ascii="Times New Roman" w:eastAsia="Arial" w:hAnsi="Times New Roman" w:cs="Times New Roman"/>
          <w:color w:val="000000" w:themeColor="text1"/>
          <w:kern w:val="0"/>
          <w:sz w:val="24"/>
          <w:szCs w:val="24"/>
          <w:lang w:val="en-US" w:eastAsia="en-US" w:bidi="ar-SA"/>
          <w14:ligatures w14:val="none"/>
        </w:rPr>
        <w:t>[Accessed on: 10.09.2023]</w:t>
      </w:r>
    </w:p>
    <w:p w14:paraId="1906CFCD" w14:textId="77777777" w:rsidR="00A13FD2" w:rsidRPr="00A13FD2" w:rsidRDefault="00A13FD2" w:rsidP="00A13FD2">
      <w:pPr>
        <w:spacing w:line="360" w:lineRule="auto"/>
        <w:rPr>
          <w:rFonts w:ascii="Times New Roman" w:eastAsia="Arial" w:hAnsi="Times New Roman" w:cs="Times New Roman"/>
          <w:b/>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Abdelhakim, A.S., 2021. Adopted Research Designs by Tourism and Hospitality Postgraduates in The Light‎ of Research Onion.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International Journal of Tourism and Hospitality Management</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4</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(2), pp.98-124.</w:t>
      </w:r>
    </w:p>
    <w:p w14:paraId="355EABC3"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Albuquerque, R., Brandão-Marques, L., Ferreira, M.A. and Matos, P., 2019. International corporate governance spillovers: Evidence from cross-border mergers and acquisitions.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The Review of Financial Studies</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32</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(2), pp.738-770.</w:t>
      </w:r>
    </w:p>
    <w:p w14:paraId="0BF02BD7"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Alharahsheh</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H.H. and Pius, A., 2020. A review of key paradigms: Positivism VS interpretivism.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Global Academic Journal of Humanities and Social Sciences</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2</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(3), pp.39-43.</w:t>
      </w:r>
    </w:p>
    <w:p w14:paraId="17CE7BF9"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Alharahsheh</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H.H. and Pius, A., 2020. A review of key paradigms: Positivism VS interpretivism.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Global Academic Journal of Humanities and Social Sciences</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2</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(3), pp.39-43.</w:t>
      </w:r>
    </w:p>
    <w:p w14:paraId="6776C104"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Bhatt, N., Guru, S., Thanki, S. and Sood, G., 2021.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Analysing</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the factors affecting the selection of ERP package: A fuzzy AHP approach.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Information Systems and e-Business Management</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19</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pp.641-682.</w:t>
      </w:r>
    </w:p>
    <w:p w14:paraId="51D7B42F" w14:textId="77777777" w:rsidR="00A13FD2" w:rsidRPr="00A13FD2" w:rsidRDefault="00A13FD2" w:rsidP="00A13FD2">
      <w:pPr>
        <w:spacing w:line="360" w:lineRule="auto"/>
        <w:jc w:val="both"/>
        <w:textAlignment w:val="baseline"/>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Chen, R.H., 2021. Fostering students’ workplace communicative competence and collaborative mindset through an inquiry-based learning design.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Education sciences</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11</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(1), p.17.</w:t>
      </w:r>
    </w:p>
    <w:p w14:paraId="5B2840F8"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Choe, J.Y., Kim, J.J. and Hwang, J., 2021. Innovative marketing strategies for the successful construction of drone food delivery services: Merging TAM with TPB.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Journal of Travel &amp; Tourism Marketing</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38</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(1), pp.16-30.</w:t>
      </w:r>
    </w:p>
    <w:p w14:paraId="32515864"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Christofi</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M.,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Vrontis</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D.,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Thrassou</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A. and Shams, S.R., 2019. Triggering technological innovation through cross-border mergers and acquisitions: A micro-foundational perspective.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Technological Forecasting and Social Change</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146</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pp.148-166.</w:t>
      </w:r>
    </w:p>
    <w:p w14:paraId="75B8B630"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 xml:space="preserve">core.ac.uk, 2023, </w:t>
      </w:r>
      <w:r w:rsidRPr="00A13FD2">
        <w:rPr>
          <w:rFonts w:ascii="Times New Roman" w:eastAsia="Arial" w:hAnsi="Times New Roman" w:cs="Times New Roman"/>
          <w:i/>
          <w:color w:val="000000" w:themeColor="text1"/>
          <w:kern w:val="0"/>
          <w:sz w:val="24"/>
          <w:szCs w:val="24"/>
          <w:shd w:val="clear" w:color="auto" w:fill="FFFFFF"/>
          <w:lang w:val="en-US" w:eastAsia="en-US" w:bidi="ar-SA"/>
          <w14:ligatures w14:val="none"/>
        </w:rPr>
        <w:t>Target  company  cross-border  effects  in  acquisitions  into the UK,</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w:t>
      </w:r>
      <w:r w:rsidRPr="00A13FD2">
        <w:rPr>
          <w:rFonts w:ascii="Times New Roman" w:eastAsia="Arial" w:hAnsi="Times New Roman" w:cs="Times New Roman"/>
          <w:color w:val="000000" w:themeColor="text1"/>
          <w:kern w:val="0"/>
          <w:sz w:val="24"/>
          <w:szCs w:val="24"/>
          <w:lang w:val="en-US" w:eastAsia="en-US" w:bidi="ar-SA"/>
          <w14:ligatures w14:val="none"/>
        </w:rPr>
        <w:t>Available at: https://core.ac.uk/reader/1394120 [Accessed on: 10.09.2023]</w:t>
      </w:r>
    </w:p>
    <w:p w14:paraId="4A3242AD"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Corley, K., Bansal, P. and Yu, H., 2021. An editorial perspective on judging the quality of inductive research when the methodological straightjacket is loosened.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Strategic Organization</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19</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(1), pp.161-175.</w:t>
      </w:r>
    </w:p>
    <w:p w14:paraId="0534CEA1"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lastRenderedPageBreak/>
        <w:t>Corritore, M., Goldberg, A. and Srivastava, S.B., 2020. The new analytics of culture.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Harvard Business Review</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98</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(1), pp.76-83.</w:t>
      </w:r>
    </w:p>
    <w:p w14:paraId="55E7998E"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Creech, C.B., 2022. Affirming Care: A Cultural Assimilator for Rural Clinicians Working With LGBTQIA+ Populations.</w:t>
      </w:r>
    </w:p>
    <w:p w14:paraId="30FAB6BA"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Dao, M.A. and Bauer, F., 2021. Human integration following M&amp;A: Synthesizing different M&amp;A research streams.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Human Resource Management Review</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31</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(3), p.100746.</w:t>
      </w:r>
    </w:p>
    <w:p w14:paraId="1D40C4C1" w14:textId="77777777" w:rsidR="00A13FD2" w:rsidRPr="00A13FD2" w:rsidRDefault="00A13FD2" w:rsidP="00A13FD2">
      <w:pPr>
        <w:spacing w:line="360" w:lineRule="auto"/>
        <w:jc w:val="both"/>
        <w:rPr>
          <w:rFonts w:ascii="Times New Roman" w:eastAsia="Arial" w:hAnsi="Times New Roman" w:cs="Times New Roman"/>
          <w:b/>
          <w:color w:val="000000" w:themeColor="text1"/>
          <w:kern w:val="0"/>
          <w:sz w:val="24"/>
          <w:szCs w:val="24"/>
          <w:lang w:val="en-US" w:eastAsia="en-US" w:bidi="ar-SA"/>
          <w14:ligatures w14:val="none"/>
        </w:rPr>
      </w:pP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Darvishmotevali</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M. and Altinay, L., 2022. Green HRM, environmental awareness and green behaviors: The moderating role of servant leadership.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Tourism Management</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88</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p.104401.</w:t>
      </w:r>
    </w:p>
    <w:p w14:paraId="58C8E904" w14:textId="77777777" w:rsidR="00A13FD2" w:rsidRPr="00A13FD2" w:rsidRDefault="00A13FD2" w:rsidP="00A13FD2">
      <w:pPr>
        <w:spacing w:line="360" w:lineRule="auto"/>
        <w:jc w:val="both"/>
        <w:textAlignment w:val="baseline"/>
        <w:rPr>
          <w:rFonts w:ascii="Times New Roman" w:eastAsia="Arial" w:hAnsi="Times New Roman" w:cs="Times New Roman"/>
          <w:color w:val="000000" w:themeColor="text1"/>
          <w:kern w:val="0"/>
          <w:sz w:val="24"/>
          <w:szCs w:val="24"/>
          <w:shd w:val="clear" w:color="auto" w:fill="FFFFFF"/>
          <w:lang w:val="en-US" w:eastAsia="en-US" w:bidi="ar-SA"/>
          <w14:ligatures w14:val="none"/>
        </w:rPr>
      </w:pP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Davidavičienė</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V., Al Majzoub, K. and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Meidute-Kavaliauskiene</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I., 2020. Factors affecting knowledge sharing in virtual teams.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Sustainability</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12</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(17), p.6917.</w:t>
      </w:r>
    </w:p>
    <w:p w14:paraId="2EA0348B"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Degbey</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W.Y.,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Eriksson</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T., Rodgers, P. and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Oguji</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N., 2021. Understanding cross‐border mergers and acquisitions of African firms: The role of dynamic capabilities in enabling competitiveness amidst contextual constraints.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Thunderbird international business review</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63</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(1), pp.77-93.</w:t>
      </w:r>
    </w:p>
    <w:p w14:paraId="530C7629"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Ekelenkamp</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S., 2020. The announcement effect of cross-border acquisitions by UK-firms in developed vs. developing countries: the moderating effect of cultural distance.</w:t>
      </w:r>
    </w:p>
    <w:p w14:paraId="201DEF8B"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Elia, S., Petruzzelli, A.M. and Piscitello, L., 2019. The impact of cultural diversity on innovation performance of MNC subsidiaries in strategic alliances.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Journal of Business Research</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98</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pp.204-213.</w:t>
      </w:r>
    </w:p>
    <w:p w14:paraId="377B6982" w14:textId="77777777" w:rsidR="00A13FD2" w:rsidRPr="00A13FD2" w:rsidRDefault="00A13FD2" w:rsidP="00A13FD2">
      <w:pPr>
        <w:spacing w:line="360" w:lineRule="auto"/>
        <w:jc w:val="both"/>
        <w:rPr>
          <w:rFonts w:ascii="Times New Roman" w:eastAsia="Arial" w:hAnsi="Times New Roman" w:cs="Times New Roman"/>
          <w:b/>
          <w:color w:val="000000" w:themeColor="text1"/>
          <w:kern w:val="0"/>
          <w:sz w:val="24"/>
          <w:szCs w:val="24"/>
          <w:lang w:val="en-US" w:eastAsia="en-US" w:bidi="ar-SA"/>
          <w14:ligatures w14:val="none"/>
        </w:rPr>
      </w:pP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ElKaleh</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E., 2019. Leadership curricula in UAE business and education management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programmes</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A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Habermasian</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analysis within an Islamic context.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International Journal of Educational Management</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33</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(6), pp.1118-1147.</w:t>
      </w:r>
    </w:p>
    <w:p w14:paraId="148B7B0B" w14:textId="77777777" w:rsidR="00A13FD2" w:rsidRPr="00A13FD2" w:rsidRDefault="00A13FD2" w:rsidP="00A13FD2">
      <w:pPr>
        <w:spacing w:line="360" w:lineRule="auto"/>
        <w:jc w:val="both"/>
        <w:textAlignment w:val="baseline"/>
        <w:rPr>
          <w:rFonts w:ascii="Times New Roman" w:eastAsia="Arial" w:hAnsi="Times New Roman" w:cs="Times New Roman"/>
          <w:color w:val="000000" w:themeColor="text1"/>
          <w:kern w:val="0"/>
          <w:sz w:val="24"/>
          <w:szCs w:val="24"/>
          <w:shd w:val="clear" w:color="auto" w:fill="FFFFFF"/>
          <w:lang w:val="en-US" w:eastAsia="en-US" w:bidi="ar-SA"/>
          <w14:ligatures w14:val="none"/>
        </w:rPr>
      </w:pP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Engelsberger</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A., Cavanagh, J., Bartram, T. and Halvorsen, B., 2022. Multicultural skills in open innovation: relational leadership enabling knowledge sourcing and sharing.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Personnel Review</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51</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(3), pp.980-1002.</w:t>
      </w:r>
    </w:p>
    <w:p w14:paraId="45FC0E2B"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Evemy</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J., Berry, C. and Yates, E., 2023. Low interest rates, low productivity, low growth? A multi-sector case study of UK-based firms’ funding and investment strategies in the context of loose monetary policy.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New Political Economy</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pp.1-20.</w:t>
      </w:r>
    </w:p>
    <w:p w14:paraId="71B851CC"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Graham, P., Nikolova, N. and Sankaran, S., 2020. Tension between leadership archetypes: Systematic review to inform construction research and practice.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Journal of Management in Engineering</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36</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(1), p.03119002.</w:t>
      </w:r>
    </w:p>
    <w:p w14:paraId="4726F891"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lastRenderedPageBreak/>
        <w:t>Gupta, N., 2022.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Cross Border Merger &amp; Acquisition a wealth creating proposition: An exploratory case study of Tata Motors and Jaguar Land Rover</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(Doctoral dissertation, Dublin, </w:t>
      </w:r>
    </w:p>
    <w:p w14:paraId="3D1ABD73"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Harrison, R., Fischer, S.,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Walpola</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R.L.,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Chauhan</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A., Babalola, T., Mears, S. and Le-Dao, H., 2021. Where do models for change management, improvement and implementation meet? A systematic review of the applications of change management models in healthcare.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Journal of healthcare leadership</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pp.85-108.</w:t>
      </w:r>
    </w:p>
    <w:p w14:paraId="45E2B866"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Hashimy</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S.Q.,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Jahromi</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A., Hamza, M., Naaz, I.,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Nyamwero</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N.B. and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Basavarajappa</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H.T., 2023. Nurturing Leadership and Capacity Building for Success: Empowering Growth.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International Journal of Rehabilitation and Special Education</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3</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(2), pp.1-14.</w:t>
      </w:r>
    </w:p>
    <w:p w14:paraId="25C8EFCE"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He, Z., Chong, Z., Yang, Y., Zhou, Y. and Liu, Y., 2020. Evolutionary investment network and the emerging energy power in Central Asia: From the perspective of cross-border mergers and acquisitions.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Journal of Geographical Sciences</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30</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pp.1849-1870.</w:t>
      </w:r>
    </w:p>
    <w:p w14:paraId="28A48801"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HR, G. and Aithal, P.S., 2022. Why is it Called Doctor of Philosophy and Why Choosing Appropriate Research Philosophical Paradigm is Indispensable During Ph. D. Program in India?.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International Journal of Philosophy and Languages (IJPL)</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1</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(1), pp.42-58.</w:t>
      </w:r>
    </w:p>
    <w:p w14:paraId="4B0263DB"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Hughes, P., Hughes, M., Stokes, P., Lee, H., Rodgers, P. and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Degbey</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W.Y., 2020. Micro-foundations of organizational ambidexterity in the context of cross-border mergers and acquisitions.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Technological Forecasting and Social Change</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153</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p.119932.</w:t>
      </w:r>
    </w:p>
    <w:p w14:paraId="35BDAC10"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Hughes, P., Hughes, M., Stokes, P., Lee, H., Rodgers, P. and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Degbey</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W.Y., 2020. Micro-foundations of organizational ambidexterity in the context of cross-border mergers and acquisitions.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Technological Forecasting and Social Change</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153</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p.119932.</w:t>
      </w:r>
    </w:p>
    <w:p w14:paraId="487EC40B"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 xml:space="preserve">indeed.com, 2023, </w:t>
      </w:r>
      <w:r w:rsidRPr="00A13FD2">
        <w:rPr>
          <w:rFonts w:ascii="Times New Roman" w:eastAsia="Arial" w:hAnsi="Times New Roman" w:cs="Times New Roman"/>
          <w:i/>
          <w:color w:val="000000" w:themeColor="text1"/>
          <w:kern w:val="0"/>
          <w:sz w:val="24"/>
          <w:szCs w:val="24"/>
          <w:lang w:val="en-US" w:eastAsia="en-US" w:bidi="ar-SA"/>
          <w14:ligatures w14:val="none"/>
        </w:rPr>
        <w:t>what is cultural competence and why is it important?</w:t>
      </w:r>
      <w:r w:rsidRPr="00A13FD2">
        <w:rPr>
          <w:rFonts w:ascii="Times New Roman" w:eastAsia="Arial" w:hAnsi="Times New Roman" w:cs="Times New Roman"/>
          <w:color w:val="000000" w:themeColor="text1"/>
          <w:kern w:val="0"/>
          <w:sz w:val="24"/>
          <w:szCs w:val="24"/>
          <w:lang w:val="en-US" w:eastAsia="en-US" w:bidi="ar-SA"/>
          <w14:ligatures w14:val="none"/>
        </w:rPr>
        <w:t xml:space="preserve"> Available at: https://www.indeed.com/career-advice/career-development/cultural-competence#:~:text=Culturally%20competent%20employees%20are%20typically,by%20enhancing%20collaboration%20and%20unity. [Accessed on: 10.09.2023]</w:t>
      </w:r>
    </w:p>
    <w:p w14:paraId="4233B8DB"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Ishtiaq, M., 2019. Book review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creswell</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JW (2014). research design: qualitative, quantitative and mixed methods approaches . Thousand Oaks, ca: sage.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English Language Teaching</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12</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(5), p.40.</w:t>
      </w:r>
    </w:p>
    <w:p w14:paraId="554781C0"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Iskhakova</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M. and Ott, D.L., 2020. Working in culturally diverse teams: Team-level cultural intelligence (CQ) development and team performance.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Journal of International Education in Business</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13</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(1), pp.37-54.</w:t>
      </w:r>
    </w:p>
    <w:p w14:paraId="33497493"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lastRenderedPageBreak/>
        <w:t>Iwao, K., 2020.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Strategies for Cultural Integration Following Cross-Border Mergers and Acquisitions</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(Doctoral dissertation, Walden University).</w:t>
      </w:r>
    </w:p>
    <w:p w14:paraId="2409EC5E"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Johnson, C.S.,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Sdunzik</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J., Bynum, C., Kong, N. and Qin, X., 2021. Learning about culture together: enhancing educators cultural competence through collaborative teacher study groups.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Professional development in education</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47</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(1), pp.177-190.</w:t>
      </w:r>
    </w:p>
    <w:p w14:paraId="2BBD9822"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Johnson, J.L., Adkins, D. and Chauvin, S., 2020. A review of the quality indicators of rigor in qualitative research.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American journal of pharmaceutical education</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84</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(1). </w:t>
      </w:r>
    </w:p>
    <w:p w14:paraId="23821CDB" w14:textId="77777777" w:rsidR="00A13FD2" w:rsidRPr="00A13FD2" w:rsidRDefault="00A13FD2" w:rsidP="00A13FD2">
      <w:pPr>
        <w:spacing w:line="360" w:lineRule="auto"/>
        <w:jc w:val="both"/>
        <w:rPr>
          <w:rFonts w:ascii="Times New Roman" w:eastAsia="Arial" w:hAnsi="Times New Roman" w:cs="Times New Roman"/>
          <w:b/>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Kruse, P., 2021. Exploring international and inter-sector differences of social enterprises in the UK and India.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Sustainability</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13</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(11), p.5870.</w:t>
      </w:r>
    </w:p>
    <w:p w14:paraId="5199C27E" w14:textId="77777777" w:rsidR="00A13FD2" w:rsidRPr="00A13FD2" w:rsidRDefault="00A13FD2" w:rsidP="00A13FD2">
      <w:pPr>
        <w:keepNext/>
        <w:keepLines/>
        <w:spacing w:before="400" w:after="120" w:line="360" w:lineRule="auto"/>
        <w:jc w:val="both"/>
        <w:outlineLvl w:val="0"/>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 xml:space="preserve">linkedin.com, 2023, </w:t>
      </w:r>
      <w:r w:rsidRPr="00A13FD2">
        <w:rPr>
          <w:rFonts w:ascii="Times New Roman" w:eastAsia="Arial" w:hAnsi="Times New Roman" w:cs="Times New Roman"/>
          <w:i/>
          <w:color w:val="000000" w:themeColor="text1"/>
          <w:kern w:val="0"/>
          <w:sz w:val="24"/>
          <w:szCs w:val="24"/>
          <w:lang w:val="en-US" w:eastAsia="en-US" w:bidi="ar-SA"/>
          <w14:ligatures w14:val="none"/>
        </w:rPr>
        <w:t>The Impact of cultural intelligence on intercultural communication and Collaboration</w:t>
      </w:r>
      <w:r w:rsidRPr="00A13FD2">
        <w:rPr>
          <w:rFonts w:ascii="Times New Roman" w:eastAsia="Arial" w:hAnsi="Times New Roman" w:cs="Times New Roman"/>
          <w:color w:val="000000" w:themeColor="text1"/>
          <w:kern w:val="0"/>
          <w:sz w:val="24"/>
          <w:szCs w:val="24"/>
          <w:lang w:val="en-US" w:eastAsia="en-US" w:bidi="ar-SA"/>
          <w14:ligatures w14:val="none"/>
        </w:rPr>
        <w:t>, Available at: https://www.linkedin.com/pulse/impact-cultural-intelligence-intercultural-communication#:~:text=Cultural%20intelligence%2C%20or%20the%20ability,groups%20from%20different%20cultural%20backgrounds. [Accessed on: 10.09.2023]</w:t>
      </w:r>
    </w:p>
    <w:p w14:paraId="12C739D0" w14:textId="77777777" w:rsidR="00A13FD2" w:rsidRPr="00A13FD2" w:rsidRDefault="00A13FD2" w:rsidP="00A13FD2">
      <w:pPr>
        <w:spacing w:line="360" w:lineRule="auto"/>
        <w:jc w:val="both"/>
        <w:textAlignment w:val="baseline"/>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Liu, Y.,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Vrontis</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D., Visser, M., Stokes, P., Smith, S., Moore, N.,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Thrassou</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A. and Ashta, A., 2021. Talent management and the HR function in cross-cultural mergers and acquisitions: The role and impact of bi-cultural identity.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Human Resource Management Review</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31</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(3), p.100744.</w:t>
      </w:r>
    </w:p>
    <w:p w14:paraId="00019278"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Lundberg, O., 2020. Defining and implementing social integration: a case study of school leaders’ and practitioners’ work with newly arrived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im</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/migrant and refugee students.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International Journal of Qualitative Studies on Health and Well-Being</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15</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(sup2), p.1783859.</w:t>
      </w:r>
    </w:p>
    <w:p w14:paraId="575CB805"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Mardiana</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S., 2020. Modifying Research Onion for Information Systems Research.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Solid State Technology</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63</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(4), pp.5304-5313.</w:t>
      </w:r>
    </w:p>
    <w:p w14:paraId="1B0C7B07"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McDonnell, A.,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Jooss</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S. and Scullion, H., 2020, February. Global talent and mobility in a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decentralised</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multinational enterprise. In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Case Studies in Work, Employment and Human Resource Management</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(pp. 230-238). Edward Elgar Publishing.</w:t>
      </w:r>
    </w:p>
    <w:p w14:paraId="48D86966"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Moirano</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R., Sánchez, M.A. and Štěpánek, L., 2020. Creative interdisciplinary collaboration: A systematic literature review.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Thinking Skills and Creativity</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35</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p.100626.</w:t>
      </w:r>
    </w:p>
    <w:p w14:paraId="31504E30"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Morlando, F., 2021. Shareholder wealth effects of cross border acquisitions: evidence from Italian bidders.</w:t>
      </w:r>
    </w:p>
    <w:p w14:paraId="70D462FF"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lastRenderedPageBreak/>
        <w:t>Oikarainen</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A., Mikkonen, K., Kenny, A.,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Tomietto</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M.,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Tuomikoski</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A.M.,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Meriläinen</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M., Miettunen, J. and Kääriäinen, M., 2019. Educational interventions designed to develop nurses’ cultural competence: A systematic review.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International journal of nursing studies</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98</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pp.75-86.</w:t>
      </w:r>
    </w:p>
    <w:p w14:paraId="1EE6CF7E"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Paluck, E.L., Green, S.A. and Green, D.P., 2019. The contact hypothesis re-evaluated. </w:t>
      </w:r>
      <w:proofErr w:type="spellStart"/>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Behavioural</w:t>
      </w:r>
      <w:proofErr w:type="spellEnd"/>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 xml:space="preserve"> Public Policy</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3</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(2), pp.129-158.</w:t>
      </w:r>
    </w:p>
    <w:p w14:paraId="17B2DC2F"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Peel, K.L., 2020. A beginner's guide to applied educational research using thematic analysis.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Practical Assessment, Research, and Evaluation</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25</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(1), p.2.</w:t>
      </w:r>
    </w:p>
    <w:p w14:paraId="43B5AE85"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Pellegrini, M.M., Ciampi, F., Marzi, G. and Orlando, B., 2020. The relationship between knowledge management and leadership: mapping the field and providing future research avenues.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Journal of Knowledge Management</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24</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(6), pp.1445-1492.</w:t>
      </w:r>
    </w:p>
    <w:p w14:paraId="2BF50E0B" w14:textId="77777777" w:rsidR="00A13FD2" w:rsidRPr="00A13FD2" w:rsidRDefault="00A13FD2" w:rsidP="00A13FD2">
      <w:pPr>
        <w:keepNext/>
        <w:keepLines/>
        <w:shd w:val="clear" w:color="auto" w:fill="FFFFFF"/>
        <w:spacing w:before="400" w:after="120" w:line="360" w:lineRule="auto"/>
        <w:jc w:val="both"/>
        <w:outlineLvl w:val="0"/>
        <w:rPr>
          <w:rFonts w:ascii="Times New Roman" w:eastAsia="Arial" w:hAnsi="Times New Roman" w:cs="Times New Roman"/>
          <w:i/>
          <w:color w:val="000000" w:themeColor="text1"/>
          <w:spacing w:val="-6"/>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 xml:space="preserve">pumble.com, 2023, </w:t>
      </w:r>
      <w:r w:rsidRPr="00A13FD2">
        <w:rPr>
          <w:rFonts w:ascii="Times New Roman" w:eastAsia="Arial" w:hAnsi="Times New Roman" w:cs="Times New Roman"/>
          <w:bCs/>
          <w:i/>
          <w:color w:val="000000" w:themeColor="text1"/>
          <w:spacing w:val="-6"/>
          <w:kern w:val="0"/>
          <w:sz w:val="24"/>
          <w:szCs w:val="24"/>
          <w:lang w:val="en-US" w:eastAsia="en-US" w:bidi="ar-SA"/>
          <w14:ligatures w14:val="none"/>
        </w:rPr>
        <w:t xml:space="preserve">5 strategies for effective team collaboration, </w:t>
      </w:r>
      <w:r w:rsidRPr="00A13FD2">
        <w:rPr>
          <w:rFonts w:ascii="Times New Roman" w:eastAsia="Arial" w:hAnsi="Times New Roman" w:cs="Times New Roman"/>
          <w:color w:val="000000" w:themeColor="text1"/>
          <w:kern w:val="0"/>
          <w:sz w:val="24"/>
          <w:szCs w:val="24"/>
          <w:lang w:val="en-US" w:eastAsia="en-US" w:bidi="ar-SA"/>
          <w14:ligatures w14:val="none"/>
        </w:rPr>
        <w:t>Available at: https://pumble.com/learn/collaboration/5-strategies-for-effective-team-collaboration/ [Accessed on: 10.09.2023]</w:t>
      </w:r>
    </w:p>
    <w:p w14:paraId="73287AC9"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Ratasuk</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A. and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Charoensukmongkol</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P., 2020. Does cultural intelligence promote cross-cultural teams' knowledge sharing and innovation in the restaurant business?.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Asia-Pacific Journal of Business Administration</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12</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(2), pp.183-203.</w:t>
      </w:r>
    </w:p>
    <w:p w14:paraId="72FB5319" w14:textId="77777777" w:rsidR="00A13FD2" w:rsidRPr="00A13FD2" w:rsidRDefault="00A13FD2" w:rsidP="00A13FD2">
      <w:pPr>
        <w:tabs>
          <w:tab w:val="left" w:pos="2452"/>
        </w:tabs>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 xml:space="preserve">Rgu-repository.worktribe.com, 2023, </w:t>
      </w:r>
      <w:r w:rsidRPr="00A13FD2">
        <w:rPr>
          <w:rFonts w:ascii="Times New Roman" w:eastAsia="Arial" w:hAnsi="Times New Roman" w:cs="Times New Roman"/>
          <w:i/>
          <w:color w:val="000000" w:themeColor="text1"/>
          <w:kern w:val="0"/>
          <w:sz w:val="24"/>
          <w:szCs w:val="24"/>
          <w:lang w:val="en-US" w:eastAsia="en-US" w:bidi="ar-SA"/>
          <w14:ligatures w14:val="none"/>
        </w:rPr>
        <w:t>Building intercultural competence through virtual team collaboration across global classrooms</w:t>
      </w:r>
      <w:r w:rsidRPr="00A13FD2">
        <w:rPr>
          <w:rFonts w:ascii="Times New Roman" w:eastAsia="Arial" w:hAnsi="Times New Roman" w:cs="Times New Roman"/>
          <w:color w:val="000000" w:themeColor="text1"/>
          <w:kern w:val="0"/>
          <w:sz w:val="24"/>
          <w:szCs w:val="24"/>
          <w:lang w:val="en-US" w:eastAsia="en-US" w:bidi="ar-SA"/>
          <w14:ligatures w14:val="none"/>
        </w:rPr>
        <w:t>, Available at: https://rgu-repository.worktribe.com/OutputFile/691928 [Accessed on: 10.09.2023]</w:t>
      </w:r>
    </w:p>
    <w:p w14:paraId="2EAFDD72"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Roberson, Q. and Perry, J.L., 2022. Inclusive leadership in thought and action: A thematic analysis.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Group &amp; Organization Management</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47</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(4), pp.755-778.</w:t>
      </w:r>
    </w:p>
    <w:p w14:paraId="2BCF1F87" w14:textId="77777777" w:rsidR="00A13FD2" w:rsidRPr="00A13FD2" w:rsidRDefault="00A13FD2" w:rsidP="00A13FD2">
      <w:pPr>
        <w:keepNext/>
        <w:keepLines/>
        <w:shd w:val="clear" w:color="auto" w:fill="FFFFFF"/>
        <w:spacing w:before="400" w:after="120" w:line="360" w:lineRule="auto"/>
        <w:jc w:val="both"/>
        <w:outlineLvl w:val="0"/>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 xml:space="preserve">sagepub.com, 2023, </w:t>
      </w:r>
      <w:r w:rsidRPr="00A13FD2">
        <w:rPr>
          <w:rFonts w:ascii="Times New Roman" w:eastAsia="Arial" w:hAnsi="Times New Roman" w:cs="Times New Roman"/>
          <w:i/>
          <w:color w:val="000000" w:themeColor="text1"/>
          <w:kern w:val="0"/>
          <w:sz w:val="24"/>
          <w:szCs w:val="24"/>
          <w:lang w:val="en-US" w:eastAsia="en-US" w:bidi="ar-SA"/>
          <w14:ligatures w14:val="none"/>
        </w:rPr>
        <w:t>The Role of Inclusive Leadership in Supporting an Inclusive Climate in Diverse Public Sector Teams</w:t>
      </w:r>
      <w:r w:rsidRPr="00A13FD2">
        <w:rPr>
          <w:rFonts w:ascii="Times New Roman" w:eastAsia="Arial" w:hAnsi="Times New Roman" w:cs="Times New Roman"/>
          <w:color w:val="000000" w:themeColor="text1"/>
          <w:kern w:val="0"/>
          <w:sz w:val="24"/>
          <w:szCs w:val="24"/>
          <w:lang w:val="en-US" w:eastAsia="en-US" w:bidi="ar-SA"/>
          <w14:ligatures w14:val="none"/>
        </w:rPr>
        <w:t>, Available at: https://journals.sagepub.com/doi/10.1177/0734371X19899722#:~:text=For%20instance%2C%20inclusive%20leadership%20stimulates,cooperation%20among%20diverse%20team%20members. [Accessed on: 10.09.2023]</w:t>
      </w:r>
    </w:p>
    <w:p w14:paraId="43F951F6"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Scheepers, D. and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Ellemers</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N., 2019. Social identity theory.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Social psychology in action: Evidence-based interventions from theory to practice</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pp.129-143.</w:t>
      </w:r>
    </w:p>
    <w:p w14:paraId="4ECA34FD" w14:textId="77777777" w:rsidR="00A13FD2" w:rsidRPr="00A13FD2" w:rsidRDefault="00A13FD2" w:rsidP="00A13FD2">
      <w:pPr>
        <w:spacing w:line="360" w:lineRule="auto"/>
        <w:jc w:val="both"/>
        <w:textAlignment w:val="baseline"/>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lastRenderedPageBreak/>
        <w:t>Schlindwein, E. and Geppert, M., 2021. Towards a process model of emotional sensemaking in post-merger integration: linking cognitive and affective dimensions.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Critical perspectives on international business</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17</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(3), pp.399-416.</w:t>
      </w:r>
    </w:p>
    <w:p w14:paraId="3E5FB9F5"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Schuurman, B., 2020. Research on terrorism, 2007–2016: A review of data, methods, and authorship.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Terrorism and Political Violence</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32</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(5), pp.1011-1026.</w:t>
      </w:r>
    </w:p>
    <w:p w14:paraId="796DC2FE"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Shan, J., Konishi, M., Pullin, P. and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Lupina‐Wegener</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A., 2021. Effects of cultural intelligence on multicultural team effectiveness: The chain mediation role of common ingroup identity and communication quality.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Journal of Theoretical Social Psychology</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5</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(4), pp.519-529.</w:t>
      </w:r>
    </w:p>
    <w:p w14:paraId="02DE860F"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 xml:space="preserve">sharpist.com, 2023, </w:t>
      </w:r>
      <w:r w:rsidRPr="00A13FD2">
        <w:rPr>
          <w:rFonts w:ascii="Times New Roman" w:eastAsia="Arial" w:hAnsi="Times New Roman" w:cs="Times New Roman"/>
          <w:i/>
          <w:color w:val="000000" w:themeColor="text1"/>
          <w:kern w:val="0"/>
          <w:sz w:val="24"/>
          <w:szCs w:val="24"/>
          <w:lang w:val="en-US" w:eastAsia="en-US" w:bidi="ar-SA"/>
          <w14:ligatures w14:val="none"/>
        </w:rPr>
        <w:t>Multicultural leadership: what is it and how can your organization implement this?</w:t>
      </w:r>
      <w:r w:rsidRPr="00A13FD2">
        <w:rPr>
          <w:rFonts w:ascii="Times New Roman" w:eastAsia="Arial" w:hAnsi="Times New Roman" w:cs="Times New Roman"/>
          <w:color w:val="000000" w:themeColor="text1"/>
          <w:kern w:val="0"/>
          <w:sz w:val="24"/>
          <w:szCs w:val="24"/>
          <w:lang w:val="en-US" w:eastAsia="en-US" w:bidi="ar-SA"/>
          <w14:ligatures w14:val="none"/>
        </w:rPr>
        <w:t xml:space="preserve"> Available at: https://www.sharpist.com/blog/multicultural-leadership-what-is-it-and-how-can-your-organization-implement-it#:~:text=A%20culturally%20intelligent%20leader%20will,everybody%20feels%20valued%20and%20respected. [Accessed on: 10.09.2023]</w:t>
      </w:r>
    </w:p>
    <w:p w14:paraId="2DC9A3A0"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Sundler</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A.J., Lindberg, E., Nilsson, C. and Palmér, L., 2019. Qualitative thematic analysis based on descriptive phenomenology.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Nursing open</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6</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(3), pp.733-739.</w:t>
      </w:r>
    </w:p>
    <w:p w14:paraId="2B96F11E"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Suoheimo</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M., Vasques, R. and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Rytilahti</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P., 2020. Deep diving into service design problems: Visualizing the iceberg model of design problems through a literature review on the relation and role of service design with wicked problems.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The Design Journal</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24</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(2), pp.231-251.</w:t>
      </w:r>
    </w:p>
    <w:p w14:paraId="58ACDB06"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Susilawati</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S.,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Falefi</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R. and Purwoko, A., 2020. Impact of COVID-19’s Pandemic on the Economy of Indonesia.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Budapest International Research and Critics Institute-Journal (BIRCI-Journal)</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3</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(2), pp.1147-1156.</w:t>
      </w:r>
    </w:p>
    <w:p w14:paraId="7A5B47D3"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Swartz, S., Barbosa, B. and Crawford, I., 2020. Building intercultural competence through virtual team collaboration across global classrooms.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Business and professional communication quarterly</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83</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(1), pp.57-79.</w:t>
      </w:r>
    </w:p>
    <w:p w14:paraId="1ADF50E8"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Tian, A.Y.,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Ahammad</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M.F., </w:t>
      </w:r>
      <w:proofErr w:type="spellStart"/>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Tarba</w:t>
      </w:r>
      <w:proofErr w:type="spellEnd"/>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S.Y., Pereira, V., Arslan, A. and Khan, Z., 2021. Investigating employee and organizational performance in a cross‐border acquisition—A case of withdrawal behavior.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Human Resource Management</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60</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(5), pp.753-769.</w:t>
      </w:r>
    </w:p>
    <w:p w14:paraId="042F934D"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Wenxin, Z. and Yue, W., 2022. An Analysis on Sino-UK Cultural Differences in Education from the Perspective of Hofstede’s Cultural Dimensions Theory (A Case Study of Are Our Kids Tough Enough?).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Journal on Education</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4</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(2), pp.373-384.</w:t>
      </w:r>
    </w:p>
    <w:p w14:paraId="30329B3C"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lastRenderedPageBreak/>
        <w:t>Wu, D., Chen, J., Yan, R. and Zhang, R., 2019. Pricing strategies in dual-channel reverse supply chains considering fairness concern.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International journal of environmental research and public health</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16</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(9), p.1657.</w:t>
      </w:r>
    </w:p>
    <w:p w14:paraId="207A115C"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www.oecd-ilibrary.org, 2023,</w:t>
      </w:r>
      <w:r w:rsidRPr="00A13FD2">
        <w:rPr>
          <w:rFonts w:ascii="Times New Roman" w:eastAsia="Arial" w:hAnsi="Times New Roman" w:cs="Times New Roman"/>
          <w:color w:val="000000" w:themeColor="text1"/>
          <w:kern w:val="0"/>
          <w:sz w:val="24"/>
          <w:szCs w:val="24"/>
          <w:lang w:val="en-US" w:eastAsia="en-US" w:bidi="ar-SA"/>
          <w14:ligatures w14:val="none"/>
        </w:rPr>
        <w:t xml:space="preserve"> </w:t>
      </w:r>
      <w:r w:rsidRPr="00A13FD2">
        <w:rPr>
          <w:rFonts w:ascii="Times New Roman" w:eastAsia="Arial" w:hAnsi="Times New Roman" w:cs="Times New Roman"/>
          <w:i/>
          <w:color w:val="000000" w:themeColor="text1"/>
          <w:kern w:val="0"/>
          <w:sz w:val="24"/>
          <w:szCs w:val="24"/>
          <w:lang w:val="en-US" w:eastAsia="en-US" w:bidi="ar-SA"/>
          <w14:ligatures w14:val="none"/>
        </w:rPr>
        <w:t xml:space="preserve">Cross-Border Mergers and Acquisitions: Their Role in Industrial </w:t>
      </w:r>
      <w:proofErr w:type="spellStart"/>
      <w:r w:rsidRPr="00A13FD2">
        <w:rPr>
          <w:rFonts w:ascii="Times New Roman" w:eastAsia="Arial" w:hAnsi="Times New Roman" w:cs="Times New Roman"/>
          <w:i/>
          <w:color w:val="000000" w:themeColor="text1"/>
          <w:kern w:val="0"/>
          <w:sz w:val="24"/>
          <w:szCs w:val="24"/>
          <w:lang w:val="en-US" w:eastAsia="en-US" w:bidi="ar-SA"/>
          <w14:ligatures w14:val="none"/>
        </w:rPr>
        <w:t>Globalisation</w:t>
      </w:r>
      <w:proofErr w:type="spellEnd"/>
      <w:r w:rsidRPr="00A13FD2">
        <w:rPr>
          <w:rFonts w:ascii="Times New Roman" w:eastAsia="Arial" w:hAnsi="Times New Roman" w:cs="Times New Roman"/>
          <w:color w:val="000000" w:themeColor="text1"/>
          <w:kern w:val="0"/>
          <w:sz w:val="24"/>
          <w:szCs w:val="24"/>
          <w:lang w:val="en-US" w:eastAsia="en-US" w:bidi="ar-SA"/>
          <w14:ligatures w14:val="none"/>
        </w:rPr>
        <w:t xml:space="preserve">, Available at: </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xml:space="preserve"> https://www.oecd-ilibrary.org/cross-border-mergers-and-acquisitions_5lgsjhvj7mxx.pdf [Accessed on: 20.08.2023]</w:t>
      </w:r>
    </w:p>
    <w:p w14:paraId="05F8B19E"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Xing, Z. and Cao, X., 2019. Promoting strategy of Chinese green building industry: An evolutionary analysis based on the social network theory.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Ieee Access</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7</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pp.67213-67221.</w:t>
      </w:r>
    </w:p>
    <w:p w14:paraId="30C2C0E8"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shd w:val="clear" w:color="auto" w:fill="FFFFFF"/>
          <w:lang w:val="en-US" w:eastAsia="en-US" w:bidi="ar-SA"/>
          <w14:ligatures w14:val="none"/>
        </w:rPr>
      </w:pP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Zhao, Z., Fan, F., Jie, H., Yang, Z., Dong, M., Chua, E.K. and See, K.Y., 2022, September. In-circuit impedance measurement setups of inductive coupling approach: A review. In </w:t>
      </w:r>
      <w:r w:rsidRPr="00A13FD2">
        <w:rPr>
          <w:rFonts w:ascii="Times New Roman" w:eastAsia="Arial" w:hAnsi="Times New Roman" w:cs="Times New Roman"/>
          <w:i/>
          <w:iCs/>
          <w:color w:val="000000" w:themeColor="text1"/>
          <w:kern w:val="0"/>
          <w:sz w:val="24"/>
          <w:szCs w:val="24"/>
          <w:shd w:val="clear" w:color="auto" w:fill="FFFFFF"/>
          <w:lang w:val="en-US" w:eastAsia="en-US" w:bidi="ar-SA"/>
          <w14:ligatures w14:val="none"/>
        </w:rPr>
        <w:t>2022 Asia-Pacific International Symposium on Electromagnetic Compatibility (APEMC)</w:t>
      </w:r>
      <w:r w:rsidRPr="00A13FD2">
        <w:rPr>
          <w:rFonts w:ascii="Times New Roman" w:eastAsia="Arial" w:hAnsi="Times New Roman" w:cs="Times New Roman"/>
          <w:color w:val="000000" w:themeColor="text1"/>
          <w:kern w:val="0"/>
          <w:sz w:val="24"/>
          <w:szCs w:val="24"/>
          <w:shd w:val="clear" w:color="auto" w:fill="FFFFFF"/>
          <w:lang w:val="en-US" w:eastAsia="en-US" w:bidi="ar-SA"/>
          <w14:ligatures w14:val="none"/>
        </w:rPr>
        <w:t> (pp. 228-230). IEEE.</w:t>
      </w:r>
    </w:p>
    <w:p w14:paraId="3A6F5B33" w14:textId="77777777" w:rsidR="00A13FD2" w:rsidRPr="00A13FD2" w:rsidRDefault="00A13FD2" w:rsidP="00A13FD2">
      <w:pPr>
        <w:spacing w:line="276" w:lineRule="auto"/>
        <w:rPr>
          <w:rFonts w:ascii="Times New Roman" w:eastAsia="Arial" w:hAnsi="Times New Roman" w:cs="Arial"/>
          <w:b/>
          <w:color w:val="000000" w:themeColor="text1"/>
          <w:kern w:val="0"/>
          <w:sz w:val="28"/>
          <w:szCs w:val="40"/>
          <w:lang w:val="en-US" w:eastAsia="en-US" w:bidi="ar-SA"/>
          <w14:ligatures w14:val="none"/>
        </w:rPr>
      </w:pPr>
      <w:bookmarkStart w:id="69" w:name="_Toc145934257"/>
      <w:r w:rsidRPr="00A13FD2">
        <w:rPr>
          <w:rFonts w:ascii="Arial" w:eastAsia="Arial" w:hAnsi="Arial" w:cs="Arial"/>
          <w:color w:val="000000" w:themeColor="text1"/>
          <w:kern w:val="0"/>
          <w:szCs w:val="22"/>
          <w:lang w:val="en-US" w:eastAsia="en-US" w:bidi="ar-SA"/>
          <w14:ligatures w14:val="none"/>
        </w:rPr>
        <w:br w:type="page"/>
      </w:r>
    </w:p>
    <w:p w14:paraId="5D0A81FA" w14:textId="77777777" w:rsidR="00A13FD2" w:rsidRPr="00A13FD2" w:rsidRDefault="00A13FD2" w:rsidP="00A13FD2">
      <w:pPr>
        <w:keepNext/>
        <w:keepLines/>
        <w:spacing w:before="400" w:after="120" w:line="360" w:lineRule="auto"/>
        <w:jc w:val="both"/>
        <w:outlineLvl w:val="0"/>
        <w:rPr>
          <w:rFonts w:ascii="Times New Roman" w:eastAsia="Arial" w:hAnsi="Times New Roman" w:cs="Arial"/>
          <w:b/>
          <w:color w:val="000000" w:themeColor="text1"/>
          <w:kern w:val="0"/>
          <w:sz w:val="28"/>
          <w:szCs w:val="40"/>
          <w:lang w:val="en-US" w:eastAsia="en-US" w:bidi="ar-SA"/>
          <w14:ligatures w14:val="none"/>
        </w:rPr>
      </w:pPr>
      <w:r w:rsidRPr="00A13FD2">
        <w:rPr>
          <w:rFonts w:ascii="Times New Roman" w:eastAsia="Arial" w:hAnsi="Times New Roman" w:cs="Arial"/>
          <w:b/>
          <w:color w:val="000000" w:themeColor="text1"/>
          <w:kern w:val="0"/>
          <w:sz w:val="28"/>
          <w:szCs w:val="40"/>
          <w:lang w:val="en-US" w:eastAsia="en-US" w:bidi="ar-SA"/>
          <w14:ligatures w14:val="none"/>
        </w:rPr>
        <w:lastRenderedPageBreak/>
        <w:t>Appendices</w:t>
      </w:r>
      <w:bookmarkEnd w:id="69"/>
    </w:p>
    <w:p w14:paraId="7729347A" w14:textId="77777777" w:rsidR="00A13FD2" w:rsidRPr="00A13FD2" w:rsidRDefault="00A13FD2" w:rsidP="00A13FD2">
      <w:pPr>
        <w:keepNext/>
        <w:keepLines/>
        <w:spacing w:before="280" w:after="80" w:line="360" w:lineRule="auto"/>
        <w:jc w:val="both"/>
        <w:outlineLvl w:val="3"/>
        <w:rPr>
          <w:rFonts w:ascii="Times New Roman" w:eastAsia="Arial" w:hAnsi="Times New Roman" w:cs="Arial"/>
          <w:b/>
          <w:color w:val="000000" w:themeColor="text1"/>
          <w:kern w:val="0"/>
          <w:sz w:val="24"/>
          <w:szCs w:val="24"/>
          <w:lang w:val="en-US" w:eastAsia="en-US" w:bidi="ar-SA"/>
          <w14:ligatures w14:val="none"/>
        </w:rPr>
      </w:pPr>
      <w:bookmarkStart w:id="70" w:name="_Toc145936925"/>
      <w:r w:rsidRPr="00A13FD2">
        <w:rPr>
          <w:rFonts w:ascii="Times New Roman" w:eastAsia="Arial" w:hAnsi="Times New Roman" w:cs="Arial"/>
          <w:b/>
          <w:color w:val="000000" w:themeColor="text1"/>
          <w:kern w:val="0"/>
          <w:sz w:val="24"/>
          <w:szCs w:val="24"/>
          <w:lang w:val="en-US" w:eastAsia="en-US" w:bidi="ar-SA"/>
          <w14:ligatures w14:val="none"/>
        </w:rPr>
        <w:t>Appendix 1: Research rationale of managing cultural diversity</w:t>
      </w:r>
      <w:bookmarkEnd w:id="70"/>
    </w:p>
    <w:p w14:paraId="02CF124D"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noProof/>
          <w:color w:val="000000" w:themeColor="text1"/>
          <w:kern w:val="0"/>
          <w:sz w:val="24"/>
          <w:szCs w:val="24"/>
          <w:lang w:val="en-US" w:eastAsia="en-US" w:bidi="ar-SA"/>
          <w14:ligatures w14:val="none"/>
        </w:rPr>
        <w:drawing>
          <wp:inline distT="0" distB="0" distL="0" distR="0" wp14:anchorId="4BF292AF" wp14:editId="33F226B5">
            <wp:extent cx="5815144" cy="2642532"/>
            <wp:effectExtent l="38100" t="0" r="40005" b="0"/>
            <wp:docPr id="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3" r:lo="rId44" r:qs="rId45" r:cs="rId46"/>
              </a:graphicData>
            </a:graphic>
          </wp:inline>
        </w:drawing>
      </w:r>
    </w:p>
    <w:p w14:paraId="5CFDCFB0" w14:textId="77777777" w:rsidR="00A13FD2" w:rsidRPr="00A13FD2" w:rsidRDefault="00A13FD2" w:rsidP="00A13FD2">
      <w:pPr>
        <w:spacing w:line="360" w:lineRule="auto"/>
        <w:jc w:val="center"/>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 xml:space="preserve"> (Source: Self-created in Ms. Word)</w:t>
      </w:r>
    </w:p>
    <w:p w14:paraId="10158A3B"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p>
    <w:p w14:paraId="2564A425"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p>
    <w:p w14:paraId="20F9E773" w14:textId="77777777" w:rsidR="00A13FD2" w:rsidRPr="00A13FD2" w:rsidRDefault="00A13FD2" w:rsidP="00A13FD2">
      <w:pPr>
        <w:spacing w:line="276" w:lineRule="auto"/>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br w:type="page"/>
      </w:r>
    </w:p>
    <w:p w14:paraId="2E30EF9C" w14:textId="77777777" w:rsidR="00A13FD2" w:rsidRPr="00A13FD2" w:rsidRDefault="00A13FD2" w:rsidP="00A13FD2">
      <w:pPr>
        <w:keepNext/>
        <w:keepLines/>
        <w:spacing w:before="280" w:after="80" w:line="360" w:lineRule="auto"/>
        <w:jc w:val="both"/>
        <w:outlineLvl w:val="3"/>
        <w:rPr>
          <w:rFonts w:ascii="Times New Roman" w:eastAsia="Arial" w:hAnsi="Times New Roman" w:cs="Arial"/>
          <w:b/>
          <w:color w:val="000000" w:themeColor="text1"/>
          <w:kern w:val="0"/>
          <w:sz w:val="24"/>
          <w:szCs w:val="24"/>
          <w:lang w:val="en-US" w:eastAsia="en-US" w:bidi="ar-SA"/>
          <w14:ligatures w14:val="none"/>
        </w:rPr>
      </w:pPr>
      <w:bookmarkStart w:id="71" w:name="_Toc145936926"/>
      <w:r w:rsidRPr="00A13FD2">
        <w:rPr>
          <w:rFonts w:ascii="Times New Roman" w:eastAsia="Arial" w:hAnsi="Times New Roman" w:cs="Arial"/>
          <w:b/>
          <w:color w:val="000000" w:themeColor="text1"/>
          <w:kern w:val="0"/>
          <w:sz w:val="24"/>
          <w:szCs w:val="24"/>
          <w:lang w:val="en-US" w:eastAsia="en-US" w:bidi="ar-SA"/>
          <w14:ligatures w14:val="none"/>
        </w:rPr>
        <w:lastRenderedPageBreak/>
        <w:t>Appendix 2: Literature gap of managing cultural diversity</w:t>
      </w:r>
      <w:bookmarkEnd w:id="71"/>
    </w:p>
    <w:p w14:paraId="2664FC6E" w14:textId="77777777" w:rsidR="00A13FD2" w:rsidRPr="00A13FD2" w:rsidRDefault="00A13FD2" w:rsidP="00A13FD2">
      <w:pPr>
        <w:spacing w:line="360" w:lineRule="auto"/>
        <w:rPr>
          <w:rFonts w:ascii="Times New Roman" w:eastAsia="Arial" w:hAnsi="Times New Roman" w:cs="Times New Roman"/>
          <w:b/>
          <w:color w:val="000000" w:themeColor="text1"/>
          <w:kern w:val="0"/>
          <w:sz w:val="24"/>
          <w:szCs w:val="24"/>
          <w:lang w:val="en-US" w:eastAsia="en-US" w:bidi="ar-SA"/>
          <w14:ligatures w14:val="none"/>
        </w:rPr>
      </w:pPr>
    </w:p>
    <w:p w14:paraId="0B34C9C0"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noProof/>
          <w:color w:val="000000" w:themeColor="text1"/>
          <w:kern w:val="0"/>
          <w:sz w:val="24"/>
          <w:szCs w:val="24"/>
          <w:lang w:val="en-US" w:eastAsia="en-US" w:bidi="ar-SA"/>
          <w14:ligatures w14:val="none"/>
        </w:rPr>
        <w:drawing>
          <wp:inline distT="0" distB="0" distL="0" distR="0" wp14:anchorId="6BC3AD24" wp14:editId="4CD6318B">
            <wp:extent cx="5953911" cy="3204594"/>
            <wp:effectExtent l="38100" t="25400" r="27940" b="21590"/>
            <wp:docPr id="10"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8" r:lo="rId49" r:qs="rId50" r:cs="rId51"/>
              </a:graphicData>
            </a:graphic>
          </wp:inline>
        </w:drawing>
      </w:r>
    </w:p>
    <w:p w14:paraId="032C90AA" w14:textId="77777777" w:rsidR="00A13FD2" w:rsidRPr="00A13FD2" w:rsidRDefault="00A13FD2" w:rsidP="00A13FD2">
      <w:pPr>
        <w:spacing w:line="360" w:lineRule="auto"/>
        <w:jc w:val="center"/>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 xml:space="preserve"> (Source: Self-created in Ms. Word)</w:t>
      </w:r>
    </w:p>
    <w:p w14:paraId="5FB668ED" w14:textId="77777777" w:rsidR="00A13FD2" w:rsidRPr="00A13FD2" w:rsidRDefault="00A13FD2" w:rsidP="00A13FD2">
      <w:pPr>
        <w:spacing w:line="360" w:lineRule="auto"/>
        <w:jc w:val="both"/>
        <w:rPr>
          <w:rFonts w:ascii="Times New Roman" w:eastAsia="Arial" w:hAnsi="Times New Roman" w:cs="Times New Roman"/>
          <w:color w:val="000000" w:themeColor="text1"/>
          <w:kern w:val="0"/>
          <w:sz w:val="24"/>
          <w:szCs w:val="24"/>
          <w:lang w:val="en-US" w:eastAsia="en-US" w:bidi="ar-SA"/>
          <w14:ligatures w14:val="none"/>
        </w:rPr>
      </w:pPr>
    </w:p>
    <w:p w14:paraId="73E43B84" w14:textId="77777777" w:rsidR="00A13FD2" w:rsidRPr="00A13FD2" w:rsidRDefault="00A13FD2" w:rsidP="00A13FD2">
      <w:pPr>
        <w:spacing w:line="276" w:lineRule="auto"/>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br w:type="page"/>
      </w:r>
    </w:p>
    <w:p w14:paraId="15CC2B9F" w14:textId="77777777" w:rsidR="00A13FD2" w:rsidRPr="00A13FD2" w:rsidRDefault="00A13FD2" w:rsidP="00A13FD2">
      <w:pPr>
        <w:keepNext/>
        <w:keepLines/>
        <w:spacing w:before="280" w:after="80" w:line="360" w:lineRule="auto"/>
        <w:jc w:val="both"/>
        <w:outlineLvl w:val="3"/>
        <w:rPr>
          <w:rFonts w:ascii="Times New Roman" w:eastAsia="Arial" w:hAnsi="Times New Roman" w:cs="Arial"/>
          <w:b/>
          <w:color w:val="000000" w:themeColor="text1"/>
          <w:kern w:val="0"/>
          <w:sz w:val="24"/>
          <w:szCs w:val="24"/>
          <w:lang w:val="en-US" w:eastAsia="en-US" w:bidi="ar-SA"/>
          <w14:ligatures w14:val="none"/>
        </w:rPr>
      </w:pPr>
      <w:bookmarkStart w:id="72" w:name="_Toc145936927"/>
      <w:r w:rsidRPr="00A13FD2">
        <w:rPr>
          <w:rFonts w:ascii="Times New Roman" w:eastAsia="Arial" w:hAnsi="Times New Roman" w:cs="Arial"/>
          <w:b/>
          <w:color w:val="000000" w:themeColor="text1"/>
          <w:kern w:val="0"/>
          <w:sz w:val="24"/>
          <w:szCs w:val="24"/>
          <w:lang w:val="en-US" w:eastAsia="en-US" w:bidi="ar-SA"/>
          <w14:ligatures w14:val="none"/>
        </w:rPr>
        <w:lastRenderedPageBreak/>
        <w:t>Appendix 3: Secondary sources of data collection</w:t>
      </w:r>
      <w:bookmarkEnd w:id="72"/>
      <w:r w:rsidRPr="00A13FD2">
        <w:rPr>
          <w:rFonts w:ascii="Times New Roman" w:eastAsia="Arial" w:hAnsi="Times New Roman" w:cs="Arial"/>
          <w:b/>
          <w:color w:val="000000" w:themeColor="text1"/>
          <w:kern w:val="0"/>
          <w:sz w:val="24"/>
          <w:szCs w:val="24"/>
          <w:lang w:val="en-US" w:eastAsia="en-US" w:bidi="ar-SA"/>
          <w14:ligatures w14:val="none"/>
        </w:rPr>
        <w:t xml:space="preserve"> </w:t>
      </w:r>
    </w:p>
    <w:p w14:paraId="54B21F31"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noProof/>
          <w:color w:val="000000" w:themeColor="text1"/>
          <w:kern w:val="0"/>
          <w:sz w:val="24"/>
          <w:szCs w:val="24"/>
          <w:lang w:val="en-US" w:eastAsia="en-US" w:bidi="ar-SA"/>
          <w14:ligatures w14:val="none"/>
        </w:rPr>
        <w:drawing>
          <wp:inline distT="0" distB="0" distL="0" distR="0" wp14:anchorId="503777E3" wp14:editId="7AFF29DC">
            <wp:extent cx="5706087" cy="3204594"/>
            <wp:effectExtent l="38100" t="0" r="34925" b="0"/>
            <wp:docPr id="11"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3" r:lo="rId54" r:qs="rId55" r:cs="rId56"/>
              </a:graphicData>
            </a:graphic>
          </wp:inline>
        </w:drawing>
      </w:r>
    </w:p>
    <w:p w14:paraId="50638FFD" w14:textId="77777777" w:rsidR="00A13FD2" w:rsidRPr="00A13FD2" w:rsidRDefault="00A13FD2" w:rsidP="00A13FD2">
      <w:pPr>
        <w:spacing w:line="360" w:lineRule="auto"/>
        <w:jc w:val="center"/>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(Source: Self-created in Ms. Word)</w:t>
      </w:r>
    </w:p>
    <w:p w14:paraId="1697BA0D" w14:textId="77777777" w:rsidR="00A13FD2" w:rsidRPr="00A13FD2" w:rsidRDefault="00A13FD2" w:rsidP="00A13FD2">
      <w:pPr>
        <w:spacing w:line="276" w:lineRule="auto"/>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br w:type="page"/>
      </w:r>
    </w:p>
    <w:p w14:paraId="55C92FBB" w14:textId="77777777" w:rsidR="00A13FD2" w:rsidRPr="00A13FD2" w:rsidRDefault="00A13FD2" w:rsidP="00A13FD2">
      <w:pPr>
        <w:keepNext/>
        <w:keepLines/>
        <w:spacing w:before="280" w:after="80" w:line="360" w:lineRule="auto"/>
        <w:jc w:val="both"/>
        <w:outlineLvl w:val="3"/>
        <w:rPr>
          <w:rFonts w:ascii="Times New Roman" w:eastAsia="Arial" w:hAnsi="Times New Roman" w:cs="Arial"/>
          <w:b/>
          <w:color w:val="000000" w:themeColor="text1"/>
          <w:kern w:val="0"/>
          <w:sz w:val="24"/>
          <w:szCs w:val="24"/>
          <w:lang w:val="en-US" w:eastAsia="en-US" w:bidi="ar-SA"/>
          <w14:ligatures w14:val="none"/>
        </w:rPr>
      </w:pPr>
      <w:bookmarkStart w:id="73" w:name="_Toc145936928"/>
      <w:r w:rsidRPr="00A13FD2">
        <w:rPr>
          <w:rFonts w:ascii="Times New Roman" w:eastAsia="Arial" w:hAnsi="Times New Roman" w:cs="Arial"/>
          <w:b/>
          <w:color w:val="000000" w:themeColor="text1"/>
          <w:kern w:val="0"/>
          <w:sz w:val="24"/>
          <w:szCs w:val="24"/>
          <w:lang w:val="en-US" w:eastAsia="en-US" w:bidi="ar-SA"/>
          <w14:ligatures w14:val="none"/>
        </w:rPr>
        <w:lastRenderedPageBreak/>
        <w:t>Appendix 4: Thematic data analysis method</w:t>
      </w:r>
      <w:bookmarkEnd w:id="73"/>
    </w:p>
    <w:p w14:paraId="2238FCD1"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noProof/>
          <w:color w:val="000000" w:themeColor="text1"/>
          <w:kern w:val="0"/>
          <w:sz w:val="24"/>
          <w:szCs w:val="24"/>
          <w:lang w:val="en-US" w:eastAsia="en-US" w:bidi="ar-SA"/>
          <w14:ligatures w14:val="none"/>
        </w:rPr>
        <w:drawing>
          <wp:inline distT="0" distB="0" distL="0" distR="0" wp14:anchorId="29F5DA6E" wp14:editId="57C96B07">
            <wp:extent cx="5890644" cy="3204595"/>
            <wp:effectExtent l="38100" t="0" r="40640" b="0"/>
            <wp:docPr id="13"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8" r:lo="rId59" r:qs="rId60" r:cs="rId61"/>
              </a:graphicData>
            </a:graphic>
          </wp:inline>
        </w:drawing>
      </w:r>
    </w:p>
    <w:p w14:paraId="7F479645" w14:textId="77777777" w:rsidR="00A13FD2" w:rsidRPr="00A13FD2" w:rsidRDefault="00A13FD2" w:rsidP="00A13FD2">
      <w:pPr>
        <w:spacing w:line="360" w:lineRule="auto"/>
        <w:jc w:val="center"/>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bCs/>
          <w:color w:val="000000" w:themeColor="text1"/>
          <w:kern w:val="0"/>
          <w:sz w:val="24"/>
          <w:szCs w:val="24"/>
          <w:lang w:val="en-US" w:eastAsia="en-US" w:bidi="ar-SA"/>
          <w14:ligatures w14:val="none"/>
        </w:rPr>
        <w:t>(Source: Self-created in Ms. Word)</w:t>
      </w:r>
    </w:p>
    <w:p w14:paraId="785CC5AE" w14:textId="77777777" w:rsidR="00A13FD2" w:rsidRPr="00A13FD2" w:rsidRDefault="00A13FD2" w:rsidP="00A13FD2">
      <w:pPr>
        <w:spacing w:line="276" w:lineRule="auto"/>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br w:type="page"/>
      </w:r>
    </w:p>
    <w:p w14:paraId="1A18A4B7" w14:textId="77777777" w:rsidR="00A13FD2" w:rsidRPr="00A13FD2" w:rsidRDefault="00A13FD2" w:rsidP="00A13FD2">
      <w:pPr>
        <w:keepNext/>
        <w:keepLines/>
        <w:spacing w:before="280" w:after="80" w:line="360" w:lineRule="auto"/>
        <w:jc w:val="both"/>
        <w:outlineLvl w:val="3"/>
        <w:rPr>
          <w:rFonts w:ascii="Times New Roman" w:eastAsia="Arial" w:hAnsi="Times New Roman" w:cs="Arial"/>
          <w:b/>
          <w:color w:val="000000" w:themeColor="text1"/>
          <w:kern w:val="0"/>
          <w:sz w:val="24"/>
          <w:szCs w:val="24"/>
          <w:lang w:val="en-US" w:eastAsia="en-US" w:bidi="ar-SA"/>
          <w14:ligatures w14:val="none"/>
        </w:rPr>
      </w:pPr>
      <w:bookmarkStart w:id="74" w:name="_Toc145936929"/>
      <w:r w:rsidRPr="00A13FD2">
        <w:rPr>
          <w:rFonts w:ascii="Times New Roman" w:eastAsia="Times New Roman" w:hAnsi="Times New Roman" w:cs="Arial"/>
          <w:b/>
          <w:color w:val="000000" w:themeColor="text1"/>
          <w:kern w:val="0"/>
          <w:sz w:val="24"/>
          <w:szCs w:val="24"/>
          <w:lang w:val="en-US" w:eastAsia="en-US" w:bidi="ar-SA"/>
          <w14:ligatures w14:val="none"/>
        </w:rPr>
        <w:lastRenderedPageBreak/>
        <w:t xml:space="preserve">Appendix 5: Limitation of </w:t>
      </w:r>
      <w:r w:rsidRPr="00A13FD2">
        <w:rPr>
          <w:rFonts w:ascii="Times New Roman" w:eastAsia="Arial" w:hAnsi="Times New Roman" w:cs="Arial"/>
          <w:b/>
          <w:color w:val="000000" w:themeColor="text1"/>
          <w:kern w:val="0"/>
          <w:sz w:val="24"/>
          <w:szCs w:val="24"/>
          <w:lang w:val="en-US" w:eastAsia="en-US" w:bidi="ar-SA"/>
          <w14:ligatures w14:val="none"/>
        </w:rPr>
        <w:t>cultural diversity in cross-border mergers</w:t>
      </w:r>
      <w:bookmarkEnd w:id="74"/>
    </w:p>
    <w:p w14:paraId="3E73C7BD"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noProof/>
          <w:color w:val="000000" w:themeColor="text1"/>
          <w:kern w:val="0"/>
          <w:sz w:val="24"/>
          <w:szCs w:val="24"/>
          <w:lang w:val="en-US" w:eastAsia="en-US" w:bidi="ar-SA"/>
          <w14:ligatures w14:val="none"/>
        </w:rPr>
        <w:drawing>
          <wp:inline distT="0" distB="0" distL="0" distR="0" wp14:anchorId="651BC6CE" wp14:editId="75A6AFD0">
            <wp:extent cx="5712903" cy="3197778"/>
            <wp:effectExtent l="0" t="38100" r="0" b="41275"/>
            <wp:docPr id="14"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3" r:lo="rId64" r:qs="rId65" r:cs="rId66"/>
              </a:graphicData>
            </a:graphic>
          </wp:inline>
        </w:drawing>
      </w:r>
    </w:p>
    <w:p w14:paraId="7AC26D88" w14:textId="77777777" w:rsidR="00A13FD2" w:rsidRPr="00A13FD2" w:rsidRDefault="00A13FD2" w:rsidP="00A13FD2">
      <w:pPr>
        <w:spacing w:line="360" w:lineRule="auto"/>
        <w:jc w:val="center"/>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t>(Source: Self-created in Ms. Word)</w:t>
      </w:r>
    </w:p>
    <w:p w14:paraId="0FF0EC60" w14:textId="77777777" w:rsidR="00A13FD2" w:rsidRPr="00A13FD2" w:rsidRDefault="00A13FD2" w:rsidP="00A13FD2">
      <w:pPr>
        <w:spacing w:line="276" w:lineRule="auto"/>
        <w:rPr>
          <w:rFonts w:ascii="Times New Roman" w:eastAsia="Arial" w:hAnsi="Times New Roman" w:cs="Times New Roman"/>
          <w:color w:val="000000" w:themeColor="text1"/>
          <w:kern w:val="0"/>
          <w:sz w:val="24"/>
          <w:szCs w:val="24"/>
          <w:lang w:val="en-US" w:eastAsia="en-US" w:bidi="ar-SA"/>
          <w14:ligatures w14:val="none"/>
        </w:rPr>
      </w:pPr>
      <w:r w:rsidRPr="00A13FD2">
        <w:rPr>
          <w:rFonts w:ascii="Times New Roman" w:eastAsia="Arial" w:hAnsi="Times New Roman" w:cs="Times New Roman"/>
          <w:color w:val="000000" w:themeColor="text1"/>
          <w:kern w:val="0"/>
          <w:sz w:val="24"/>
          <w:szCs w:val="24"/>
          <w:lang w:val="en-US" w:eastAsia="en-US" w:bidi="ar-SA"/>
          <w14:ligatures w14:val="none"/>
        </w:rPr>
        <w:br w:type="page"/>
      </w:r>
    </w:p>
    <w:p w14:paraId="28A8DCFE" w14:textId="77777777" w:rsidR="00A13FD2" w:rsidRPr="00A13FD2" w:rsidRDefault="00A13FD2" w:rsidP="00A13FD2">
      <w:pPr>
        <w:keepNext/>
        <w:keepLines/>
        <w:spacing w:before="280" w:after="80" w:line="360" w:lineRule="auto"/>
        <w:jc w:val="both"/>
        <w:outlineLvl w:val="3"/>
        <w:rPr>
          <w:rFonts w:ascii="Times New Roman" w:eastAsia="Arial" w:hAnsi="Times New Roman" w:cs="Arial"/>
          <w:b/>
          <w:color w:val="000000" w:themeColor="text1"/>
          <w:kern w:val="0"/>
          <w:sz w:val="24"/>
          <w:szCs w:val="24"/>
          <w:lang w:val="en-US" w:eastAsia="en-US" w:bidi="ar-SA"/>
          <w14:ligatures w14:val="none"/>
        </w:rPr>
      </w:pPr>
      <w:bookmarkStart w:id="75" w:name="_Toc145936930"/>
      <w:r w:rsidRPr="00A13FD2">
        <w:rPr>
          <w:rFonts w:ascii="Times New Roman" w:eastAsia="Times New Roman" w:hAnsi="Times New Roman" w:cs="Arial"/>
          <w:b/>
          <w:color w:val="000000" w:themeColor="text1"/>
          <w:kern w:val="0"/>
          <w:sz w:val="24"/>
          <w:szCs w:val="24"/>
          <w:lang w:val="en-US" w:eastAsia="en-US" w:bidi="ar-SA"/>
          <w14:ligatures w14:val="none"/>
        </w:rPr>
        <w:lastRenderedPageBreak/>
        <w:t xml:space="preserve">Appendix 6: Future scope of </w:t>
      </w:r>
      <w:r w:rsidRPr="00A13FD2">
        <w:rPr>
          <w:rFonts w:ascii="Times New Roman" w:eastAsia="Arial" w:hAnsi="Times New Roman" w:cs="Arial"/>
          <w:b/>
          <w:color w:val="000000" w:themeColor="text1"/>
          <w:kern w:val="0"/>
          <w:sz w:val="24"/>
          <w:szCs w:val="24"/>
          <w:lang w:val="en-US" w:eastAsia="en-US" w:bidi="ar-SA"/>
          <w14:ligatures w14:val="none"/>
        </w:rPr>
        <w:t>cultural diversity in cross-border mergers</w:t>
      </w:r>
      <w:bookmarkEnd w:id="75"/>
    </w:p>
    <w:p w14:paraId="7132C600" w14:textId="77777777" w:rsidR="00A13FD2" w:rsidRPr="00A13FD2" w:rsidRDefault="00A13FD2" w:rsidP="00A13FD2">
      <w:pPr>
        <w:spacing w:line="360" w:lineRule="auto"/>
        <w:jc w:val="both"/>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noProof/>
          <w:color w:val="000000" w:themeColor="text1"/>
          <w:kern w:val="0"/>
          <w:sz w:val="24"/>
          <w:szCs w:val="24"/>
          <w:lang w:val="en-US" w:eastAsia="en-US" w:bidi="ar-SA"/>
          <w14:ligatures w14:val="none"/>
        </w:rPr>
        <w:drawing>
          <wp:inline distT="0" distB="0" distL="0" distR="0" wp14:anchorId="16B3BCBF" wp14:editId="085C9A5F">
            <wp:extent cx="5754149" cy="3204594"/>
            <wp:effectExtent l="38100" t="0" r="0" b="0"/>
            <wp:docPr id="16"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8" r:lo="rId69" r:qs="rId70" r:cs="rId71"/>
              </a:graphicData>
            </a:graphic>
          </wp:inline>
        </w:drawing>
      </w:r>
    </w:p>
    <w:p w14:paraId="43E2E403" w14:textId="77777777" w:rsidR="00A13FD2" w:rsidRPr="00A13FD2" w:rsidRDefault="00A13FD2" w:rsidP="00A13FD2">
      <w:pPr>
        <w:spacing w:line="360" w:lineRule="auto"/>
        <w:jc w:val="center"/>
        <w:rPr>
          <w:rFonts w:ascii="Times New Roman" w:eastAsia="Times New Roman" w:hAnsi="Times New Roman" w:cs="Times New Roman"/>
          <w:color w:val="000000" w:themeColor="text1"/>
          <w:kern w:val="0"/>
          <w:sz w:val="24"/>
          <w:szCs w:val="24"/>
          <w:lang w:val="en-US" w:eastAsia="en-US" w:bidi="ar-SA"/>
          <w14:ligatures w14:val="none"/>
        </w:rPr>
      </w:pPr>
      <w:r w:rsidRPr="00A13FD2">
        <w:rPr>
          <w:rFonts w:ascii="Times New Roman" w:eastAsia="Times New Roman" w:hAnsi="Times New Roman" w:cs="Times New Roman"/>
          <w:color w:val="000000" w:themeColor="text1"/>
          <w:kern w:val="0"/>
          <w:sz w:val="24"/>
          <w:szCs w:val="24"/>
          <w:lang w:val="en-US" w:eastAsia="en-US" w:bidi="ar-SA"/>
          <w14:ligatures w14:val="none"/>
        </w:rPr>
        <w:t>(Source: Self-created in Ms. Word)</w:t>
      </w:r>
    </w:p>
    <w:p w14:paraId="72522439" w14:textId="77777777" w:rsidR="00A13FD2" w:rsidRPr="00A13FD2" w:rsidRDefault="00A13FD2" w:rsidP="00A13FD2">
      <w:pPr>
        <w:spacing w:line="276" w:lineRule="auto"/>
        <w:jc w:val="center"/>
        <w:rPr>
          <w:rFonts w:ascii="Times New Roman" w:eastAsia="Arial" w:hAnsi="Times New Roman" w:cs="Times New Roman"/>
          <w:color w:val="000000" w:themeColor="text1"/>
          <w:kern w:val="0"/>
          <w:sz w:val="24"/>
          <w:szCs w:val="24"/>
          <w:lang w:val="en-US" w:eastAsia="en-US" w:bidi="ar-SA"/>
          <w14:ligatures w14:val="none"/>
        </w:rPr>
      </w:pPr>
    </w:p>
    <w:p w14:paraId="1CBADFD2" w14:textId="77777777" w:rsidR="00A13FD2" w:rsidRDefault="00A13FD2"/>
    <w:sectPr w:rsidR="00A13FD2" w:rsidSect="005C3989">
      <w:footerReference w:type="default" r:id="rId7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AE739D" w14:textId="77777777" w:rsidR="005F6AE4" w:rsidRDefault="005F6AE4">
      <w:r>
        <w:separator/>
      </w:r>
    </w:p>
  </w:endnote>
  <w:endnote w:type="continuationSeparator" w:id="0">
    <w:p w14:paraId="3D397A64" w14:textId="77777777" w:rsidR="005F6AE4" w:rsidRDefault="005F6A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604020202020204"/>
    <w:charset w:val="00"/>
    <w:family w:val="auto"/>
    <w:pitch w:val="default"/>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6652890"/>
      <w:docPartObj>
        <w:docPartGallery w:val="Page Numbers (Bottom of Page)"/>
        <w:docPartUnique/>
      </w:docPartObj>
    </w:sdtPr>
    <w:sdtEndPr/>
    <w:sdtContent>
      <w:p w14:paraId="639ADDB7" w14:textId="77777777" w:rsidR="008A7D90" w:rsidRDefault="00A3432E">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14:paraId="47389FF4" w14:textId="77777777" w:rsidR="008A7D90" w:rsidRDefault="008A7D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D7C9BA" w14:textId="77777777" w:rsidR="005F6AE4" w:rsidRDefault="005F6AE4">
      <w:r>
        <w:separator/>
      </w:r>
    </w:p>
  </w:footnote>
  <w:footnote w:type="continuationSeparator" w:id="0">
    <w:p w14:paraId="6848F01F" w14:textId="77777777" w:rsidR="005F6AE4" w:rsidRDefault="005F6A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2C7750"/>
    <w:multiLevelType w:val="multilevel"/>
    <w:tmpl w:val="1C204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C8625D"/>
    <w:multiLevelType w:val="multilevel"/>
    <w:tmpl w:val="B2FCF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7843B8"/>
    <w:multiLevelType w:val="multilevel"/>
    <w:tmpl w:val="569E6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8F678A"/>
    <w:multiLevelType w:val="multilevel"/>
    <w:tmpl w:val="CA9EA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CC3F5B"/>
    <w:multiLevelType w:val="multilevel"/>
    <w:tmpl w:val="7CBE1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C416F0"/>
    <w:multiLevelType w:val="multilevel"/>
    <w:tmpl w:val="3A8C70F4"/>
    <w:lvl w:ilvl="0">
      <w:start w:val="1"/>
      <w:numFmt w:val="decimal"/>
      <w:lvlText w:val="%1."/>
      <w:lvlJc w:val="left"/>
      <w:pPr>
        <w:ind w:left="720" w:hanging="360"/>
      </w:p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3A8352B"/>
    <w:multiLevelType w:val="multilevel"/>
    <w:tmpl w:val="C64250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90546630">
    <w:abstractNumId w:val="6"/>
  </w:num>
  <w:num w:numId="2" w16cid:durableId="1675650926">
    <w:abstractNumId w:val="1"/>
  </w:num>
  <w:num w:numId="3" w16cid:durableId="1383821575">
    <w:abstractNumId w:val="3"/>
  </w:num>
  <w:num w:numId="4" w16cid:durableId="1510676790">
    <w:abstractNumId w:val="2"/>
  </w:num>
  <w:num w:numId="5" w16cid:durableId="528496180">
    <w:abstractNumId w:val="4"/>
  </w:num>
  <w:num w:numId="6" w16cid:durableId="1307006677">
    <w:abstractNumId w:val="0"/>
  </w:num>
  <w:num w:numId="7" w16cid:durableId="10789234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FD2"/>
    <w:rsid w:val="00040ACC"/>
    <w:rsid w:val="00302CAA"/>
    <w:rsid w:val="00345CC1"/>
    <w:rsid w:val="004C59CE"/>
    <w:rsid w:val="005F6AE4"/>
    <w:rsid w:val="006260AD"/>
    <w:rsid w:val="006B6652"/>
    <w:rsid w:val="007126C8"/>
    <w:rsid w:val="008A7D90"/>
    <w:rsid w:val="008C1E31"/>
    <w:rsid w:val="008E54B7"/>
    <w:rsid w:val="00A13FD2"/>
    <w:rsid w:val="00A3432E"/>
    <w:rsid w:val="00AC26C2"/>
    <w:rsid w:val="00B7574C"/>
    <w:rsid w:val="00E84FBC"/>
    <w:rsid w:val="00F75C83"/>
    <w:rsid w:val="00FE3F4E"/>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4EA08"/>
  <w15:chartTrackingRefBased/>
  <w15:docId w15:val="{E6D32D3F-9290-2445-A3E0-4BE61C20F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lang w:val="en-IN" w:eastAsia="en-GB" w:bidi="hi-IN"/>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Mangal"/>
    </w:rPr>
  </w:style>
  <w:style w:type="paragraph" w:styleId="Heading1">
    <w:name w:val="heading 1"/>
    <w:basedOn w:val="Normal"/>
    <w:next w:val="Normal"/>
    <w:link w:val="Heading1Char"/>
    <w:qFormat/>
    <w:rsid w:val="00A13FD2"/>
    <w:pPr>
      <w:keepNext/>
      <w:keepLines/>
      <w:spacing w:before="240"/>
      <w:outlineLvl w:val="0"/>
    </w:pPr>
    <w:rPr>
      <w:rFonts w:asciiTheme="majorHAnsi" w:eastAsiaTheme="majorEastAsia" w:hAnsiTheme="majorHAnsi" w:cstheme="majorBidi"/>
      <w:color w:val="2F5496" w:themeColor="accent1" w:themeShade="BF"/>
      <w:sz w:val="32"/>
      <w:szCs w:val="29"/>
    </w:rPr>
  </w:style>
  <w:style w:type="paragraph" w:styleId="Heading2">
    <w:name w:val="heading 2"/>
    <w:basedOn w:val="Normal"/>
    <w:next w:val="Normal"/>
    <w:link w:val="Heading2Char"/>
    <w:unhideWhenUsed/>
    <w:qFormat/>
    <w:rsid w:val="00A13FD2"/>
    <w:pPr>
      <w:keepNext/>
      <w:keepLines/>
      <w:spacing w:before="40"/>
      <w:outlineLvl w:val="1"/>
    </w:pPr>
    <w:rPr>
      <w:rFonts w:asciiTheme="majorHAnsi" w:eastAsiaTheme="majorEastAsia" w:hAnsiTheme="majorHAnsi" w:cstheme="majorBidi"/>
      <w:color w:val="2F5496" w:themeColor="accent1" w:themeShade="BF"/>
      <w:sz w:val="26"/>
      <w:szCs w:val="23"/>
    </w:rPr>
  </w:style>
  <w:style w:type="paragraph" w:styleId="Heading3">
    <w:name w:val="heading 3"/>
    <w:basedOn w:val="Normal"/>
    <w:next w:val="Normal"/>
    <w:link w:val="Heading3Char"/>
    <w:unhideWhenUsed/>
    <w:qFormat/>
    <w:rsid w:val="00A13FD2"/>
    <w:pPr>
      <w:keepNext/>
      <w:keepLines/>
      <w:spacing w:before="40"/>
      <w:outlineLvl w:val="2"/>
    </w:pPr>
    <w:rPr>
      <w:rFonts w:asciiTheme="majorHAnsi" w:eastAsiaTheme="majorEastAsia" w:hAnsiTheme="majorHAnsi" w:cstheme="majorBidi"/>
      <w:color w:val="1F3763" w:themeColor="accent1" w:themeShade="7F"/>
      <w:sz w:val="24"/>
      <w:szCs w:val="21"/>
    </w:rPr>
  </w:style>
  <w:style w:type="paragraph" w:styleId="Heading4">
    <w:name w:val="heading 4"/>
    <w:basedOn w:val="Normal"/>
    <w:next w:val="Normal"/>
    <w:link w:val="Heading4Char"/>
    <w:unhideWhenUsed/>
    <w:qFormat/>
    <w:rsid w:val="00A13FD2"/>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1"/>
    <w:next w:val="Normal1"/>
    <w:link w:val="Heading5Char"/>
    <w:rsid w:val="00A13FD2"/>
    <w:pPr>
      <w:keepNext/>
      <w:keepLines/>
      <w:spacing w:before="240" w:after="80"/>
      <w:outlineLvl w:val="4"/>
    </w:pPr>
    <w:rPr>
      <w:color w:val="666666"/>
    </w:rPr>
  </w:style>
  <w:style w:type="paragraph" w:styleId="Heading6">
    <w:name w:val="heading 6"/>
    <w:basedOn w:val="Normal1"/>
    <w:next w:val="Normal1"/>
    <w:link w:val="Heading6Char"/>
    <w:rsid w:val="00A13FD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13FD2"/>
    <w:rPr>
      <w:rFonts w:asciiTheme="majorHAnsi" w:eastAsiaTheme="majorEastAsia" w:hAnsiTheme="majorHAnsi" w:cstheme="majorBidi"/>
      <w:color w:val="2F5496" w:themeColor="accent1" w:themeShade="BF"/>
      <w:sz w:val="32"/>
      <w:szCs w:val="29"/>
    </w:rPr>
  </w:style>
  <w:style w:type="character" w:customStyle="1" w:styleId="Heading2Char">
    <w:name w:val="Heading 2 Char"/>
    <w:basedOn w:val="DefaultParagraphFont"/>
    <w:link w:val="Heading2"/>
    <w:rsid w:val="00A13FD2"/>
    <w:rPr>
      <w:rFonts w:asciiTheme="majorHAnsi" w:eastAsiaTheme="majorEastAsia" w:hAnsiTheme="majorHAnsi" w:cstheme="majorBidi"/>
      <w:color w:val="2F5496" w:themeColor="accent1" w:themeShade="BF"/>
      <w:sz w:val="26"/>
      <w:szCs w:val="23"/>
    </w:rPr>
  </w:style>
  <w:style w:type="character" w:customStyle="1" w:styleId="Heading3Char">
    <w:name w:val="Heading 3 Char"/>
    <w:basedOn w:val="DefaultParagraphFont"/>
    <w:link w:val="Heading3"/>
    <w:rsid w:val="00A13FD2"/>
    <w:rPr>
      <w:rFonts w:asciiTheme="majorHAnsi" w:eastAsiaTheme="majorEastAsia" w:hAnsiTheme="majorHAnsi" w:cstheme="majorBidi"/>
      <w:color w:val="1F3763" w:themeColor="accent1" w:themeShade="7F"/>
      <w:sz w:val="24"/>
      <w:szCs w:val="21"/>
    </w:rPr>
  </w:style>
  <w:style w:type="character" w:customStyle="1" w:styleId="Heading4Char">
    <w:name w:val="Heading 4 Char"/>
    <w:basedOn w:val="DefaultParagraphFont"/>
    <w:link w:val="Heading4"/>
    <w:rsid w:val="00A13FD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rsid w:val="00A13FD2"/>
    <w:rPr>
      <w:rFonts w:ascii="Arial" w:eastAsia="Arial" w:hAnsi="Arial" w:cs="Arial"/>
      <w:color w:val="666666"/>
      <w:kern w:val="0"/>
      <w:szCs w:val="22"/>
      <w:lang w:val="en-US" w:eastAsia="en-US" w:bidi="ar-SA"/>
      <w14:ligatures w14:val="none"/>
    </w:rPr>
  </w:style>
  <w:style w:type="character" w:customStyle="1" w:styleId="Heading6Char">
    <w:name w:val="Heading 6 Char"/>
    <w:basedOn w:val="DefaultParagraphFont"/>
    <w:link w:val="Heading6"/>
    <w:rsid w:val="00A13FD2"/>
    <w:rPr>
      <w:rFonts w:ascii="Arial" w:eastAsia="Arial" w:hAnsi="Arial" w:cs="Arial"/>
      <w:i/>
      <w:color w:val="666666"/>
      <w:kern w:val="0"/>
      <w:szCs w:val="22"/>
      <w:lang w:val="en-US" w:eastAsia="en-US" w:bidi="ar-SA"/>
      <w14:ligatures w14:val="none"/>
    </w:rPr>
  </w:style>
  <w:style w:type="paragraph" w:customStyle="1" w:styleId="Normal1">
    <w:name w:val="Normal1"/>
    <w:rsid w:val="00A13FD2"/>
    <w:pPr>
      <w:spacing w:line="276" w:lineRule="auto"/>
    </w:pPr>
    <w:rPr>
      <w:rFonts w:ascii="Arial" w:eastAsia="Arial" w:hAnsi="Arial" w:cs="Arial"/>
      <w:kern w:val="0"/>
      <w:szCs w:val="22"/>
      <w:lang w:val="en-US" w:eastAsia="en-US" w:bidi="ar-SA"/>
      <w14:ligatures w14:val="none"/>
    </w:rPr>
  </w:style>
  <w:style w:type="paragraph" w:styleId="Title">
    <w:name w:val="Title"/>
    <w:basedOn w:val="Normal1"/>
    <w:next w:val="Normal1"/>
    <w:link w:val="TitleChar"/>
    <w:rsid w:val="00A13FD2"/>
    <w:pPr>
      <w:keepNext/>
      <w:keepLines/>
      <w:spacing w:after="60"/>
    </w:pPr>
    <w:rPr>
      <w:sz w:val="52"/>
      <w:szCs w:val="52"/>
    </w:rPr>
  </w:style>
  <w:style w:type="character" w:customStyle="1" w:styleId="TitleChar">
    <w:name w:val="Title Char"/>
    <w:basedOn w:val="DefaultParagraphFont"/>
    <w:link w:val="Title"/>
    <w:rsid w:val="00A13FD2"/>
    <w:rPr>
      <w:rFonts w:ascii="Arial" w:eastAsia="Arial" w:hAnsi="Arial" w:cs="Arial"/>
      <w:kern w:val="0"/>
      <w:sz w:val="52"/>
      <w:szCs w:val="52"/>
      <w:lang w:val="en-US" w:eastAsia="en-US" w:bidi="ar-SA"/>
      <w14:ligatures w14:val="none"/>
    </w:rPr>
  </w:style>
  <w:style w:type="paragraph" w:styleId="Subtitle">
    <w:name w:val="Subtitle"/>
    <w:basedOn w:val="Normal1"/>
    <w:next w:val="Normal1"/>
    <w:link w:val="SubtitleChar"/>
    <w:rsid w:val="00A13FD2"/>
    <w:pPr>
      <w:keepNext/>
      <w:keepLines/>
      <w:spacing w:after="320"/>
    </w:pPr>
    <w:rPr>
      <w:color w:val="666666"/>
      <w:sz w:val="30"/>
      <w:szCs w:val="30"/>
    </w:rPr>
  </w:style>
  <w:style w:type="character" w:customStyle="1" w:styleId="SubtitleChar">
    <w:name w:val="Subtitle Char"/>
    <w:basedOn w:val="DefaultParagraphFont"/>
    <w:link w:val="Subtitle"/>
    <w:rsid w:val="00A13FD2"/>
    <w:rPr>
      <w:rFonts w:ascii="Arial" w:eastAsia="Arial" w:hAnsi="Arial" w:cs="Arial"/>
      <w:color w:val="666666"/>
      <w:kern w:val="0"/>
      <w:sz w:val="30"/>
      <w:szCs w:val="30"/>
      <w:lang w:val="en-US" w:eastAsia="en-US" w:bidi="ar-SA"/>
      <w14:ligatures w14:val="none"/>
    </w:rPr>
  </w:style>
  <w:style w:type="table" w:styleId="TableGrid">
    <w:name w:val="Table Grid"/>
    <w:basedOn w:val="TableNormal"/>
    <w:uiPriority w:val="59"/>
    <w:rsid w:val="00A13FD2"/>
    <w:rPr>
      <w:rFonts w:ascii="Arial" w:eastAsia="Arial" w:hAnsi="Arial" w:cs="Arial"/>
      <w:kern w:val="0"/>
      <w:szCs w:val="22"/>
      <w:lang w:val="en-US" w:eastAsia="en-US" w:bidi="ar-SA"/>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A13FD2"/>
    <w:pPr>
      <w:spacing w:before="480" w:line="276" w:lineRule="auto"/>
      <w:outlineLvl w:val="9"/>
    </w:pPr>
    <w:rPr>
      <w:b/>
      <w:bCs/>
      <w:kern w:val="0"/>
      <w:sz w:val="28"/>
      <w:szCs w:val="28"/>
      <w:lang w:val="en-US" w:eastAsia="en-US" w:bidi="ar-SA"/>
      <w14:ligatures w14:val="none"/>
    </w:rPr>
  </w:style>
  <w:style w:type="paragraph" w:styleId="TOC1">
    <w:name w:val="toc 1"/>
    <w:basedOn w:val="Normal"/>
    <w:next w:val="Normal"/>
    <w:autoRedefine/>
    <w:uiPriority w:val="39"/>
    <w:unhideWhenUsed/>
    <w:rsid w:val="00A13FD2"/>
    <w:pPr>
      <w:spacing w:after="100" w:line="276" w:lineRule="auto"/>
    </w:pPr>
    <w:rPr>
      <w:rFonts w:ascii="Arial" w:eastAsia="Arial" w:hAnsi="Arial" w:cs="Arial"/>
      <w:kern w:val="0"/>
      <w:szCs w:val="22"/>
      <w:lang w:val="en-US" w:eastAsia="en-US" w:bidi="ar-SA"/>
      <w14:ligatures w14:val="none"/>
    </w:rPr>
  </w:style>
  <w:style w:type="paragraph" w:styleId="TOC2">
    <w:name w:val="toc 2"/>
    <w:basedOn w:val="Normal"/>
    <w:next w:val="Normal"/>
    <w:autoRedefine/>
    <w:uiPriority w:val="39"/>
    <w:unhideWhenUsed/>
    <w:rsid w:val="00A13FD2"/>
    <w:pPr>
      <w:spacing w:after="100" w:line="276" w:lineRule="auto"/>
      <w:ind w:left="220"/>
    </w:pPr>
    <w:rPr>
      <w:rFonts w:ascii="Arial" w:eastAsia="Arial" w:hAnsi="Arial" w:cs="Arial"/>
      <w:kern w:val="0"/>
      <w:szCs w:val="22"/>
      <w:lang w:val="en-US" w:eastAsia="en-US" w:bidi="ar-SA"/>
      <w14:ligatures w14:val="none"/>
    </w:rPr>
  </w:style>
  <w:style w:type="character" w:styleId="Hyperlink">
    <w:name w:val="Hyperlink"/>
    <w:basedOn w:val="DefaultParagraphFont"/>
    <w:uiPriority w:val="99"/>
    <w:unhideWhenUsed/>
    <w:rsid w:val="00A13FD2"/>
    <w:rPr>
      <w:color w:val="0563C1" w:themeColor="hyperlink"/>
      <w:u w:val="single"/>
    </w:rPr>
  </w:style>
  <w:style w:type="paragraph" w:styleId="BalloonText">
    <w:name w:val="Balloon Text"/>
    <w:basedOn w:val="Normal"/>
    <w:link w:val="BalloonTextChar"/>
    <w:uiPriority w:val="99"/>
    <w:semiHidden/>
    <w:unhideWhenUsed/>
    <w:rsid w:val="00A13FD2"/>
    <w:rPr>
      <w:rFonts w:ascii="Tahoma" w:eastAsia="Arial" w:hAnsi="Tahoma" w:cs="Tahoma"/>
      <w:kern w:val="0"/>
      <w:sz w:val="16"/>
      <w:szCs w:val="16"/>
      <w:lang w:val="en-US" w:eastAsia="en-US" w:bidi="ar-SA"/>
      <w14:ligatures w14:val="none"/>
    </w:rPr>
  </w:style>
  <w:style w:type="character" w:customStyle="1" w:styleId="BalloonTextChar">
    <w:name w:val="Balloon Text Char"/>
    <w:basedOn w:val="DefaultParagraphFont"/>
    <w:link w:val="BalloonText"/>
    <w:uiPriority w:val="99"/>
    <w:semiHidden/>
    <w:rsid w:val="00A13FD2"/>
    <w:rPr>
      <w:rFonts w:ascii="Tahoma" w:eastAsia="Arial" w:hAnsi="Tahoma" w:cs="Tahoma"/>
      <w:kern w:val="0"/>
      <w:sz w:val="16"/>
      <w:szCs w:val="16"/>
      <w:lang w:val="en-US" w:eastAsia="en-US" w:bidi="ar-SA"/>
      <w14:ligatures w14:val="none"/>
    </w:rPr>
  </w:style>
  <w:style w:type="paragraph" w:styleId="Header">
    <w:name w:val="header"/>
    <w:basedOn w:val="Normal"/>
    <w:link w:val="HeaderChar"/>
    <w:uiPriority w:val="99"/>
    <w:semiHidden/>
    <w:unhideWhenUsed/>
    <w:rsid w:val="00A13FD2"/>
    <w:pPr>
      <w:tabs>
        <w:tab w:val="center" w:pos="4680"/>
        <w:tab w:val="right" w:pos="9360"/>
      </w:tabs>
    </w:pPr>
    <w:rPr>
      <w:rFonts w:ascii="Arial" w:eastAsia="Arial" w:hAnsi="Arial" w:cs="Arial"/>
      <w:kern w:val="0"/>
      <w:szCs w:val="22"/>
      <w:lang w:val="en-US" w:eastAsia="en-US" w:bidi="ar-SA"/>
      <w14:ligatures w14:val="none"/>
    </w:rPr>
  </w:style>
  <w:style w:type="character" w:customStyle="1" w:styleId="HeaderChar">
    <w:name w:val="Header Char"/>
    <w:basedOn w:val="DefaultParagraphFont"/>
    <w:link w:val="Header"/>
    <w:uiPriority w:val="99"/>
    <w:semiHidden/>
    <w:rsid w:val="00A13FD2"/>
    <w:rPr>
      <w:rFonts w:ascii="Arial" w:eastAsia="Arial" w:hAnsi="Arial" w:cs="Arial"/>
      <w:kern w:val="0"/>
      <w:szCs w:val="22"/>
      <w:lang w:val="en-US" w:eastAsia="en-US" w:bidi="ar-SA"/>
      <w14:ligatures w14:val="none"/>
    </w:rPr>
  </w:style>
  <w:style w:type="paragraph" w:styleId="Footer">
    <w:name w:val="footer"/>
    <w:basedOn w:val="Normal"/>
    <w:link w:val="FooterChar"/>
    <w:uiPriority w:val="99"/>
    <w:unhideWhenUsed/>
    <w:rsid w:val="00A13FD2"/>
    <w:pPr>
      <w:tabs>
        <w:tab w:val="center" w:pos="4680"/>
        <w:tab w:val="right" w:pos="9360"/>
      </w:tabs>
    </w:pPr>
    <w:rPr>
      <w:rFonts w:ascii="Arial" w:eastAsia="Arial" w:hAnsi="Arial" w:cs="Arial"/>
      <w:kern w:val="0"/>
      <w:szCs w:val="22"/>
      <w:lang w:val="en-US" w:eastAsia="en-US" w:bidi="ar-SA"/>
      <w14:ligatures w14:val="none"/>
    </w:rPr>
  </w:style>
  <w:style w:type="character" w:customStyle="1" w:styleId="FooterChar">
    <w:name w:val="Footer Char"/>
    <w:basedOn w:val="DefaultParagraphFont"/>
    <w:link w:val="Footer"/>
    <w:uiPriority w:val="99"/>
    <w:rsid w:val="00A13FD2"/>
    <w:rPr>
      <w:rFonts w:ascii="Arial" w:eastAsia="Arial" w:hAnsi="Arial" w:cs="Arial"/>
      <w:kern w:val="0"/>
      <w:szCs w:val="22"/>
      <w:lang w:val="en-US" w:eastAsia="en-US" w:bidi="ar-SA"/>
      <w14:ligatures w14:val="none"/>
    </w:rPr>
  </w:style>
  <w:style w:type="paragraph" w:styleId="NormalWeb">
    <w:name w:val="Normal (Web)"/>
    <w:basedOn w:val="Normal"/>
    <w:uiPriority w:val="99"/>
    <w:unhideWhenUsed/>
    <w:rsid w:val="00A13FD2"/>
    <w:pPr>
      <w:spacing w:before="100" w:beforeAutospacing="1" w:after="100" w:afterAutospacing="1"/>
    </w:pPr>
    <w:rPr>
      <w:rFonts w:ascii="Times New Roman" w:eastAsia="Times New Roman" w:hAnsi="Times New Roman" w:cs="Times New Roman"/>
      <w:kern w:val="0"/>
      <w:sz w:val="24"/>
      <w:szCs w:val="24"/>
      <w:lang w:val="en-US" w:eastAsia="en-US" w:bidi="ar-SA"/>
      <w14:ligatures w14:val="none"/>
    </w:rPr>
  </w:style>
  <w:style w:type="character" w:customStyle="1" w:styleId="apple-tab-span">
    <w:name w:val="apple-tab-span"/>
    <w:basedOn w:val="DefaultParagraphFont"/>
    <w:rsid w:val="00A13FD2"/>
  </w:style>
  <w:style w:type="paragraph" w:styleId="TOC3">
    <w:name w:val="toc 3"/>
    <w:basedOn w:val="Normal"/>
    <w:next w:val="Normal"/>
    <w:autoRedefine/>
    <w:uiPriority w:val="39"/>
    <w:unhideWhenUsed/>
    <w:rsid w:val="00A13FD2"/>
    <w:pPr>
      <w:spacing w:after="100" w:line="276" w:lineRule="auto"/>
      <w:ind w:left="440"/>
    </w:pPr>
    <w:rPr>
      <w:rFonts w:ascii="Arial" w:eastAsia="Arial" w:hAnsi="Arial" w:cs="Arial"/>
      <w:kern w:val="0"/>
      <w:szCs w:val="22"/>
      <w:lang w:val="en-US" w:eastAsia="en-US" w:bidi="ar-SA"/>
      <w14:ligatures w14:val="none"/>
    </w:rPr>
  </w:style>
  <w:style w:type="paragraph" w:styleId="TableofFigures">
    <w:name w:val="table of figures"/>
    <w:basedOn w:val="Normal"/>
    <w:next w:val="Normal"/>
    <w:uiPriority w:val="99"/>
    <w:unhideWhenUsed/>
    <w:rsid w:val="00A13FD2"/>
    <w:pPr>
      <w:spacing w:line="276" w:lineRule="auto"/>
    </w:pPr>
    <w:rPr>
      <w:rFonts w:ascii="Arial" w:eastAsia="Arial" w:hAnsi="Arial" w:cs="Arial"/>
      <w:kern w:val="0"/>
      <w:szCs w:val="22"/>
      <w:lang w:val="en-US" w:eastAsia="en-US" w:bidi="ar-SA"/>
      <w14:ligatures w14:val="none"/>
    </w:rPr>
  </w:style>
  <w:style w:type="character" w:styleId="UnresolvedMention">
    <w:name w:val="Unresolved Mention"/>
    <w:basedOn w:val="DefaultParagraphFont"/>
    <w:uiPriority w:val="99"/>
    <w:semiHidden/>
    <w:unhideWhenUsed/>
    <w:rsid w:val="00A13F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QuickStyle" Target="diagrams/quickStyle3.xml"/><Relationship Id="rId21" Type="http://schemas.openxmlformats.org/officeDocument/2006/relationships/diagramQuickStyle" Target="diagrams/quickStyle2.xml"/><Relationship Id="rId42" Type="http://schemas.microsoft.com/office/2007/relationships/diagramDrawing" Target="diagrams/drawing5.xml"/><Relationship Id="rId47" Type="http://schemas.microsoft.com/office/2007/relationships/diagramDrawing" Target="diagrams/drawing6.xml"/><Relationship Id="rId63" Type="http://schemas.openxmlformats.org/officeDocument/2006/relationships/diagramData" Target="diagrams/data10.xml"/><Relationship Id="rId68" Type="http://schemas.openxmlformats.org/officeDocument/2006/relationships/diagramData" Target="diagrams/data11.xml"/><Relationship Id="rId2" Type="http://schemas.openxmlformats.org/officeDocument/2006/relationships/styles" Target="styles.xml"/><Relationship Id="rId16" Type="http://schemas.openxmlformats.org/officeDocument/2006/relationships/diagramQuickStyle" Target="diagrams/quickStyle1.xml"/><Relationship Id="rId29" Type="http://schemas.openxmlformats.org/officeDocument/2006/relationships/diagramData" Target="diagrams/data4.xml"/><Relationship Id="rId11" Type="http://schemas.openxmlformats.org/officeDocument/2006/relationships/customXml" Target="ink/ink2.xml"/><Relationship Id="rId24" Type="http://schemas.openxmlformats.org/officeDocument/2006/relationships/diagramData" Target="diagrams/data3.xml"/><Relationship Id="rId32" Type="http://schemas.openxmlformats.org/officeDocument/2006/relationships/diagramColors" Target="diagrams/colors4.xml"/><Relationship Id="rId37" Type="http://schemas.openxmlformats.org/officeDocument/2006/relationships/image" Target="media/image7.png"/><Relationship Id="rId40" Type="http://schemas.openxmlformats.org/officeDocument/2006/relationships/diagramQuickStyle" Target="diagrams/quickStyle5.xml"/><Relationship Id="rId45" Type="http://schemas.openxmlformats.org/officeDocument/2006/relationships/diagramQuickStyle" Target="diagrams/quickStyle6.xml"/><Relationship Id="rId53" Type="http://schemas.openxmlformats.org/officeDocument/2006/relationships/diagramData" Target="diagrams/data8.xml"/><Relationship Id="rId58" Type="http://schemas.openxmlformats.org/officeDocument/2006/relationships/diagramData" Target="diagrams/data9.xml"/><Relationship Id="rId66" Type="http://schemas.openxmlformats.org/officeDocument/2006/relationships/diagramColors" Target="diagrams/colors10.xml"/><Relationship Id="rId74"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diagramColors" Target="diagrams/colors9.xml"/><Relationship Id="rId19" Type="http://schemas.openxmlformats.org/officeDocument/2006/relationships/diagramData" Target="diagrams/data2.xml"/><Relationship Id="rId14" Type="http://schemas.openxmlformats.org/officeDocument/2006/relationships/diagramData" Target="diagrams/data1.xml"/><Relationship Id="rId22" Type="http://schemas.openxmlformats.org/officeDocument/2006/relationships/diagramColors" Target="diagrams/colors2.xml"/><Relationship Id="rId27" Type="http://schemas.openxmlformats.org/officeDocument/2006/relationships/diagramColors" Target="diagrams/colors3.xml"/><Relationship Id="rId30" Type="http://schemas.openxmlformats.org/officeDocument/2006/relationships/diagramLayout" Target="diagrams/layout4.xml"/><Relationship Id="rId35" Type="http://schemas.openxmlformats.org/officeDocument/2006/relationships/image" Target="media/image5.png"/><Relationship Id="rId43" Type="http://schemas.openxmlformats.org/officeDocument/2006/relationships/diagramData" Target="diagrams/data6.xml"/><Relationship Id="rId48" Type="http://schemas.openxmlformats.org/officeDocument/2006/relationships/diagramData" Target="diagrams/data7.xml"/><Relationship Id="rId56" Type="http://schemas.openxmlformats.org/officeDocument/2006/relationships/diagramColors" Target="diagrams/colors8.xml"/><Relationship Id="rId64" Type="http://schemas.openxmlformats.org/officeDocument/2006/relationships/diagramLayout" Target="diagrams/layout10.xml"/><Relationship Id="rId69" Type="http://schemas.openxmlformats.org/officeDocument/2006/relationships/diagramLayout" Target="diagrams/layout11.xml"/><Relationship Id="rId8" Type="http://schemas.openxmlformats.org/officeDocument/2006/relationships/hyperlink" Target="mailto:2208753@student.uwtsd.ac.uk" TargetMode="External"/><Relationship Id="rId51" Type="http://schemas.openxmlformats.org/officeDocument/2006/relationships/diagramColors" Target="diagrams/colors7.xml"/><Relationship Id="rId72" Type="http://schemas.microsoft.com/office/2007/relationships/diagramDrawing" Target="diagrams/drawing11.xml"/><Relationship Id="rId3"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diagramColors" Target="diagrams/colors1.xml"/><Relationship Id="rId25" Type="http://schemas.openxmlformats.org/officeDocument/2006/relationships/diagramLayout" Target="diagrams/layout3.xml"/><Relationship Id="rId33" Type="http://schemas.microsoft.com/office/2007/relationships/diagramDrawing" Target="diagrams/drawing4.xml"/><Relationship Id="rId38" Type="http://schemas.openxmlformats.org/officeDocument/2006/relationships/diagramData" Target="diagrams/data5.xml"/><Relationship Id="rId46" Type="http://schemas.openxmlformats.org/officeDocument/2006/relationships/diagramColors" Target="diagrams/colors6.xml"/><Relationship Id="rId59" Type="http://schemas.openxmlformats.org/officeDocument/2006/relationships/diagramLayout" Target="diagrams/layout9.xml"/><Relationship Id="rId67" Type="http://schemas.microsoft.com/office/2007/relationships/diagramDrawing" Target="diagrams/drawing10.xml"/><Relationship Id="rId20" Type="http://schemas.openxmlformats.org/officeDocument/2006/relationships/diagramLayout" Target="diagrams/layout2.xml"/><Relationship Id="rId41" Type="http://schemas.openxmlformats.org/officeDocument/2006/relationships/diagramColors" Target="diagrams/colors5.xml"/><Relationship Id="rId54" Type="http://schemas.openxmlformats.org/officeDocument/2006/relationships/diagramLayout" Target="diagrams/layout8.xml"/><Relationship Id="rId62" Type="http://schemas.microsoft.com/office/2007/relationships/diagramDrawing" Target="diagrams/drawing9.xml"/><Relationship Id="rId70" Type="http://schemas.openxmlformats.org/officeDocument/2006/relationships/diagramQuickStyle" Target="diagrams/quickStyle11.xml"/><Relationship Id="rId75"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diagramLayout" Target="diagrams/layout1.xml"/><Relationship Id="rId23" Type="http://schemas.microsoft.com/office/2007/relationships/diagramDrawing" Target="diagrams/drawing2.xml"/><Relationship Id="rId28" Type="http://schemas.microsoft.com/office/2007/relationships/diagramDrawing" Target="diagrams/drawing3.xml"/><Relationship Id="rId36" Type="http://schemas.openxmlformats.org/officeDocument/2006/relationships/image" Target="media/image6.png"/><Relationship Id="rId49" Type="http://schemas.openxmlformats.org/officeDocument/2006/relationships/diagramLayout" Target="diagrams/layout7.xml"/><Relationship Id="rId57" Type="http://schemas.microsoft.com/office/2007/relationships/diagramDrawing" Target="diagrams/drawing8.xml"/><Relationship Id="rId10" Type="http://schemas.openxmlformats.org/officeDocument/2006/relationships/image" Target="media/image2.png"/><Relationship Id="rId31" Type="http://schemas.openxmlformats.org/officeDocument/2006/relationships/diagramQuickStyle" Target="diagrams/quickStyle4.xml"/><Relationship Id="rId44" Type="http://schemas.openxmlformats.org/officeDocument/2006/relationships/diagramLayout" Target="diagrams/layout6.xml"/><Relationship Id="rId52" Type="http://schemas.microsoft.com/office/2007/relationships/diagramDrawing" Target="diagrams/drawing7.xml"/><Relationship Id="rId60" Type="http://schemas.openxmlformats.org/officeDocument/2006/relationships/diagramQuickStyle" Target="diagrams/quickStyle9.xml"/><Relationship Id="rId65" Type="http://schemas.openxmlformats.org/officeDocument/2006/relationships/diagramQuickStyle" Target="diagrams/quickStyle10.xml"/><Relationship Id="rId73"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ustomXml" Target="ink/ink1.xml"/><Relationship Id="rId13" Type="http://schemas.openxmlformats.org/officeDocument/2006/relationships/customXml" Target="ink/ink3.xml"/><Relationship Id="rId18" Type="http://schemas.microsoft.com/office/2007/relationships/diagramDrawing" Target="diagrams/drawing1.xml"/><Relationship Id="rId39" Type="http://schemas.openxmlformats.org/officeDocument/2006/relationships/diagramLayout" Target="diagrams/layout5.xml"/><Relationship Id="rId34" Type="http://schemas.openxmlformats.org/officeDocument/2006/relationships/image" Target="media/image4.png"/><Relationship Id="rId50" Type="http://schemas.openxmlformats.org/officeDocument/2006/relationships/diagramQuickStyle" Target="diagrams/quickStyle7.xml"/><Relationship Id="rId55" Type="http://schemas.openxmlformats.org/officeDocument/2006/relationships/diagramQuickStyle" Target="diagrams/quickStyle8.xml"/><Relationship Id="rId7" Type="http://schemas.openxmlformats.org/officeDocument/2006/relationships/image" Target="media/image1.png"/><Relationship Id="rId71" Type="http://schemas.openxmlformats.org/officeDocument/2006/relationships/diagramColors" Target="diagrams/colors1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1#3">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colorful1#5">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79D9371-CBF2-4448-BB47-60A30AEC3D5A}" type="doc">
      <dgm:prSet loTypeId="urn:microsoft.com/office/officeart/2005/8/layout/chevron1" loCatId="process" qsTypeId="urn:microsoft.com/office/officeart/2005/8/quickstyle/3d3" qsCatId="3D" csTypeId="urn:microsoft.com/office/officeart/2005/8/colors/colorful2" csCatId="colorful" phldr="1"/>
      <dgm:spPr/>
    </dgm:pt>
    <dgm:pt modelId="{C8687912-515C-49BD-BA5A-E319F62BD556}">
      <dgm:prSet phldrT="[Text]" custT="1"/>
      <dgm:spPr/>
      <dgm:t>
        <a:bodyPr/>
        <a:lstStyle/>
        <a:p>
          <a:pPr algn="ctr"/>
          <a:r>
            <a:rPr lang="en-US" sz="700" b="1">
              <a:solidFill>
                <a:schemeClr val="tx1"/>
              </a:solidFill>
              <a:latin typeface="Times New Roman" pitchFamily="18" charset="0"/>
              <a:cs typeface="Times New Roman" pitchFamily="18" charset="0"/>
            </a:rPr>
            <a:t>Enhanced Business Performance</a:t>
          </a:r>
          <a:endParaRPr lang="en-US" sz="700">
            <a:solidFill>
              <a:schemeClr val="tx1"/>
            </a:solidFill>
            <a:latin typeface="Times New Roman" pitchFamily="18" charset="0"/>
            <a:cs typeface="Times New Roman" pitchFamily="18" charset="0"/>
          </a:endParaRPr>
        </a:p>
      </dgm:t>
    </dgm:pt>
    <dgm:pt modelId="{5BC2E365-68AF-481A-8749-06D8D82CF561}" type="parTrans" cxnId="{A4C71C67-E8BB-440A-A00D-A43718A4EC23}">
      <dgm:prSet/>
      <dgm:spPr/>
      <dgm:t>
        <a:bodyPr/>
        <a:lstStyle/>
        <a:p>
          <a:pPr algn="ctr"/>
          <a:endParaRPr lang="en-US" sz="2000">
            <a:solidFill>
              <a:schemeClr val="tx1"/>
            </a:solidFill>
            <a:latin typeface="Times New Roman" pitchFamily="18" charset="0"/>
            <a:cs typeface="Times New Roman" pitchFamily="18" charset="0"/>
          </a:endParaRPr>
        </a:p>
      </dgm:t>
    </dgm:pt>
    <dgm:pt modelId="{76008F6E-4257-4821-BE34-62D89F5A49D7}" type="sibTrans" cxnId="{A4C71C67-E8BB-440A-A00D-A43718A4EC23}">
      <dgm:prSet/>
      <dgm:spPr/>
      <dgm:t>
        <a:bodyPr/>
        <a:lstStyle/>
        <a:p>
          <a:pPr algn="ctr"/>
          <a:endParaRPr lang="en-US" sz="2000">
            <a:solidFill>
              <a:schemeClr val="tx1"/>
            </a:solidFill>
            <a:latin typeface="Times New Roman" pitchFamily="18" charset="0"/>
            <a:cs typeface="Times New Roman" pitchFamily="18" charset="0"/>
          </a:endParaRPr>
        </a:p>
      </dgm:t>
    </dgm:pt>
    <dgm:pt modelId="{6C9B8AA1-1CD6-41F8-9839-6F829AC270EA}">
      <dgm:prSet phldrT="[Text]" custT="1"/>
      <dgm:spPr/>
      <dgm:t>
        <a:bodyPr/>
        <a:lstStyle/>
        <a:p>
          <a:pPr algn="ctr"/>
          <a:r>
            <a:rPr lang="en-US" sz="700" b="1">
              <a:solidFill>
                <a:schemeClr val="tx1"/>
              </a:solidFill>
              <a:latin typeface="Times New Roman" pitchFamily="18" charset="0"/>
              <a:cs typeface="Times New Roman" pitchFamily="18" charset="0"/>
            </a:rPr>
            <a:t>Global Expansion and Market Access</a:t>
          </a:r>
          <a:endParaRPr lang="en-US" sz="700">
            <a:solidFill>
              <a:schemeClr val="tx1"/>
            </a:solidFill>
            <a:latin typeface="Times New Roman" pitchFamily="18" charset="0"/>
            <a:cs typeface="Times New Roman" pitchFamily="18" charset="0"/>
          </a:endParaRPr>
        </a:p>
      </dgm:t>
    </dgm:pt>
    <dgm:pt modelId="{DDED3361-1AAF-44D9-8732-15F212F3D385}" type="parTrans" cxnId="{A4312D35-D879-43FB-BDA7-C6F9E8D860D4}">
      <dgm:prSet/>
      <dgm:spPr/>
      <dgm:t>
        <a:bodyPr/>
        <a:lstStyle/>
        <a:p>
          <a:pPr algn="ctr"/>
          <a:endParaRPr lang="en-US" sz="2000">
            <a:solidFill>
              <a:schemeClr val="tx1"/>
            </a:solidFill>
            <a:latin typeface="Times New Roman" pitchFamily="18" charset="0"/>
            <a:cs typeface="Times New Roman" pitchFamily="18" charset="0"/>
          </a:endParaRPr>
        </a:p>
      </dgm:t>
    </dgm:pt>
    <dgm:pt modelId="{74C07AE5-8C51-4E62-A1F8-09C01A5DF305}" type="sibTrans" cxnId="{A4312D35-D879-43FB-BDA7-C6F9E8D860D4}">
      <dgm:prSet/>
      <dgm:spPr/>
      <dgm:t>
        <a:bodyPr/>
        <a:lstStyle/>
        <a:p>
          <a:pPr algn="ctr"/>
          <a:endParaRPr lang="en-US" sz="2000">
            <a:solidFill>
              <a:schemeClr val="tx1"/>
            </a:solidFill>
            <a:latin typeface="Times New Roman" pitchFamily="18" charset="0"/>
            <a:cs typeface="Times New Roman" pitchFamily="18" charset="0"/>
          </a:endParaRPr>
        </a:p>
      </dgm:t>
    </dgm:pt>
    <dgm:pt modelId="{B5B5081E-EA3F-4B22-B376-8ABE5E753A8A}">
      <dgm:prSet phldrT="[Text]" custT="1"/>
      <dgm:spPr/>
      <dgm:t>
        <a:bodyPr/>
        <a:lstStyle/>
        <a:p>
          <a:pPr algn="ctr"/>
          <a:r>
            <a:rPr lang="en-US" sz="700" b="1">
              <a:solidFill>
                <a:schemeClr val="tx1"/>
              </a:solidFill>
              <a:latin typeface="Times New Roman" pitchFamily="18" charset="0"/>
              <a:cs typeface="Times New Roman" pitchFamily="18" charset="0"/>
            </a:rPr>
            <a:t>Minimized Integration Challenges</a:t>
          </a:r>
          <a:endParaRPr lang="en-US" sz="700">
            <a:solidFill>
              <a:schemeClr val="tx1"/>
            </a:solidFill>
            <a:latin typeface="Times New Roman" pitchFamily="18" charset="0"/>
            <a:cs typeface="Times New Roman" pitchFamily="18" charset="0"/>
          </a:endParaRPr>
        </a:p>
      </dgm:t>
    </dgm:pt>
    <dgm:pt modelId="{07C2343E-3305-4F72-8C17-EFF7EE7A0D23}" type="parTrans" cxnId="{376D11CD-1417-476E-99D5-C8C174C8E8AF}">
      <dgm:prSet/>
      <dgm:spPr/>
      <dgm:t>
        <a:bodyPr/>
        <a:lstStyle/>
        <a:p>
          <a:pPr algn="ctr"/>
          <a:endParaRPr lang="en-US" sz="2000">
            <a:solidFill>
              <a:schemeClr val="tx1"/>
            </a:solidFill>
            <a:latin typeface="Times New Roman" pitchFamily="18" charset="0"/>
            <a:cs typeface="Times New Roman" pitchFamily="18" charset="0"/>
          </a:endParaRPr>
        </a:p>
      </dgm:t>
    </dgm:pt>
    <dgm:pt modelId="{223DE250-FD86-4ECC-BCF4-BC343DAA7733}" type="sibTrans" cxnId="{376D11CD-1417-476E-99D5-C8C174C8E8AF}">
      <dgm:prSet/>
      <dgm:spPr/>
      <dgm:t>
        <a:bodyPr/>
        <a:lstStyle/>
        <a:p>
          <a:pPr algn="ctr"/>
          <a:endParaRPr lang="en-US" sz="2000">
            <a:solidFill>
              <a:schemeClr val="tx1"/>
            </a:solidFill>
            <a:latin typeface="Times New Roman" pitchFamily="18" charset="0"/>
            <a:cs typeface="Times New Roman" pitchFamily="18" charset="0"/>
          </a:endParaRPr>
        </a:p>
      </dgm:t>
    </dgm:pt>
    <dgm:pt modelId="{6BD60D18-B138-4863-BD4B-6F9F09866EAD}">
      <dgm:prSet custT="1"/>
      <dgm:spPr/>
      <dgm:t>
        <a:bodyPr/>
        <a:lstStyle/>
        <a:p>
          <a:pPr algn="ctr"/>
          <a:r>
            <a:rPr lang="en-US" sz="700" b="1">
              <a:solidFill>
                <a:schemeClr val="tx1"/>
              </a:solidFill>
              <a:latin typeface="Times New Roman" pitchFamily="18" charset="0"/>
              <a:cs typeface="Times New Roman" pitchFamily="18" charset="0"/>
            </a:rPr>
            <a:t>Effective Communication and Collaboration</a:t>
          </a:r>
          <a:endParaRPr lang="en-US" sz="700">
            <a:solidFill>
              <a:schemeClr val="tx1"/>
            </a:solidFill>
            <a:latin typeface="Times New Roman" pitchFamily="18" charset="0"/>
            <a:cs typeface="Times New Roman" pitchFamily="18" charset="0"/>
          </a:endParaRPr>
        </a:p>
      </dgm:t>
    </dgm:pt>
    <dgm:pt modelId="{C57AAD3F-9CC5-4D34-A827-CDFC5574B930}" type="parTrans" cxnId="{135DFCDC-D987-4CC8-93EB-CD3A474D7CB0}">
      <dgm:prSet/>
      <dgm:spPr/>
      <dgm:t>
        <a:bodyPr/>
        <a:lstStyle/>
        <a:p>
          <a:pPr algn="ctr"/>
          <a:endParaRPr lang="en-US" sz="2000">
            <a:solidFill>
              <a:schemeClr val="tx1"/>
            </a:solidFill>
            <a:latin typeface="Times New Roman" pitchFamily="18" charset="0"/>
            <a:cs typeface="Times New Roman" pitchFamily="18" charset="0"/>
          </a:endParaRPr>
        </a:p>
      </dgm:t>
    </dgm:pt>
    <dgm:pt modelId="{7A849428-AD01-4212-B357-DB456D8C579C}" type="sibTrans" cxnId="{135DFCDC-D987-4CC8-93EB-CD3A474D7CB0}">
      <dgm:prSet/>
      <dgm:spPr/>
      <dgm:t>
        <a:bodyPr/>
        <a:lstStyle/>
        <a:p>
          <a:pPr algn="ctr"/>
          <a:endParaRPr lang="en-US" sz="2000">
            <a:solidFill>
              <a:schemeClr val="tx1"/>
            </a:solidFill>
            <a:latin typeface="Times New Roman" pitchFamily="18" charset="0"/>
            <a:cs typeface="Times New Roman" pitchFamily="18" charset="0"/>
          </a:endParaRPr>
        </a:p>
      </dgm:t>
    </dgm:pt>
    <dgm:pt modelId="{B27CF4DB-AC03-4669-AC7B-1F30B862F80E}">
      <dgm:prSet custT="1"/>
      <dgm:spPr/>
      <dgm:t>
        <a:bodyPr/>
        <a:lstStyle/>
        <a:p>
          <a:pPr algn="ctr"/>
          <a:r>
            <a:rPr lang="en-US" sz="700" b="1">
              <a:solidFill>
                <a:schemeClr val="tx1"/>
              </a:solidFill>
              <a:latin typeface="Times New Roman" pitchFamily="18" charset="0"/>
              <a:cs typeface="Times New Roman" pitchFamily="18" charset="0"/>
            </a:rPr>
            <a:t>Employee Satisfaction and Retention</a:t>
          </a:r>
          <a:endParaRPr lang="en-US" sz="700">
            <a:solidFill>
              <a:schemeClr val="tx1"/>
            </a:solidFill>
            <a:latin typeface="Times New Roman" pitchFamily="18" charset="0"/>
            <a:cs typeface="Times New Roman" pitchFamily="18" charset="0"/>
          </a:endParaRPr>
        </a:p>
      </dgm:t>
    </dgm:pt>
    <dgm:pt modelId="{87747A73-4102-48B8-901C-92CBA8881A7A}" type="parTrans" cxnId="{B70F4675-FE48-446C-AE4E-477DD394EE9E}">
      <dgm:prSet/>
      <dgm:spPr/>
      <dgm:t>
        <a:bodyPr/>
        <a:lstStyle/>
        <a:p>
          <a:pPr algn="ctr"/>
          <a:endParaRPr lang="en-US" sz="2000">
            <a:solidFill>
              <a:schemeClr val="tx1"/>
            </a:solidFill>
            <a:latin typeface="Times New Roman" pitchFamily="18" charset="0"/>
            <a:cs typeface="Times New Roman" pitchFamily="18" charset="0"/>
          </a:endParaRPr>
        </a:p>
      </dgm:t>
    </dgm:pt>
    <dgm:pt modelId="{4B459ADF-DCAF-4E53-B9A8-9E094C00741B}" type="sibTrans" cxnId="{B70F4675-FE48-446C-AE4E-477DD394EE9E}">
      <dgm:prSet/>
      <dgm:spPr/>
      <dgm:t>
        <a:bodyPr/>
        <a:lstStyle/>
        <a:p>
          <a:pPr algn="ctr"/>
          <a:endParaRPr lang="en-US" sz="2000">
            <a:solidFill>
              <a:schemeClr val="tx1"/>
            </a:solidFill>
            <a:latin typeface="Times New Roman" pitchFamily="18" charset="0"/>
            <a:cs typeface="Times New Roman" pitchFamily="18" charset="0"/>
          </a:endParaRPr>
        </a:p>
      </dgm:t>
    </dgm:pt>
    <dgm:pt modelId="{C337976F-56B5-4504-85CF-C87B2F9F6DCB}">
      <dgm:prSet custT="1"/>
      <dgm:spPr/>
      <dgm:t>
        <a:bodyPr/>
        <a:lstStyle/>
        <a:p>
          <a:pPr algn="ctr"/>
          <a:r>
            <a:rPr lang="en-US" sz="700" b="1">
              <a:solidFill>
                <a:schemeClr val="tx1"/>
              </a:solidFill>
              <a:latin typeface="Times New Roman" pitchFamily="18" charset="0"/>
              <a:cs typeface="Times New Roman" pitchFamily="18" charset="0"/>
            </a:rPr>
            <a:t>Employee Satisfaction and Retention</a:t>
          </a:r>
          <a:endParaRPr lang="en-US" sz="700">
            <a:solidFill>
              <a:schemeClr val="tx1"/>
            </a:solidFill>
            <a:latin typeface="Times New Roman" pitchFamily="18" charset="0"/>
            <a:cs typeface="Times New Roman" pitchFamily="18" charset="0"/>
          </a:endParaRPr>
        </a:p>
      </dgm:t>
    </dgm:pt>
    <dgm:pt modelId="{AABD80F0-6406-4B0D-9111-FF48CFB30795}" type="parTrans" cxnId="{8EC66950-05CB-468D-A649-6AF80C5A0C32}">
      <dgm:prSet/>
      <dgm:spPr/>
      <dgm:t>
        <a:bodyPr/>
        <a:lstStyle/>
        <a:p>
          <a:pPr algn="ctr"/>
          <a:endParaRPr lang="en-US" sz="2000">
            <a:solidFill>
              <a:schemeClr val="tx1"/>
            </a:solidFill>
            <a:latin typeface="Times New Roman" pitchFamily="18" charset="0"/>
            <a:cs typeface="Times New Roman" pitchFamily="18" charset="0"/>
          </a:endParaRPr>
        </a:p>
      </dgm:t>
    </dgm:pt>
    <dgm:pt modelId="{2E2B916B-8B08-45E6-A100-1675A4FD8692}" type="sibTrans" cxnId="{8EC66950-05CB-468D-A649-6AF80C5A0C32}">
      <dgm:prSet/>
      <dgm:spPr/>
      <dgm:t>
        <a:bodyPr/>
        <a:lstStyle/>
        <a:p>
          <a:pPr algn="ctr"/>
          <a:endParaRPr lang="en-US" sz="2000">
            <a:solidFill>
              <a:schemeClr val="tx1"/>
            </a:solidFill>
            <a:latin typeface="Times New Roman" pitchFamily="18" charset="0"/>
            <a:cs typeface="Times New Roman" pitchFamily="18" charset="0"/>
          </a:endParaRPr>
        </a:p>
      </dgm:t>
    </dgm:pt>
    <dgm:pt modelId="{C722C947-C661-4685-B055-1B849D2386B6}" type="pres">
      <dgm:prSet presAssocID="{A79D9371-CBF2-4448-BB47-60A30AEC3D5A}" presName="Name0" presStyleCnt="0">
        <dgm:presLayoutVars>
          <dgm:dir/>
          <dgm:animLvl val="lvl"/>
          <dgm:resizeHandles val="exact"/>
        </dgm:presLayoutVars>
      </dgm:prSet>
      <dgm:spPr/>
    </dgm:pt>
    <dgm:pt modelId="{12D0B9D1-D42F-46AA-9E88-85DD4B0A0DFC}" type="pres">
      <dgm:prSet presAssocID="{C8687912-515C-49BD-BA5A-E319F62BD556}" presName="parTxOnly" presStyleLbl="node1" presStyleIdx="0" presStyleCnt="6">
        <dgm:presLayoutVars>
          <dgm:chMax val="0"/>
          <dgm:chPref val="0"/>
          <dgm:bulletEnabled val="1"/>
        </dgm:presLayoutVars>
      </dgm:prSet>
      <dgm:spPr/>
    </dgm:pt>
    <dgm:pt modelId="{839462D3-9BAD-4A15-AC00-AEC65130AE67}" type="pres">
      <dgm:prSet presAssocID="{76008F6E-4257-4821-BE34-62D89F5A49D7}" presName="parTxOnlySpace" presStyleCnt="0"/>
      <dgm:spPr/>
    </dgm:pt>
    <dgm:pt modelId="{7A19CD93-A7C5-4AFA-9D67-7AB8297E9202}" type="pres">
      <dgm:prSet presAssocID="{6C9B8AA1-1CD6-41F8-9839-6F829AC270EA}" presName="parTxOnly" presStyleLbl="node1" presStyleIdx="1" presStyleCnt="6">
        <dgm:presLayoutVars>
          <dgm:chMax val="0"/>
          <dgm:chPref val="0"/>
          <dgm:bulletEnabled val="1"/>
        </dgm:presLayoutVars>
      </dgm:prSet>
      <dgm:spPr/>
    </dgm:pt>
    <dgm:pt modelId="{EEB5F684-E1E8-443D-AF29-EF16CD666FDA}" type="pres">
      <dgm:prSet presAssocID="{74C07AE5-8C51-4E62-A1F8-09C01A5DF305}" presName="parTxOnlySpace" presStyleCnt="0"/>
      <dgm:spPr/>
    </dgm:pt>
    <dgm:pt modelId="{61E7CEF5-261A-42D0-AE80-14D8183A1A19}" type="pres">
      <dgm:prSet presAssocID="{B5B5081E-EA3F-4B22-B376-8ABE5E753A8A}" presName="parTxOnly" presStyleLbl="node1" presStyleIdx="2" presStyleCnt="6">
        <dgm:presLayoutVars>
          <dgm:chMax val="0"/>
          <dgm:chPref val="0"/>
          <dgm:bulletEnabled val="1"/>
        </dgm:presLayoutVars>
      </dgm:prSet>
      <dgm:spPr/>
    </dgm:pt>
    <dgm:pt modelId="{2FCC86A1-8053-4D75-B521-B3839AF323CE}" type="pres">
      <dgm:prSet presAssocID="{223DE250-FD86-4ECC-BCF4-BC343DAA7733}" presName="parTxOnlySpace" presStyleCnt="0"/>
      <dgm:spPr/>
    </dgm:pt>
    <dgm:pt modelId="{DB7625D2-156D-43D6-BBA0-EBE9F2410AB9}" type="pres">
      <dgm:prSet presAssocID="{C337976F-56B5-4504-85CF-C87B2F9F6DCB}" presName="parTxOnly" presStyleLbl="node1" presStyleIdx="3" presStyleCnt="6">
        <dgm:presLayoutVars>
          <dgm:chMax val="0"/>
          <dgm:chPref val="0"/>
          <dgm:bulletEnabled val="1"/>
        </dgm:presLayoutVars>
      </dgm:prSet>
      <dgm:spPr/>
    </dgm:pt>
    <dgm:pt modelId="{38B64EFB-B957-4FD7-A1A0-4743A39DA78C}" type="pres">
      <dgm:prSet presAssocID="{2E2B916B-8B08-45E6-A100-1675A4FD8692}" presName="parTxOnlySpace" presStyleCnt="0"/>
      <dgm:spPr/>
    </dgm:pt>
    <dgm:pt modelId="{873B0998-E380-48F9-B0BC-66EB4DBBC36C}" type="pres">
      <dgm:prSet presAssocID="{B27CF4DB-AC03-4669-AC7B-1F30B862F80E}" presName="parTxOnly" presStyleLbl="node1" presStyleIdx="4" presStyleCnt="6">
        <dgm:presLayoutVars>
          <dgm:chMax val="0"/>
          <dgm:chPref val="0"/>
          <dgm:bulletEnabled val="1"/>
        </dgm:presLayoutVars>
      </dgm:prSet>
      <dgm:spPr/>
    </dgm:pt>
    <dgm:pt modelId="{52E231D3-D3E0-412E-BACB-4834941F76B1}" type="pres">
      <dgm:prSet presAssocID="{4B459ADF-DCAF-4E53-B9A8-9E094C00741B}" presName="parTxOnlySpace" presStyleCnt="0"/>
      <dgm:spPr/>
    </dgm:pt>
    <dgm:pt modelId="{12760582-3301-4E46-A73E-1B213C9C5F65}" type="pres">
      <dgm:prSet presAssocID="{6BD60D18-B138-4863-BD4B-6F9F09866EAD}" presName="parTxOnly" presStyleLbl="node1" presStyleIdx="5" presStyleCnt="6">
        <dgm:presLayoutVars>
          <dgm:chMax val="0"/>
          <dgm:chPref val="0"/>
          <dgm:bulletEnabled val="1"/>
        </dgm:presLayoutVars>
      </dgm:prSet>
      <dgm:spPr/>
    </dgm:pt>
  </dgm:ptLst>
  <dgm:cxnLst>
    <dgm:cxn modelId="{AACAC721-848E-4BC6-8070-A01F302D12BD}" type="presOf" srcId="{C337976F-56B5-4504-85CF-C87B2F9F6DCB}" destId="{DB7625D2-156D-43D6-BBA0-EBE9F2410AB9}" srcOrd="0" destOrd="0" presId="urn:microsoft.com/office/officeart/2005/8/layout/chevron1"/>
    <dgm:cxn modelId="{A4312D35-D879-43FB-BDA7-C6F9E8D860D4}" srcId="{A79D9371-CBF2-4448-BB47-60A30AEC3D5A}" destId="{6C9B8AA1-1CD6-41F8-9839-6F829AC270EA}" srcOrd="1" destOrd="0" parTransId="{DDED3361-1AAF-44D9-8732-15F212F3D385}" sibTransId="{74C07AE5-8C51-4E62-A1F8-09C01A5DF305}"/>
    <dgm:cxn modelId="{C3D20B3A-47DF-4711-A9B9-8BAAF3DD80DE}" type="presOf" srcId="{A79D9371-CBF2-4448-BB47-60A30AEC3D5A}" destId="{C722C947-C661-4685-B055-1B849D2386B6}" srcOrd="0" destOrd="0" presId="urn:microsoft.com/office/officeart/2005/8/layout/chevron1"/>
    <dgm:cxn modelId="{A1B22248-E0C8-4B70-BFB5-DF84F2E3B8EA}" type="presOf" srcId="{B27CF4DB-AC03-4669-AC7B-1F30B862F80E}" destId="{873B0998-E380-48F9-B0BC-66EB4DBBC36C}" srcOrd="0" destOrd="0" presId="urn:microsoft.com/office/officeart/2005/8/layout/chevron1"/>
    <dgm:cxn modelId="{5EA7354B-2089-49E1-B567-44DDFD8FCF98}" type="presOf" srcId="{B5B5081E-EA3F-4B22-B376-8ABE5E753A8A}" destId="{61E7CEF5-261A-42D0-AE80-14D8183A1A19}" srcOrd="0" destOrd="0" presId="urn:microsoft.com/office/officeart/2005/8/layout/chevron1"/>
    <dgm:cxn modelId="{E5FC594C-4EE2-49D8-A9F1-6CE6D8AFA443}" type="presOf" srcId="{C8687912-515C-49BD-BA5A-E319F62BD556}" destId="{12D0B9D1-D42F-46AA-9E88-85DD4B0A0DFC}" srcOrd="0" destOrd="0" presId="urn:microsoft.com/office/officeart/2005/8/layout/chevron1"/>
    <dgm:cxn modelId="{8EC66950-05CB-468D-A649-6AF80C5A0C32}" srcId="{A79D9371-CBF2-4448-BB47-60A30AEC3D5A}" destId="{C337976F-56B5-4504-85CF-C87B2F9F6DCB}" srcOrd="3" destOrd="0" parTransId="{AABD80F0-6406-4B0D-9111-FF48CFB30795}" sibTransId="{2E2B916B-8B08-45E6-A100-1675A4FD8692}"/>
    <dgm:cxn modelId="{A4C71C67-E8BB-440A-A00D-A43718A4EC23}" srcId="{A79D9371-CBF2-4448-BB47-60A30AEC3D5A}" destId="{C8687912-515C-49BD-BA5A-E319F62BD556}" srcOrd="0" destOrd="0" parTransId="{5BC2E365-68AF-481A-8749-06D8D82CF561}" sibTransId="{76008F6E-4257-4821-BE34-62D89F5A49D7}"/>
    <dgm:cxn modelId="{B70F4675-FE48-446C-AE4E-477DD394EE9E}" srcId="{A79D9371-CBF2-4448-BB47-60A30AEC3D5A}" destId="{B27CF4DB-AC03-4669-AC7B-1F30B862F80E}" srcOrd="4" destOrd="0" parTransId="{87747A73-4102-48B8-901C-92CBA8881A7A}" sibTransId="{4B459ADF-DCAF-4E53-B9A8-9E094C00741B}"/>
    <dgm:cxn modelId="{CA33BCA0-B811-480C-9191-5A621E102FBE}" type="presOf" srcId="{6BD60D18-B138-4863-BD4B-6F9F09866EAD}" destId="{12760582-3301-4E46-A73E-1B213C9C5F65}" srcOrd="0" destOrd="0" presId="urn:microsoft.com/office/officeart/2005/8/layout/chevron1"/>
    <dgm:cxn modelId="{8570DEBE-CD44-4769-9194-80FAA7032031}" type="presOf" srcId="{6C9B8AA1-1CD6-41F8-9839-6F829AC270EA}" destId="{7A19CD93-A7C5-4AFA-9D67-7AB8297E9202}" srcOrd="0" destOrd="0" presId="urn:microsoft.com/office/officeart/2005/8/layout/chevron1"/>
    <dgm:cxn modelId="{376D11CD-1417-476E-99D5-C8C174C8E8AF}" srcId="{A79D9371-CBF2-4448-BB47-60A30AEC3D5A}" destId="{B5B5081E-EA3F-4B22-B376-8ABE5E753A8A}" srcOrd="2" destOrd="0" parTransId="{07C2343E-3305-4F72-8C17-EFF7EE7A0D23}" sibTransId="{223DE250-FD86-4ECC-BCF4-BC343DAA7733}"/>
    <dgm:cxn modelId="{135DFCDC-D987-4CC8-93EB-CD3A474D7CB0}" srcId="{A79D9371-CBF2-4448-BB47-60A30AEC3D5A}" destId="{6BD60D18-B138-4863-BD4B-6F9F09866EAD}" srcOrd="5" destOrd="0" parTransId="{C57AAD3F-9CC5-4D34-A827-CDFC5574B930}" sibTransId="{7A849428-AD01-4212-B357-DB456D8C579C}"/>
    <dgm:cxn modelId="{E15E4F79-E655-4F17-9EFE-2E69BF9E4F09}" type="presParOf" srcId="{C722C947-C661-4685-B055-1B849D2386B6}" destId="{12D0B9D1-D42F-46AA-9E88-85DD4B0A0DFC}" srcOrd="0" destOrd="0" presId="urn:microsoft.com/office/officeart/2005/8/layout/chevron1"/>
    <dgm:cxn modelId="{F4CAAC78-B661-498D-BB85-7B109FE88D65}" type="presParOf" srcId="{C722C947-C661-4685-B055-1B849D2386B6}" destId="{839462D3-9BAD-4A15-AC00-AEC65130AE67}" srcOrd="1" destOrd="0" presId="urn:microsoft.com/office/officeart/2005/8/layout/chevron1"/>
    <dgm:cxn modelId="{604AF5AC-76BA-419F-B714-01D75DBAAD90}" type="presParOf" srcId="{C722C947-C661-4685-B055-1B849D2386B6}" destId="{7A19CD93-A7C5-4AFA-9D67-7AB8297E9202}" srcOrd="2" destOrd="0" presId="urn:microsoft.com/office/officeart/2005/8/layout/chevron1"/>
    <dgm:cxn modelId="{CED3CC36-9334-411D-A7C1-36B204FD8B73}" type="presParOf" srcId="{C722C947-C661-4685-B055-1B849D2386B6}" destId="{EEB5F684-E1E8-443D-AF29-EF16CD666FDA}" srcOrd="3" destOrd="0" presId="urn:microsoft.com/office/officeart/2005/8/layout/chevron1"/>
    <dgm:cxn modelId="{1EED8D1E-34E1-4F2D-B31D-EBBB2027407C}" type="presParOf" srcId="{C722C947-C661-4685-B055-1B849D2386B6}" destId="{61E7CEF5-261A-42D0-AE80-14D8183A1A19}" srcOrd="4" destOrd="0" presId="urn:microsoft.com/office/officeart/2005/8/layout/chevron1"/>
    <dgm:cxn modelId="{A399B725-C2AD-43D7-BAAF-F1E524D08DD5}" type="presParOf" srcId="{C722C947-C661-4685-B055-1B849D2386B6}" destId="{2FCC86A1-8053-4D75-B521-B3839AF323CE}" srcOrd="5" destOrd="0" presId="urn:microsoft.com/office/officeart/2005/8/layout/chevron1"/>
    <dgm:cxn modelId="{D8071310-09E2-4697-B2B7-66D856EB9FDB}" type="presParOf" srcId="{C722C947-C661-4685-B055-1B849D2386B6}" destId="{DB7625D2-156D-43D6-BBA0-EBE9F2410AB9}" srcOrd="6" destOrd="0" presId="urn:microsoft.com/office/officeart/2005/8/layout/chevron1"/>
    <dgm:cxn modelId="{82927A03-43BC-4107-81D5-F514F4EB31E8}" type="presParOf" srcId="{C722C947-C661-4685-B055-1B849D2386B6}" destId="{38B64EFB-B957-4FD7-A1A0-4743A39DA78C}" srcOrd="7" destOrd="0" presId="urn:microsoft.com/office/officeart/2005/8/layout/chevron1"/>
    <dgm:cxn modelId="{1CC4C7AD-720E-44B0-AD43-771A90AC901F}" type="presParOf" srcId="{C722C947-C661-4685-B055-1B849D2386B6}" destId="{873B0998-E380-48F9-B0BC-66EB4DBBC36C}" srcOrd="8" destOrd="0" presId="urn:microsoft.com/office/officeart/2005/8/layout/chevron1"/>
    <dgm:cxn modelId="{E9159221-0D94-4EFC-B64C-6D4AB33CEAEE}" type="presParOf" srcId="{C722C947-C661-4685-B055-1B849D2386B6}" destId="{52E231D3-D3E0-412E-BACB-4834941F76B1}" srcOrd="9" destOrd="0" presId="urn:microsoft.com/office/officeart/2005/8/layout/chevron1"/>
    <dgm:cxn modelId="{A390864D-E53B-4E8B-98BA-D09873391982}" type="presParOf" srcId="{C722C947-C661-4685-B055-1B849D2386B6}" destId="{12760582-3301-4E46-A73E-1B213C9C5F65}" srcOrd="10" destOrd="0" presId="urn:microsoft.com/office/officeart/2005/8/layout/chevron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512A386-1151-41E0-997E-58396B71BD6A}" type="doc">
      <dgm:prSet loTypeId="urn:microsoft.com/office/officeart/2005/8/layout/cycle3#2" loCatId="cycle" qsTypeId="urn:microsoft.com/office/officeart/2005/8/quickstyle/3d3" qsCatId="3D" csTypeId="urn:microsoft.com/office/officeart/2005/8/colors/colorful2" csCatId="colorful" phldr="1"/>
      <dgm:spPr/>
      <dgm:t>
        <a:bodyPr/>
        <a:lstStyle/>
        <a:p>
          <a:endParaRPr lang="en-US"/>
        </a:p>
      </dgm:t>
    </dgm:pt>
    <dgm:pt modelId="{F463BE24-0718-467E-B8A3-3B0F12C23057}">
      <dgm:prSet phldrT="[Text]" custT="1"/>
      <dgm:spPr/>
      <dgm:t>
        <a:bodyPr/>
        <a:lstStyle/>
        <a:p>
          <a:pPr algn="ctr"/>
          <a:r>
            <a:rPr lang="en-US" sz="800" b="1">
              <a:solidFill>
                <a:schemeClr val="tx1"/>
              </a:solidFill>
              <a:latin typeface="Times New Roman" pitchFamily="18" charset="0"/>
              <a:cs typeface="Times New Roman" pitchFamily="18" charset="0"/>
            </a:rPr>
            <a:t>Cultural Clashes and Misunderstandings</a:t>
          </a:r>
          <a:endParaRPr lang="en-US" sz="800">
            <a:solidFill>
              <a:schemeClr val="tx1"/>
            </a:solidFill>
            <a:latin typeface="Times New Roman" pitchFamily="18" charset="0"/>
            <a:cs typeface="Times New Roman" pitchFamily="18" charset="0"/>
          </a:endParaRPr>
        </a:p>
      </dgm:t>
    </dgm:pt>
    <dgm:pt modelId="{B9F47478-576C-4671-BEEA-3627018E376B}" type="parTrans" cxnId="{70D450F5-B3EB-48A7-94DA-6FB37BA754A4}">
      <dgm:prSet/>
      <dgm:spPr/>
      <dgm:t>
        <a:bodyPr/>
        <a:lstStyle/>
        <a:p>
          <a:pPr algn="ctr"/>
          <a:endParaRPr lang="en-US" sz="1800">
            <a:solidFill>
              <a:schemeClr val="tx1"/>
            </a:solidFill>
            <a:latin typeface="Times New Roman" pitchFamily="18" charset="0"/>
            <a:cs typeface="Times New Roman" pitchFamily="18" charset="0"/>
          </a:endParaRPr>
        </a:p>
      </dgm:t>
    </dgm:pt>
    <dgm:pt modelId="{2A42725C-A380-4D74-9204-53EEB98CC799}" type="sibTrans" cxnId="{70D450F5-B3EB-48A7-94DA-6FB37BA754A4}">
      <dgm:prSet/>
      <dgm:spPr/>
      <dgm:t>
        <a:bodyPr/>
        <a:lstStyle/>
        <a:p>
          <a:pPr algn="ctr"/>
          <a:endParaRPr lang="en-US" sz="1800">
            <a:solidFill>
              <a:schemeClr val="tx1"/>
            </a:solidFill>
            <a:latin typeface="Times New Roman" pitchFamily="18" charset="0"/>
            <a:cs typeface="Times New Roman" pitchFamily="18" charset="0"/>
          </a:endParaRPr>
        </a:p>
      </dgm:t>
    </dgm:pt>
    <dgm:pt modelId="{4571E5AF-67FE-415E-B87E-B106EDB28D31}">
      <dgm:prSet phldrT="[Text]" custT="1"/>
      <dgm:spPr/>
      <dgm:t>
        <a:bodyPr/>
        <a:lstStyle/>
        <a:p>
          <a:pPr algn="ctr"/>
          <a:r>
            <a:rPr lang="en-US" sz="800" b="1">
              <a:solidFill>
                <a:schemeClr val="tx1"/>
              </a:solidFill>
              <a:latin typeface="Times New Roman" pitchFamily="18" charset="0"/>
              <a:cs typeface="Times New Roman" pitchFamily="18" charset="0"/>
            </a:rPr>
            <a:t>Integration Difficulties</a:t>
          </a:r>
          <a:endParaRPr lang="en-US" sz="800">
            <a:solidFill>
              <a:schemeClr val="tx1"/>
            </a:solidFill>
            <a:latin typeface="Times New Roman" pitchFamily="18" charset="0"/>
            <a:cs typeface="Times New Roman" pitchFamily="18" charset="0"/>
          </a:endParaRPr>
        </a:p>
      </dgm:t>
    </dgm:pt>
    <dgm:pt modelId="{16C3DD48-2E7D-4F61-9BDA-259E0AD96EB6}" type="parTrans" cxnId="{817EC2A2-7764-454F-9123-7B1819B3F2CF}">
      <dgm:prSet/>
      <dgm:spPr/>
      <dgm:t>
        <a:bodyPr/>
        <a:lstStyle/>
        <a:p>
          <a:pPr algn="ctr"/>
          <a:endParaRPr lang="en-US" sz="1800">
            <a:solidFill>
              <a:schemeClr val="tx1"/>
            </a:solidFill>
            <a:latin typeface="Times New Roman" pitchFamily="18" charset="0"/>
            <a:cs typeface="Times New Roman" pitchFamily="18" charset="0"/>
          </a:endParaRPr>
        </a:p>
      </dgm:t>
    </dgm:pt>
    <dgm:pt modelId="{C2884C97-6A03-42D3-B85B-E59344EA76B2}" type="sibTrans" cxnId="{817EC2A2-7764-454F-9123-7B1819B3F2CF}">
      <dgm:prSet/>
      <dgm:spPr/>
      <dgm:t>
        <a:bodyPr/>
        <a:lstStyle/>
        <a:p>
          <a:pPr algn="ctr"/>
          <a:endParaRPr lang="en-US" sz="1800">
            <a:solidFill>
              <a:schemeClr val="tx1"/>
            </a:solidFill>
            <a:latin typeface="Times New Roman" pitchFamily="18" charset="0"/>
            <a:cs typeface="Times New Roman" pitchFamily="18" charset="0"/>
          </a:endParaRPr>
        </a:p>
      </dgm:t>
    </dgm:pt>
    <dgm:pt modelId="{669A79C1-B5F8-488A-8C39-AFC30AE4D70F}">
      <dgm:prSet phldrT="[Text]" custT="1"/>
      <dgm:spPr/>
      <dgm:t>
        <a:bodyPr/>
        <a:lstStyle/>
        <a:p>
          <a:pPr algn="ctr"/>
          <a:r>
            <a:rPr lang="en-US" sz="800" b="1">
              <a:solidFill>
                <a:schemeClr val="tx1"/>
              </a:solidFill>
              <a:latin typeface="Times New Roman" pitchFamily="18" charset="0"/>
              <a:cs typeface="Times New Roman" pitchFamily="18" charset="0"/>
            </a:rPr>
            <a:t>Leadership Challenges</a:t>
          </a:r>
          <a:endParaRPr lang="en-US" sz="800">
            <a:solidFill>
              <a:schemeClr val="tx1"/>
            </a:solidFill>
            <a:latin typeface="Times New Roman" pitchFamily="18" charset="0"/>
            <a:cs typeface="Times New Roman" pitchFamily="18" charset="0"/>
          </a:endParaRPr>
        </a:p>
      </dgm:t>
    </dgm:pt>
    <dgm:pt modelId="{3CE0CEEE-DF43-496B-B083-42B0E7823FE2}" type="parTrans" cxnId="{FD77FC07-FE5B-4654-AB0A-16EA6B955CA0}">
      <dgm:prSet/>
      <dgm:spPr/>
      <dgm:t>
        <a:bodyPr/>
        <a:lstStyle/>
        <a:p>
          <a:pPr algn="ctr"/>
          <a:endParaRPr lang="en-US" sz="1800">
            <a:solidFill>
              <a:schemeClr val="tx1"/>
            </a:solidFill>
            <a:latin typeface="Times New Roman" pitchFamily="18" charset="0"/>
            <a:cs typeface="Times New Roman" pitchFamily="18" charset="0"/>
          </a:endParaRPr>
        </a:p>
      </dgm:t>
    </dgm:pt>
    <dgm:pt modelId="{B0759F1F-D514-43BF-9B3A-D3A2E428A10E}" type="sibTrans" cxnId="{FD77FC07-FE5B-4654-AB0A-16EA6B955CA0}">
      <dgm:prSet/>
      <dgm:spPr/>
      <dgm:t>
        <a:bodyPr/>
        <a:lstStyle/>
        <a:p>
          <a:pPr algn="ctr"/>
          <a:endParaRPr lang="en-US" sz="1800">
            <a:solidFill>
              <a:schemeClr val="tx1"/>
            </a:solidFill>
            <a:latin typeface="Times New Roman" pitchFamily="18" charset="0"/>
            <a:cs typeface="Times New Roman" pitchFamily="18" charset="0"/>
          </a:endParaRPr>
        </a:p>
      </dgm:t>
    </dgm:pt>
    <dgm:pt modelId="{F49D4532-93BB-4C10-9D7C-71B5BA5C68CF}">
      <dgm:prSet phldrT="[Text]" custT="1"/>
      <dgm:spPr/>
      <dgm:t>
        <a:bodyPr/>
        <a:lstStyle/>
        <a:p>
          <a:pPr algn="ctr"/>
          <a:r>
            <a:rPr lang="en-US" sz="800" b="1">
              <a:solidFill>
                <a:schemeClr val="tx1"/>
              </a:solidFill>
              <a:latin typeface="Times New Roman" pitchFamily="18" charset="0"/>
              <a:cs typeface="Times New Roman" pitchFamily="18" charset="0"/>
            </a:rPr>
            <a:t>Employee Engagement and Retention</a:t>
          </a:r>
          <a:endParaRPr lang="en-US" sz="800">
            <a:solidFill>
              <a:schemeClr val="tx1"/>
            </a:solidFill>
            <a:latin typeface="Times New Roman" pitchFamily="18" charset="0"/>
            <a:cs typeface="Times New Roman" pitchFamily="18" charset="0"/>
          </a:endParaRPr>
        </a:p>
      </dgm:t>
    </dgm:pt>
    <dgm:pt modelId="{361B0EFF-B8BC-4761-B802-87847048F450}" type="parTrans" cxnId="{BF79C3E9-1E90-4EA5-AC79-226AACB842CA}">
      <dgm:prSet/>
      <dgm:spPr/>
      <dgm:t>
        <a:bodyPr/>
        <a:lstStyle/>
        <a:p>
          <a:pPr algn="ctr"/>
          <a:endParaRPr lang="en-US" sz="1800">
            <a:solidFill>
              <a:schemeClr val="tx1"/>
            </a:solidFill>
            <a:latin typeface="Times New Roman" pitchFamily="18" charset="0"/>
            <a:cs typeface="Times New Roman" pitchFamily="18" charset="0"/>
          </a:endParaRPr>
        </a:p>
      </dgm:t>
    </dgm:pt>
    <dgm:pt modelId="{19A92AD9-D6E8-4F24-B940-F36A178CFD06}" type="sibTrans" cxnId="{BF79C3E9-1E90-4EA5-AC79-226AACB842CA}">
      <dgm:prSet/>
      <dgm:spPr/>
      <dgm:t>
        <a:bodyPr/>
        <a:lstStyle/>
        <a:p>
          <a:pPr algn="ctr"/>
          <a:endParaRPr lang="en-US" sz="1800">
            <a:solidFill>
              <a:schemeClr val="tx1"/>
            </a:solidFill>
            <a:latin typeface="Times New Roman" pitchFamily="18" charset="0"/>
            <a:cs typeface="Times New Roman" pitchFamily="18" charset="0"/>
          </a:endParaRPr>
        </a:p>
      </dgm:t>
    </dgm:pt>
    <dgm:pt modelId="{3195BEC9-B01E-437E-91A7-3F5D8AA50EB0}">
      <dgm:prSet phldrT="[Text]" custT="1"/>
      <dgm:spPr/>
      <dgm:t>
        <a:bodyPr/>
        <a:lstStyle/>
        <a:p>
          <a:pPr algn="ctr"/>
          <a:r>
            <a:rPr lang="en-US" sz="800" b="1">
              <a:solidFill>
                <a:schemeClr val="tx1"/>
              </a:solidFill>
              <a:latin typeface="Times New Roman" pitchFamily="18" charset="0"/>
              <a:cs typeface="Times New Roman" pitchFamily="18" charset="0"/>
            </a:rPr>
            <a:t>Cultural Adaptation Strategies</a:t>
          </a:r>
          <a:endParaRPr lang="en-US" sz="800">
            <a:solidFill>
              <a:schemeClr val="tx1"/>
            </a:solidFill>
            <a:latin typeface="Times New Roman" pitchFamily="18" charset="0"/>
            <a:cs typeface="Times New Roman" pitchFamily="18" charset="0"/>
          </a:endParaRPr>
        </a:p>
      </dgm:t>
    </dgm:pt>
    <dgm:pt modelId="{D7166DF9-E902-48DB-AF9A-FAB9CA3D8161}" type="parTrans" cxnId="{A15DBA30-B42A-4503-A568-D3F6BD8A6349}">
      <dgm:prSet/>
      <dgm:spPr/>
      <dgm:t>
        <a:bodyPr/>
        <a:lstStyle/>
        <a:p>
          <a:pPr algn="ctr"/>
          <a:endParaRPr lang="en-US" sz="1800">
            <a:solidFill>
              <a:schemeClr val="tx1"/>
            </a:solidFill>
            <a:latin typeface="Times New Roman" pitchFamily="18" charset="0"/>
            <a:cs typeface="Times New Roman" pitchFamily="18" charset="0"/>
          </a:endParaRPr>
        </a:p>
      </dgm:t>
    </dgm:pt>
    <dgm:pt modelId="{5C997386-30AC-41A1-BF52-3C3CCA648C6D}" type="sibTrans" cxnId="{A15DBA30-B42A-4503-A568-D3F6BD8A6349}">
      <dgm:prSet/>
      <dgm:spPr/>
      <dgm:t>
        <a:bodyPr/>
        <a:lstStyle/>
        <a:p>
          <a:pPr algn="ctr"/>
          <a:endParaRPr lang="en-US" sz="1800">
            <a:solidFill>
              <a:schemeClr val="tx1"/>
            </a:solidFill>
            <a:latin typeface="Times New Roman" pitchFamily="18" charset="0"/>
            <a:cs typeface="Times New Roman" pitchFamily="18" charset="0"/>
          </a:endParaRPr>
        </a:p>
      </dgm:t>
    </dgm:pt>
    <dgm:pt modelId="{D0EAD913-22E7-49D5-A789-AB20EE62F91A}">
      <dgm:prSet custT="1"/>
      <dgm:spPr/>
      <dgm:t>
        <a:bodyPr/>
        <a:lstStyle/>
        <a:p>
          <a:pPr algn="ctr"/>
          <a:r>
            <a:rPr lang="en-US" sz="800" b="1">
              <a:solidFill>
                <a:schemeClr val="tx1"/>
              </a:solidFill>
              <a:latin typeface="Times New Roman" pitchFamily="18" charset="0"/>
              <a:cs typeface="Times New Roman" pitchFamily="18" charset="0"/>
            </a:rPr>
            <a:t>Legal and Regulatory Compliance</a:t>
          </a:r>
          <a:endParaRPr lang="en-US" sz="800">
            <a:solidFill>
              <a:schemeClr val="tx1"/>
            </a:solidFill>
            <a:latin typeface="Times New Roman" pitchFamily="18" charset="0"/>
            <a:cs typeface="Times New Roman" pitchFamily="18" charset="0"/>
          </a:endParaRPr>
        </a:p>
      </dgm:t>
    </dgm:pt>
    <dgm:pt modelId="{56F6B4C2-5C30-4B77-BED3-D5ABBD321047}" type="parTrans" cxnId="{1F9785C2-40B7-416C-B194-77DB73F80B06}">
      <dgm:prSet/>
      <dgm:spPr/>
      <dgm:t>
        <a:bodyPr/>
        <a:lstStyle/>
        <a:p>
          <a:pPr algn="ctr"/>
          <a:endParaRPr lang="en-US" sz="1800">
            <a:solidFill>
              <a:schemeClr val="tx1"/>
            </a:solidFill>
            <a:latin typeface="Times New Roman" pitchFamily="18" charset="0"/>
            <a:cs typeface="Times New Roman" pitchFamily="18" charset="0"/>
          </a:endParaRPr>
        </a:p>
      </dgm:t>
    </dgm:pt>
    <dgm:pt modelId="{62750770-DDFA-46FA-8E3C-E6C3546F51AE}" type="sibTrans" cxnId="{1F9785C2-40B7-416C-B194-77DB73F80B06}">
      <dgm:prSet/>
      <dgm:spPr/>
      <dgm:t>
        <a:bodyPr/>
        <a:lstStyle/>
        <a:p>
          <a:pPr algn="ctr"/>
          <a:endParaRPr lang="en-US" sz="1800">
            <a:solidFill>
              <a:schemeClr val="tx1"/>
            </a:solidFill>
            <a:latin typeface="Times New Roman" pitchFamily="18" charset="0"/>
            <a:cs typeface="Times New Roman" pitchFamily="18" charset="0"/>
          </a:endParaRPr>
        </a:p>
      </dgm:t>
    </dgm:pt>
    <dgm:pt modelId="{B1F50DB9-A1D9-4D95-B9A9-E1D4ECBF98F0}">
      <dgm:prSet custT="1"/>
      <dgm:spPr/>
      <dgm:t>
        <a:bodyPr/>
        <a:lstStyle/>
        <a:p>
          <a:pPr algn="ctr"/>
          <a:r>
            <a:rPr lang="en-US" sz="800" b="1">
              <a:solidFill>
                <a:schemeClr val="tx1"/>
              </a:solidFill>
              <a:latin typeface="Times New Roman" pitchFamily="18" charset="0"/>
              <a:cs typeface="Times New Roman" pitchFamily="18" charset="0"/>
            </a:rPr>
            <a:t>Cultural Sensitivity Training</a:t>
          </a:r>
          <a:endParaRPr lang="en-US" sz="800">
            <a:solidFill>
              <a:schemeClr val="tx1"/>
            </a:solidFill>
            <a:latin typeface="Times New Roman" pitchFamily="18" charset="0"/>
            <a:cs typeface="Times New Roman" pitchFamily="18" charset="0"/>
          </a:endParaRPr>
        </a:p>
      </dgm:t>
    </dgm:pt>
    <dgm:pt modelId="{66433EDE-8326-4130-8069-6E02AC85689F}" type="parTrans" cxnId="{CD9E7B04-19F4-43A5-8883-8DFF038A10B2}">
      <dgm:prSet/>
      <dgm:spPr/>
      <dgm:t>
        <a:bodyPr/>
        <a:lstStyle/>
        <a:p>
          <a:pPr algn="ctr"/>
          <a:endParaRPr lang="en-US" sz="1800">
            <a:solidFill>
              <a:schemeClr val="tx1"/>
            </a:solidFill>
            <a:latin typeface="Times New Roman" pitchFamily="18" charset="0"/>
            <a:cs typeface="Times New Roman" pitchFamily="18" charset="0"/>
          </a:endParaRPr>
        </a:p>
      </dgm:t>
    </dgm:pt>
    <dgm:pt modelId="{71D9EA4E-62BB-4D7E-8645-6C3141DE9FED}" type="sibTrans" cxnId="{CD9E7B04-19F4-43A5-8883-8DFF038A10B2}">
      <dgm:prSet/>
      <dgm:spPr/>
      <dgm:t>
        <a:bodyPr/>
        <a:lstStyle/>
        <a:p>
          <a:pPr algn="ctr"/>
          <a:endParaRPr lang="en-US" sz="1800">
            <a:solidFill>
              <a:schemeClr val="tx1"/>
            </a:solidFill>
            <a:latin typeface="Times New Roman" pitchFamily="18" charset="0"/>
            <a:cs typeface="Times New Roman" pitchFamily="18" charset="0"/>
          </a:endParaRPr>
        </a:p>
      </dgm:t>
    </dgm:pt>
    <dgm:pt modelId="{80944CC4-F69F-427E-A813-A78D9EABE0D2}" type="pres">
      <dgm:prSet presAssocID="{2512A386-1151-41E0-997E-58396B71BD6A}" presName="Name0" presStyleCnt="0">
        <dgm:presLayoutVars>
          <dgm:dir/>
          <dgm:resizeHandles val="exact"/>
        </dgm:presLayoutVars>
      </dgm:prSet>
      <dgm:spPr/>
    </dgm:pt>
    <dgm:pt modelId="{20F46468-4D56-4580-9A32-E9142E10897A}" type="pres">
      <dgm:prSet presAssocID="{2512A386-1151-41E0-997E-58396B71BD6A}" presName="cycle" presStyleCnt="0"/>
      <dgm:spPr/>
    </dgm:pt>
    <dgm:pt modelId="{B8BCE8AA-AA15-4D33-A86E-1AD19D7C304B}" type="pres">
      <dgm:prSet presAssocID="{F463BE24-0718-467E-B8A3-3B0F12C23057}" presName="nodeFirstNode" presStyleLbl="node1" presStyleIdx="0" presStyleCnt="7">
        <dgm:presLayoutVars>
          <dgm:bulletEnabled val="1"/>
        </dgm:presLayoutVars>
      </dgm:prSet>
      <dgm:spPr/>
    </dgm:pt>
    <dgm:pt modelId="{F88663C1-042D-4BB9-9CAC-8968136F7C46}" type="pres">
      <dgm:prSet presAssocID="{2A42725C-A380-4D74-9204-53EEB98CC799}" presName="sibTransFirstNode" presStyleLbl="bgShp" presStyleIdx="0" presStyleCnt="1"/>
      <dgm:spPr/>
    </dgm:pt>
    <dgm:pt modelId="{F106AE5B-B4A3-4186-A98A-CE1ABA7C2A9A}" type="pres">
      <dgm:prSet presAssocID="{4571E5AF-67FE-415E-B87E-B106EDB28D31}" presName="nodeFollowingNodes" presStyleLbl="node1" presStyleIdx="1" presStyleCnt="7">
        <dgm:presLayoutVars>
          <dgm:bulletEnabled val="1"/>
        </dgm:presLayoutVars>
      </dgm:prSet>
      <dgm:spPr/>
    </dgm:pt>
    <dgm:pt modelId="{555CC42C-D4DA-429D-B87F-E5CA8F440CC2}" type="pres">
      <dgm:prSet presAssocID="{669A79C1-B5F8-488A-8C39-AFC30AE4D70F}" presName="nodeFollowingNodes" presStyleLbl="node1" presStyleIdx="2" presStyleCnt="7">
        <dgm:presLayoutVars>
          <dgm:bulletEnabled val="1"/>
        </dgm:presLayoutVars>
      </dgm:prSet>
      <dgm:spPr/>
    </dgm:pt>
    <dgm:pt modelId="{54B2DDA9-4673-49B0-8E69-838B7CB091B3}" type="pres">
      <dgm:prSet presAssocID="{F49D4532-93BB-4C10-9D7C-71B5BA5C68CF}" presName="nodeFollowingNodes" presStyleLbl="node1" presStyleIdx="3" presStyleCnt="7">
        <dgm:presLayoutVars>
          <dgm:bulletEnabled val="1"/>
        </dgm:presLayoutVars>
      </dgm:prSet>
      <dgm:spPr/>
    </dgm:pt>
    <dgm:pt modelId="{DBC926D7-46F1-4AAE-B404-68EB19AFFCDA}" type="pres">
      <dgm:prSet presAssocID="{3195BEC9-B01E-437E-91A7-3F5D8AA50EB0}" presName="nodeFollowingNodes" presStyleLbl="node1" presStyleIdx="4" presStyleCnt="7">
        <dgm:presLayoutVars>
          <dgm:bulletEnabled val="1"/>
        </dgm:presLayoutVars>
      </dgm:prSet>
      <dgm:spPr/>
    </dgm:pt>
    <dgm:pt modelId="{D7FB44B9-D3D5-4484-95A4-97D41F3BCD55}" type="pres">
      <dgm:prSet presAssocID="{B1F50DB9-A1D9-4D95-B9A9-E1D4ECBF98F0}" presName="nodeFollowingNodes" presStyleLbl="node1" presStyleIdx="5" presStyleCnt="7">
        <dgm:presLayoutVars>
          <dgm:bulletEnabled val="1"/>
        </dgm:presLayoutVars>
      </dgm:prSet>
      <dgm:spPr/>
    </dgm:pt>
    <dgm:pt modelId="{2613E480-24CF-4051-A353-815FA862F728}" type="pres">
      <dgm:prSet presAssocID="{D0EAD913-22E7-49D5-A789-AB20EE62F91A}" presName="nodeFollowingNodes" presStyleLbl="node1" presStyleIdx="6" presStyleCnt="7">
        <dgm:presLayoutVars>
          <dgm:bulletEnabled val="1"/>
        </dgm:presLayoutVars>
      </dgm:prSet>
      <dgm:spPr/>
    </dgm:pt>
  </dgm:ptLst>
  <dgm:cxnLst>
    <dgm:cxn modelId="{CD9E7B04-19F4-43A5-8883-8DFF038A10B2}" srcId="{2512A386-1151-41E0-997E-58396B71BD6A}" destId="{B1F50DB9-A1D9-4D95-B9A9-E1D4ECBF98F0}" srcOrd="5" destOrd="0" parTransId="{66433EDE-8326-4130-8069-6E02AC85689F}" sibTransId="{71D9EA4E-62BB-4D7E-8645-6C3141DE9FED}"/>
    <dgm:cxn modelId="{79F34207-9FFC-4493-992F-CD296D91C6D2}" type="presOf" srcId="{B1F50DB9-A1D9-4D95-B9A9-E1D4ECBF98F0}" destId="{D7FB44B9-D3D5-4484-95A4-97D41F3BCD55}" srcOrd="0" destOrd="0" presId="urn:microsoft.com/office/officeart/2005/8/layout/cycle3#2"/>
    <dgm:cxn modelId="{FD77FC07-FE5B-4654-AB0A-16EA6B955CA0}" srcId="{2512A386-1151-41E0-997E-58396B71BD6A}" destId="{669A79C1-B5F8-488A-8C39-AFC30AE4D70F}" srcOrd="2" destOrd="0" parTransId="{3CE0CEEE-DF43-496B-B083-42B0E7823FE2}" sibTransId="{B0759F1F-D514-43BF-9B3A-D3A2E428A10E}"/>
    <dgm:cxn modelId="{A15DBA30-B42A-4503-A568-D3F6BD8A6349}" srcId="{2512A386-1151-41E0-997E-58396B71BD6A}" destId="{3195BEC9-B01E-437E-91A7-3F5D8AA50EB0}" srcOrd="4" destOrd="0" parTransId="{D7166DF9-E902-48DB-AF9A-FAB9CA3D8161}" sibTransId="{5C997386-30AC-41A1-BF52-3C3CCA648C6D}"/>
    <dgm:cxn modelId="{E67F7031-DF48-4BA1-9724-135FFCA36B4E}" type="presOf" srcId="{F49D4532-93BB-4C10-9D7C-71B5BA5C68CF}" destId="{54B2DDA9-4673-49B0-8E69-838B7CB091B3}" srcOrd="0" destOrd="0" presId="urn:microsoft.com/office/officeart/2005/8/layout/cycle3#2"/>
    <dgm:cxn modelId="{85197459-2178-448C-A732-5006A595693A}" type="presOf" srcId="{4571E5AF-67FE-415E-B87E-B106EDB28D31}" destId="{F106AE5B-B4A3-4186-A98A-CE1ABA7C2A9A}" srcOrd="0" destOrd="0" presId="urn:microsoft.com/office/officeart/2005/8/layout/cycle3#2"/>
    <dgm:cxn modelId="{3F3A1D8B-04CC-4D8B-8CD1-FDF5F3797AF1}" type="presOf" srcId="{F463BE24-0718-467E-B8A3-3B0F12C23057}" destId="{B8BCE8AA-AA15-4D33-A86E-1AD19D7C304B}" srcOrd="0" destOrd="0" presId="urn:microsoft.com/office/officeart/2005/8/layout/cycle3#2"/>
    <dgm:cxn modelId="{817EC2A2-7764-454F-9123-7B1819B3F2CF}" srcId="{2512A386-1151-41E0-997E-58396B71BD6A}" destId="{4571E5AF-67FE-415E-B87E-B106EDB28D31}" srcOrd="1" destOrd="0" parTransId="{16C3DD48-2E7D-4F61-9BDA-259E0AD96EB6}" sibTransId="{C2884C97-6A03-42D3-B85B-E59344EA76B2}"/>
    <dgm:cxn modelId="{98DEE9BF-9C40-47B6-AE6D-1B7114865D34}" type="presOf" srcId="{2512A386-1151-41E0-997E-58396B71BD6A}" destId="{80944CC4-F69F-427E-A813-A78D9EABE0D2}" srcOrd="0" destOrd="0" presId="urn:microsoft.com/office/officeart/2005/8/layout/cycle3#2"/>
    <dgm:cxn modelId="{1F9785C2-40B7-416C-B194-77DB73F80B06}" srcId="{2512A386-1151-41E0-997E-58396B71BD6A}" destId="{D0EAD913-22E7-49D5-A789-AB20EE62F91A}" srcOrd="6" destOrd="0" parTransId="{56F6B4C2-5C30-4B77-BED3-D5ABBD321047}" sibTransId="{62750770-DDFA-46FA-8E3C-E6C3546F51AE}"/>
    <dgm:cxn modelId="{F931AACD-C527-4A23-BA7F-028BDB1EBD6A}" type="presOf" srcId="{669A79C1-B5F8-488A-8C39-AFC30AE4D70F}" destId="{555CC42C-D4DA-429D-B87F-E5CA8F440CC2}" srcOrd="0" destOrd="0" presId="urn:microsoft.com/office/officeart/2005/8/layout/cycle3#2"/>
    <dgm:cxn modelId="{66DCFCD0-B074-4E82-9853-B2024287EF05}" type="presOf" srcId="{D0EAD913-22E7-49D5-A789-AB20EE62F91A}" destId="{2613E480-24CF-4051-A353-815FA862F728}" srcOrd="0" destOrd="0" presId="urn:microsoft.com/office/officeart/2005/8/layout/cycle3#2"/>
    <dgm:cxn modelId="{D78E14D7-9CF4-40BB-ADCD-0B84AFF5798C}" type="presOf" srcId="{2A42725C-A380-4D74-9204-53EEB98CC799}" destId="{F88663C1-042D-4BB9-9CAC-8968136F7C46}" srcOrd="0" destOrd="0" presId="urn:microsoft.com/office/officeart/2005/8/layout/cycle3#2"/>
    <dgm:cxn modelId="{BF79C3E9-1E90-4EA5-AC79-226AACB842CA}" srcId="{2512A386-1151-41E0-997E-58396B71BD6A}" destId="{F49D4532-93BB-4C10-9D7C-71B5BA5C68CF}" srcOrd="3" destOrd="0" parTransId="{361B0EFF-B8BC-4761-B802-87847048F450}" sibTransId="{19A92AD9-D6E8-4F24-B940-F36A178CFD06}"/>
    <dgm:cxn modelId="{70D450F5-B3EB-48A7-94DA-6FB37BA754A4}" srcId="{2512A386-1151-41E0-997E-58396B71BD6A}" destId="{F463BE24-0718-467E-B8A3-3B0F12C23057}" srcOrd="0" destOrd="0" parTransId="{B9F47478-576C-4671-BEEA-3627018E376B}" sibTransId="{2A42725C-A380-4D74-9204-53EEB98CC799}"/>
    <dgm:cxn modelId="{E24021FA-B6B4-4931-8F8B-A2999694A672}" type="presOf" srcId="{3195BEC9-B01E-437E-91A7-3F5D8AA50EB0}" destId="{DBC926D7-46F1-4AAE-B404-68EB19AFFCDA}" srcOrd="0" destOrd="0" presId="urn:microsoft.com/office/officeart/2005/8/layout/cycle3#2"/>
    <dgm:cxn modelId="{3B57E2A4-7AB4-49C8-BA60-D8A94E8AE83E}" type="presParOf" srcId="{80944CC4-F69F-427E-A813-A78D9EABE0D2}" destId="{20F46468-4D56-4580-9A32-E9142E10897A}" srcOrd="0" destOrd="0" presId="urn:microsoft.com/office/officeart/2005/8/layout/cycle3#2"/>
    <dgm:cxn modelId="{7686CE05-394A-4271-BCF5-0319A4B8042A}" type="presParOf" srcId="{20F46468-4D56-4580-9A32-E9142E10897A}" destId="{B8BCE8AA-AA15-4D33-A86E-1AD19D7C304B}" srcOrd="0" destOrd="0" presId="urn:microsoft.com/office/officeart/2005/8/layout/cycle3#2"/>
    <dgm:cxn modelId="{F70DA917-9C94-46B2-A76F-AD54E138C20D}" type="presParOf" srcId="{20F46468-4D56-4580-9A32-E9142E10897A}" destId="{F88663C1-042D-4BB9-9CAC-8968136F7C46}" srcOrd="1" destOrd="0" presId="urn:microsoft.com/office/officeart/2005/8/layout/cycle3#2"/>
    <dgm:cxn modelId="{2A784633-B3B1-45E4-97C2-823C731F60A0}" type="presParOf" srcId="{20F46468-4D56-4580-9A32-E9142E10897A}" destId="{F106AE5B-B4A3-4186-A98A-CE1ABA7C2A9A}" srcOrd="2" destOrd="0" presId="urn:microsoft.com/office/officeart/2005/8/layout/cycle3#2"/>
    <dgm:cxn modelId="{B8126EC5-C4FC-4106-AE6F-ABAA1D70B104}" type="presParOf" srcId="{20F46468-4D56-4580-9A32-E9142E10897A}" destId="{555CC42C-D4DA-429D-B87F-E5CA8F440CC2}" srcOrd="3" destOrd="0" presId="urn:microsoft.com/office/officeart/2005/8/layout/cycle3#2"/>
    <dgm:cxn modelId="{DA3E8895-3187-4B93-8CF9-CD6D5DBCF71A}" type="presParOf" srcId="{20F46468-4D56-4580-9A32-E9142E10897A}" destId="{54B2DDA9-4673-49B0-8E69-838B7CB091B3}" srcOrd="4" destOrd="0" presId="urn:microsoft.com/office/officeart/2005/8/layout/cycle3#2"/>
    <dgm:cxn modelId="{7DFA849A-E2DF-4B94-9BB4-B00571A1F0F3}" type="presParOf" srcId="{20F46468-4D56-4580-9A32-E9142E10897A}" destId="{DBC926D7-46F1-4AAE-B404-68EB19AFFCDA}" srcOrd="5" destOrd="0" presId="urn:microsoft.com/office/officeart/2005/8/layout/cycle3#2"/>
    <dgm:cxn modelId="{BF044BC7-E9AE-43D7-B6C8-A75643383DC4}" type="presParOf" srcId="{20F46468-4D56-4580-9A32-E9142E10897A}" destId="{D7FB44B9-D3D5-4484-95A4-97D41F3BCD55}" srcOrd="6" destOrd="0" presId="urn:microsoft.com/office/officeart/2005/8/layout/cycle3#2"/>
    <dgm:cxn modelId="{41486776-8984-42F7-B59A-6D66830E7161}" type="presParOf" srcId="{20F46468-4D56-4580-9A32-E9142E10897A}" destId="{2613E480-24CF-4051-A353-815FA862F728}" srcOrd="7" destOrd="0" presId="urn:microsoft.com/office/officeart/2005/8/layout/cycle3#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3F2EFF6-F8EE-4446-A5D6-8393AB36A441}" type="doc">
      <dgm:prSet loTypeId="urn:microsoft.com/office/officeart/2005/8/layout/radial4#1" loCatId="relationship" qsTypeId="urn:microsoft.com/office/officeart/2005/8/quickstyle/3d3" qsCatId="3D" csTypeId="urn:microsoft.com/office/officeart/2005/8/colors/colorful2" csCatId="colorful" phldr="1"/>
      <dgm:spPr/>
      <dgm:t>
        <a:bodyPr/>
        <a:lstStyle/>
        <a:p>
          <a:endParaRPr lang="en-US"/>
        </a:p>
      </dgm:t>
    </dgm:pt>
    <dgm:pt modelId="{DCFFA45C-BFE5-4583-A5DC-4A974D6E9362}">
      <dgm:prSet phldrT="[Text]" custT="1"/>
      <dgm:spPr/>
      <dgm:t>
        <a:bodyPr/>
        <a:lstStyle/>
        <a:p>
          <a:pPr algn="ctr"/>
          <a:r>
            <a:rPr lang="en-US" sz="1100" b="1">
              <a:solidFill>
                <a:schemeClr val="tx1"/>
              </a:solidFill>
            </a:rPr>
            <a:t>Collaboration and Team Performance</a:t>
          </a:r>
        </a:p>
        <a:p>
          <a:pPr algn="ctr"/>
          <a:r>
            <a:rPr lang="en-US" sz="1100" b="1">
              <a:solidFill>
                <a:schemeClr val="tx1"/>
              </a:solidFill>
              <a:latin typeface="Times New Roman" pitchFamily="18" charset="0"/>
              <a:cs typeface="Times New Roman" pitchFamily="18" charset="0"/>
            </a:rPr>
            <a:t>(Dependent variable)</a:t>
          </a:r>
        </a:p>
      </dgm:t>
    </dgm:pt>
    <dgm:pt modelId="{DFB9882A-A36B-4F48-866C-D85C58875F4D}" type="parTrans" cxnId="{55A5E5F2-23C9-4A0C-9B32-B4F9925A2AB2}">
      <dgm:prSet/>
      <dgm:spPr/>
      <dgm:t>
        <a:bodyPr/>
        <a:lstStyle/>
        <a:p>
          <a:pPr algn="ctr"/>
          <a:endParaRPr lang="en-US" sz="1100">
            <a:solidFill>
              <a:schemeClr val="tx1"/>
            </a:solidFill>
            <a:latin typeface="Times New Roman" pitchFamily="18" charset="0"/>
            <a:cs typeface="Times New Roman" pitchFamily="18" charset="0"/>
          </a:endParaRPr>
        </a:p>
      </dgm:t>
    </dgm:pt>
    <dgm:pt modelId="{519E47D2-59E5-40B4-9A75-64DE79EAD126}" type="sibTrans" cxnId="{55A5E5F2-23C9-4A0C-9B32-B4F9925A2AB2}">
      <dgm:prSet/>
      <dgm:spPr/>
      <dgm:t>
        <a:bodyPr/>
        <a:lstStyle/>
        <a:p>
          <a:pPr algn="ctr"/>
          <a:endParaRPr lang="en-US" sz="1100">
            <a:solidFill>
              <a:schemeClr val="tx1"/>
            </a:solidFill>
            <a:latin typeface="Times New Roman" pitchFamily="18" charset="0"/>
            <a:cs typeface="Times New Roman" pitchFamily="18" charset="0"/>
          </a:endParaRPr>
        </a:p>
      </dgm:t>
    </dgm:pt>
    <dgm:pt modelId="{5CF6160B-038C-4E27-AAC9-8B704E9E8764}">
      <dgm:prSet phldrT="[Text]" custT="1"/>
      <dgm:spPr/>
      <dgm:t>
        <a:bodyPr/>
        <a:lstStyle/>
        <a:p>
          <a:pPr algn="ctr"/>
          <a:r>
            <a:rPr lang="en-US" sz="1000" b="1">
              <a:solidFill>
                <a:schemeClr val="tx1"/>
              </a:solidFill>
            </a:rPr>
            <a:t>Cultural Awareness Training</a:t>
          </a:r>
        </a:p>
        <a:p>
          <a:pPr algn="ctr"/>
          <a:r>
            <a:rPr lang="en-US" sz="1000" b="1">
              <a:solidFill>
                <a:schemeClr val="tx1"/>
              </a:solidFill>
              <a:latin typeface="Times New Roman" pitchFamily="18" charset="0"/>
              <a:cs typeface="Times New Roman" pitchFamily="18" charset="0"/>
            </a:rPr>
            <a:t>(Independent variable) </a:t>
          </a:r>
          <a:endParaRPr lang="en-US" sz="1000">
            <a:solidFill>
              <a:schemeClr val="tx1"/>
            </a:solidFill>
            <a:latin typeface="Times New Roman" pitchFamily="18" charset="0"/>
            <a:cs typeface="Times New Roman" pitchFamily="18" charset="0"/>
          </a:endParaRPr>
        </a:p>
      </dgm:t>
    </dgm:pt>
    <dgm:pt modelId="{B101B208-7F57-4899-8134-A8579F13356E}" type="parTrans" cxnId="{289E3B40-4761-47DA-B15B-E4D25D7F3875}">
      <dgm:prSet/>
      <dgm:spPr/>
      <dgm:t>
        <a:bodyPr/>
        <a:lstStyle/>
        <a:p>
          <a:pPr algn="ctr"/>
          <a:endParaRPr lang="en-US" sz="1100">
            <a:solidFill>
              <a:schemeClr val="tx1"/>
            </a:solidFill>
            <a:latin typeface="Times New Roman" pitchFamily="18" charset="0"/>
            <a:cs typeface="Times New Roman" pitchFamily="18" charset="0"/>
          </a:endParaRPr>
        </a:p>
      </dgm:t>
    </dgm:pt>
    <dgm:pt modelId="{CFF98774-508B-45C4-88B0-2B3CE2450B8D}" type="sibTrans" cxnId="{289E3B40-4761-47DA-B15B-E4D25D7F3875}">
      <dgm:prSet/>
      <dgm:spPr/>
      <dgm:t>
        <a:bodyPr/>
        <a:lstStyle/>
        <a:p>
          <a:pPr algn="ctr"/>
          <a:endParaRPr lang="en-US" sz="1100">
            <a:solidFill>
              <a:schemeClr val="tx1"/>
            </a:solidFill>
            <a:latin typeface="Times New Roman" pitchFamily="18" charset="0"/>
            <a:cs typeface="Times New Roman" pitchFamily="18" charset="0"/>
          </a:endParaRPr>
        </a:p>
      </dgm:t>
    </dgm:pt>
    <dgm:pt modelId="{ECF8B83F-CF42-4358-A09C-25E5E8BC09F0}">
      <dgm:prSet phldrT="[Text]" custT="1"/>
      <dgm:spPr/>
      <dgm:t>
        <a:bodyPr/>
        <a:lstStyle/>
        <a:p>
          <a:pPr algn="ctr"/>
          <a:r>
            <a:rPr lang="en-US" sz="1000" b="1">
              <a:solidFill>
                <a:schemeClr val="tx1"/>
              </a:solidFill>
            </a:rPr>
            <a:t>Cross-Cultural Teams and Projects</a:t>
          </a:r>
        </a:p>
        <a:p>
          <a:pPr algn="ctr"/>
          <a:r>
            <a:rPr lang="en-US" sz="1000" b="1">
              <a:solidFill>
                <a:schemeClr val="tx1"/>
              </a:solidFill>
              <a:latin typeface="Times New Roman" pitchFamily="18" charset="0"/>
              <a:cs typeface="Times New Roman" pitchFamily="18" charset="0"/>
            </a:rPr>
            <a:t>(Independent variable) </a:t>
          </a:r>
          <a:endParaRPr lang="en-US" sz="1000">
            <a:solidFill>
              <a:schemeClr val="tx1"/>
            </a:solidFill>
            <a:latin typeface="Times New Roman" pitchFamily="18" charset="0"/>
            <a:cs typeface="Times New Roman" pitchFamily="18" charset="0"/>
          </a:endParaRPr>
        </a:p>
      </dgm:t>
    </dgm:pt>
    <dgm:pt modelId="{8C348A89-1EC8-4903-BF3E-E5773B437D22}" type="parTrans" cxnId="{15B60FEF-1873-4D04-8650-3E91D9BF06F9}">
      <dgm:prSet/>
      <dgm:spPr/>
      <dgm:t>
        <a:bodyPr/>
        <a:lstStyle/>
        <a:p>
          <a:pPr algn="ctr"/>
          <a:endParaRPr lang="en-US" sz="1100">
            <a:solidFill>
              <a:schemeClr val="tx1"/>
            </a:solidFill>
            <a:latin typeface="Times New Roman" pitchFamily="18" charset="0"/>
            <a:cs typeface="Times New Roman" pitchFamily="18" charset="0"/>
          </a:endParaRPr>
        </a:p>
      </dgm:t>
    </dgm:pt>
    <dgm:pt modelId="{40740447-DC6A-4217-A68F-8E0EB488D867}" type="sibTrans" cxnId="{15B60FEF-1873-4D04-8650-3E91D9BF06F9}">
      <dgm:prSet/>
      <dgm:spPr/>
      <dgm:t>
        <a:bodyPr/>
        <a:lstStyle/>
        <a:p>
          <a:pPr algn="ctr"/>
          <a:endParaRPr lang="en-US" sz="1100">
            <a:solidFill>
              <a:schemeClr val="tx1"/>
            </a:solidFill>
            <a:latin typeface="Times New Roman" pitchFamily="18" charset="0"/>
            <a:cs typeface="Times New Roman" pitchFamily="18" charset="0"/>
          </a:endParaRPr>
        </a:p>
      </dgm:t>
    </dgm:pt>
    <dgm:pt modelId="{52612058-7FDB-44D4-8871-D99CE45FA184}">
      <dgm:prSet phldrT="[Text]" custT="1"/>
      <dgm:spPr/>
      <dgm:t>
        <a:bodyPr/>
        <a:lstStyle/>
        <a:p>
          <a:pPr algn="ctr"/>
          <a:r>
            <a:rPr lang="en-US" sz="1000" b="1">
              <a:solidFill>
                <a:schemeClr val="tx1"/>
              </a:solidFill>
            </a:rPr>
            <a:t>Cultural Adaptation of Policies</a:t>
          </a:r>
        </a:p>
        <a:p>
          <a:pPr algn="ctr"/>
          <a:r>
            <a:rPr lang="en-US" sz="1000" b="1">
              <a:solidFill>
                <a:schemeClr val="tx1"/>
              </a:solidFill>
              <a:latin typeface="Times New Roman" pitchFamily="18" charset="0"/>
              <a:cs typeface="Times New Roman" pitchFamily="18" charset="0"/>
            </a:rPr>
            <a:t>(Independent variable) </a:t>
          </a:r>
          <a:endParaRPr lang="en-US" sz="1000">
            <a:solidFill>
              <a:schemeClr val="tx1"/>
            </a:solidFill>
            <a:latin typeface="Times New Roman" pitchFamily="18" charset="0"/>
            <a:cs typeface="Times New Roman" pitchFamily="18" charset="0"/>
          </a:endParaRPr>
        </a:p>
      </dgm:t>
    </dgm:pt>
    <dgm:pt modelId="{1FB41410-C39F-4B14-AA46-C24334BD34C0}" type="parTrans" cxnId="{4C3503EE-90B0-4BFD-90E2-6CE9801F1605}">
      <dgm:prSet/>
      <dgm:spPr/>
      <dgm:t>
        <a:bodyPr/>
        <a:lstStyle/>
        <a:p>
          <a:pPr algn="ctr"/>
          <a:endParaRPr lang="en-US" sz="1100">
            <a:solidFill>
              <a:schemeClr val="tx1"/>
            </a:solidFill>
            <a:latin typeface="Times New Roman" pitchFamily="18" charset="0"/>
            <a:cs typeface="Times New Roman" pitchFamily="18" charset="0"/>
          </a:endParaRPr>
        </a:p>
      </dgm:t>
    </dgm:pt>
    <dgm:pt modelId="{D73C23CF-71F5-469F-AC67-4B028847BEFB}" type="sibTrans" cxnId="{4C3503EE-90B0-4BFD-90E2-6CE9801F1605}">
      <dgm:prSet/>
      <dgm:spPr/>
      <dgm:t>
        <a:bodyPr/>
        <a:lstStyle/>
        <a:p>
          <a:pPr algn="ctr"/>
          <a:endParaRPr lang="en-US" sz="1100">
            <a:solidFill>
              <a:schemeClr val="tx1"/>
            </a:solidFill>
            <a:latin typeface="Times New Roman" pitchFamily="18" charset="0"/>
            <a:cs typeface="Times New Roman" pitchFamily="18" charset="0"/>
          </a:endParaRPr>
        </a:p>
      </dgm:t>
    </dgm:pt>
    <dgm:pt modelId="{0A1147A8-05FD-4C3A-8794-3953EEC962E7}" type="pres">
      <dgm:prSet presAssocID="{43F2EFF6-F8EE-4446-A5D6-8393AB36A441}" presName="cycle" presStyleCnt="0">
        <dgm:presLayoutVars>
          <dgm:chMax val="1"/>
          <dgm:dir/>
          <dgm:animLvl val="ctr"/>
          <dgm:resizeHandles val="exact"/>
        </dgm:presLayoutVars>
      </dgm:prSet>
      <dgm:spPr/>
    </dgm:pt>
    <dgm:pt modelId="{46F9789C-D1A9-4FB2-902E-33CD6FAD81AA}" type="pres">
      <dgm:prSet presAssocID="{DCFFA45C-BFE5-4583-A5DC-4A974D6E9362}" presName="centerShape" presStyleLbl="node0" presStyleIdx="0" presStyleCnt="1"/>
      <dgm:spPr/>
    </dgm:pt>
    <dgm:pt modelId="{A9E3C04B-171F-48BE-8992-9C0A5E5A35C4}" type="pres">
      <dgm:prSet presAssocID="{B101B208-7F57-4899-8134-A8579F13356E}" presName="parTrans" presStyleLbl="bgSibTrans2D1" presStyleIdx="0" presStyleCnt="3"/>
      <dgm:spPr/>
    </dgm:pt>
    <dgm:pt modelId="{08424C1F-5AB9-42CA-A5DB-BF7EDF60C789}" type="pres">
      <dgm:prSet presAssocID="{5CF6160B-038C-4E27-AAC9-8B704E9E8764}" presName="node" presStyleLbl="node1" presStyleIdx="0" presStyleCnt="3">
        <dgm:presLayoutVars>
          <dgm:bulletEnabled val="1"/>
        </dgm:presLayoutVars>
      </dgm:prSet>
      <dgm:spPr/>
    </dgm:pt>
    <dgm:pt modelId="{3C0B2AAC-694F-4102-94E6-03B1A8E5093C}" type="pres">
      <dgm:prSet presAssocID="{8C348A89-1EC8-4903-BF3E-E5773B437D22}" presName="parTrans" presStyleLbl="bgSibTrans2D1" presStyleIdx="1" presStyleCnt="3"/>
      <dgm:spPr/>
    </dgm:pt>
    <dgm:pt modelId="{0BB7127E-9B25-417D-BD53-9ABC38C2F6BB}" type="pres">
      <dgm:prSet presAssocID="{ECF8B83F-CF42-4358-A09C-25E5E8BC09F0}" presName="node" presStyleLbl="node1" presStyleIdx="1" presStyleCnt="3">
        <dgm:presLayoutVars>
          <dgm:bulletEnabled val="1"/>
        </dgm:presLayoutVars>
      </dgm:prSet>
      <dgm:spPr/>
    </dgm:pt>
    <dgm:pt modelId="{B1F25C48-7A04-41BC-8BE6-2DCA59AC3C78}" type="pres">
      <dgm:prSet presAssocID="{1FB41410-C39F-4B14-AA46-C24334BD34C0}" presName="parTrans" presStyleLbl="bgSibTrans2D1" presStyleIdx="2" presStyleCnt="3"/>
      <dgm:spPr/>
    </dgm:pt>
    <dgm:pt modelId="{AB677488-81DF-4406-8194-EFE4BF8611F8}" type="pres">
      <dgm:prSet presAssocID="{52612058-7FDB-44D4-8871-D99CE45FA184}" presName="node" presStyleLbl="node1" presStyleIdx="2" presStyleCnt="3">
        <dgm:presLayoutVars>
          <dgm:bulletEnabled val="1"/>
        </dgm:presLayoutVars>
      </dgm:prSet>
      <dgm:spPr/>
    </dgm:pt>
  </dgm:ptLst>
  <dgm:cxnLst>
    <dgm:cxn modelId="{28B3CF03-03AA-4341-B4F7-36CD4D170441}" type="presOf" srcId="{52612058-7FDB-44D4-8871-D99CE45FA184}" destId="{AB677488-81DF-4406-8194-EFE4BF8611F8}" srcOrd="0" destOrd="0" presId="urn:microsoft.com/office/officeart/2005/8/layout/radial4#1"/>
    <dgm:cxn modelId="{C5B76821-F7E5-46B6-B578-F580DAB71A0A}" type="presOf" srcId="{B101B208-7F57-4899-8134-A8579F13356E}" destId="{A9E3C04B-171F-48BE-8992-9C0A5E5A35C4}" srcOrd="0" destOrd="0" presId="urn:microsoft.com/office/officeart/2005/8/layout/radial4#1"/>
    <dgm:cxn modelId="{ACA50E24-B72B-4FD6-B995-62D4D02ED06D}" type="presOf" srcId="{DCFFA45C-BFE5-4583-A5DC-4A974D6E9362}" destId="{46F9789C-D1A9-4FB2-902E-33CD6FAD81AA}" srcOrd="0" destOrd="0" presId="urn:microsoft.com/office/officeart/2005/8/layout/radial4#1"/>
    <dgm:cxn modelId="{289E3B40-4761-47DA-B15B-E4D25D7F3875}" srcId="{DCFFA45C-BFE5-4583-A5DC-4A974D6E9362}" destId="{5CF6160B-038C-4E27-AAC9-8B704E9E8764}" srcOrd="0" destOrd="0" parTransId="{B101B208-7F57-4899-8134-A8579F13356E}" sibTransId="{CFF98774-508B-45C4-88B0-2B3CE2450B8D}"/>
    <dgm:cxn modelId="{B65DCC64-FF45-4C13-ABD7-9E100939B196}" type="presOf" srcId="{ECF8B83F-CF42-4358-A09C-25E5E8BC09F0}" destId="{0BB7127E-9B25-417D-BD53-9ABC38C2F6BB}" srcOrd="0" destOrd="0" presId="urn:microsoft.com/office/officeart/2005/8/layout/radial4#1"/>
    <dgm:cxn modelId="{22103068-4178-4641-BA86-C11DA0F2C106}" type="presOf" srcId="{1FB41410-C39F-4B14-AA46-C24334BD34C0}" destId="{B1F25C48-7A04-41BC-8BE6-2DCA59AC3C78}" srcOrd="0" destOrd="0" presId="urn:microsoft.com/office/officeart/2005/8/layout/radial4#1"/>
    <dgm:cxn modelId="{BD57B69E-520D-403A-91B5-87B880DF0031}" type="presOf" srcId="{8C348A89-1EC8-4903-BF3E-E5773B437D22}" destId="{3C0B2AAC-694F-4102-94E6-03B1A8E5093C}" srcOrd="0" destOrd="0" presId="urn:microsoft.com/office/officeart/2005/8/layout/radial4#1"/>
    <dgm:cxn modelId="{5552F7A2-C4CC-4A32-9EA5-5B48F2887768}" type="presOf" srcId="{43F2EFF6-F8EE-4446-A5D6-8393AB36A441}" destId="{0A1147A8-05FD-4C3A-8794-3953EEC962E7}" srcOrd="0" destOrd="0" presId="urn:microsoft.com/office/officeart/2005/8/layout/radial4#1"/>
    <dgm:cxn modelId="{CFF5F7CC-A69E-471A-AC8B-4222ADFD33C0}" type="presOf" srcId="{5CF6160B-038C-4E27-AAC9-8B704E9E8764}" destId="{08424C1F-5AB9-42CA-A5DB-BF7EDF60C789}" srcOrd="0" destOrd="0" presId="urn:microsoft.com/office/officeart/2005/8/layout/radial4#1"/>
    <dgm:cxn modelId="{4C3503EE-90B0-4BFD-90E2-6CE9801F1605}" srcId="{DCFFA45C-BFE5-4583-A5DC-4A974D6E9362}" destId="{52612058-7FDB-44D4-8871-D99CE45FA184}" srcOrd="2" destOrd="0" parTransId="{1FB41410-C39F-4B14-AA46-C24334BD34C0}" sibTransId="{D73C23CF-71F5-469F-AC67-4B028847BEFB}"/>
    <dgm:cxn modelId="{15B60FEF-1873-4D04-8650-3E91D9BF06F9}" srcId="{DCFFA45C-BFE5-4583-A5DC-4A974D6E9362}" destId="{ECF8B83F-CF42-4358-A09C-25E5E8BC09F0}" srcOrd="1" destOrd="0" parTransId="{8C348A89-1EC8-4903-BF3E-E5773B437D22}" sibTransId="{40740447-DC6A-4217-A68F-8E0EB488D867}"/>
    <dgm:cxn modelId="{55A5E5F2-23C9-4A0C-9B32-B4F9925A2AB2}" srcId="{43F2EFF6-F8EE-4446-A5D6-8393AB36A441}" destId="{DCFFA45C-BFE5-4583-A5DC-4A974D6E9362}" srcOrd="0" destOrd="0" parTransId="{DFB9882A-A36B-4F48-866C-D85C58875F4D}" sibTransId="{519E47D2-59E5-40B4-9A75-64DE79EAD126}"/>
    <dgm:cxn modelId="{543E3EB4-7111-4D31-A395-10E9462F32DF}" type="presParOf" srcId="{0A1147A8-05FD-4C3A-8794-3953EEC962E7}" destId="{46F9789C-D1A9-4FB2-902E-33CD6FAD81AA}" srcOrd="0" destOrd="0" presId="urn:microsoft.com/office/officeart/2005/8/layout/radial4#1"/>
    <dgm:cxn modelId="{4796E1B7-1624-4901-9E31-294FB6C3645C}" type="presParOf" srcId="{0A1147A8-05FD-4C3A-8794-3953EEC962E7}" destId="{A9E3C04B-171F-48BE-8992-9C0A5E5A35C4}" srcOrd="1" destOrd="0" presId="urn:microsoft.com/office/officeart/2005/8/layout/radial4#1"/>
    <dgm:cxn modelId="{DD19AAB3-6223-4C6F-B782-C7E05A9F323B}" type="presParOf" srcId="{0A1147A8-05FD-4C3A-8794-3953EEC962E7}" destId="{08424C1F-5AB9-42CA-A5DB-BF7EDF60C789}" srcOrd="2" destOrd="0" presId="urn:microsoft.com/office/officeart/2005/8/layout/radial4#1"/>
    <dgm:cxn modelId="{CB38A0C3-6CF0-4D73-913E-F58A92444AB8}" type="presParOf" srcId="{0A1147A8-05FD-4C3A-8794-3953EEC962E7}" destId="{3C0B2AAC-694F-4102-94E6-03B1A8E5093C}" srcOrd="3" destOrd="0" presId="urn:microsoft.com/office/officeart/2005/8/layout/radial4#1"/>
    <dgm:cxn modelId="{DEAC6CFD-2EB4-496E-9F00-6381A9B39C3B}" type="presParOf" srcId="{0A1147A8-05FD-4C3A-8794-3953EEC962E7}" destId="{0BB7127E-9B25-417D-BD53-9ABC38C2F6BB}" srcOrd="4" destOrd="0" presId="urn:microsoft.com/office/officeart/2005/8/layout/radial4#1"/>
    <dgm:cxn modelId="{AD7379FC-FF0D-4371-ACD6-88EECE68D3E1}" type="presParOf" srcId="{0A1147A8-05FD-4C3A-8794-3953EEC962E7}" destId="{B1F25C48-7A04-41BC-8BE6-2DCA59AC3C78}" srcOrd="5" destOrd="0" presId="urn:microsoft.com/office/officeart/2005/8/layout/radial4#1"/>
    <dgm:cxn modelId="{B004373A-7A06-4257-A485-F625359D3183}" type="presParOf" srcId="{0A1147A8-05FD-4C3A-8794-3953EEC962E7}" destId="{AB677488-81DF-4406-8194-EFE4BF8611F8}" srcOrd="6" destOrd="0" presId="urn:microsoft.com/office/officeart/2005/8/layout/radial4#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C3D1F335-286F-40DA-BA14-90AF73609CA7}" type="doc">
      <dgm:prSet loTypeId="urn:microsoft.com/office/officeart/2005/8/layout/cycle8#2" loCatId="cycle" qsTypeId="urn:microsoft.com/office/officeart/2005/8/quickstyle/3d3" qsCatId="3D" csTypeId="urn:microsoft.com/office/officeart/2005/8/colors/colorful4" csCatId="colorful" phldr="1"/>
      <dgm:spPr/>
    </dgm:pt>
    <dgm:pt modelId="{2AA3D2B5-062D-4FDF-89C0-F60A479A3EC7}">
      <dgm:prSet phldrT="[Text]"/>
      <dgm:spPr/>
      <dgm:t>
        <a:bodyPr/>
        <a:lstStyle/>
        <a:p>
          <a:r>
            <a:rPr lang="en-US" b="1">
              <a:solidFill>
                <a:schemeClr val="tx1"/>
              </a:solidFill>
              <a:latin typeface="Times New Roman" pitchFamily="18" charset="0"/>
              <a:cs typeface="Times New Roman" pitchFamily="18" charset="0"/>
            </a:rPr>
            <a:t>Cultural Intelligence (CQ)</a:t>
          </a:r>
          <a:endParaRPr lang="en-US">
            <a:solidFill>
              <a:schemeClr val="tx1"/>
            </a:solidFill>
            <a:latin typeface="Times New Roman" pitchFamily="18" charset="0"/>
            <a:cs typeface="Times New Roman" pitchFamily="18" charset="0"/>
          </a:endParaRPr>
        </a:p>
      </dgm:t>
    </dgm:pt>
    <dgm:pt modelId="{C5CB7CF3-CA4C-4822-B960-A16B7039E2F3}" type="parTrans" cxnId="{CFD9631F-65DE-48DA-9121-8A2EC264CDB5}">
      <dgm:prSet/>
      <dgm:spPr/>
      <dgm:t>
        <a:bodyPr/>
        <a:lstStyle/>
        <a:p>
          <a:endParaRPr lang="en-US">
            <a:solidFill>
              <a:schemeClr val="tx1"/>
            </a:solidFill>
            <a:latin typeface="Times New Roman" pitchFamily="18" charset="0"/>
            <a:cs typeface="Times New Roman" pitchFamily="18" charset="0"/>
          </a:endParaRPr>
        </a:p>
      </dgm:t>
    </dgm:pt>
    <dgm:pt modelId="{C68F759C-2591-4FC3-98BD-837606F84D47}" type="sibTrans" cxnId="{CFD9631F-65DE-48DA-9121-8A2EC264CDB5}">
      <dgm:prSet/>
      <dgm:spPr/>
      <dgm:t>
        <a:bodyPr/>
        <a:lstStyle/>
        <a:p>
          <a:endParaRPr lang="en-US">
            <a:solidFill>
              <a:schemeClr val="tx1"/>
            </a:solidFill>
            <a:latin typeface="Times New Roman" pitchFamily="18" charset="0"/>
            <a:cs typeface="Times New Roman" pitchFamily="18" charset="0"/>
          </a:endParaRPr>
        </a:p>
      </dgm:t>
    </dgm:pt>
    <dgm:pt modelId="{381449E9-3009-4513-B5FF-6EB9DC367CAC}">
      <dgm:prSet phldrT="[Text]"/>
      <dgm:spPr/>
      <dgm:t>
        <a:bodyPr/>
        <a:lstStyle/>
        <a:p>
          <a:r>
            <a:rPr lang="en-US" b="1">
              <a:solidFill>
                <a:schemeClr val="tx1"/>
              </a:solidFill>
              <a:latin typeface="Times New Roman" pitchFamily="18" charset="0"/>
              <a:cs typeface="Times New Roman" pitchFamily="18" charset="0"/>
            </a:rPr>
            <a:t>Intercultural Communication Competence (ICC)</a:t>
          </a:r>
          <a:endParaRPr lang="en-US">
            <a:solidFill>
              <a:schemeClr val="tx1"/>
            </a:solidFill>
            <a:latin typeface="Times New Roman" pitchFamily="18" charset="0"/>
            <a:cs typeface="Times New Roman" pitchFamily="18" charset="0"/>
          </a:endParaRPr>
        </a:p>
      </dgm:t>
    </dgm:pt>
    <dgm:pt modelId="{777CB663-3147-4446-8BF9-BFC39503A781}" type="parTrans" cxnId="{7D49C6A7-EA84-42ED-BA53-C73361A6A67A}">
      <dgm:prSet/>
      <dgm:spPr/>
      <dgm:t>
        <a:bodyPr/>
        <a:lstStyle/>
        <a:p>
          <a:endParaRPr lang="en-US">
            <a:solidFill>
              <a:schemeClr val="tx1"/>
            </a:solidFill>
            <a:latin typeface="Times New Roman" pitchFamily="18" charset="0"/>
            <a:cs typeface="Times New Roman" pitchFamily="18" charset="0"/>
          </a:endParaRPr>
        </a:p>
      </dgm:t>
    </dgm:pt>
    <dgm:pt modelId="{C0A4F701-D120-485C-85F0-543B32A2F606}" type="sibTrans" cxnId="{7D49C6A7-EA84-42ED-BA53-C73361A6A67A}">
      <dgm:prSet/>
      <dgm:spPr/>
      <dgm:t>
        <a:bodyPr/>
        <a:lstStyle/>
        <a:p>
          <a:endParaRPr lang="en-US">
            <a:solidFill>
              <a:schemeClr val="tx1"/>
            </a:solidFill>
            <a:latin typeface="Times New Roman" pitchFamily="18" charset="0"/>
            <a:cs typeface="Times New Roman" pitchFamily="18" charset="0"/>
          </a:endParaRPr>
        </a:p>
      </dgm:t>
    </dgm:pt>
    <dgm:pt modelId="{0E503909-99BD-4F8D-AB06-C049CD19AA99}">
      <dgm:prSet phldrT="[Text]"/>
      <dgm:spPr/>
      <dgm:t>
        <a:bodyPr/>
        <a:lstStyle/>
        <a:p>
          <a:endParaRPr lang="en-US"/>
        </a:p>
      </dgm:t>
    </dgm:pt>
    <dgm:pt modelId="{E6A8ED81-DE44-4D7B-9174-CC1D5B3C4A2A}" type="parTrans" cxnId="{B21F37E8-8113-4320-B771-996B9765A468}">
      <dgm:prSet/>
      <dgm:spPr/>
      <dgm:t>
        <a:bodyPr/>
        <a:lstStyle/>
        <a:p>
          <a:endParaRPr lang="en-US">
            <a:solidFill>
              <a:schemeClr val="tx1"/>
            </a:solidFill>
            <a:latin typeface="Times New Roman" pitchFamily="18" charset="0"/>
            <a:cs typeface="Times New Roman" pitchFamily="18" charset="0"/>
          </a:endParaRPr>
        </a:p>
      </dgm:t>
    </dgm:pt>
    <dgm:pt modelId="{7DE18773-B9A9-436A-ADC2-43A57D3E7AD1}" type="sibTrans" cxnId="{B21F37E8-8113-4320-B771-996B9765A468}">
      <dgm:prSet/>
      <dgm:spPr/>
      <dgm:t>
        <a:bodyPr/>
        <a:lstStyle/>
        <a:p>
          <a:endParaRPr lang="en-US">
            <a:solidFill>
              <a:schemeClr val="tx1"/>
            </a:solidFill>
            <a:latin typeface="Times New Roman" pitchFamily="18" charset="0"/>
            <a:cs typeface="Times New Roman" pitchFamily="18" charset="0"/>
          </a:endParaRPr>
        </a:p>
      </dgm:t>
    </dgm:pt>
    <dgm:pt modelId="{CC95689F-A361-419F-A16B-203B4C5259E1}">
      <dgm:prSet/>
      <dgm:spPr/>
      <dgm:t>
        <a:bodyPr/>
        <a:lstStyle/>
        <a:p>
          <a:endParaRPr lang="en-US"/>
        </a:p>
      </dgm:t>
    </dgm:pt>
    <dgm:pt modelId="{B565B9CF-85C9-47F4-B7F9-05BD8313F65B}" type="parTrans" cxnId="{923F96BB-D333-49D0-9D61-83E683A4EC81}">
      <dgm:prSet/>
      <dgm:spPr/>
      <dgm:t>
        <a:bodyPr/>
        <a:lstStyle/>
        <a:p>
          <a:endParaRPr lang="en-US">
            <a:solidFill>
              <a:schemeClr val="tx1"/>
            </a:solidFill>
            <a:latin typeface="Times New Roman" pitchFamily="18" charset="0"/>
            <a:cs typeface="Times New Roman" pitchFamily="18" charset="0"/>
          </a:endParaRPr>
        </a:p>
      </dgm:t>
    </dgm:pt>
    <dgm:pt modelId="{6EFEE20B-487A-4B09-945B-5A2EAF74761D}" type="sibTrans" cxnId="{923F96BB-D333-49D0-9D61-83E683A4EC81}">
      <dgm:prSet/>
      <dgm:spPr/>
      <dgm:t>
        <a:bodyPr/>
        <a:lstStyle/>
        <a:p>
          <a:endParaRPr lang="en-US">
            <a:solidFill>
              <a:schemeClr val="tx1"/>
            </a:solidFill>
            <a:latin typeface="Times New Roman" pitchFamily="18" charset="0"/>
            <a:cs typeface="Times New Roman" pitchFamily="18" charset="0"/>
          </a:endParaRPr>
        </a:p>
      </dgm:t>
    </dgm:pt>
    <dgm:pt modelId="{E2BE252B-A125-4C1D-A590-BBFF59AF646D}">
      <dgm:prSet/>
      <dgm:spPr/>
      <dgm:t>
        <a:bodyPr/>
        <a:lstStyle/>
        <a:p>
          <a:r>
            <a:rPr lang="en-US" b="1">
              <a:solidFill>
                <a:schemeClr val="tx1"/>
              </a:solidFill>
              <a:latin typeface="Times New Roman" pitchFamily="18" charset="0"/>
              <a:cs typeface="Times New Roman" pitchFamily="18" charset="0"/>
            </a:rPr>
            <a:t>The Dual Concern Model</a:t>
          </a:r>
          <a:endParaRPr lang="en-US">
            <a:solidFill>
              <a:schemeClr val="tx1"/>
            </a:solidFill>
            <a:latin typeface="Times New Roman" pitchFamily="18" charset="0"/>
            <a:cs typeface="Times New Roman" pitchFamily="18" charset="0"/>
          </a:endParaRPr>
        </a:p>
      </dgm:t>
    </dgm:pt>
    <dgm:pt modelId="{1A9F5FE2-9A10-4E92-904B-0BE66FC32C69}" type="parTrans" cxnId="{E3234802-41E2-469F-8EAB-472CACBFE869}">
      <dgm:prSet/>
      <dgm:spPr/>
      <dgm:t>
        <a:bodyPr/>
        <a:lstStyle/>
        <a:p>
          <a:endParaRPr lang="en-US">
            <a:solidFill>
              <a:schemeClr val="tx1"/>
            </a:solidFill>
            <a:latin typeface="Times New Roman" pitchFamily="18" charset="0"/>
            <a:cs typeface="Times New Roman" pitchFamily="18" charset="0"/>
          </a:endParaRPr>
        </a:p>
      </dgm:t>
    </dgm:pt>
    <dgm:pt modelId="{778F86DD-65D8-440B-B22E-7187E7E44B85}" type="sibTrans" cxnId="{E3234802-41E2-469F-8EAB-472CACBFE869}">
      <dgm:prSet/>
      <dgm:spPr/>
      <dgm:t>
        <a:bodyPr/>
        <a:lstStyle/>
        <a:p>
          <a:endParaRPr lang="en-US">
            <a:solidFill>
              <a:schemeClr val="tx1"/>
            </a:solidFill>
            <a:latin typeface="Times New Roman" pitchFamily="18" charset="0"/>
            <a:cs typeface="Times New Roman" pitchFamily="18" charset="0"/>
          </a:endParaRPr>
        </a:p>
      </dgm:t>
    </dgm:pt>
    <dgm:pt modelId="{141630C7-7532-43BF-9A7E-BA44B8F6BCBA}">
      <dgm:prSet/>
      <dgm:spPr/>
      <dgm:t>
        <a:bodyPr/>
        <a:lstStyle/>
        <a:p>
          <a:r>
            <a:rPr lang="en-US" b="1">
              <a:solidFill>
                <a:schemeClr val="tx1"/>
              </a:solidFill>
              <a:latin typeface="Times New Roman" pitchFamily="18" charset="0"/>
              <a:cs typeface="Times New Roman" pitchFamily="18" charset="0"/>
            </a:rPr>
            <a:t>Cultural Assimilator Model</a:t>
          </a:r>
          <a:endParaRPr lang="en-US">
            <a:solidFill>
              <a:schemeClr val="tx1"/>
            </a:solidFill>
            <a:latin typeface="Times New Roman" pitchFamily="18" charset="0"/>
            <a:cs typeface="Times New Roman" pitchFamily="18" charset="0"/>
          </a:endParaRPr>
        </a:p>
      </dgm:t>
    </dgm:pt>
    <dgm:pt modelId="{9728803E-8569-4E7F-B5B5-2209651F9DF1}" type="parTrans" cxnId="{C6E193E1-50B1-4532-B58A-98B44D9962F3}">
      <dgm:prSet/>
      <dgm:spPr/>
      <dgm:t>
        <a:bodyPr/>
        <a:lstStyle/>
        <a:p>
          <a:endParaRPr lang="en-US">
            <a:solidFill>
              <a:schemeClr val="tx1"/>
            </a:solidFill>
            <a:latin typeface="Times New Roman" pitchFamily="18" charset="0"/>
            <a:cs typeface="Times New Roman" pitchFamily="18" charset="0"/>
          </a:endParaRPr>
        </a:p>
      </dgm:t>
    </dgm:pt>
    <dgm:pt modelId="{2DC330F8-53F1-411A-9154-7D20E4950855}" type="sibTrans" cxnId="{C6E193E1-50B1-4532-B58A-98B44D9962F3}">
      <dgm:prSet/>
      <dgm:spPr/>
      <dgm:t>
        <a:bodyPr/>
        <a:lstStyle/>
        <a:p>
          <a:endParaRPr lang="en-US">
            <a:solidFill>
              <a:schemeClr val="tx1"/>
            </a:solidFill>
            <a:latin typeface="Times New Roman" pitchFamily="18" charset="0"/>
            <a:cs typeface="Times New Roman" pitchFamily="18" charset="0"/>
          </a:endParaRPr>
        </a:p>
      </dgm:t>
    </dgm:pt>
    <dgm:pt modelId="{733AE84F-1756-43E2-B212-148EBE55DF10}">
      <dgm:prSet/>
      <dgm:spPr/>
      <dgm:t>
        <a:bodyPr/>
        <a:lstStyle/>
        <a:p>
          <a:r>
            <a:rPr lang="en-US" b="1">
              <a:solidFill>
                <a:schemeClr val="tx1"/>
              </a:solidFill>
              <a:latin typeface="Times New Roman" pitchFamily="18" charset="0"/>
              <a:cs typeface="Times New Roman" pitchFamily="18" charset="0"/>
            </a:rPr>
            <a:t>The Social Identity Theory</a:t>
          </a:r>
          <a:endParaRPr lang="en-US">
            <a:solidFill>
              <a:schemeClr val="tx1"/>
            </a:solidFill>
            <a:latin typeface="Times New Roman" pitchFamily="18" charset="0"/>
            <a:cs typeface="Times New Roman" pitchFamily="18" charset="0"/>
          </a:endParaRPr>
        </a:p>
      </dgm:t>
    </dgm:pt>
    <dgm:pt modelId="{91918BC1-538D-4FCD-A464-87B135644B6B}" type="parTrans" cxnId="{53CC1D8B-A6C2-45FD-A33E-5E41D9337F0B}">
      <dgm:prSet/>
      <dgm:spPr/>
      <dgm:t>
        <a:bodyPr/>
        <a:lstStyle/>
        <a:p>
          <a:endParaRPr lang="en-US">
            <a:solidFill>
              <a:schemeClr val="tx1"/>
            </a:solidFill>
            <a:latin typeface="Times New Roman" pitchFamily="18" charset="0"/>
            <a:cs typeface="Times New Roman" pitchFamily="18" charset="0"/>
          </a:endParaRPr>
        </a:p>
      </dgm:t>
    </dgm:pt>
    <dgm:pt modelId="{B1315C44-6FD9-46D7-B64D-4DE0A9C0D9EF}" type="sibTrans" cxnId="{53CC1D8B-A6C2-45FD-A33E-5E41D9337F0B}">
      <dgm:prSet/>
      <dgm:spPr/>
      <dgm:t>
        <a:bodyPr/>
        <a:lstStyle/>
        <a:p>
          <a:endParaRPr lang="en-US">
            <a:solidFill>
              <a:schemeClr val="tx1"/>
            </a:solidFill>
            <a:latin typeface="Times New Roman" pitchFamily="18" charset="0"/>
            <a:cs typeface="Times New Roman" pitchFamily="18" charset="0"/>
          </a:endParaRPr>
        </a:p>
      </dgm:t>
    </dgm:pt>
    <dgm:pt modelId="{185087CF-781A-4AE9-8A47-DF46A3C9F00F}">
      <dgm:prSet/>
      <dgm:spPr/>
      <dgm:t>
        <a:bodyPr/>
        <a:lstStyle/>
        <a:p>
          <a:r>
            <a:rPr lang="en-US" b="1">
              <a:solidFill>
                <a:schemeClr val="tx1"/>
              </a:solidFill>
              <a:latin typeface="Times New Roman" pitchFamily="18" charset="0"/>
              <a:cs typeface="Times New Roman" pitchFamily="18" charset="0"/>
            </a:rPr>
            <a:t>The Iceberg Model of Culture</a:t>
          </a:r>
          <a:endParaRPr lang="en-US">
            <a:solidFill>
              <a:schemeClr val="tx1"/>
            </a:solidFill>
            <a:latin typeface="Times New Roman" pitchFamily="18" charset="0"/>
            <a:cs typeface="Times New Roman" pitchFamily="18" charset="0"/>
          </a:endParaRPr>
        </a:p>
      </dgm:t>
    </dgm:pt>
    <dgm:pt modelId="{EDCFE1E4-902D-4A87-BEB6-5EC684A04FF1}" type="parTrans" cxnId="{38E179CD-F1E6-4CD2-B89F-64899D27CB27}">
      <dgm:prSet/>
      <dgm:spPr/>
      <dgm:t>
        <a:bodyPr/>
        <a:lstStyle/>
        <a:p>
          <a:endParaRPr lang="en-US">
            <a:solidFill>
              <a:schemeClr val="tx1"/>
            </a:solidFill>
            <a:latin typeface="Times New Roman" pitchFamily="18" charset="0"/>
            <a:cs typeface="Times New Roman" pitchFamily="18" charset="0"/>
          </a:endParaRPr>
        </a:p>
      </dgm:t>
    </dgm:pt>
    <dgm:pt modelId="{44B37D06-5D2C-46AE-8229-4C21DB020F3E}" type="sibTrans" cxnId="{38E179CD-F1E6-4CD2-B89F-64899D27CB27}">
      <dgm:prSet/>
      <dgm:spPr/>
      <dgm:t>
        <a:bodyPr/>
        <a:lstStyle/>
        <a:p>
          <a:endParaRPr lang="en-US">
            <a:solidFill>
              <a:schemeClr val="tx1"/>
            </a:solidFill>
            <a:latin typeface="Times New Roman" pitchFamily="18" charset="0"/>
            <a:cs typeface="Times New Roman" pitchFamily="18" charset="0"/>
          </a:endParaRPr>
        </a:p>
      </dgm:t>
    </dgm:pt>
    <dgm:pt modelId="{1482C390-DDF6-45A6-8234-E07899C5A71E}">
      <dgm:prSet/>
      <dgm:spPr/>
      <dgm:t>
        <a:bodyPr/>
        <a:lstStyle/>
        <a:p>
          <a:r>
            <a:rPr lang="en-US" b="1">
              <a:solidFill>
                <a:schemeClr val="tx1"/>
              </a:solidFill>
              <a:latin typeface="Times New Roman" pitchFamily="18" charset="0"/>
              <a:cs typeface="Times New Roman" pitchFamily="18" charset="0"/>
            </a:rPr>
            <a:t>The Lewin's Change Management Model</a:t>
          </a:r>
          <a:endParaRPr lang="en-US">
            <a:solidFill>
              <a:schemeClr val="tx1"/>
            </a:solidFill>
            <a:latin typeface="Times New Roman" pitchFamily="18" charset="0"/>
            <a:cs typeface="Times New Roman" pitchFamily="18" charset="0"/>
          </a:endParaRPr>
        </a:p>
      </dgm:t>
    </dgm:pt>
    <dgm:pt modelId="{AC810181-C14E-4720-8842-88E5AC6212E9}" type="parTrans" cxnId="{1C4414CF-4CAD-4B95-9A29-0B4F7A5FA483}">
      <dgm:prSet/>
      <dgm:spPr/>
      <dgm:t>
        <a:bodyPr/>
        <a:lstStyle/>
        <a:p>
          <a:endParaRPr lang="en-US">
            <a:solidFill>
              <a:schemeClr val="tx1"/>
            </a:solidFill>
            <a:latin typeface="Times New Roman" pitchFamily="18" charset="0"/>
            <a:cs typeface="Times New Roman" pitchFamily="18" charset="0"/>
          </a:endParaRPr>
        </a:p>
      </dgm:t>
    </dgm:pt>
    <dgm:pt modelId="{D4D72162-73FF-4E01-90CF-E038EDDEB792}" type="sibTrans" cxnId="{1C4414CF-4CAD-4B95-9A29-0B4F7A5FA483}">
      <dgm:prSet/>
      <dgm:spPr/>
      <dgm:t>
        <a:bodyPr/>
        <a:lstStyle/>
        <a:p>
          <a:endParaRPr lang="en-US">
            <a:solidFill>
              <a:schemeClr val="tx1"/>
            </a:solidFill>
            <a:latin typeface="Times New Roman" pitchFamily="18" charset="0"/>
            <a:cs typeface="Times New Roman" pitchFamily="18" charset="0"/>
          </a:endParaRPr>
        </a:p>
      </dgm:t>
    </dgm:pt>
    <dgm:pt modelId="{0970C0FF-5E78-4267-BC0E-C7C56D6953D0}" type="pres">
      <dgm:prSet presAssocID="{C3D1F335-286F-40DA-BA14-90AF73609CA7}" presName="compositeShape" presStyleCnt="0">
        <dgm:presLayoutVars>
          <dgm:chMax val="7"/>
          <dgm:dir/>
          <dgm:resizeHandles val="exact"/>
        </dgm:presLayoutVars>
      </dgm:prSet>
      <dgm:spPr/>
    </dgm:pt>
    <dgm:pt modelId="{DD75659E-8710-468B-BB10-2FFCD80A2A68}" type="pres">
      <dgm:prSet presAssocID="{C3D1F335-286F-40DA-BA14-90AF73609CA7}" presName="wedge1" presStyleLbl="node1" presStyleIdx="0" presStyleCnt="7"/>
      <dgm:spPr/>
    </dgm:pt>
    <dgm:pt modelId="{CEB3350F-4157-419F-B7F8-232E6C19E671}" type="pres">
      <dgm:prSet presAssocID="{C3D1F335-286F-40DA-BA14-90AF73609CA7}" presName="dummy1a" presStyleCnt="0"/>
      <dgm:spPr/>
    </dgm:pt>
    <dgm:pt modelId="{545D0861-D264-4F74-BD5F-54084425A644}" type="pres">
      <dgm:prSet presAssocID="{C3D1F335-286F-40DA-BA14-90AF73609CA7}" presName="dummy1b" presStyleCnt="0"/>
      <dgm:spPr/>
    </dgm:pt>
    <dgm:pt modelId="{2CFA9A95-5179-4174-86B1-E94B35D1BEF9}" type="pres">
      <dgm:prSet presAssocID="{C3D1F335-286F-40DA-BA14-90AF73609CA7}" presName="wedge1Tx" presStyleLbl="node1" presStyleIdx="0" presStyleCnt="7">
        <dgm:presLayoutVars>
          <dgm:chMax val="0"/>
          <dgm:chPref val="0"/>
          <dgm:bulletEnabled val="1"/>
        </dgm:presLayoutVars>
      </dgm:prSet>
      <dgm:spPr/>
    </dgm:pt>
    <dgm:pt modelId="{C4F0B905-A417-4899-B32D-AB34CD0A29BA}" type="pres">
      <dgm:prSet presAssocID="{C3D1F335-286F-40DA-BA14-90AF73609CA7}" presName="wedge2" presStyleLbl="node1" presStyleIdx="1" presStyleCnt="7"/>
      <dgm:spPr/>
    </dgm:pt>
    <dgm:pt modelId="{478065AC-F437-4846-8EA7-F4246294B5FB}" type="pres">
      <dgm:prSet presAssocID="{C3D1F335-286F-40DA-BA14-90AF73609CA7}" presName="dummy2a" presStyleCnt="0"/>
      <dgm:spPr/>
    </dgm:pt>
    <dgm:pt modelId="{800C536F-ACCA-4623-A479-7C2035B19743}" type="pres">
      <dgm:prSet presAssocID="{C3D1F335-286F-40DA-BA14-90AF73609CA7}" presName="dummy2b" presStyleCnt="0"/>
      <dgm:spPr/>
    </dgm:pt>
    <dgm:pt modelId="{E1164CF1-8765-4DC4-8208-9B96D32890D4}" type="pres">
      <dgm:prSet presAssocID="{C3D1F335-286F-40DA-BA14-90AF73609CA7}" presName="wedge2Tx" presStyleLbl="node1" presStyleIdx="1" presStyleCnt="7">
        <dgm:presLayoutVars>
          <dgm:chMax val="0"/>
          <dgm:chPref val="0"/>
          <dgm:bulletEnabled val="1"/>
        </dgm:presLayoutVars>
      </dgm:prSet>
      <dgm:spPr/>
    </dgm:pt>
    <dgm:pt modelId="{342F53B0-C5C7-4AE0-A2F8-AE3A34469DB9}" type="pres">
      <dgm:prSet presAssocID="{C3D1F335-286F-40DA-BA14-90AF73609CA7}" presName="wedge3" presStyleLbl="node1" presStyleIdx="2" presStyleCnt="7"/>
      <dgm:spPr/>
    </dgm:pt>
    <dgm:pt modelId="{5F9EBBAA-40AD-4F60-8E58-71E954D910D4}" type="pres">
      <dgm:prSet presAssocID="{C3D1F335-286F-40DA-BA14-90AF73609CA7}" presName="dummy3a" presStyleCnt="0"/>
      <dgm:spPr/>
    </dgm:pt>
    <dgm:pt modelId="{40080891-3EFA-4E47-96A8-DC6BF7435B39}" type="pres">
      <dgm:prSet presAssocID="{C3D1F335-286F-40DA-BA14-90AF73609CA7}" presName="dummy3b" presStyleCnt="0"/>
      <dgm:spPr/>
    </dgm:pt>
    <dgm:pt modelId="{7B27EE64-CCDA-4927-ABE8-D619E7C023B5}" type="pres">
      <dgm:prSet presAssocID="{C3D1F335-286F-40DA-BA14-90AF73609CA7}" presName="wedge3Tx" presStyleLbl="node1" presStyleIdx="2" presStyleCnt="7">
        <dgm:presLayoutVars>
          <dgm:chMax val="0"/>
          <dgm:chPref val="0"/>
          <dgm:bulletEnabled val="1"/>
        </dgm:presLayoutVars>
      </dgm:prSet>
      <dgm:spPr/>
    </dgm:pt>
    <dgm:pt modelId="{32368C6C-1EE2-463D-B38D-5BE35721A571}" type="pres">
      <dgm:prSet presAssocID="{C3D1F335-286F-40DA-BA14-90AF73609CA7}" presName="wedge4" presStyleLbl="node1" presStyleIdx="3" presStyleCnt="7"/>
      <dgm:spPr/>
    </dgm:pt>
    <dgm:pt modelId="{3EE5C607-CEED-4017-BD0E-812BE3341C86}" type="pres">
      <dgm:prSet presAssocID="{C3D1F335-286F-40DA-BA14-90AF73609CA7}" presName="dummy4a" presStyleCnt="0"/>
      <dgm:spPr/>
    </dgm:pt>
    <dgm:pt modelId="{FE0FB9BE-43EE-452A-BD13-4289E36DAFC2}" type="pres">
      <dgm:prSet presAssocID="{C3D1F335-286F-40DA-BA14-90AF73609CA7}" presName="dummy4b" presStyleCnt="0"/>
      <dgm:spPr/>
    </dgm:pt>
    <dgm:pt modelId="{E007A578-B9BB-4662-BD96-37086A2F93C2}" type="pres">
      <dgm:prSet presAssocID="{C3D1F335-286F-40DA-BA14-90AF73609CA7}" presName="wedge4Tx" presStyleLbl="node1" presStyleIdx="3" presStyleCnt="7">
        <dgm:presLayoutVars>
          <dgm:chMax val="0"/>
          <dgm:chPref val="0"/>
          <dgm:bulletEnabled val="1"/>
        </dgm:presLayoutVars>
      </dgm:prSet>
      <dgm:spPr/>
    </dgm:pt>
    <dgm:pt modelId="{9ECF988F-33E5-4DA8-BA1D-66751D5ED4DF}" type="pres">
      <dgm:prSet presAssocID="{C3D1F335-286F-40DA-BA14-90AF73609CA7}" presName="wedge5" presStyleLbl="node1" presStyleIdx="4" presStyleCnt="7"/>
      <dgm:spPr/>
    </dgm:pt>
    <dgm:pt modelId="{FD99F6B1-868E-4CF5-8D9F-886B90BE7530}" type="pres">
      <dgm:prSet presAssocID="{C3D1F335-286F-40DA-BA14-90AF73609CA7}" presName="dummy5a" presStyleCnt="0"/>
      <dgm:spPr/>
    </dgm:pt>
    <dgm:pt modelId="{7ADA14D7-716B-4AE8-82B3-D713640FF764}" type="pres">
      <dgm:prSet presAssocID="{C3D1F335-286F-40DA-BA14-90AF73609CA7}" presName="dummy5b" presStyleCnt="0"/>
      <dgm:spPr/>
    </dgm:pt>
    <dgm:pt modelId="{51001DC6-E4A8-482E-BC60-27421008CDC5}" type="pres">
      <dgm:prSet presAssocID="{C3D1F335-286F-40DA-BA14-90AF73609CA7}" presName="wedge5Tx" presStyleLbl="node1" presStyleIdx="4" presStyleCnt="7">
        <dgm:presLayoutVars>
          <dgm:chMax val="0"/>
          <dgm:chPref val="0"/>
          <dgm:bulletEnabled val="1"/>
        </dgm:presLayoutVars>
      </dgm:prSet>
      <dgm:spPr/>
    </dgm:pt>
    <dgm:pt modelId="{8A66FAF5-831D-4474-A6CD-9A27FF062D3D}" type="pres">
      <dgm:prSet presAssocID="{C3D1F335-286F-40DA-BA14-90AF73609CA7}" presName="wedge6" presStyleLbl="node1" presStyleIdx="5" presStyleCnt="7"/>
      <dgm:spPr/>
    </dgm:pt>
    <dgm:pt modelId="{BA57BD65-D005-4255-9BE8-27E0EC29B93E}" type="pres">
      <dgm:prSet presAssocID="{C3D1F335-286F-40DA-BA14-90AF73609CA7}" presName="dummy6a" presStyleCnt="0"/>
      <dgm:spPr/>
    </dgm:pt>
    <dgm:pt modelId="{8822DA08-DA71-44AA-91D0-A0E27E1E35BF}" type="pres">
      <dgm:prSet presAssocID="{C3D1F335-286F-40DA-BA14-90AF73609CA7}" presName="dummy6b" presStyleCnt="0"/>
      <dgm:spPr/>
    </dgm:pt>
    <dgm:pt modelId="{0C2628F7-DDC0-4D28-BB51-B4E85CF6073D}" type="pres">
      <dgm:prSet presAssocID="{C3D1F335-286F-40DA-BA14-90AF73609CA7}" presName="wedge6Tx" presStyleLbl="node1" presStyleIdx="5" presStyleCnt="7">
        <dgm:presLayoutVars>
          <dgm:chMax val="0"/>
          <dgm:chPref val="0"/>
          <dgm:bulletEnabled val="1"/>
        </dgm:presLayoutVars>
      </dgm:prSet>
      <dgm:spPr/>
    </dgm:pt>
    <dgm:pt modelId="{DA92AAD0-8049-4133-BFF1-2B33BF3B4A5A}" type="pres">
      <dgm:prSet presAssocID="{C3D1F335-286F-40DA-BA14-90AF73609CA7}" presName="wedge7" presStyleLbl="node1" presStyleIdx="6" presStyleCnt="7"/>
      <dgm:spPr/>
    </dgm:pt>
    <dgm:pt modelId="{8AC8FCB7-C4A9-484D-A496-A26119982978}" type="pres">
      <dgm:prSet presAssocID="{C3D1F335-286F-40DA-BA14-90AF73609CA7}" presName="dummy7a" presStyleCnt="0"/>
      <dgm:spPr/>
    </dgm:pt>
    <dgm:pt modelId="{3E8C7E67-2399-4F6A-ACE2-2883F46D9015}" type="pres">
      <dgm:prSet presAssocID="{C3D1F335-286F-40DA-BA14-90AF73609CA7}" presName="dummy7b" presStyleCnt="0"/>
      <dgm:spPr/>
    </dgm:pt>
    <dgm:pt modelId="{23704B2F-EADF-48AE-8667-D97EBD822E1F}" type="pres">
      <dgm:prSet presAssocID="{C3D1F335-286F-40DA-BA14-90AF73609CA7}" presName="wedge7Tx" presStyleLbl="node1" presStyleIdx="6" presStyleCnt="7">
        <dgm:presLayoutVars>
          <dgm:chMax val="0"/>
          <dgm:chPref val="0"/>
          <dgm:bulletEnabled val="1"/>
        </dgm:presLayoutVars>
      </dgm:prSet>
      <dgm:spPr/>
    </dgm:pt>
    <dgm:pt modelId="{10E8E768-0B51-40DE-BE2F-BE88FBEBEE09}" type="pres">
      <dgm:prSet presAssocID="{C68F759C-2591-4FC3-98BD-837606F84D47}" presName="arrowWedge1" presStyleLbl="fgSibTrans2D1" presStyleIdx="0" presStyleCnt="7"/>
      <dgm:spPr/>
    </dgm:pt>
    <dgm:pt modelId="{BFF8DCD5-E23B-400C-9130-4305E8289135}" type="pres">
      <dgm:prSet presAssocID="{C0A4F701-D120-485C-85F0-543B32A2F606}" presName="arrowWedge2" presStyleLbl="fgSibTrans2D1" presStyleIdx="1" presStyleCnt="7"/>
      <dgm:spPr/>
    </dgm:pt>
    <dgm:pt modelId="{2C6C0134-6903-466E-8B96-25BDFAF14E82}" type="pres">
      <dgm:prSet presAssocID="{D4D72162-73FF-4E01-90CF-E038EDDEB792}" presName="arrowWedge3" presStyleLbl="fgSibTrans2D1" presStyleIdx="2" presStyleCnt="7"/>
      <dgm:spPr/>
    </dgm:pt>
    <dgm:pt modelId="{AA583475-065B-41C3-A900-1024BC357C4D}" type="pres">
      <dgm:prSet presAssocID="{44B37D06-5D2C-46AE-8229-4C21DB020F3E}" presName="arrowWedge4" presStyleLbl="fgSibTrans2D1" presStyleIdx="3" presStyleCnt="7"/>
      <dgm:spPr/>
    </dgm:pt>
    <dgm:pt modelId="{A4D78434-2494-4991-A0B6-0EA7D95AE584}" type="pres">
      <dgm:prSet presAssocID="{B1315C44-6FD9-46D7-B64D-4DE0A9C0D9EF}" presName="arrowWedge5" presStyleLbl="fgSibTrans2D1" presStyleIdx="4" presStyleCnt="7"/>
      <dgm:spPr/>
    </dgm:pt>
    <dgm:pt modelId="{EB7D708A-DC90-47B7-A8A7-895E719C278C}" type="pres">
      <dgm:prSet presAssocID="{2DC330F8-53F1-411A-9154-7D20E4950855}" presName="arrowWedge6" presStyleLbl="fgSibTrans2D1" presStyleIdx="5" presStyleCnt="7"/>
      <dgm:spPr/>
    </dgm:pt>
    <dgm:pt modelId="{8B8E8399-0903-4D27-9C85-F1199E3A6BDA}" type="pres">
      <dgm:prSet presAssocID="{778F86DD-65D8-440B-B22E-7187E7E44B85}" presName="arrowWedge7" presStyleLbl="fgSibTrans2D1" presStyleIdx="6" presStyleCnt="7"/>
      <dgm:spPr/>
    </dgm:pt>
  </dgm:ptLst>
  <dgm:cxnLst>
    <dgm:cxn modelId="{E3234802-41E2-469F-8EAB-472CACBFE869}" srcId="{C3D1F335-286F-40DA-BA14-90AF73609CA7}" destId="{E2BE252B-A125-4C1D-A590-BBFF59AF646D}" srcOrd="6" destOrd="0" parTransId="{1A9F5FE2-9A10-4E92-904B-0BE66FC32C69}" sibTransId="{778F86DD-65D8-440B-B22E-7187E7E44B85}"/>
    <dgm:cxn modelId="{2AD45510-88D7-47FE-A751-F577FCC6251E}" type="presOf" srcId="{C3D1F335-286F-40DA-BA14-90AF73609CA7}" destId="{0970C0FF-5E78-4267-BC0E-C7C56D6953D0}" srcOrd="0" destOrd="0" presId="urn:microsoft.com/office/officeart/2005/8/layout/cycle8#2"/>
    <dgm:cxn modelId="{CFD9631F-65DE-48DA-9121-8A2EC264CDB5}" srcId="{C3D1F335-286F-40DA-BA14-90AF73609CA7}" destId="{2AA3D2B5-062D-4FDF-89C0-F60A479A3EC7}" srcOrd="0" destOrd="0" parTransId="{C5CB7CF3-CA4C-4822-B960-A16B7039E2F3}" sibTransId="{C68F759C-2591-4FC3-98BD-837606F84D47}"/>
    <dgm:cxn modelId="{E415E822-16AC-4051-8B3F-D9E2B52A8F5F}" type="presOf" srcId="{2AA3D2B5-062D-4FDF-89C0-F60A479A3EC7}" destId="{2CFA9A95-5179-4174-86B1-E94B35D1BEF9}" srcOrd="1" destOrd="0" presId="urn:microsoft.com/office/officeart/2005/8/layout/cycle8#2"/>
    <dgm:cxn modelId="{1099AB2D-09A0-4684-BB38-69C3FB6EBF57}" type="presOf" srcId="{141630C7-7532-43BF-9A7E-BA44B8F6BCBA}" destId="{8A66FAF5-831D-4474-A6CD-9A27FF062D3D}" srcOrd="0" destOrd="0" presId="urn:microsoft.com/office/officeart/2005/8/layout/cycle8#2"/>
    <dgm:cxn modelId="{60106039-C80A-4749-97CA-01728944F441}" type="presOf" srcId="{141630C7-7532-43BF-9A7E-BA44B8F6BCBA}" destId="{0C2628F7-DDC0-4D28-BB51-B4E85CF6073D}" srcOrd="1" destOrd="0" presId="urn:microsoft.com/office/officeart/2005/8/layout/cycle8#2"/>
    <dgm:cxn modelId="{9C0BBD55-8534-4D17-8577-AE4ACE2DEFE4}" type="presOf" srcId="{381449E9-3009-4513-B5FF-6EB9DC367CAC}" destId="{E1164CF1-8765-4DC4-8208-9B96D32890D4}" srcOrd="1" destOrd="0" presId="urn:microsoft.com/office/officeart/2005/8/layout/cycle8#2"/>
    <dgm:cxn modelId="{16EF2173-DA1A-4188-995C-D1FA919139EC}" type="presOf" srcId="{1482C390-DDF6-45A6-8234-E07899C5A71E}" destId="{342F53B0-C5C7-4AE0-A2F8-AE3A34469DB9}" srcOrd="0" destOrd="0" presId="urn:microsoft.com/office/officeart/2005/8/layout/cycle8#2"/>
    <dgm:cxn modelId="{0404F277-4DB4-4759-A432-832B4CF63573}" type="presOf" srcId="{1482C390-DDF6-45A6-8234-E07899C5A71E}" destId="{7B27EE64-CCDA-4927-ABE8-D619E7C023B5}" srcOrd="1" destOrd="0" presId="urn:microsoft.com/office/officeart/2005/8/layout/cycle8#2"/>
    <dgm:cxn modelId="{8726317E-F404-46F5-A83F-D2761ADAF664}" type="presOf" srcId="{381449E9-3009-4513-B5FF-6EB9DC367CAC}" destId="{C4F0B905-A417-4899-B32D-AB34CD0A29BA}" srcOrd="0" destOrd="0" presId="urn:microsoft.com/office/officeart/2005/8/layout/cycle8#2"/>
    <dgm:cxn modelId="{07CF6C87-2B63-4723-8AFC-0E95A66CCD0F}" type="presOf" srcId="{733AE84F-1756-43E2-B212-148EBE55DF10}" destId="{51001DC6-E4A8-482E-BC60-27421008CDC5}" srcOrd="1" destOrd="0" presId="urn:microsoft.com/office/officeart/2005/8/layout/cycle8#2"/>
    <dgm:cxn modelId="{53CC1D8B-A6C2-45FD-A33E-5E41D9337F0B}" srcId="{C3D1F335-286F-40DA-BA14-90AF73609CA7}" destId="{733AE84F-1756-43E2-B212-148EBE55DF10}" srcOrd="4" destOrd="0" parTransId="{91918BC1-538D-4FCD-A464-87B135644B6B}" sibTransId="{B1315C44-6FD9-46D7-B64D-4DE0A9C0D9EF}"/>
    <dgm:cxn modelId="{7D49C6A7-EA84-42ED-BA53-C73361A6A67A}" srcId="{C3D1F335-286F-40DA-BA14-90AF73609CA7}" destId="{381449E9-3009-4513-B5FF-6EB9DC367CAC}" srcOrd="1" destOrd="0" parTransId="{777CB663-3147-4446-8BF9-BFC39503A781}" sibTransId="{C0A4F701-D120-485C-85F0-543B32A2F606}"/>
    <dgm:cxn modelId="{E8B0A7B3-6723-4857-9AF7-D279565F9A66}" type="presOf" srcId="{733AE84F-1756-43E2-B212-148EBE55DF10}" destId="{9ECF988F-33E5-4DA8-BA1D-66751D5ED4DF}" srcOrd="0" destOrd="0" presId="urn:microsoft.com/office/officeart/2005/8/layout/cycle8#2"/>
    <dgm:cxn modelId="{AEE5D8B8-77B6-4E3D-95E1-487E98B163E4}" type="presOf" srcId="{2AA3D2B5-062D-4FDF-89C0-F60A479A3EC7}" destId="{DD75659E-8710-468B-BB10-2FFCD80A2A68}" srcOrd="0" destOrd="0" presId="urn:microsoft.com/office/officeart/2005/8/layout/cycle8#2"/>
    <dgm:cxn modelId="{923F96BB-D333-49D0-9D61-83E683A4EC81}" srcId="{C3D1F335-286F-40DA-BA14-90AF73609CA7}" destId="{CC95689F-A361-419F-A16B-203B4C5259E1}" srcOrd="7" destOrd="0" parTransId="{B565B9CF-85C9-47F4-B7F9-05BD8313F65B}" sibTransId="{6EFEE20B-487A-4B09-945B-5A2EAF74761D}"/>
    <dgm:cxn modelId="{7656BFC3-5771-44ED-BED5-80A8ABCD720A}" type="presOf" srcId="{E2BE252B-A125-4C1D-A590-BBFF59AF646D}" destId="{DA92AAD0-8049-4133-BFF1-2B33BF3B4A5A}" srcOrd="0" destOrd="0" presId="urn:microsoft.com/office/officeart/2005/8/layout/cycle8#2"/>
    <dgm:cxn modelId="{38E179CD-F1E6-4CD2-B89F-64899D27CB27}" srcId="{C3D1F335-286F-40DA-BA14-90AF73609CA7}" destId="{185087CF-781A-4AE9-8A47-DF46A3C9F00F}" srcOrd="3" destOrd="0" parTransId="{EDCFE1E4-902D-4A87-BEB6-5EC684A04FF1}" sibTransId="{44B37D06-5D2C-46AE-8229-4C21DB020F3E}"/>
    <dgm:cxn modelId="{DF2416CE-BAEC-4603-9B54-9FA6AA948D60}" type="presOf" srcId="{185087CF-781A-4AE9-8A47-DF46A3C9F00F}" destId="{E007A578-B9BB-4662-BD96-37086A2F93C2}" srcOrd="1" destOrd="0" presId="urn:microsoft.com/office/officeart/2005/8/layout/cycle8#2"/>
    <dgm:cxn modelId="{1C4414CF-4CAD-4B95-9A29-0B4F7A5FA483}" srcId="{C3D1F335-286F-40DA-BA14-90AF73609CA7}" destId="{1482C390-DDF6-45A6-8234-E07899C5A71E}" srcOrd="2" destOrd="0" parTransId="{AC810181-C14E-4720-8842-88E5AC6212E9}" sibTransId="{D4D72162-73FF-4E01-90CF-E038EDDEB792}"/>
    <dgm:cxn modelId="{1E28A0DF-F700-4EC9-8D79-75B1D4F1B527}" type="presOf" srcId="{185087CF-781A-4AE9-8A47-DF46A3C9F00F}" destId="{32368C6C-1EE2-463D-B38D-5BE35721A571}" srcOrd="0" destOrd="0" presId="urn:microsoft.com/office/officeart/2005/8/layout/cycle8#2"/>
    <dgm:cxn modelId="{744B1FE1-F6A9-4603-BF8B-E5A3CCCA5112}" type="presOf" srcId="{E2BE252B-A125-4C1D-A590-BBFF59AF646D}" destId="{23704B2F-EADF-48AE-8667-D97EBD822E1F}" srcOrd="1" destOrd="0" presId="urn:microsoft.com/office/officeart/2005/8/layout/cycle8#2"/>
    <dgm:cxn modelId="{C6E193E1-50B1-4532-B58A-98B44D9962F3}" srcId="{C3D1F335-286F-40DA-BA14-90AF73609CA7}" destId="{141630C7-7532-43BF-9A7E-BA44B8F6BCBA}" srcOrd="5" destOrd="0" parTransId="{9728803E-8569-4E7F-B5B5-2209651F9DF1}" sibTransId="{2DC330F8-53F1-411A-9154-7D20E4950855}"/>
    <dgm:cxn modelId="{B21F37E8-8113-4320-B771-996B9765A468}" srcId="{C3D1F335-286F-40DA-BA14-90AF73609CA7}" destId="{0E503909-99BD-4F8D-AB06-C049CD19AA99}" srcOrd="8" destOrd="0" parTransId="{E6A8ED81-DE44-4D7B-9174-CC1D5B3C4A2A}" sibTransId="{7DE18773-B9A9-436A-ADC2-43A57D3E7AD1}"/>
    <dgm:cxn modelId="{C866DB6B-3193-4211-B68D-AA8293087AFE}" type="presParOf" srcId="{0970C0FF-5E78-4267-BC0E-C7C56D6953D0}" destId="{DD75659E-8710-468B-BB10-2FFCD80A2A68}" srcOrd="0" destOrd="0" presId="urn:microsoft.com/office/officeart/2005/8/layout/cycle8#2"/>
    <dgm:cxn modelId="{D0CC980E-7D2F-47B5-9196-5D4D44E8D905}" type="presParOf" srcId="{0970C0FF-5E78-4267-BC0E-C7C56D6953D0}" destId="{CEB3350F-4157-419F-B7F8-232E6C19E671}" srcOrd="1" destOrd="0" presId="urn:microsoft.com/office/officeart/2005/8/layout/cycle8#2"/>
    <dgm:cxn modelId="{D64CCD10-9BA7-42EA-BD48-BB933B4954DF}" type="presParOf" srcId="{0970C0FF-5E78-4267-BC0E-C7C56D6953D0}" destId="{545D0861-D264-4F74-BD5F-54084425A644}" srcOrd="2" destOrd="0" presId="urn:microsoft.com/office/officeart/2005/8/layout/cycle8#2"/>
    <dgm:cxn modelId="{AA0F9F04-E7B7-4E05-8E92-72EC2B579A9A}" type="presParOf" srcId="{0970C0FF-5E78-4267-BC0E-C7C56D6953D0}" destId="{2CFA9A95-5179-4174-86B1-E94B35D1BEF9}" srcOrd="3" destOrd="0" presId="urn:microsoft.com/office/officeart/2005/8/layout/cycle8#2"/>
    <dgm:cxn modelId="{F141DA03-FA75-4500-954D-1CF11CF43E8B}" type="presParOf" srcId="{0970C0FF-5E78-4267-BC0E-C7C56D6953D0}" destId="{C4F0B905-A417-4899-B32D-AB34CD0A29BA}" srcOrd="4" destOrd="0" presId="urn:microsoft.com/office/officeart/2005/8/layout/cycle8#2"/>
    <dgm:cxn modelId="{AA8E26D2-9EB9-4F8F-B70A-97EE7357FD08}" type="presParOf" srcId="{0970C0FF-5E78-4267-BC0E-C7C56D6953D0}" destId="{478065AC-F437-4846-8EA7-F4246294B5FB}" srcOrd="5" destOrd="0" presId="urn:microsoft.com/office/officeart/2005/8/layout/cycle8#2"/>
    <dgm:cxn modelId="{A93746A2-3108-4177-AC1B-38118C354ED6}" type="presParOf" srcId="{0970C0FF-5E78-4267-BC0E-C7C56D6953D0}" destId="{800C536F-ACCA-4623-A479-7C2035B19743}" srcOrd="6" destOrd="0" presId="urn:microsoft.com/office/officeart/2005/8/layout/cycle8#2"/>
    <dgm:cxn modelId="{C2C1CEF7-4CEB-406C-9B50-06AA2FFF54B2}" type="presParOf" srcId="{0970C0FF-5E78-4267-BC0E-C7C56D6953D0}" destId="{E1164CF1-8765-4DC4-8208-9B96D32890D4}" srcOrd="7" destOrd="0" presId="urn:microsoft.com/office/officeart/2005/8/layout/cycle8#2"/>
    <dgm:cxn modelId="{51CB4B4D-6F34-447E-98AF-EF921C4E7FDD}" type="presParOf" srcId="{0970C0FF-5E78-4267-BC0E-C7C56D6953D0}" destId="{342F53B0-C5C7-4AE0-A2F8-AE3A34469DB9}" srcOrd="8" destOrd="0" presId="urn:microsoft.com/office/officeart/2005/8/layout/cycle8#2"/>
    <dgm:cxn modelId="{43AAB586-861F-4C37-9397-09C8EF84C696}" type="presParOf" srcId="{0970C0FF-5E78-4267-BC0E-C7C56D6953D0}" destId="{5F9EBBAA-40AD-4F60-8E58-71E954D910D4}" srcOrd="9" destOrd="0" presId="urn:microsoft.com/office/officeart/2005/8/layout/cycle8#2"/>
    <dgm:cxn modelId="{01339281-327B-46F1-83C7-B8EBA470E026}" type="presParOf" srcId="{0970C0FF-5E78-4267-BC0E-C7C56D6953D0}" destId="{40080891-3EFA-4E47-96A8-DC6BF7435B39}" srcOrd="10" destOrd="0" presId="urn:microsoft.com/office/officeart/2005/8/layout/cycle8#2"/>
    <dgm:cxn modelId="{C0E743A9-4D81-4BD0-B26D-F8108D7C27B1}" type="presParOf" srcId="{0970C0FF-5E78-4267-BC0E-C7C56D6953D0}" destId="{7B27EE64-CCDA-4927-ABE8-D619E7C023B5}" srcOrd="11" destOrd="0" presId="urn:microsoft.com/office/officeart/2005/8/layout/cycle8#2"/>
    <dgm:cxn modelId="{2984F375-8EA5-405D-91F0-5C8CD8ACD21C}" type="presParOf" srcId="{0970C0FF-5E78-4267-BC0E-C7C56D6953D0}" destId="{32368C6C-1EE2-463D-B38D-5BE35721A571}" srcOrd="12" destOrd="0" presId="urn:microsoft.com/office/officeart/2005/8/layout/cycle8#2"/>
    <dgm:cxn modelId="{A95969B2-9BAC-4DFB-A13F-8A6E5E1BF0D7}" type="presParOf" srcId="{0970C0FF-5E78-4267-BC0E-C7C56D6953D0}" destId="{3EE5C607-CEED-4017-BD0E-812BE3341C86}" srcOrd="13" destOrd="0" presId="urn:microsoft.com/office/officeart/2005/8/layout/cycle8#2"/>
    <dgm:cxn modelId="{1B4E6F77-ADF2-4B30-897C-3BB4A842D271}" type="presParOf" srcId="{0970C0FF-5E78-4267-BC0E-C7C56D6953D0}" destId="{FE0FB9BE-43EE-452A-BD13-4289E36DAFC2}" srcOrd="14" destOrd="0" presId="urn:microsoft.com/office/officeart/2005/8/layout/cycle8#2"/>
    <dgm:cxn modelId="{F09A4CE9-D8A2-4679-9DFB-3C4E7BF1455D}" type="presParOf" srcId="{0970C0FF-5E78-4267-BC0E-C7C56D6953D0}" destId="{E007A578-B9BB-4662-BD96-37086A2F93C2}" srcOrd="15" destOrd="0" presId="urn:microsoft.com/office/officeart/2005/8/layout/cycle8#2"/>
    <dgm:cxn modelId="{E653D9D7-C126-4A65-9C3B-28DD8A9EC403}" type="presParOf" srcId="{0970C0FF-5E78-4267-BC0E-C7C56D6953D0}" destId="{9ECF988F-33E5-4DA8-BA1D-66751D5ED4DF}" srcOrd="16" destOrd="0" presId="urn:microsoft.com/office/officeart/2005/8/layout/cycle8#2"/>
    <dgm:cxn modelId="{505047BD-9FC5-4C85-A7C7-C794BA668E9D}" type="presParOf" srcId="{0970C0FF-5E78-4267-BC0E-C7C56D6953D0}" destId="{FD99F6B1-868E-4CF5-8D9F-886B90BE7530}" srcOrd="17" destOrd="0" presId="urn:microsoft.com/office/officeart/2005/8/layout/cycle8#2"/>
    <dgm:cxn modelId="{F7138D19-3E4B-4353-947F-4CB1AB506E37}" type="presParOf" srcId="{0970C0FF-5E78-4267-BC0E-C7C56D6953D0}" destId="{7ADA14D7-716B-4AE8-82B3-D713640FF764}" srcOrd="18" destOrd="0" presId="urn:microsoft.com/office/officeart/2005/8/layout/cycle8#2"/>
    <dgm:cxn modelId="{6EFAE018-EFD4-4371-93E2-EF51A0CEF47F}" type="presParOf" srcId="{0970C0FF-5E78-4267-BC0E-C7C56D6953D0}" destId="{51001DC6-E4A8-482E-BC60-27421008CDC5}" srcOrd="19" destOrd="0" presId="urn:microsoft.com/office/officeart/2005/8/layout/cycle8#2"/>
    <dgm:cxn modelId="{CD5B6B0A-4FCA-4A8B-A0D9-66DDCF32FBE2}" type="presParOf" srcId="{0970C0FF-5E78-4267-BC0E-C7C56D6953D0}" destId="{8A66FAF5-831D-4474-A6CD-9A27FF062D3D}" srcOrd="20" destOrd="0" presId="urn:microsoft.com/office/officeart/2005/8/layout/cycle8#2"/>
    <dgm:cxn modelId="{C976A073-C014-425D-B048-8297668BE63A}" type="presParOf" srcId="{0970C0FF-5E78-4267-BC0E-C7C56D6953D0}" destId="{BA57BD65-D005-4255-9BE8-27E0EC29B93E}" srcOrd="21" destOrd="0" presId="urn:microsoft.com/office/officeart/2005/8/layout/cycle8#2"/>
    <dgm:cxn modelId="{F24DBF14-ED57-46FF-8A2A-0A58113BCE16}" type="presParOf" srcId="{0970C0FF-5E78-4267-BC0E-C7C56D6953D0}" destId="{8822DA08-DA71-44AA-91D0-A0E27E1E35BF}" srcOrd="22" destOrd="0" presId="urn:microsoft.com/office/officeart/2005/8/layout/cycle8#2"/>
    <dgm:cxn modelId="{E242A81D-38B9-42DB-991D-6ED7189F7D0F}" type="presParOf" srcId="{0970C0FF-5E78-4267-BC0E-C7C56D6953D0}" destId="{0C2628F7-DDC0-4D28-BB51-B4E85CF6073D}" srcOrd="23" destOrd="0" presId="urn:microsoft.com/office/officeart/2005/8/layout/cycle8#2"/>
    <dgm:cxn modelId="{CC57C57C-E4FE-437E-B97D-A975B4E8A6CA}" type="presParOf" srcId="{0970C0FF-5E78-4267-BC0E-C7C56D6953D0}" destId="{DA92AAD0-8049-4133-BFF1-2B33BF3B4A5A}" srcOrd="24" destOrd="0" presId="urn:microsoft.com/office/officeart/2005/8/layout/cycle8#2"/>
    <dgm:cxn modelId="{74C96A31-B89A-4155-910B-FD62D7CC59FF}" type="presParOf" srcId="{0970C0FF-5E78-4267-BC0E-C7C56D6953D0}" destId="{8AC8FCB7-C4A9-484D-A496-A26119982978}" srcOrd="25" destOrd="0" presId="urn:microsoft.com/office/officeart/2005/8/layout/cycle8#2"/>
    <dgm:cxn modelId="{B634D935-F4B8-47C7-A2A0-0FC0AF6FC80B}" type="presParOf" srcId="{0970C0FF-5E78-4267-BC0E-C7C56D6953D0}" destId="{3E8C7E67-2399-4F6A-ACE2-2883F46D9015}" srcOrd="26" destOrd="0" presId="urn:microsoft.com/office/officeart/2005/8/layout/cycle8#2"/>
    <dgm:cxn modelId="{8B8D78F6-E539-4AFA-9087-6473A6CFDA19}" type="presParOf" srcId="{0970C0FF-5E78-4267-BC0E-C7C56D6953D0}" destId="{23704B2F-EADF-48AE-8667-D97EBD822E1F}" srcOrd="27" destOrd="0" presId="urn:microsoft.com/office/officeart/2005/8/layout/cycle8#2"/>
    <dgm:cxn modelId="{8B378378-9A6E-4F3B-9D2F-94AA422C8357}" type="presParOf" srcId="{0970C0FF-5E78-4267-BC0E-C7C56D6953D0}" destId="{10E8E768-0B51-40DE-BE2F-BE88FBEBEE09}" srcOrd="28" destOrd="0" presId="urn:microsoft.com/office/officeart/2005/8/layout/cycle8#2"/>
    <dgm:cxn modelId="{114BBD45-EE10-4523-86EA-FF899449EE25}" type="presParOf" srcId="{0970C0FF-5E78-4267-BC0E-C7C56D6953D0}" destId="{BFF8DCD5-E23B-400C-9130-4305E8289135}" srcOrd="29" destOrd="0" presId="urn:microsoft.com/office/officeart/2005/8/layout/cycle8#2"/>
    <dgm:cxn modelId="{25B7D2BA-980D-47AC-A7F2-D3772898E371}" type="presParOf" srcId="{0970C0FF-5E78-4267-BC0E-C7C56D6953D0}" destId="{2C6C0134-6903-466E-8B96-25BDFAF14E82}" srcOrd="30" destOrd="0" presId="urn:microsoft.com/office/officeart/2005/8/layout/cycle8#2"/>
    <dgm:cxn modelId="{24DF3111-BB73-4A60-8216-D8362ECED97E}" type="presParOf" srcId="{0970C0FF-5E78-4267-BC0E-C7C56D6953D0}" destId="{AA583475-065B-41C3-A900-1024BC357C4D}" srcOrd="31" destOrd="0" presId="urn:microsoft.com/office/officeart/2005/8/layout/cycle8#2"/>
    <dgm:cxn modelId="{7CC24FD6-F853-4F31-B4C4-DA48E2CE3974}" type="presParOf" srcId="{0970C0FF-5E78-4267-BC0E-C7C56D6953D0}" destId="{A4D78434-2494-4991-A0B6-0EA7D95AE584}" srcOrd="32" destOrd="0" presId="urn:microsoft.com/office/officeart/2005/8/layout/cycle8#2"/>
    <dgm:cxn modelId="{404F00B2-DA50-43E3-999B-F0A3CD21E114}" type="presParOf" srcId="{0970C0FF-5E78-4267-BC0E-C7C56D6953D0}" destId="{EB7D708A-DC90-47B7-A8A7-895E719C278C}" srcOrd="33" destOrd="0" presId="urn:microsoft.com/office/officeart/2005/8/layout/cycle8#2"/>
    <dgm:cxn modelId="{84DB96B9-7351-4844-8C4A-11D241FC5CE5}" type="presParOf" srcId="{0970C0FF-5E78-4267-BC0E-C7C56D6953D0}" destId="{8B8E8399-0903-4D27-9C85-F1199E3A6BDA}" srcOrd="34" destOrd="0" presId="urn:microsoft.com/office/officeart/2005/8/layout/cycle8#2"/>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10E56D11-9238-4671-9AEB-922ABE400009}" type="doc">
      <dgm:prSet loTypeId="urn:microsoft.com/office/officeart/2005/8/layout/hProcess9" loCatId="process" qsTypeId="urn:microsoft.com/office/officeart/2005/8/quickstyle/3d3" qsCatId="3D" csTypeId="urn:microsoft.com/office/officeart/2005/8/colors/colorful3" csCatId="colorful" phldr="1"/>
      <dgm:spPr/>
    </dgm:pt>
    <dgm:pt modelId="{2E2CDD4A-B41A-41A6-A159-A9143D6A2F2B}">
      <dgm:prSet phldrT="[Text]"/>
      <dgm:spPr/>
      <dgm:t>
        <a:bodyPr/>
        <a:lstStyle/>
        <a:p>
          <a:pPr algn="ctr"/>
          <a:r>
            <a:rPr lang="en-US" b="1">
              <a:solidFill>
                <a:schemeClr val="tx1"/>
              </a:solidFill>
              <a:latin typeface="Times New Roman" pitchFamily="18" charset="0"/>
              <a:cs typeface="Times New Roman" pitchFamily="18" charset="0"/>
            </a:rPr>
            <a:t>Cross-Cultural Training</a:t>
          </a:r>
          <a:endParaRPr lang="en-US">
            <a:solidFill>
              <a:schemeClr val="tx1"/>
            </a:solidFill>
            <a:latin typeface="Times New Roman" pitchFamily="18" charset="0"/>
            <a:cs typeface="Times New Roman" pitchFamily="18" charset="0"/>
          </a:endParaRPr>
        </a:p>
      </dgm:t>
    </dgm:pt>
    <dgm:pt modelId="{F5088126-D7F1-49B1-AC31-9105C7671C58}" type="parTrans" cxnId="{77A8C2E0-ACBA-42F8-BB74-C8EF38433046}">
      <dgm:prSet/>
      <dgm:spPr/>
      <dgm:t>
        <a:bodyPr/>
        <a:lstStyle/>
        <a:p>
          <a:pPr algn="ctr"/>
          <a:endParaRPr lang="en-US">
            <a:solidFill>
              <a:schemeClr val="tx1"/>
            </a:solidFill>
            <a:latin typeface="Times New Roman" pitchFamily="18" charset="0"/>
            <a:cs typeface="Times New Roman" pitchFamily="18" charset="0"/>
          </a:endParaRPr>
        </a:p>
      </dgm:t>
    </dgm:pt>
    <dgm:pt modelId="{F4989249-5CDE-486F-9B38-7263E1148221}" type="sibTrans" cxnId="{77A8C2E0-ACBA-42F8-BB74-C8EF38433046}">
      <dgm:prSet/>
      <dgm:spPr/>
      <dgm:t>
        <a:bodyPr/>
        <a:lstStyle/>
        <a:p>
          <a:pPr algn="ctr"/>
          <a:endParaRPr lang="en-US">
            <a:solidFill>
              <a:schemeClr val="tx1"/>
            </a:solidFill>
            <a:latin typeface="Times New Roman" pitchFamily="18" charset="0"/>
            <a:cs typeface="Times New Roman" pitchFamily="18" charset="0"/>
          </a:endParaRPr>
        </a:p>
      </dgm:t>
    </dgm:pt>
    <dgm:pt modelId="{EB0CF2B1-E688-4B63-8851-709862DA85EA}">
      <dgm:prSet phldrT="[Text]"/>
      <dgm:spPr/>
      <dgm:t>
        <a:bodyPr/>
        <a:lstStyle/>
        <a:p>
          <a:pPr algn="ctr"/>
          <a:r>
            <a:rPr lang="en-US" b="1">
              <a:solidFill>
                <a:schemeClr val="tx1"/>
              </a:solidFill>
              <a:latin typeface="Times New Roman" pitchFamily="18" charset="0"/>
              <a:cs typeface="Times New Roman" pitchFamily="18" charset="0"/>
            </a:rPr>
            <a:t>Diversity in Leadership</a:t>
          </a:r>
          <a:endParaRPr lang="en-US">
            <a:solidFill>
              <a:schemeClr val="tx1"/>
            </a:solidFill>
            <a:latin typeface="Times New Roman" pitchFamily="18" charset="0"/>
            <a:cs typeface="Times New Roman" pitchFamily="18" charset="0"/>
          </a:endParaRPr>
        </a:p>
      </dgm:t>
    </dgm:pt>
    <dgm:pt modelId="{D7F3B8F3-67BE-42B9-9DB3-F90F42ED73B4}" type="parTrans" cxnId="{B966C0A0-E6A9-4049-93D0-C4467BB53A81}">
      <dgm:prSet/>
      <dgm:spPr/>
      <dgm:t>
        <a:bodyPr/>
        <a:lstStyle/>
        <a:p>
          <a:pPr algn="ctr"/>
          <a:endParaRPr lang="en-US">
            <a:solidFill>
              <a:schemeClr val="tx1"/>
            </a:solidFill>
            <a:latin typeface="Times New Roman" pitchFamily="18" charset="0"/>
            <a:cs typeface="Times New Roman" pitchFamily="18" charset="0"/>
          </a:endParaRPr>
        </a:p>
      </dgm:t>
    </dgm:pt>
    <dgm:pt modelId="{5DCABD31-36E3-4B93-88D5-56AF26AEAD1F}" type="sibTrans" cxnId="{B966C0A0-E6A9-4049-93D0-C4467BB53A81}">
      <dgm:prSet/>
      <dgm:spPr/>
      <dgm:t>
        <a:bodyPr/>
        <a:lstStyle/>
        <a:p>
          <a:pPr algn="ctr"/>
          <a:endParaRPr lang="en-US">
            <a:solidFill>
              <a:schemeClr val="tx1"/>
            </a:solidFill>
            <a:latin typeface="Times New Roman" pitchFamily="18" charset="0"/>
            <a:cs typeface="Times New Roman" pitchFamily="18" charset="0"/>
          </a:endParaRPr>
        </a:p>
      </dgm:t>
    </dgm:pt>
    <dgm:pt modelId="{B74317A7-6BE1-48C5-9050-377B5128BF4E}">
      <dgm:prSet phldrT="[Text]"/>
      <dgm:spPr/>
      <dgm:t>
        <a:bodyPr/>
        <a:lstStyle/>
        <a:p>
          <a:pPr algn="ctr"/>
          <a:r>
            <a:rPr lang="en-US" b="1">
              <a:solidFill>
                <a:schemeClr val="tx1"/>
              </a:solidFill>
              <a:latin typeface="Times New Roman" pitchFamily="18" charset="0"/>
              <a:cs typeface="Times New Roman" pitchFamily="18" charset="0"/>
            </a:rPr>
            <a:t>Communication Strategies</a:t>
          </a:r>
          <a:endParaRPr lang="en-US">
            <a:solidFill>
              <a:schemeClr val="tx1"/>
            </a:solidFill>
            <a:latin typeface="Times New Roman" pitchFamily="18" charset="0"/>
            <a:cs typeface="Times New Roman" pitchFamily="18" charset="0"/>
          </a:endParaRPr>
        </a:p>
      </dgm:t>
    </dgm:pt>
    <dgm:pt modelId="{432B2513-73F0-493F-9B1F-1F0E40CA0632}" type="parTrans" cxnId="{6DEF55B0-FDDD-453B-B230-0DA91BC86484}">
      <dgm:prSet/>
      <dgm:spPr/>
      <dgm:t>
        <a:bodyPr/>
        <a:lstStyle/>
        <a:p>
          <a:pPr algn="ctr"/>
          <a:endParaRPr lang="en-US">
            <a:solidFill>
              <a:schemeClr val="tx1"/>
            </a:solidFill>
            <a:latin typeface="Times New Roman" pitchFamily="18" charset="0"/>
            <a:cs typeface="Times New Roman" pitchFamily="18" charset="0"/>
          </a:endParaRPr>
        </a:p>
      </dgm:t>
    </dgm:pt>
    <dgm:pt modelId="{B68804E7-A443-48CC-854F-76B5DBA4F6AD}" type="sibTrans" cxnId="{6DEF55B0-FDDD-453B-B230-0DA91BC86484}">
      <dgm:prSet/>
      <dgm:spPr/>
      <dgm:t>
        <a:bodyPr/>
        <a:lstStyle/>
        <a:p>
          <a:pPr algn="ctr"/>
          <a:endParaRPr lang="en-US">
            <a:solidFill>
              <a:schemeClr val="tx1"/>
            </a:solidFill>
            <a:latin typeface="Times New Roman" pitchFamily="18" charset="0"/>
            <a:cs typeface="Times New Roman" pitchFamily="18" charset="0"/>
          </a:endParaRPr>
        </a:p>
      </dgm:t>
    </dgm:pt>
    <dgm:pt modelId="{90C1F9F9-44C7-4D2C-87F4-412052835388}">
      <dgm:prSet/>
      <dgm:spPr/>
      <dgm:t>
        <a:bodyPr/>
        <a:lstStyle/>
        <a:p>
          <a:pPr algn="ctr"/>
          <a:r>
            <a:rPr lang="en-US" b="1">
              <a:solidFill>
                <a:schemeClr val="tx1"/>
              </a:solidFill>
              <a:latin typeface="Times New Roman" pitchFamily="18" charset="0"/>
              <a:cs typeface="Times New Roman" pitchFamily="18" charset="0"/>
            </a:rPr>
            <a:t>Cultural Liaisons</a:t>
          </a:r>
          <a:endParaRPr lang="en-US">
            <a:solidFill>
              <a:schemeClr val="tx1"/>
            </a:solidFill>
            <a:latin typeface="Times New Roman" pitchFamily="18" charset="0"/>
            <a:cs typeface="Times New Roman" pitchFamily="18" charset="0"/>
          </a:endParaRPr>
        </a:p>
      </dgm:t>
    </dgm:pt>
    <dgm:pt modelId="{A4AAD603-ABA3-4DE2-A78D-F407E947B269}" type="parTrans" cxnId="{D7977A61-013B-456E-B996-65F222D253A8}">
      <dgm:prSet/>
      <dgm:spPr/>
      <dgm:t>
        <a:bodyPr/>
        <a:lstStyle/>
        <a:p>
          <a:pPr algn="ctr"/>
          <a:endParaRPr lang="en-US">
            <a:solidFill>
              <a:schemeClr val="tx1"/>
            </a:solidFill>
            <a:latin typeface="Times New Roman" pitchFamily="18" charset="0"/>
            <a:cs typeface="Times New Roman" pitchFamily="18" charset="0"/>
          </a:endParaRPr>
        </a:p>
      </dgm:t>
    </dgm:pt>
    <dgm:pt modelId="{E5AE18EB-2385-47A2-94EE-688D8FC98E36}" type="sibTrans" cxnId="{D7977A61-013B-456E-B996-65F222D253A8}">
      <dgm:prSet/>
      <dgm:spPr/>
      <dgm:t>
        <a:bodyPr/>
        <a:lstStyle/>
        <a:p>
          <a:pPr algn="ctr"/>
          <a:endParaRPr lang="en-US">
            <a:solidFill>
              <a:schemeClr val="tx1"/>
            </a:solidFill>
            <a:latin typeface="Times New Roman" pitchFamily="18" charset="0"/>
            <a:cs typeface="Times New Roman" pitchFamily="18" charset="0"/>
          </a:endParaRPr>
        </a:p>
      </dgm:t>
    </dgm:pt>
    <dgm:pt modelId="{F2E7BAB1-FD72-4E85-B8B1-E134402CB5AC}">
      <dgm:prSet/>
      <dgm:spPr/>
      <dgm:t>
        <a:bodyPr/>
        <a:lstStyle/>
        <a:p>
          <a:pPr algn="ctr"/>
          <a:r>
            <a:rPr lang="en-US" b="1">
              <a:solidFill>
                <a:schemeClr val="tx1"/>
              </a:solidFill>
              <a:latin typeface="Times New Roman" pitchFamily="18" charset="0"/>
              <a:cs typeface="Times New Roman" pitchFamily="18" charset="0"/>
            </a:rPr>
            <a:t>Employee Resource Groups</a:t>
          </a:r>
          <a:endParaRPr lang="en-US">
            <a:solidFill>
              <a:schemeClr val="tx1"/>
            </a:solidFill>
            <a:latin typeface="Times New Roman" pitchFamily="18" charset="0"/>
            <a:cs typeface="Times New Roman" pitchFamily="18" charset="0"/>
          </a:endParaRPr>
        </a:p>
      </dgm:t>
    </dgm:pt>
    <dgm:pt modelId="{9A41A43C-2829-4632-9CF6-40140E38AF2A}" type="parTrans" cxnId="{35117964-F081-429B-A272-4CC78F23D281}">
      <dgm:prSet/>
      <dgm:spPr/>
      <dgm:t>
        <a:bodyPr/>
        <a:lstStyle/>
        <a:p>
          <a:pPr algn="ctr"/>
          <a:endParaRPr lang="en-US">
            <a:solidFill>
              <a:schemeClr val="tx1"/>
            </a:solidFill>
            <a:latin typeface="Times New Roman" pitchFamily="18" charset="0"/>
            <a:cs typeface="Times New Roman" pitchFamily="18" charset="0"/>
          </a:endParaRPr>
        </a:p>
      </dgm:t>
    </dgm:pt>
    <dgm:pt modelId="{C9C0878C-1BAD-4424-BB2B-6F3EB965EFB8}" type="sibTrans" cxnId="{35117964-F081-429B-A272-4CC78F23D281}">
      <dgm:prSet/>
      <dgm:spPr/>
      <dgm:t>
        <a:bodyPr/>
        <a:lstStyle/>
        <a:p>
          <a:pPr algn="ctr"/>
          <a:endParaRPr lang="en-US">
            <a:solidFill>
              <a:schemeClr val="tx1"/>
            </a:solidFill>
            <a:latin typeface="Times New Roman" pitchFamily="18" charset="0"/>
            <a:cs typeface="Times New Roman" pitchFamily="18" charset="0"/>
          </a:endParaRPr>
        </a:p>
      </dgm:t>
    </dgm:pt>
    <dgm:pt modelId="{106B726A-3193-4E98-8AC2-C99B35DD7AFC}" type="pres">
      <dgm:prSet presAssocID="{10E56D11-9238-4671-9AEB-922ABE400009}" presName="CompostProcess" presStyleCnt="0">
        <dgm:presLayoutVars>
          <dgm:dir/>
          <dgm:resizeHandles val="exact"/>
        </dgm:presLayoutVars>
      </dgm:prSet>
      <dgm:spPr/>
    </dgm:pt>
    <dgm:pt modelId="{2B5389FF-20A8-457B-93FA-67ED79E523D4}" type="pres">
      <dgm:prSet presAssocID="{10E56D11-9238-4671-9AEB-922ABE400009}" presName="arrow" presStyleLbl="bgShp" presStyleIdx="0" presStyleCnt="1"/>
      <dgm:spPr/>
    </dgm:pt>
    <dgm:pt modelId="{4D5AE3B3-0AFA-41D4-ADF4-80D8CC9AF5C7}" type="pres">
      <dgm:prSet presAssocID="{10E56D11-9238-4671-9AEB-922ABE400009}" presName="linearProcess" presStyleCnt="0"/>
      <dgm:spPr/>
    </dgm:pt>
    <dgm:pt modelId="{FEF56FC6-A67F-4F9C-86BE-72FBED6BEBA4}" type="pres">
      <dgm:prSet presAssocID="{2E2CDD4A-B41A-41A6-A159-A9143D6A2F2B}" presName="textNode" presStyleLbl="node1" presStyleIdx="0" presStyleCnt="5">
        <dgm:presLayoutVars>
          <dgm:bulletEnabled val="1"/>
        </dgm:presLayoutVars>
      </dgm:prSet>
      <dgm:spPr/>
    </dgm:pt>
    <dgm:pt modelId="{433F9F3D-C541-459B-8635-8E46FC0CDF6D}" type="pres">
      <dgm:prSet presAssocID="{F4989249-5CDE-486F-9B38-7263E1148221}" presName="sibTrans" presStyleCnt="0"/>
      <dgm:spPr/>
    </dgm:pt>
    <dgm:pt modelId="{76C2EEE7-BC26-44DE-A78F-795D9B6AE273}" type="pres">
      <dgm:prSet presAssocID="{EB0CF2B1-E688-4B63-8851-709862DA85EA}" presName="textNode" presStyleLbl="node1" presStyleIdx="1" presStyleCnt="5">
        <dgm:presLayoutVars>
          <dgm:bulletEnabled val="1"/>
        </dgm:presLayoutVars>
      </dgm:prSet>
      <dgm:spPr/>
    </dgm:pt>
    <dgm:pt modelId="{E8AD77B9-F8F4-496E-8ED0-BD8D9B2C08BA}" type="pres">
      <dgm:prSet presAssocID="{5DCABD31-36E3-4B93-88D5-56AF26AEAD1F}" presName="sibTrans" presStyleCnt="0"/>
      <dgm:spPr/>
    </dgm:pt>
    <dgm:pt modelId="{49F977EE-4151-43FD-8457-B06CBB139B0A}" type="pres">
      <dgm:prSet presAssocID="{B74317A7-6BE1-48C5-9050-377B5128BF4E}" presName="textNode" presStyleLbl="node1" presStyleIdx="2" presStyleCnt="5">
        <dgm:presLayoutVars>
          <dgm:bulletEnabled val="1"/>
        </dgm:presLayoutVars>
      </dgm:prSet>
      <dgm:spPr/>
    </dgm:pt>
    <dgm:pt modelId="{98613DA6-EA19-4851-BC03-CCF1F7B207E7}" type="pres">
      <dgm:prSet presAssocID="{B68804E7-A443-48CC-854F-76B5DBA4F6AD}" presName="sibTrans" presStyleCnt="0"/>
      <dgm:spPr/>
    </dgm:pt>
    <dgm:pt modelId="{EDCC5CD4-29B1-47F5-A0A3-FAB9F9A8E1D8}" type="pres">
      <dgm:prSet presAssocID="{F2E7BAB1-FD72-4E85-B8B1-E134402CB5AC}" presName="textNode" presStyleLbl="node1" presStyleIdx="3" presStyleCnt="5">
        <dgm:presLayoutVars>
          <dgm:bulletEnabled val="1"/>
        </dgm:presLayoutVars>
      </dgm:prSet>
      <dgm:spPr/>
    </dgm:pt>
    <dgm:pt modelId="{55E78425-DF0A-4D10-BA92-2CDD2C831274}" type="pres">
      <dgm:prSet presAssocID="{C9C0878C-1BAD-4424-BB2B-6F3EB965EFB8}" presName="sibTrans" presStyleCnt="0"/>
      <dgm:spPr/>
    </dgm:pt>
    <dgm:pt modelId="{A5EA1107-792D-4F94-9121-A120ED1AAA15}" type="pres">
      <dgm:prSet presAssocID="{90C1F9F9-44C7-4D2C-87F4-412052835388}" presName="textNode" presStyleLbl="node1" presStyleIdx="4" presStyleCnt="5">
        <dgm:presLayoutVars>
          <dgm:bulletEnabled val="1"/>
        </dgm:presLayoutVars>
      </dgm:prSet>
      <dgm:spPr/>
    </dgm:pt>
  </dgm:ptLst>
  <dgm:cxnLst>
    <dgm:cxn modelId="{F7D77D0A-D2D1-4765-AB30-3931036D58A5}" type="presOf" srcId="{F2E7BAB1-FD72-4E85-B8B1-E134402CB5AC}" destId="{EDCC5CD4-29B1-47F5-A0A3-FAB9F9A8E1D8}" srcOrd="0" destOrd="0" presId="urn:microsoft.com/office/officeart/2005/8/layout/hProcess9"/>
    <dgm:cxn modelId="{DC65D829-E86B-487F-90B1-15F5CBF481FD}" type="presOf" srcId="{10E56D11-9238-4671-9AEB-922ABE400009}" destId="{106B726A-3193-4E98-8AC2-C99B35DD7AFC}" srcOrd="0" destOrd="0" presId="urn:microsoft.com/office/officeart/2005/8/layout/hProcess9"/>
    <dgm:cxn modelId="{D7977A61-013B-456E-B996-65F222D253A8}" srcId="{10E56D11-9238-4671-9AEB-922ABE400009}" destId="{90C1F9F9-44C7-4D2C-87F4-412052835388}" srcOrd="4" destOrd="0" parTransId="{A4AAD603-ABA3-4DE2-A78D-F407E947B269}" sibTransId="{E5AE18EB-2385-47A2-94EE-688D8FC98E36}"/>
    <dgm:cxn modelId="{35117964-F081-429B-A272-4CC78F23D281}" srcId="{10E56D11-9238-4671-9AEB-922ABE400009}" destId="{F2E7BAB1-FD72-4E85-B8B1-E134402CB5AC}" srcOrd="3" destOrd="0" parTransId="{9A41A43C-2829-4632-9CF6-40140E38AF2A}" sibTransId="{C9C0878C-1BAD-4424-BB2B-6F3EB965EFB8}"/>
    <dgm:cxn modelId="{55040F74-F662-4818-BAF2-FC75C6F55742}" type="presOf" srcId="{2E2CDD4A-B41A-41A6-A159-A9143D6A2F2B}" destId="{FEF56FC6-A67F-4F9C-86BE-72FBED6BEBA4}" srcOrd="0" destOrd="0" presId="urn:microsoft.com/office/officeart/2005/8/layout/hProcess9"/>
    <dgm:cxn modelId="{B966C0A0-E6A9-4049-93D0-C4467BB53A81}" srcId="{10E56D11-9238-4671-9AEB-922ABE400009}" destId="{EB0CF2B1-E688-4B63-8851-709862DA85EA}" srcOrd="1" destOrd="0" parTransId="{D7F3B8F3-67BE-42B9-9DB3-F90F42ED73B4}" sibTransId="{5DCABD31-36E3-4B93-88D5-56AF26AEAD1F}"/>
    <dgm:cxn modelId="{6DEF55B0-FDDD-453B-B230-0DA91BC86484}" srcId="{10E56D11-9238-4671-9AEB-922ABE400009}" destId="{B74317A7-6BE1-48C5-9050-377B5128BF4E}" srcOrd="2" destOrd="0" parTransId="{432B2513-73F0-493F-9B1F-1F0E40CA0632}" sibTransId="{B68804E7-A443-48CC-854F-76B5DBA4F6AD}"/>
    <dgm:cxn modelId="{427426CD-01F3-4020-AF76-A474D6974F99}" type="presOf" srcId="{90C1F9F9-44C7-4D2C-87F4-412052835388}" destId="{A5EA1107-792D-4F94-9121-A120ED1AAA15}" srcOrd="0" destOrd="0" presId="urn:microsoft.com/office/officeart/2005/8/layout/hProcess9"/>
    <dgm:cxn modelId="{25C6D1DF-0B30-476E-BC55-BEE8922123B1}" type="presOf" srcId="{EB0CF2B1-E688-4B63-8851-709862DA85EA}" destId="{76C2EEE7-BC26-44DE-A78F-795D9B6AE273}" srcOrd="0" destOrd="0" presId="urn:microsoft.com/office/officeart/2005/8/layout/hProcess9"/>
    <dgm:cxn modelId="{77A8C2E0-ACBA-42F8-BB74-C8EF38433046}" srcId="{10E56D11-9238-4671-9AEB-922ABE400009}" destId="{2E2CDD4A-B41A-41A6-A159-A9143D6A2F2B}" srcOrd="0" destOrd="0" parTransId="{F5088126-D7F1-49B1-AC31-9105C7671C58}" sibTransId="{F4989249-5CDE-486F-9B38-7263E1148221}"/>
    <dgm:cxn modelId="{F66885EE-09BC-4527-9E81-46827F5742E4}" type="presOf" srcId="{B74317A7-6BE1-48C5-9050-377B5128BF4E}" destId="{49F977EE-4151-43FD-8457-B06CBB139B0A}" srcOrd="0" destOrd="0" presId="urn:microsoft.com/office/officeart/2005/8/layout/hProcess9"/>
    <dgm:cxn modelId="{3263962A-E643-4D86-97BA-60A1BD3842CA}" type="presParOf" srcId="{106B726A-3193-4E98-8AC2-C99B35DD7AFC}" destId="{2B5389FF-20A8-457B-93FA-67ED79E523D4}" srcOrd="0" destOrd="0" presId="urn:microsoft.com/office/officeart/2005/8/layout/hProcess9"/>
    <dgm:cxn modelId="{FD017862-D507-487C-BA00-79B38CA4B02D}" type="presParOf" srcId="{106B726A-3193-4E98-8AC2-C99B35DD7AFC}" destId="{4D5AE3B3-0AFA-41D4-ADF4-80D8CC9AF5C7}" srcOrd="1" destOrd="0" presId="urn:microsoft.com/office/officeart/2005/8/layout/hProcess9"/>
    <dgm:cxn modelId="{9CB4EC48-169A-4CF8-A9D2-CCCF169FD9CE}" type="presParOf" srcId="{4D5AE3B3-0AFA-41D4-ADF4-80D8CC9AF5C7}" destId="{FEF56FC6-A67F-4F9C-86BE-72FBED6BEBA4}" srcOrd="0" destOrd="0" presId="urn:microsoft.com/office/officeart/2005/8/layout/hProcess9"/>
    <dgm:cxn modelId="{80F65396-DC9D-4366-B734-9FB0D5723F18}" type="presParOf" srcId="{4D5AE3B3-0AFA-41D4-ADF4-80D8CC9AF5C7}" destId="{433F9F3D-C541-459B-8635-8E46FC0CDF6D}" srcOrd="1" destOrd="0" presId="urn:microsoft.com/office/officeart/2005/8/layout/hProcess9"/>
    <dgm:cxn modelId="{8342C674-6764-43FA-9C66-3EFE33FBB11F}" type="presParOf" srcId="{4D5AE3B3-0AFA-41D4-ADF4-80D8CC9AF5C7}" destId="{76C2EEE7-BC26-44DE-A78F-795D9B6AE273}" srcOrd="2" destOrd="0" presId="urn:microsoft.com/office/officeart/2005/8/layout/hProcess9"/>
    <dgm:cxn modelId="{47101E98-9E0D-4EB6-8D7C-7454D7378643}" type="presParOf" srcId="{4D5AE3B3-0AFA-41D4-ADF4-80D8CC9AF5C7}" destId="{E8AD77B9-F8F4-496E-8ED0-BD8D9B2C08BA}" srcOrd="3" destOrd="0" presId="urn:microsoft.com/office/officeart/2005/8/layout/hProcess9"/>
    <dgm:cxn modelId="{8F7CDAEF-7759-43C7-A580-EA44376415B7}" type="presParOf" srcId="{4D5AE3B3-0AFA-41D4-ADF4-80D8CC9AF5C7}" destId="{49F977EE-4151-43FD-8457-B06CBB139B0A}" srcOrd="4" destOrd="0" presId="urn:microsoft.com/office/officeart/2005/8/layout/hProcess9"/>
    <dgm:cxn modelId="{FAC81E84-1DB0-4628-BFC9-227A78EFB2D7}" type="presParOf" srcId="{4D5AE3B3-0AFA-41D4-ADF4-80D8CC9AF5C7}" destId="{98613DA6-EA19-4851-BC03-CCF1F7B207E7}" srcOrd="5" destOrd="0" presId="urn:microsoft.com/office/officeart/2005/8/layout/hProcess9"/>
    <dgm:cxn modelId="{42C28AD8-C13F-4710-938B-BBA2696D3E51}" type="presParOf" srcId="{4D5AE3B3-0AFA-41D4-ADF4-80D8CC9AF5C7}" destId="{EDCC5CD4-29B1-47F5-A0A3-FAB9F9A8E1D8}" srcOrd="6" destOrd="0" presId="urn:microsoft.com/office/officeart/2005/8/layout/hProcess9"/>
    <dgm:cxn modelId="{BB170C4A-773F-4CF6-9104-419C3A669087}" type="presParOf" srcId="{4D5AE3B3-0AFA-41D4-ADF4-80D8CC9AF5C7}" destId="{55E78425-DF0A-4D10-BA92-2CDD2C831274}" srcOrd="7" destOrd="0" presId="urn:microsoft.com/office/officeart/2005/8/layout/hProcess9"/>
    <dgm:cxn modelId="{5AA9466E-2B10-4937-BCDD-09026685B6E3}" type="presParOf" srcId="{4D5AE3B3-0AFA-41D4-ADF4-80D8CC9AF5C7}" destId="{A5EA1107-792D-4F94-9121-A120ED1AAA15}" srcOrd="8" destOrd="0" presId="urn:microsoft.com/office/officeart/2005/8/layout/hProcess9"/>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E3A8F2BF-3906-4D38-B920-48FE97D1F0DF}" type="doc">
      <dgm:prSet loTypeId="urn:microsoft.com/office/officeart/2005/8/layout/process1" loCatId="process" qsTypeId="urn:microsoft.com/office/officeart/2005/8/quickstyle/3d3" qsCatId="3D" csTypeId="urn:microsoft.com/office/officeart/2005/8/colors/colorful1#3" csCatId="colorful" phldr="1"/>
      <dgm:spPr/>
    </dgm:pt>
    <dgm:pt modelId="{7402FA5C-6552-4743-A5BE-1303A4E44C04}">
      <dgm:prSet phldrT="[Text]" custT="1"/>
      <dgm:spPr/>
      <dgm:t>
        <a:bodyPr/>
        <a:lstStyle/>
        <a:p>
          <a:r>
            <a:rPr lang="en-US" sz="600" b="1">
              <a:solidFill>
                <a:schemeClr val="tx1"/>
              </a:solidFill>
              <a:latin typeface="Times New Roman" pitchFamily="18" charset="0"/>
              <a:cs typeface="Times New Roman" pitchFamily="18" charset="0"/>
            </a:rPr>
            <a:t>Growing Cross-Border Activity</a:t>
          </a:r>
          <a:endParaRPr lang="en-US" sz="600">
            <a:solidFill>
              <a:schemeClr val="tx1"/>
            </a:solidFill>
            <a:latin typeface="Times New Roman" pitchFamily="18" charset="0"/>
            <a:cs typeface="Times New Roman" pitchFamily="18" charset="0"/>
          </a:endParaRPr>
        </a:p>
      </dgm:t>
    </dgm:pt>
    <dgm:pt modelId="{C48E1868-FD9C-4ADC-A69E-5097C22B9326}" type="parTrans" cxnId="{892B43CB-70AF-4E2E-93B2-FFE8E5C11CB9}">
      <dgm:prSet/>
      <dgm:spPr/>
      <dgm:t>
        <a:bodyPr/>
        <a:lstStyle/>
        <a:p>
          <a:endParaRPr lang="en-US" sz="1600">
            <a:solidFill>
              <a:schemeClr val="tx1"/>
            </a:solidFill>
            <a:latin typeface="Times New Roman" pitchFamily="18" charset="0"/>
            <a:cs typeface="Times New Roman" pitchFamily="18" charset="0"/>
          </a:endParaRPr>
        </a:p>
      </dgm:t>
    </dgm:pt>
    <dgm:pt modelId="{D02ECBF4-675B-46F8-A45B-C94B9D3C8D5B}" type="sibTrans" cxnId="{892B43CB-70AF-4E2E-93B2-FFE8E5C11CB9}">
      <dgm:prSet custT="1"/>
      <dgm:spPr/>
      <dgm:t>
        <a:bodyPr/>
        <a:lstStyle/>
        <a:p>
          <a:endParaRPr lang="en-US" sz="500">
            <a:solidFill>
              <a:schemeClr val="tx1"/>
            </a:solidFill>
            <a:latin typeface="Times New Roman" pitchFamily="18" charset="0"/>
            <a:cs typeface="Times New Roman" pitchFamily="18" charset="0"/>
          </a:endParaRPr>
        </a:p>
      </dgm:t>
    </dgm:pt>
    <dgm:pt modelId="{2425A275-BCC1-4CB3-9FC6-EDB328C3AF9C}">
      <dgm:prSet phldrT="[Text]" custT="1"/>
      <dgm:spPr/>
      <dgm:t>
        <a:bodyPr/>
        <a:lstStyle/>
        <a:p>
          <a:r>
            <a:rPr lang="en-US" sz="600" b="1">
              <a:solidFill>
                <a:schemeClr val="tx1"/>
              </a:solidFill>
              <a:latin typeface="Times New Roman" pitchFamily="18" charset="0"/>
              <a:cs typeface="Times New Roman" pitchFamily="18" charset="0"/>
            </a:rPr>
            <a:t>Cultural Differences Impact Business Outcomes</a:t>
          </a:r>
          <a:endParaRPr lang="en-US" sz="600">
            <a:solidFill>
              <a:schemeClr val="tx1"/>
            </a:solidFill>
            <a:latin typeface="Times New Roman" pitchFamily="18" charset="0"/>
            <a:cs typeface="Times New Roman" pitchFamily="18" charset="0"/>
          </a:endParaRPr>
        </a:p>
      </dgm:t>
    </dgm:pt>
    <dgm:pt modelId="{7C57129C-B449-4090-8A79-B03A4D6155F5}" type="parTrans" cxnId="{5CA47063-AD60-4924-A352-92314D305970}">
      <dgm:prSet/>
      <dgm:spPr/>
      <dgm:t>
        <a:bodyPr/>
        <a:lstStyle/>
        <a:p>
          <a:endParaRPr lang="en-US" sz="1600">
            <a:solidFill>
              <a:schemeClr val="tx1"/>
            </a:solidFill>
            <a:latin typeface="Times New Roman" pitchFamily="18" charset="0"/>
            <a:cs typeface="Times New Roman" pitchFamily="18" charset="0"/>
          </a:endParaRPr>
        </a:p>
      </dgm:t>
    </dgm:pt>
    <dgm:pt modelId="{7296C02A-B639-455C-B8AF-C8E40C76F148}" type="sibTrans" cxnId="{5CA47063-AD60-4924-A352-92314D305970}">
      <dgm:prSet custT="1"/>
      <dgm:spPr/>
      <dgm:t>
        <a:bodyPr/>
        <a:lstStyle/>
        <a:p>
          <a:endParaRPr lang="en-US" sz="500">
            <a:solidFill>
              <a:schemeClr val="tx1"/>
            </a:solidFill>
            <a:latin typeface="Times New Roman" pitchFamily="18" charset="0"/>
            <a:cs typeface="Times New Roman" pitchFamily="18" charset="0"/>
          </a:endParaRPr>
        </a:p>
      </dgm:t>
    </dgm:pt>
    <dgm:pt modelId="{1694DCB7-8982-48AF-818B-FCAF6CCBC05C}">
      <dgm:prSet phldrT="[Text]" custT="1"/>
      <dgm:spPr/>
      <dgm:t>
        <a:bodyPr/>
        <a:lstStyle/>
        <a:p>
          <a:r>
            <a:rPr lang="en-US" sz="600" b="1">
              <a:solidFill>
                <a:schemeClr val="tx1"/>
              </a:solidFill>
              <a:latin typeface="Times New Roman" pitchFamily="18" charset="0"/>
              <a:cs typeface="Times New Roman" pitchFamily="18" charset="0"/>
            </a:rPr>
            <a:t>Cultural Differences Impact Business Outcomes</a:t>
          </a:r>
          <a:endParaRPr lang="en-US" sz="600">
            <a:solidFill>
              <a:schemeClr val="tx1"/>
            </a:solidFill>
            <a:latin typeface="Times New Roman" pitchFamily="18" charset="0"/>
            <a:cs typeface="Times New Roman" pitchFamily="18" charset="0"/>
          </a:endParaRPr>
        </a:p>
      </dgm:t>
    </dgm:pt>
    <dgm:pt modelId="{26CE42A7-F12B-4AA6-B199-B3CE4B882A2C}" type="parTrans" cxnId="{AA249A6B-CBB1-48C0-8095-98A84A73562E}">
      <dgm:prSet/>
      <dgm:spPr/>
      <dgm:t>
        <a:bodyPr/>
        <a:lstStyle/>
        <a:p>
          <a:endParaRPr lang="en-US" sz="1600">
            <a:solidFill>
              <a:schemeClr val="tx1"/>
            </a:solidFill>
            <a:latin typeface="Times New Roman" pitchFamily="18" charset="0"/>
            <a:cs typeface="Times New Roman" pitchFamily="18" charset="0"/>
          </a:endParaRPr>
        </a:p>
      </dgm:t>
    </dgm:pt>
    <dgm:pt modelId="{8DC29005-1C40-47D8-9350-2F575423BFBA}" type="sibTrans" cxnId="{AA249A6B-CBB1-48C0-8095-98A84A73562E}">
      <dgm:prSet custT="1"/>
      <dgm:spPr/>
      <dgm:t>
        <a:bodyPr/>
        <a:lstStyle/>
        <a:p>
          <a:endParaRPr lang="en-US" sz="500">
            <a:solidFill>
              <a:schemeClr val="tx1"/>
            </a:solidFill>
            <a:latin typeface="Times New Roman" pitchFamily="18" charset="0"/>
            <a:cs typeface="Times New Roman" pitchFamily="18" charset="0"/>
          </a:endParaRPr>
        </a:p>
      </dgm:t>
    </dgm:pt>
    <dgm:pt modelId="{6D79D812-09A6-4E7A-8362-ACEA0C9E5B3E}">
      <dgm:prSet custT="1"/>
      <dgm:spPr/>
      <dgm:t>
        <a:bodyPr/>
        <a:lstStyle/>
        <a:p>
          <a:r>
            <a:rPr lang="en-US" sz="600" b="1">
              <a:solidFill>
                <a:schemeClr val="tx1"/>
              </a:solidFill>
              <a:latin typeface="Times New Roman" pitchFamily="18" charset="0"/>
              <a:cs typeface="Times New Roman" pitchFamily="18" charset="0"/>
            </a:rPr>
            <a:t>Competitive Advantage</a:t>
          </a:r>
          <a:endParaRPr lang="en-US" sz="600">
            <a:solidFill>
              <a:schemeClr val="tx1"/>
            </a:solidFill>
            <a:latin typeface="Times New Roman" pitchFamily="18" charset="0"/>
            <a:cs typeface="Times New Roman" pitchFamily="18" charset="0"/>
          </a:endParaRPr>
        </a:p>
      </dgm:t>
    </dgm:pt>
    <dgm:pt modelId="{ED16D65F-D65D-41F4-AD60-5EBD9119C288}" type="parTrans" cxnId="{E16C40E5-7F92-466D-BFFF-7131C909165F}">
      <dgm:prSet/>
      <dgm:spPr/>
      <dgm:t>
        <a:bodyPr/>
        <a:lstStyle/>
        <a:p>
          <a:endParaRPr lang="en-US" sz="1600">
            <a:solidFill>
              <a:schemeClr val="tx1"/>
            </a:solidFill>
            <a:latin typeface="Times New Roman" pitchFamily="18" charset="0"/>
            <a:cs typeface="Times New Roman" pitchFamily="18" charset="0"/>
          </a:endParaRPr>
        </a:p>
      </dgm:t>
    </dgm:pt>
    <dgm:pt modelId="{A17E185B-663C-4EEA-8AF2-20A35BC93D8A}" type="sibTrans" cxnId="{E16C40E5-7F92-466D-BFFF-7131C909165F}">
      <dgm:prSet/>
      <dgm:spPr/>
      <dgm:t>
        <a:bodyPr/>
        <a:lstStyle/>
        <a:p>
          <a:endParaRPr lang="en-US" sz="1600">
            <a:solidFill>
              <a:schemeClr val="tx1"/>
            </a:solidFill>
            <a:latin typeface="Times New Roman" pitchFamily="18" charset="0"/>
            <a:cs typeface="Times New Roman" pitchFamily="18" charset="0"/>
          </a:endParaRPr>
        </a:p>
      </dgm:t>
    </dgm:pt>
    <dgm:pt modelId="{B89A271A-F272-46BE-9CF4-9A250753FA55}">
      <dgm:prSet custT="1"/>
      <dgm:spPr/>
      <dgm:t>
        <a:bodyPr/>
        <a:lstStyle/>
        <a:p>
          <a:r>
            <a:rPr lang="en-US" sz="600" b="1">
              <a:solidFill>
                <a:schemeClr val="tx1"/>
              </a:solidFill>
              <a:latin typeface="Times New Roman" pitchFamily="18" charset="0"/>
              <a:cs typeface="Times New Roman" pitchFamily="18" charset="0"/>
            </a:rPr>
            <a:t>Optimize Human Resources</a:t>
          </a:r>
          <a:endParaRPr lang="en-US" sz="600">
            <a:solidFill>
              <a:schemeClr val="tx1"/>
            </a:solidFill>
            <a:latin typeface="Times New Roman" pitchFamily="18" charset="0"/>
            <a:cs typeface="Times New Roman" pitchFamily="18" charset="0"/>
          </a:endParaRPr>
        </a:p>
      </dgm:t>
    </dgm:pt>
    <dgm:pt modelId="{B0F5130F-4BEA-4F5B-AF22-4382D2215768}" type="parTrans" cxnId="{71982957-8A6B-4420-A917-211974E46E13}">
      <dgm:prSet/>
      <dgm:spPr/>
      <dgm:t>
        <a:bodyPr/>
        <a:lstStyle/>
        <a:p>
          <a:endParaRPr lang="en-US" sz="1600">
            <a:solidFill>
              <a:schemeClr val="tx1"/>
            </a:solidFill>
            <a:latin typeface="Times New Roman" pitchFamily="18" charset="0"/>
            <a:cs typeface="Times New Roman" pitchFamily="18" charset="0"/>
          </a:endParaRPr>
        </a:p>
      </dgm:t>
    </dgm:pt>
    <dgm:pt modelId="{79D0AEC5-1740-4548-ABC3-B54BA82A1AA0}" type="sibTrans" cxnId="{71982957-8A6B-4420-A917-211974E46E13}">
      <dgm:prSet custT="1"/>
      <dgm:spPr/>
      <dgm:t>
        <a:bodyPr/>
        <a:lstStyle/>
        <a:p>
          <a:endParaRPr lang="en-US" sz="500">
            <a:solidFill>
              <a:schemeClr val="tx1"/>
            </a:solidFill>
            <a:latin typeface="Times New Roman" pitchFamily="18" charset="0"/>
            <a:cs typeface="Times New Roman" pitchFamily="18" charset="0"/>
          </a:endParaRPr>
        </a:p>
      </dgm:t>
    </dgm:pt>
    <dgm:pt modelId="{58DE5425-A74E-46B3-BE5C-0E2D4463A559}">
      <dgm:prSet custT="1"/>
      <dgm:spPr/>
      <dgm:t>
        <a:bodyPr/>
        <a:lstStyle/>
        <a:p>
          <a:r>
            <a:rPr lang="en-US" sz="600" b="1">
              <a:solidFill>
                <a:schemeClr val="tx1"/>
              </a:solidFill>
              <a:latin typeface="Times New Roman" pitchFamily="18" charset="0"/>
              <a:cs typeface="Times New Roman" pitchFamily="18" charset="0"/>
            </a:rPr>
            <a:t>Corporate Reputation</a:t>
          </a:r>
          <a:endParaRPr lang="en-US" sz="600">
            <a:solidFill>
              <a:schemeClr val="tx1"/>
            </a:solidFill>
            <a:latin typeface="Times New Roman" pitchFamily="18" charset="0"/>
            <a:cs typeface="Times New Roman" pitchFamily="18" charset="0"/>
          </a:endParaRPr>
        </a:p>
      </dgm:t>
    </dgm:pt>
    <dgm:pt modelId="{F868BEEC-7010-43A7-8A5A-F9F9B04442E2}" type="parTrans" cxnId="{AE041B28-D0EA-4596-9F14-13272E4D23BC}">
      <dgm:prSet/>
      <dgm:spPr/>
      <dgm:t>
        <a:bodyPr/>
        <a:lstStyle/>
        <a:p>
          <a:endParaRPr lang="en-US" sz="1600">
            <a:solidFill>
              <a:schemeClr val="tx1"/>
            </a:solidFill>
            <a:latin typeface="Times New Roman" pitchFamily="18" charset="0"/>
            <a:cs typeface="Times New Roman" pitchFamily="18" charset="0"/>
          </a:endParaRPr>
        </a:p>
      </dgm:t>
    </dgm:pt>
    <dgm:pt modelId="{809A5628-5C84-4D94-A867-660456CBB24A}" type="sibTrans" cxnId="{AE041B28-D0EA-4596-9F14-13272E4D23BC}">
      <dgm:prSet custT="1"/>
      <dgm:spPr/>
      <dgm:t>
        <a:bodyPr/>
        <a:lstStyle/>
        <a:p>
          <a:endParaRPr lang="en-US" sz="500">
            <a:solidFill>
              <a:schemeClr val="tx1"/>
            </a:solidFill>
            <a:latin typeface="Times New Roman" pitchFamily="18" charset="0"/>
            <a:cs typeface="Times New Roman" pitchFamily="18" charset="0"/>
          </a:endParaRPr>
        </a:p>
      </dgm:t>
    </dgm:pt>
    <dgm:pt modelId="{65452861-F961-4AD5-8404-A713BBBA1A54}">
      <dgm:prSet custT="1"/>
      <dgm:spPr/>
      <dgm:t>
        <a:bodyPr/>
        <a:lstStyle/>
        <a:p>
          <a:r>
            <a:rPr lang="en-US" sz="600" b="1">
              <a:solidFill>
                <a:schemeClr val="tx1"/>
              </a:solidFill>
              <a:latin typeface="Times New Roman" pitchFamily="18" charset="0"/>
              <a:cs typeface="Times New Roman" pitchFamily="18" charset="0"/>
            </a:rPr>
            <a:t>Risk Mitigation</a:t>
          </a:r>
          <a:endParaRPr lang="en-US" sz="600">
            <a:solidFill>
              <a:schemeClr val="tx1"/>
            </a:solidFill>
            <a:latin typeface="Times New Roman" pitchFamily="18" charset="0"/>
            <a:cs typeface="Times New Roman" pitchFamily="18" charset="0"/>
          </a:endParaRPr>
        </a:p>
      </dgm:t>
    </dgm:pt>
    <dgm:pt modelId="{6328C51C-1CAE-4AD2-B9AF-28C54B39B794}" type="parTrans" cxnId="{42CEC621-0044-4A59-A3CC-E48D8F394B05}">
      <dgm:prSet/>
      <dgm:spPr/>
      <dgm:t>
        <a:bodyPr/>
        <a:lstStyle/>
        <a:p>
          <a:endParaRPr lang="en-US" sz="1600">
            <a:solidFill>
              <a:schemeClr val="tx1"/>
            </a:solidFill>
            <a:latin typeface="Times New Roman" pitchFamily="18" charset="0"/>
            <a:cs typeface="Times New Roman" pitchFamily="18" charset="0"/>
          </a:endParaRPr>
        </a:p>
      </dgm:t>
    </dgm:pt>
    <dgm:pt modelId="{2366E4B5-B05C-4821-8CA4-3429F2EF044B}" type="sibTrans" cxnId="{42CEC621-0044-4A59-A3CC-E48D8F394B05}">
      <dgm:prSet custT="1"/>
      <dgm:spPr/>
      <dgm:t>
        <a:bodyPr/>
        <a:lstStyle/>
        <a:p>
          <a:endParaRPr lang="en-US" sz="500">
            <a:solidFill>
              <a:schemeClr val="tx1"/>
            </a:solidFill>
            <a:latin typeface="Times New Roman" pitchFamily="18" charset="0"/>
            <a:cs typeface="Times New Roman" pitchFamily="18" charset="0"/>
          </a:endParaRPr>
        </a:p>
      </dgm:t>
    </dgm:pt>
    <dgm:pt modelId="{2EB9448E-051E-4EDC-9F66-0E84B9D932B1}" type="pres">
      <dgm:prSet presAssocID="{E3A8F2BF-3906-4D38-B920-48FE97D1F0DF}" presName="Name0" presStyleCnt="0">
        <dgm:presLayoutVars>
          <dgm:dir/>
          <dgm:resizeHandles val="exact"/>
        </dgm:presLayoutVars>
      </dgm:prSet>
      <dgm:spPr/>
    </dgm:pt>
    <dgm:pt modelId="{9E000804-CD1E-4522-82F0-549FC7574EAB}" type="pres">
      <dgm:prSet presAssocID="{7402FA5C-6552-4743-A5BE-1303A4E44C04}" presName="node" presStyleLbl="node1" presStyleIdx="0" presStyleCnt="7">
        <dgm:presLayoutVars>
          <dgm:bulletEnabled val="1"/>
        </dgm:presLayoutVars>
      </dgm:prSet>
      <dgm:spPr/>
    </dgm:pt>
    <dgm:pt modelId="{CD81BE2B-7576-4E26-AD95-734C76741682}" type="pres">
      <dgm:prSet presAssocID="{D02ECBF4-675B-46F8-A45B-C94B9D3C8D5B}" presName="sibTrans" presStyleLbl="sibTrans2D1" presStyleIdx="0" presStyleCnt="6"/>
      <dgm:spPr/>
    </dgm:pt>
    <dgm:pt modelId="{45B6AAC2-3FFE-4A4E-AA87-73E9108BDAF7}" type="pres">
      <dgm:prSet presAssocID="{D02ECBF4-675B-46F8-A45B-C94B9D3C8D5B}" presName="connectorText" presStyleLbl="sibTrans2D1" presStyleIdx="0" presStyleCnt="6"/>
      <dgm:spPr/>
    </dgm:pt>
    <dgm:pt modelId="{F0A94885-3D5A-4644-A59E-5E322D29428B}" type="pres">
      <dgm:prSet presAssocID="{2425A275-BCC1-4CB3-9FC6-EDB328C3AF9C}" presName="node" presStyleLbl="node1" presStyleIdx="1" presStyleCnt="7">
        <dgm:presLayoutVars>
          <dgm:bulletEnabled val="1"/>
        </dgm:presLayoutVars>
      </dgm:prSet>
      <dgm:spPr/>
    </dgm:pt>
    <dgm:pt modelId="{F9539083-8014-4D76-BE13-056A9BE9C1CF}" type="pres">
      <dgm:prSet presAssocID="{7296C02A-B639-455C-B8AF-C8E40C76F148}" presName="sibTrans" presStyleLbl="sibTrans2D1" presStyleIdx="1" presStyleCnt="6"/>
      <dgm:spPr/>
    </dgm:pt>
    <dgm:pt modelId="{AEF3A406-A635-4B14-ADEE-56B8785B42E3}" type="pres">
      <dgm:prSet presAssocID="{7296C02A-B639-455C-B8AF-C8E40C76F148}" presName="connectorText" presStyleLbl="sibTrans2D1" presStyleIdx="1" presStyleCnt="6"/>
      <dgm:spPr/>
    </dgm:pt>
    <dgm:pt modelId="{435FD5A3-0CF9-4870-AEE9-3953CF10753D}" type="pres">
      <dgm:prSet presAssocID="{1694DCB7-8982-48AF-818B-FCAF6CCBC05C}" presName="node" presStyleLbl="node1" presStyleIdx="2" presStyleCnt="7">
        <dgm:presLayoutVars>
          <dgm:bulletEnabled val="1"/>
        </dgm:presLayoutVars>
      </dgm:prSet>
      <dgm:spPr/>
    </dgm:pt>
    <dgm:pt modelId="{FFC43218-DA30-4DEE-A28F-CBB5D90E0998}" type="pres">
      <dgm:prSet presAssocID="{8DC29005-1C40-47D8-9350-2F575423BFBA}" presName="sibTrans" presStyleLbl="sibTrans2D1" presStyleIdx="2" presStyleCnt="6"/>
      <dgm:spPr/>
    </dgm:pt>
    <dgm:pt modelId="{0503E222-8723-43D4-A001-03534A624117}" type="pres">
      <dgm:prSet presAssocID="{8DC29005-1C40-47D8-9350-2F575423BFBA}" presName="connectorText" presStyleLbl="sibTrans2D1" presStyleIdx="2" presStyleCnt="6"/>
      <dgm:spPr/>
    </dgm:pt>
    <dgm:pt modelId="{68FE578B-5291-4A64-9BC4-1A130E5273E3}" type="pres">
      <dgm:prSet presAssocID="{65452861-F961-4AD5-8404-A713BBBA1A54}" presName="node" presStyleLbl="node1" presStyleIdx="3" presStyleCnt="7">
        <dgm:presLayoutVars>
          <dgm:bulletEnabled val="1"/>
        </dgm:presLayoutVars>
      </dgm:prSet>
      <dgm:spPr/>
    </dgm:pt>
    <dgm:pt modelId="{8A77CEB9-ABD1-436B-A820-8ADA44483D6B}" type="pres">
      <dgm:prSet presAssocID="{2366E4B5-B05C-4821-8CA4-3429F2EF044B}" presName="sibTrans" presStyleLbl="sibTrans2D1" presStyleIdx="3" presStyleCnt="6"/>
      <dgm:spPr/>
    </dgm:pt>
    <dgm:pt modelId="{C86187BF-F447-4DBF-9A83-2BB9D425CBAA}" type="pres">
      <dgm:prSet presAssocID="{2366E4B5-B05C-4821-8CA4-3429F2EF044B}" presName="connectorText" presStyleLbl="sibTrans2D1" presStyleIdx="3" presStyleCnt="6"/>
      <dgm:spPr/>
    </dgm:pt>
    <dgm:pt modelId="{46A97F85-5734-4224-8B3E-5CEE719E7664}" type="pres">
      <dgm:prSet presAssocID="{58DE5425-A74E-46B3-BE5C-0E2D4463A559}" presName="node" presStyleLbl="node1" presStyleIdx="4" presStyleCnt="7">
        <dgm:presLayoutVars>
          <dgm:bulletEnabled val="1"/>
        </dgm:presLayoutVars>
      </dgm:prSet>
      <dgm:spPr/>
    </dgm:pt>
    <dgm:pt modelId="{81B54C18-4A51-4F66-A08E-7C39D0001FF5}" type="pres">
      <dgm:prSet presAssocID="{809A5628-5C84-4D94-A867-660456CBB24A}" presName="sibTrans" presStyleLbl="sibTrans2D1" presStyleIdx="4" presStyleCnt="6"/>
      <dgm:spPr/>
    </dgm:pt>
    <dgm:pt modelId="{8BDEFDAE-64A3-4828-B93B-B5E160C6AF76}" type="pres">
      <dgm:prSet presAssocID="{809A5628-5C84-4D94-A867-660456CBB24A}" presName="connectorText" presStyleLbl="sibTrans2D1" presStyleIdx="4" presStyleCnt="6"/>
      <dgm:spPr/>
    </dgm:pt>
    <dgm:pt modelId="{29604004-245D-4598-B45E-08C8498F5B88}" type="pres">
      <dgm:prSet presAssocID="{B89A271A-F272-46BE-9CF4-9A250753FA55}" presName="node" presStyleLbl="node1" presStyleIdx="5" presStyleCnt="7">
        <dgm:presLayoutVars>
          <dgm:bulletEnabled val="1"/>
        </dgm:presLayoutVars>
      </dgm:prSet>
      <dgm:spPr/>
    </dgm:pt>
    <dgm:pt modelId="{89C25A27-867E-486A-848A-16065DA9CD7F}" type="pres">
      <dgm:prSet presAssocID="{79D0AEC5-1740-4548-ABC3-B54BA82A1AA0}" presName="sibTrans" presStyleLbl="sibTrans2D1" presStyleIdx="5" presStyleCnt="6"/>
      <dgm:spPr/>
    </dgm:pt>
    <dgm:pt modelId="{381C780E-5A55-479E-8DDE-EF5F93CD480A}" type="pres">
      <dgm:prSet presAssocID="{79D0AEC5-1740-4548-ABC3-B54BA82A1AA0}" presName="connectorText" presStyleLbl="sibTrans2D1" presStyleIdx="5" presStyleCnt="6"/>
      <dgm:spPr/>
    </dgm:pt>
    <dgm:pt modelId="{DEC59AFC-4C2E-4238-B4E3-1BCC656E2440}" type="pres">
      <dgm:prSet presAssocID="{6D79D812-09A6-4E7A-8362-ACEA0C9E5B3E}" presName="node" presStyleLbl="node1" presStyleIdx="6" presStyleCnt="7">
        <dgm:presLayoutVars>
          <dgm:bulletEnabled val="1"/>
        </dgm:presLayoutVars>
      </dgm:prSet>
      <dgm:spPr/>
    </dgm:pt>
  </dgm:ptLst>
  <dgm:cxnLst>
    <dgm:cxn modelId="{7E66D806-FAD3-47D4-825E-ED83FEE171CD}" type="presOf" srcId="{D02ECBF4-675B-46F8-A45B-C94B9D3C8D5B}" destId="{CD81BE2B-7576-4E26-AD95-734C76741682}" srcOrd="0" destOrd="0" presId="urn:microsoft.com/office/officeart/2005/8/layout/process1"/>
    <dgm:cxn modelId="{42CEC621-0044-4A59-A3CC-E48D8F394B05}" srcId="{E3A8F2BF-3906-4D38-B920-48FE97D1F0DF}" destId="{65452861-F961-4AD5-8404-A713BBBA1A54}" srcOrd="3" destOrd="0" parTransId="{6328C51C-1CAE-4AD2-B9AF-28C54B39B794}" sibTransId="{2366E4B5-B05C-4821-8CA4-3429F2EF044B}"/>
    <dgm:cxn modelId="{AE041B28-D0EA-4596-9F14-13272E4D23BC}" srcId="{E3A8F2BF-3906-4D38-B920-48FE97D1F0DF}" destId="{58DE5425-A74E-46B3-BE5C-0E2D4463A559}" srcOrd="4" destOrd="0" parTransId="{F868BEEC-7010-43A7-8A5A-F9F9B04442E2}" sibTransId="{809A5628-5C84-4D94-A867-660456CBB24A}"/>
    <dgm:cxn modelId="{228D0932-38C9-408C-B8BA-52633E45D8F3}" type="presOf" srcId="{6D79D812-09A6-4E7A-8362-ACEA0C9E5B3E}" destId="{DEC59AFC-4C2E-4238-B4E3-1BCC656E2440}" srcOrd="0" destOrd="0" presId="urn:microsoft.com/office/officeart/2005/8/layout/process1"/>
    <dgm:cxn modelId="{309F7E40-96DB-4D88-BA3F-589390CBCB69}" type="presOf" srcId="{7296C02A-B639-455C-B8AF-C8E40C76F148}" destId="{F9539083-8014-4D76-BE13-056A9BE9C1CF}" srcOrd="0" destOrd="0" presId="urn:microsoft.com/office/officeart/2005/8/layout/process1"/>
    <dgm:cxn modelId="{B8D77356-5C78-4A7A-9C0D-5970088F8623}" type="presOf" srcId="{2366E4B5-B05C-4821-8CA4-3429F2EF044B}" destId="{C86187BF-F447-4DBF-9A83-2BB9D425CBAA}" srcOrd="1" destOrd="0" presId="urn:microsoft.com/office/officeart/2005/8/layout/process1"/>
    <dgm:cxn modelId="{71982957-8A6B-4420-A917-211974E46E13}" srcId="{E3A8F2BF-3906-4D38-B920-48FE97D1F0DF}" destId="{B89A271A-F272-46BE-9CF4-9A250753FA55}" srcOrd="5" destOrd="0" parTransId="{B0F5130F-4BEA-4F5B-AF22-4382D2215768}" sibTransId="{79D0AEC5-1740-4548-ABC3-B54BA82A1AA0}"/>
    <dgm:cxn modelId="{ACE49261-C8C9-4263-9937-9C0B81013202}" type="presOf" srcId="{79D0AEC5-1740-4548-ABC3-B54BA82A1AA0}" destId="{89C25A27-867E-486A-848A-16065DA9CD7F}" srcOrd="0" destOrd="0" presId="urn:microsoft.com/office/officeart/2005/8/layout/process1"/>
    <dgm:cxn modelId="{5CA47063-AD60-4924-A352-92314D305970}" srcId="{E3A8F2BF-3906-4D38-B920-48FE97D1F0DF}" destId="{2425A275-BCC1-4CB3-9FC6-EDB328C3AF9C}" srcOrd="1" destOrd="0" parTransId="{7C57129C-B449-4090-8A79-B03A4D6155F5}" sibTransId="{7296C02A-B639-455C-B8AF-C8E40C76F148}"/>
    <dgm:cxn modelId="{27667169-1030-4BB8-9A33-E1519D365276}" type="presOf" srcId="{7402FA5C-6552-4743-A5BE-1303A4E44C04}" destId="{9E000804-CD1E-4522-82F0-549FC7574EAB}" srcOrd="0" destOrd="0" presId="urn:microsoft.com/office/officeart/2005/8/layout/process1"/>
    <dgm:cxn modelId="{AA249A6B-CBB1-48C0-8095-98A84A73562E}" srcId="{E3A8F2BF-3906-4D38-B920-48FE97D1F0DF}" destId="{1694DCB7-8982-48AF-818B-FCAF6CCBC05C}" srcOrd="2" destOrd="0" parTransId="{26CE42A7-F12B-4AA6-B199-B3CE4B882A2C}" sibTransId="{8DC29005-1C40-47D8-9350-2F575423BFBA}"/>
    <dgm:cxn modelId="{3232AE75-0CD0-4452-9E6F-2C3B9ACA568B}" type="presOf" srcId="{79D0AEC5-1740-4548-ABC3-B54BA82A1AA0}" destId="{381C780E-5A55-479E-8DDE-EF5F93CD480A}" srcOrd="1" destOrd="0" presId="urn:microsoft.com/office/officeart/2005/8/layout/process1"/>
    <dgm:cxn modelId="{29AB6E7F-1FFC-41EB-8C17-8B19A6048201}" type="presOf" srcId="{58DE5425-A74E-46B3-BE5C-0E2D4463A559}" destId="{46A97F85-5734-4224-8B3E-5CEE719E7664}" srcOrd="0" destOrd="0" presId="urn:microsoft.com/office/officeart/2005/8/layout/process1"/>
    <dgm:cxn modelId="{68C49881-192B-4271-8CF3-126CBC3E4397}" type="presOf" srcId="{1694DCB7-8982-48AF-818B-FCAF6CCBC05C}" destId="{435FD5A3-0CF9-4870-AEE9-3953CF10753D}" srcOrd="0" destOrd="0" presId="urn:microsoft.com/office/officeart/2005/8/layout/process1"/>
    <dgm:cxn modelId="{DD81B984-FBAF-4E3B-B84D-420964DF673D}" type="presOf" srcId="{7296C02A-B639-455C-B8AF-C8E40C76F148}" destId="{AEF3A406-A635-4B14-ADEE-56B8785B42E3}" srcOrd="1" destOrd="0" presId="urn:microsoft.com/office/officeart/2005/8/layout/process1"/>
    <dgm:cxn modelId="{B72FE791-7587-4D47-B928-E40CA795EFD6}" type="presOf" srcId="{8DC29005-1C40-47D8-9350-2F575423BFBA}" destId="{FFC43218-DA30-4DEE-A28F-CBB5D90E0998}" srcOrd="0" destOrd="0" presId="urn:microsoft.com/office/officeart/2005/8/layout/process1"/>
    <dgm:cxn modelId="{B4C2DF9A-8157-4C3C-8228-BEEC6C69BB62}" type="presOf" srcId="{B89A271A-F272-46BE-9CF4-9A250753FA55}" destId="{29604004-245D-4598-B45E-08C8498F5B88}" srcOrd="0" destOrd="0" presId="urn:microsoft.com/office/officeart/2005/8/layout/process1"/>
    <dgm:cxn modelId="{E97B099B-62B4-4D43-9012-7EC90F878D21}" type="presOf" srcId="{E3A8F2BF-3906-4D38-B920-48FE97D1F0DF}" destId="{2EB9448E-051E-4EDC-9F66-0E84B9D932B1}" srcOrd="0" destOrd="0" presId="urn:microsoft.com/office/officeart/2005/8/layout/process1"/>
    <dgm:cxn modelId="{097E1C9E-B371-4D9D-B82A-4E564C5A6286}" type="presOf" srcId="{809A5628-5C84-4D94-A867-660456CBB24A}" destId="{81B54C18-4A51-4F66-A08E-7C39D0001FF5}" srcOrd="0" destOrd="0" presId="urn:microsoft.com/office/officeart/2005/8/layout/process1"/>
    <dgm:cxn modelId="{D43DC4B9-1A0C-4D4C-AC48-C2ED08FBA225}" type="presOf" srcId="{2366E4B5-B05C-4821-8CA4-3429F2EF044B}" destId="{8A77CEB9-ABD1-436B-A820-8ADA44483D6B}" srcOrd="0" destOrd="0" presId="urn:microsoft.com/office/officeart/2005/8/layout/process1"/>
    <dgm:cxn modelId="{892B43CB-70AF-4E2E-93B2-FFE8E5C11CB9}" srcId="{E3A8F2BF-3906-4D38-B920-48FE97D1F0DF}" destId="{7402FA5C-6552-4743-A5BE-1303A4E44C04}" srcOrd="0" destOrd="0" parTransId="{C48E1868-FD9C-4ADC-A69E-5097C22B9326}" sibTransId="{D02ECBF4-675B-46F8-A45B-C94B9D3C8D5B}"/>
    <dgm:cxn modelId="{EDC566D5-0DAD-4032-8B28-815540761BC4}" type="presOf" srcId="{D02ECBF4-675B-46F8-A45B-C94B9D3C8D5B}" destId="{45B6AAC2-3FFE-4A4E-AA87-73E9108BDAF7}" srcOrd="1" destOrd="0" presId="urn:microsoft.com/office/officeart/2005/8/layout/process1"/>
    <dgm:cxn modelId="{E74AAED6-B72B-4C62-8722-85BD17F8CCE0}" type="presOf" srcId="{65452861-F961-4AD5-8404-A713BBBA1A54}" destId="{68FE578B-5291-4A64-9BC4-1A130E5273E3}" srcOrd="0" destOrd="0" presId="urn:microsoft.com/office/officeart/2005/8/layout/process1"/>
    <dgm:cxn modelId="{E16C40E5-7F92-466D-BFFF-7131C909165F}" srcId="{E3A8F2BF-3906-4D38-B920-48FE97D1F0DF}" destId="{6D79D812-09A6-4E7A-8362-ACEA0C9E5B3E}" srcOrd="6" destOrd="0" parTransId="{ED16D65F-D65D-41F4-AD60-5EBD9119C288}" sibTransId="{A17E185B-663C-4EEA-8AF2-20A35BC93D8A}"/>
    <dgm:cxn modelId="{AA2712EF-887C-486C-B9C7-8B28F53CD351}" type="presOf" srcId="{2425A275-BCC1-4CB3-9FC6-EDB328C3AF9C}" destId="{F0A94885-3D5A-4644-A59E-5E322D29428B}" srcOrd="0" destOrd="0" presId="urn:microsoft.com/office/officeart/2005/8/layout/process1"/>
    <dgm:cxn modelId="{115D42F3-E7BC-4AA4-98D5-8BAB4142D2DC}" type="presOf" srcId="{809A5628-5C84-4D94-A867-660456CBB24A}" destId="{8BDEFDAE-64A3-4828-B93B-B5E160C6AF76}" srcOrd="1" destOrd="0" presId="urn:microsoft.com/office/officeart/2005/8/layout/process1"/>
    <dgm:cxn modelId="{37DB96FD-BA3B-4609-9547-E98D46CC12FD}" type="presOf" srcId="{8DC29005-1C40-47D8-9350-2F575423BFBA}" destId="{0503E222-8723-43D4-A001-03534A624117}" srcOrd="1" destOrd="0" presId="urn:microsoft.com/office/officeart/2005/8/layout/process1"/>
    <dgm:cxn modelId="{08207F77-5A26-43EB-B4C8-25E33DC3D043}" type="presParOf" srcId="{2EB9448E-051E-4EDC-9F66-0E84B9D932B1}" destId="{9E000804-CD1E-4522-82F0-549FC7574EAB}" srcOrd="0" destOrd="0" presId="urn:microsoft.com/office/officeart/2005/8/layout/process1"/>
    <dgm:cxn modelId="{B211E92B-58D3-47BE-823E-4429EDE98AC1}" type="presParOf" srcId="{2EB9448E-051E-4EDC-9F66-0E84B9D932B1}" destId="{CD81BE2B-7576-4E26-AD95-734C76741682}" srcOrd="1" destOrd="0" presId="urn:microsoft.com/office/officeart/2005/8/layout/process1"/>
    <dgm:cxn modelId="{0616403E-ED36-4CEB-979F-849B2A756768}" type="presParOf" srcId="{CD81BE2B-7576-4E26-AD95-734C76741682}" destId="{45B6AAC2-3FFE-4A4E-AA87-73E9108BDAF7}" srcOrd="0" destOrd="0" presId="urn:microsoft.com/office/officeart/2005/8/layout/process1"/>
    <dgm:cxn modelId="{CE2537C2-580F-40ED-BFDB-03DFDABCC153}" type="presParOf" srcId="{2EB9448E-051E-4EDC-9F66-0E84B9D932B1}" destId="{F0A94885-3D5A-4644-A59E-5E322D29428B}" srcOrd="2" destOrd="0" presId="urn:microsoft.com/office/officeart/2005/8/layout/process1"/>
    <dgm:cxn modelId="{58EA2B5A-0219-4F6F-803D-A912BF31A825}" type="presParOf" srcId="{2EB9448E-051E-4EDC-9F66-0E84B9D932B1}" destId="{F9539083-8014-4D76-BE13-056A9BE9C1CF}" srcOrd="3" destOrd="0" presId="urn:microsoft.com/office/officeart/2005/8/layout/process1"/>
    <dgm:cxn modelId="{CB8E71C9-86E9-4F21-9112-C11D7DBD1F2D}" type="presParOf" srcId="{F9539083-8014-4D76-BE13-056A9BE9C1CF}" destId="{AEF3A406-A635-4B14-ADEE-56B8785B42E3}" srcOrd="0" destOrd="0" presId="urn:microsoft.com/office/officeart/2005/8/layout/process1"/>
    <dgm:cxn modelId="{B3FF213A-7A8F-4CDC-8E36-0DB70E0FFBEC}" type="presParOf" srcId="{2EB9448E-051E-4EDC-9F66-0E84B9D932B1}" destId="{435FD5A3-0CF9-4870-AEE9-3953CF10753D}" srcOrd="4" destOrd="0" presId="urn:microsoft.com/office/officeart/2005/8/layout/process1"/>
    <dgm:cxn modelId="{3E1D9CBF-01E3-4EF1-A272-78E27C75D36E}" type="presParOf" srcId="{2EB9448E-051E-4EDC-9F66-0E84B9D932B1}" destId="{FFC43218-DA30-4DEE-A28F-CBB5D90E0998}" srcOrd="5" destOrd="0" presId="urn:microsoft.com/office/officeart/2005/8/layout/process1"/>
    <dgm:cxn modelId="{5832EDDF-FDE1-412E-83A9-CFC7ED085601}" type="presParOf" srcId="{FFC43218-DA30-4DEE-A28F-CBB5D90E0998}" destId="{0503E222-8723-43D4-A001-03534A624117}" srcOrd="0" destOrd="0" presId="urn:microsoft.com/office/officeart/2005/8/layout/process1"/>
    <dgm:cxn modelId="{69F46E5C-58C0-4198-8BD8-9135E3EFA7FE}" type="presParOf" srcId="{2EB9448E-051E-4EDC-9F66-0E84B9D932B1}" destId="{68FE578B-5291-4A64-9BC4-1A130E5273E3}" srcOrd="6" destOrd="0" presId="urn:microsoft.com/office/officeart/2005/8/layout/process1"/>
    <dgm:cxn modelId="{D04A3BFC-5CDB-4D59-AB2E-EC072F9B49D3}" type="presParOf" srcId="{2EB9448E-051E-4EDC-9F66-0E84B9D932B1}" destId="{8A77CEB9-ABD1-436B-A820-8ADA44483D6B}" srcOrd="7" destOrd="0" presId="urn:microsoft.com/office/officeart/2005/8/layout/process1"/>
    <dgm:cxn modelId="{DB65F60A-D6A0-4785-913C-4A05AB11981B}" type="presParOf" srcId="{8A77CEB9-ABD1-436B-A820-8ADA44483D6B}" destId="{C86187BF-F447-4DBF-9A83-2BB9D425CBAA}" srcOrd="0" destOrd="0" presId="urn:microsoft.com/office/officeart/2005/8/layout/process1"/>
    <dgm:cxn modelId="{1837ADB0-AB01-4F85-9B98-A7E1F40B1266}" type="presParOf" srcId="{2EB9448E-051E-4EDC-9F66-0E84B9D932B1}" destId="{46A97F85-5734-4224-8B3E-5CEE719E7664}" srcOrd="8" destOrd="0" presId="urn:microsoft.com/office/officeart/2005/8/layout/process1"/>
    <dgm:cxn modelId="{A10C3136-50B7-472D-AE49-8F2E4387558A}" type="presParOf" srcId="{2EB9448E-051E-4EDC-9F66-0E84B9D932B1}" destId="{81B54C18-4A51-4F66-A08E-7C39D0001FF5}" srcOrd="9" destOrd="0" presId="urn:microsoft.com/office/officeart/2005/8/layout/process1"/>
    <dgm:cxn modelId="{0E6C2127-3C38-46B2-AFDE-8F224B3B6820}" type="presParOf" srcId="{81B54C18-4A51-4F66-A08E-7C39D0001FF5}" destId="{8BDEFDAE-64A3-4828-B93B-B5E160C6AF76}" srcOrd="0" destOrd="0" presId="urn:microsoft.com/office/officeart/2005/8/layout/process1"/>
    <dgm:cxn modelId="{07155083-794A-4CBD-B43D-B2D9B81D0EEF}" type="presParOf" srcId="{2EB9448E-051E-4EDC-9F66-0E84B9D932B1}" destId="{29604004-245D-4598-B45E-08C8498F5B88}" srcOrd="10" destOrd="0" presId="urn:microsoft.com/office/officeart/2005/8/layout/process1"/>
    <dgm:cxn modelId="{27D133ED-1DE8-4126-8912-97179DD0BCAA}" type="presParOf" srcId="{2EB9448E-051E-4EDC-9F66-0E84B9D932B1}" destId="{89C25A27-867E-486A-848A-16065DA9CD7F}" srcOrd="11" destOrd="0" presId="urn:microsoft.com/office/officeart/2005/8/layout/process1"/>
    <dgm:cxn modelId="{6E15C555-FBD3-4E35-B937-6FB4E96A528E}" type="presParOf" srcId="{89C25A27-867E-486A-848A-16065DA9CD7F}" destId="{381C780E-5A55-479E-8DDE-EF5F93CD480A}" srcOrd="0" destOrd="0" presId="urn:microsoft.com/office/officeart/2005/8/layout/process1"/>
    <dgm:cxn modelId="{FC078ACA-9B6E-41BE-967A-7D415878EBE2}" type="presParOf" srcId="{2EB9448E-051E-4EDC-9F66-0E84B9D932B1}" destId="{DEC59AFC-4C2E-4238-B4E3-1BCC656E2440}" srcOrd="12" destOrd="0" presId="urn:microsoft.com/office/officeart/2005/8/layout/process1"/>
  </dgm:cxnLst>
  <dgm:bg/>
  <dgm:whole/>
  <dgm:extLst>
    <a:ext uri="http://schemas.microsoft.com/office/drawing/2008/diagram">
      <dsp:dataModelExt xmlns:dsp="http://schemas.microsoft.com/office/drawing/2008/diagram" relId="rId47"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B12DF164-3D28-47D2-BD1E-C3364F7A8A89}" type="doc">
      <dgm:prSet loTypeId="urn:microsoft.com/office/officeart/2005/8/layout/hProcess3" loCatId="process" qsTypeId="urn:microsoft.com/office/officeart/2005/8/quickstyle/3d3" qsCatId="3D" csTypeId="urn:microsoft.com/office/officeart/2005/8/colors/colorful3" csCatId="colorful" phldr="1"/>
      <dgm:spPr/>
      <dgm:t>
        <a:bodyPr/>
        <a:lstStyle/>
        <a:p>
          <a:endParaRPr lang="en-US"/>
        </a:p>
      </dgm:t>
    </dgm:pt>
    <dgm:pt modelId="{03A19D97-223E-463A-B3EF-9B938CA07D6C}">
      <dgm:prSet phldrT="[Text]" custT="1"/>
      <dgm:spPr/>
      <dgm:t>
        <a:bodyPr/>
        <a:lstStyle/>
        <a:p>
          <a:pPr algn="ctr"/>
          <a:r>
            <a:rPr lang="en-US" sz="1400" b="1">
              <a:solidFill>
                <a:schemeClr val="tx1"/>
              </a:solidFill>
            </a:rPr>
            <a:t>Context-Specific Approaches</a:t>
          </a:r>
          <a:endParaRPr lang="en-US" sz="1400">
            <a:solidFill>
              <a:schemeClr val="tx1"/>
            </a:solidFill>
          </a:endParaRPr>
        </a:p>
      </dgm:t>
    </dgm:pt>
    <dgm:pt modelId="{EC6C5800-9E43-4269-9A0C-91F4D6ADFD89}" type="parTrans" cxnId="{2ADCAD06-176C-45A3-A8C2-664E8EBE6393}">
      <dgm:prSet/>
      <dgm:spPr/>
      <dgm:t>
        <a:bodyPr/>
        <a:lstStyle/>
        <a:p>
          <a:pPr algn="ctr"/>
          <a:endParaRPr lang="en-US" sz="1400">
            <a:solidFill>
              <a:schemeClr val="tx1"/>
            </a:solidFill>
          </a:endParaRPr>
        </a:p>
      </dgm:t>
    </dgm:pt>
    <dgm:pt modelId="{B1EA4B0B-DB67-4C4E-A0F9-F774F029D13E}" type="sibTrans" cxnId="{2ADCAD06-176C-45A3-A8C2-664E8EBE6393}">
      <dgm:prSet/>
      <dgm:spPr/>
      <dgm:t>
        <a:bodyPr/>
        <a:lstStyle/>
        <a:p>
          <a:pPr algn="ctr"/>
          <a:endParaRPr lang="en-US" sz="1400">
            <a:solidFill>
              <a:schemeClr val="tx1"/>
            </a:solidFill>
          </a:endParaRPr>
        </a:p>
      </dgm:t>
    </dgm:pt>
    <dgm:pt modelId="{080D8711-7CB8-4313-ACEA-6294CD771261}">
      <dgm:prSet phldrT="[Text]" custT="1"/>
      <dgm:spPr/>
      <dgm:t>
        <a:bodyPr/>
        <a:lstStyle/>
        <a:p>
          <a:pPr algn="ctr"/>
          <a:r>
            <a:rPr lang="en-US" sz="1400" b="1">
              <a:solidFill>
                <a:schemeClr val="tx1"/>
              </a:solidFill>
            </a:rPr>
            <a:t>Impact on Market Performance</a:t>
          </a:r>
          <a:endParaRPr lang="en-US" sz="1400">
            <a:solidFill>
              <a:schemeClr val="tx1"/>
            </a:solidFill>
          </a:endParaRPr>
        </a:p>
      </dgm:t>
    </dgm:pt>
    <dgm:pt modelId="{4C45FFDE-9CFC-4779-B736-B06922534B08}" type="parTrans" cxnId="{00F33DAE-4FD9-4418-90DA-21E4CB0AFD67}">
      <dgm:prSet/>
      <dgm:spPr/>
      <dgm:t>
        <a:bodyPr/>
        <a:lstStyle/>
        <a:p>
          <a:pPr algn="ctr"/>
          <a:endParaRPr lang="en-US" sz="1400">
            <a:solidFill>
              <a:schemeClr val="tx1"/>
            </a:solidFill>
          </a:endParaRPr>
        </a:p>
      </dgm:t>
    </dgm:pt>
    <dgm:pt modelId="{B600C4BC-76BD-4F08-B32D-2B0C514BBBF2}" type="sibTrans" cxnId="{00F33DAE-4FD9-4418-90DA-21E4CB0AFD67}">
      <dgm:prSet/>
      <dgm:spPr/>
      <dgm:t>
        <a:bodyPr/>
        <a:lstStyle/>
        <a:p>
          <a:pPr algn="ctr"/>
          <a:endParaRPr lang="en-US" sz="1400">
            <a:solidFill>
              <a:schemeClr val="tx1"/>
            </a:solidFill>
          </a:endParaRPr>
        </a:p>
      </dgm:t>
    </dgm:pt>
    <dgm:pt modelId="{BB1F0DD5-0E7D-44A9-9FC0-9ED555BFB53A}">
      <dgm:prSet phldrT="[Text]" custT="1"/>
      <dgm:spPr/>
      <dgm:t>
        <a:bodyPr/>
        <a:lstStyle/>
        <a:p>
          <a:pPr algn="ctr"/>
          <a:r>
            <a:rPr lang="en-US" sz="1400" b="1">
              <a:solidFill>
                <a:schemeClr val="tx1"/>
              </a:solidFill>
            </a:rPr>
            <a:t>Legal and Regulatory Implications</a:t>
          </a:r>
          <a:endParaRPr lang="en-US" sz="1400">
            <a:solidFill>
              <a:schemeClr val="tx1"/>
            </a:solidFill>
          </a:endParaRPr>
        </a:p>
      </dgm:t>
    </dgm:pt>
    <dgm:pt modelId="{738CB14F-D092-47FB-B017-4D32F6684207}" type="parTrans" cxnId="{1E14A934-E6CF-4B3F-8BBA-21F8D26CE408}">
      <dgm:prSet/>
      <dgm:spPr/>
      <dgm:t>
        <a:bodyPr/>
        <a:lstStyle/>
        <a:p>
          <a:pPr algn="ctr"/>
          <a:endParaRPr lang="en-US" sz="1400">
            <a:solidFill>
              <a:schemeClr val="tx1"/>
            </a:solidFill>
          </a:endParaRPr>
        </a:p>
      </dgm:t>
    </dgm:pt>
    <dgm:pt modelId="{152E23BF-1577-431F-A25A-369A746A81FA}" type="sibTrans" cxnId="{1E14A934-E6CF-4B3F-8BBA-21F8D26CE408}">
      <dgm:prSet/>
      <dgm:spPr/>
      <dgm:t>
        <a:bodyPr/>
        <a:lstStyle/>
        <a:p>
          <a:pPr algn="ctr"/>
          <a:endParaRPr lang="en-US" sz="1400">
            <a:solidFill>
              <a:schemeClr val="tx1"/>
            </a:solidFill>
          </a:endParaRPr>
        </a:p>
      </dgm:t>
    </dgm:pt>
    <dgm:pt modelId="{FE8F17AB-512A-41C7-95F5-BECF783868C9}" type="pres">
      <dgm:prSet presAssocID="{B12DF164-3D28-47D2-BD1E-C3364F7A8A89}" presName="Name0" presStyleCnt="0">
        <dgm:presLayoutVars>
          <dgm:dir/>
          <dgm:animLvl val="lvl"/>
          <dgm:resizeHandles val="exact"/>
        </dgm:presLayoutVars>
      </dgm:prSet>
      <dgm:spPr/>
    </dgm:pt>
    <dgm:pt modelId="{B26BE9D8-CE6B-4BB0-83A5-989D9F27650C}" type="pres">
      <dgm:prSet presAssocID="{B12DF164-3D28-47D2-BD1E-C3364F7A8A89}" presName="dummy" presStyleCnt="0"/>
      <dgm:spPr/>
    </dgm:pt>
    <dgm:pt modelId="{3486F44C-78EF-4E8A-8625-3F00227BC340}" type="pres">
      <dgm:prSet presAssocID="{B12DF164-3D28-47D2-BD1E-C3364F7A8A89}" presName="linH" presStyleCnt="0"/>
      <dgm:spPr/>
    </dgm:pt>
    <dgm:pt modelId="{547BE978-CF2B-4ABD-A538-90DDE0D142CC}" type="pres">
      <dgm:prSet presAssocID="{B12DF164-3D28-47D2-BD1E-C3364F7A8A89}" presName="padding1" presStyleCnt="0"/>
      <dgm:spPr/>
    </dgm:pt>
    <dgm:pt modelId="{32F8E6C1-2500-4B79-A9E9-60F99A352FB8}" type="pres">
      <dgm:prSet presAssocID="{03A19D97-223E-463A-B3EF-9B938CA07D6C}" presName="linV" presStyleCnt="0"/>
      <dgm:spPr/>
    </dgm:pt>
    <dgm:pt modelId="{EFC21564-9CAF-4B9A-A651-09D3D35BF4B5}" type="pres">
      <dgm:prSet presAssocID="{03A19D97-223E-463A-B3EF-9B938CA07D6C}" presName="spVertical1" presStyleCnt="0"/>
      <dgm:spPr/>
    </dgm:pt>
    <dgm:pt modelId="{3FEAF898-B4E0-443D-A981-ECEC9C54E47B}" type="pres">
      <dgm:prSet presAssocID="{03A19D97-223E-463A-B3EF-9B938CA07D6C}" presName="parTx" presStyleLbl="revTx" presStyleIdx="0" presStyleCnt="3">
        <dgm:presLayoutVars>
          <dgm:chMax val="0"/>
          <dgm:chPref val="0"/>
          <dgm:bulletEnabled val="1"/>
        </dgm:presLayoutVars>
      </dgm:prSet>
      <dgm:spPr/>
    </dgm:pt>
    <dgm:pt modelId="{9C047182-FC27-496E-8D26-F7B15313F27D}" type="pres">
      <dgm:prSet presAssocID="{03A19D97-223E-463A-B3EF-9B938CA07D6C}" presName="spVertical2" presStyleCnt="0"/>
      <dgm:spPr/>
    </dgm:pt>
    <dgm:pt modelId="{0AF63ECB-2BCA-410A-B940-8BE77D0F3762}" type="pres">
      <dgm:prSet presAssocID="{03A19D97-223E-463A-B3EF-9B938CA07D6C}" presName="spVertical3" presStyleCnt="0"/>
      <dgm:spPr/>
    </dgm:pt>
    <dgm:pt modelId="{514B63E8-8A76-4477-88A0-8583008660CB}" type="pres">
      <dgm:prSet presAssocID="{B1EA4B0B-DB67-4C4E-A0F9-F774F029D13E}" presName="space" presStyleCnt="0"/>
      <dgm:spPr/>
    </dgm:pt>
    <dgm:pt modelId="{BA432F88-AB00-4169-A43D-1B4B0BC39BFC}" type="pres">
      <dgm:prSet presAssocID="{080D8711-7CB8-4313-ACEA-6294CD771261}" presName="linV" presStyleCnt="0"/>
      <dgm:spPr/>
    </dgm:pt>
    <dgm:pt modelId="{A9E27114-C936-4B9D-A7C6-B1A1A1931C08}" type="pres">
      <dgm:prSet presAssocID="{080D8711-7CB8-4313-ACEA-6294CD771261}" presName="spVertical1" presStyleCnt="0"/>
      <dgm:spPr/>
    </dgm:pt>
    <dgm:pt modelId="{1343AD87-D080-43B6-9A50-7696DCF1F949}" type="pres">
      <dgm:prSet presAssocID="{080D8711-7CB8-4313-ACEA-6294CD771261}" presName="parTx" presStyleLbl="revTx" presStyleIdx="1" presStyleCnt="3">
        <dgm:presLayoutVars>
          <dgm:chMax val="0"/>
          <dgm:chPref val="0"/>
          <dgm:bulletEnabled val="1"/>
        </dgm:presLayoutVars>
      </dgm:prSet>
      <dgm:spPr/>
    </dgm:pt>
    <dgm:pt modelId="{27092936-112C-4602-81D2-4DA525D5B783}" type="pres">
      <dgm:prSet presAssocID="{080D8711-7CB8-4313-ACEA-6294CD771261}" presName="spVertical2" presStyleCnt="0"/>
      <dgm:spPr/>
    </dgm:pt>
    <dgm:pt modelId="{C8CCEFFA-61D1-4C72-AADF-310230AB1E8A}" type="pres">
      <dgm:prSet presAssocID="{080D8711-7CB8-4313-ACEA-6294CD771261}" presName="spVertical3" presStyleCnt="0"/>
      <dgm:spPr/>
    </dgm:pt>
    <dgm:pt modelId="{B25B450F-E4FF-4FD5-A5CC-5DF0AA35BB08}" type="pres">
      <dgm:prSet presAssocID="{B600C4BC-76BD-4F08-B32D-2B0C514BBBF2}" presName="space" presStyleCnt="0"/>
      <dgm:spPr/>
    </dgm:pt>
    <dgm:pt modelId="{FD0AD176-982A-4C7B-8E81-6743BC1654A7}" type="pres">
      <dgm:prSet presAssocID="{BB1F0DD5-0E7D-44A9-9FC0-9ED555BFB53A}" presName="linV" presStyleCnt="0"/>
      <dgm:spPr/>
    </dgm:pt>
    <dgm:pt modelId="{0EE71DDB-CFF1-4331-865D-9F4421865262}" type="pres">
      <dgm:prSet presAssocID="{BB1F0DD5-0E7D-44A9-9FC0-9ED555BFB53A}" presName="spVertical1" presStyleCnt="0"/>
      <dgm:spPr/>
    </dgm:pt>
    <dgm:pt modelId="{0B9F89D5-64D3-4696-BF74-6CACD9BEE6B2}" type="pres">
      <dgm:prSet presAssocID="{BB1F0DD5-0E7D-44A9-9FC0-9ED555BFB53A}" presName="parTx" presStyleLbl="revTx" presStyleIdx="2" presStyleCnt="3">
        <dgm:presLayoutVars>
          <dgm:chMax val="0"/>
          <dgm:chPref val="0"/>
          <dgm:bulletEnabled val="1"/>
        </dgm:presLayoutVars>
      </dgm:prSet>
      <dgm:spPr/>
    </dgm:pt>
    <dgm:pt modelId="{E66B1273-25D0-423A-998A-C3902F18A1F4}" type="pres">
      <dgm:prSet presAssocID="{BB1F0DD5-0E7D-44A9-9FC0-9ED555BFB53A}" presName="spVertical2" presStyleCnt="0"/>
      <dgm:spPr/>
    </dgm:pt>
    <dgm:pt modelId="{B384B4F5-B7B4-4E4B-8A21-67B53FBB6F45}" type="pres">
      <dgm:prSet presAssocID="{BB1F0DD5-0E7D-44A9-9FC0-9ED555BFB53A}" presName="spVertical3" presStyleCnt="0"/>
      <dgm:spPr/>
    </dgm:pt>
    <dgm:pt modelId="{FF1C6BD5-43B5-45E6-A7A9-462B44F79649}" type="pres">
      <dgm:prSet presAssocID="{B12DF164-3D28-47D2-BD1E-C3364F7A8A89}" presName="padding2" presStyleCnt="0"/>
      <dgm:spPr/>
    </dgm:pt>
    <dgm:pt modelId="{21717DCB-C5F5-4BDD-9515-89BF5BB072A0}" type="pres">
      <dgm:prSet presAssocID="{B12DF164-3D28-47D2-BD1E-C3364F7A8A89}" presName="negArrow" presStyleCnt="0"/>
      <dgm:spPr/>
    </dgm:pt>
    <dgm:pt modelId="{A18E2538-B180-4097-BDD3-03B51892DE93}" type="pres">
      <dgm:prSet presAssocID="{B12DF164-3D28-47D2-BD1E-C3364F7A8A89}" presName="backgroundArrow" presStyleLbl="node1" presStyleIdx="0" presStyleCnt="1"/>
      <dgm:spPr/>
    </dgm:pt>
  </dgm:ptLst>
  <dgm:cxnLst>
    <dgm:cxn modelId="{4CB0E300-4014-41C6-B640-7BBFEE7983D6}" type="presOf" srcId="{080D8711-7CB8-4313-ACEA-6294CD771261}" destId="{1343AD87-D080-43B6-9A50-7696DCF1F949}" srcOrd="0" destOrd="0" presId="urn:microsoft.com/office/officeart/2005/8/layout/hProcess3"/>
    <dgm:cxn modelId="{81803A04-9858-4D12-8AD0-E2573121A972}" type="presOf" srcId="{B12DF164-3D28-47D2-BD1E-C3364F7A8A89}" destId="{FE8F17AB-512A-41C7-95F5-BECF783868C9}" srcOrd="0" destOrd="0" presId="urn:microsoft.com/office/officeart/2005/8/layout/hProcess3"/>
    <dgm:cxn modelId="{2ADCAD06-176C-45A3-A8C2-664E8EBE6393}" srcId="{B12DF164-3D28-47D2-BD1E-C3364F7A8A89}" destId="{03A19D97-223E-463A-B3EF-9B938CA07D6C}" srcOrd="0" destOrd="0" parTransId="{EC6C5800-9E43-4269-9A0C-91F4D6ADFD89}" sibTransId="{B1EA4B0B-DB67-4C4E-A0F9-F774F029D13E}"/>
    <dgm:cxn modelId="{1E14A934-E6CF-4B3F-8BBA-21F8D26CE408}" srcId="{B12DF164-3D28-47D2-BD1E-C3364F7A8A89}" destId="{BB1F0DD5-0E7D-44A9-9FC0-9ED555BFB53A}" srcOrd="2" destOrd="0" parTransId="{738CB14F-D092-47FB-B017-4D32F6684207}" sibTransId="{152E23BF-1577-431F-A25A-369A746A81FA}"/>
    <dgm:cxn modelId="{10049642-AFFE-45C3-8A0E-675093DB685F}" type="presOf" srcId="{03A19D97-223E-463A-B3EF-9B938CA07D6C}" destId="{3FEAF898-B4E0-443D-A981-ECEC9C54E47B}" srcOrd="0" destOrd="0" presId="urn:microsoft.com/office/officeart/2005/8/layout/hProcess3"/>
    <dgm:cxn modelId="{00F33DAE-4FD9-4418-90DA-21E4CB0AFD67}" srcId="{B12DF164-3D28-47D2-BD1E-C3364F7A8A89}" destId="{080D8711-7CB8-4313-ACEA-6294CD771261}" srcOrd="1" destOrd="0" parTransId="{4C45FFDE-9CFC-4779-B736-B06922534B08}" sibTransId="{B600C4BC-76BD-4F08-B32D-2B0C514BBBF2}"/>
    <dgm:cxn modelId="{8974D2F3-F764-449E-9EF9-A21A99A10C40}" type="presOf" srcId="{BB1F0DD5-0E7D-44A9-9FC0-9ED555BFB53A}" destId="{0B9F89D5-64D3-4696-BF74-6CACD9BEE6B2}" srcOrd="0" destOrd="0" presId="urn:microsoft.com/office/officeart/2005/8/layout/hProcess3"/>
    <dgm:cxn modelId="{07E776D4-86FE-4401-885B-601F6B35AC19}" type="presParOf" srcId="{FE8F17AB-512A-41C7-95F5-BECF783868C9}" destId="{B26BE9D8-CE6B-4BB0-83A5-989D9F27650C}" srcOrd="0" destOrd="0" presId="urn:microsoft.com/office/officeart/2005/8/layout/hProcess3"/>
    <dgm:cxn modelId="{FD3E29C9-ED08-4AFC-8D36-290FA96EBC16}" type="presParOf" srcId="{FE8F17AB-512A-41C7-95F5-BECF783868C9}" destId="{3486F44C-78EF-4E8A-8625-3F00227BC340}" srcOrd="1" destOrd="0" presId="urn:microsoft.com/office/officeart/2005/8/layout/hProcess3"/>
    <dgm:cxn modelId="{7DB8EA9A-39B8-4305-8CB6-58EED06E060B}" type="presParOf" srcId="{3486F44C-78EF-4E8A-8625-3F00227BC340}" destId="{547BE978-CF2B-4ABD-A538-90DDE0D142CC}" srcOrd="0" destOrd="0" presId="urn:microsoft.com/office/officeart/2005/8/layout/hProcess3"/>
    <dgm:cxn modelId="{41562515-15E3-45D6-B0E0-E01ECC3AF7A7}" type="presParOf" srcId="{3486F44C-78EF-4E8A-8625-3F00227BC340}" destId="{32F8E6C1-2500-4B79-A9E9-60F99A352FB8}" srcOrd="1" destOrd="0" presId="urn:microsoft.com/office/officeart/2005/8/layout/hProcess3"/>
    <dgm:cxn modelId="{61B70898-3489-4325-8713-B5F88AE04ED1}" type="presParOf" srcId="{32F8E6C1-2500-4B79-A9E9-60F99A352FB8}" destId="{EFC21564-9CAF-4B9A-A651-09D3D35BF4B5}" srcOrd="0" destOrd="0" presId="urn:microsoft.com/office/officeart/2005/8/layout/hProcess3"/>
    <dgm:cxn modelId="{91656E8F-4A29-4433-9C0E-F78FDB6674FE}" type="presParOf" srcId="{32F8E6C1-2500-4B79-A9E9-60F99A352FB8}" destId="{3FEAF898-B4E0-443D-A981-ECEC9C54E47B}" srcOrd="1" destOrd="0" presId="urn:microsoft.com/office/officeart/2005/8/layout/hProcess3"/>
    <dgm:cxn modelId="{70086A23-224B-4169-8848-64F3B73954CA}" type="presParOf" srcId="{32F8E6C1-2500-4B79-A9E9-60F99A352FB8}" destId="{9C047182-FC27-496E-8D26-F7B15313F27D}" srcOrd="2" destOrd="0" presId="urn:microsoft.com/office/officeart/2005/8/layout/hProcess3"/>
    <dgm:cxn modelId="{E2089366-8F71-434D-B427-F7CCACB8E5F6}" type="presParOf" srcId="{32F8E6C1-2500-4B79-A9E9-60F99A352FB8}" destId="{0AF63ECB-2BCA-410A-B940-8BE77D0F3762}" srcOrd="3" destOrd="0" presId="urn:microsoft.com/office/officeart/2005/8/layout/hProcess3"/>
    <dgm:cxn modelId="{9601D97E-6C76-41E2-9DD8-8CF245273FAB}" type="presParOf" srcId="{3486F44C-78EF-4E8A-8625-3F00227BC340}" destId="{514B63E8-8A76-4477-88A0-8583008660CB}" srcOrd="2" destOrd="0" presId="urn:microsoft.com/office/officeart/2005/8/layout/hProcess3"/>
    <dgm:cxn modelId="{7B0A4453-FEC0-4EC8-8205-66924F1D4F65}" type="presParOf" srcId="{3486F44C-78EF-4E8A-8625-3F00227BC340}" destId="{BA432F88-AB00-4169-A43D-1B4B0BC39BFC}" srcOrd="3" destOrd="0" presId="urn:microsoft.com/office/officeart/2005/8/layout/hProcess3"/>
    <dgm:cxn modelId="{877CE2C0-AD76-4627-9AC3-8C6C434DAD86}" type="presParOf" srcId="{BA432F88-AB00-4169-A43D-1B4B0BC39BFC}" destId="{A9E27114-C936-4B9D-A7C6-B1A1A1931C08}" srcOrd="0" destOrd="0" presId="urn:microsoft.com/office/officeart/2005/8/layout/hProcess3"/>
    <dgm:cxn modelId="{07C8F23F-1A90-494B-8E87-280FA5892AA3}" type="presParOf" srcId="{BA432F88-AB00-4169-A43D-1B4B0BC39BFC}" destId="{1343AD87-D080-43B6-9A50-7696DCF1F949}" srcOrd="1" destOrd="0" presId="urn:microsoft.com/office/officeart/2005/8/layout/hProcess3"/>
    <dgm:cxn modelId="{D19BA9B9-C881-4E74-BA5E-8C972354F25D}" type="presParOf" srcId="{BA432F88-AB00-4169-A43D-1B4B0BC39BFC}" destId="{27092936-112C-4602-81D2-4DA525D5B783}" srcOrd="2" destOrd="0" presId="urn:microsoft.com/office/officeart/2005/8/layout/hProcess3"/>
    <dgm:cxn modelId="{3A536D95-5C9F-40F2-9B45-3ADE09AFF4B3}" type="presParOf" srcId="{BA432F88-AB00-4169-A43D-1B4B0BC39BFC}" destId="{C8CCEFFA-61D1-4C72-AADF-310230AB1E8A}" srcOrd="3" destOrd="0" presId="urn:microsoft.com/office/officeart/2005/8/layout/hProcess3"/>
    <dgm:cxn modelId="{36747705-C8E7-464C-B471-35F2232CB339}" type="presParOf" srcId="{3486F44C-78EF-4E8A-8625-3F00227BC340}" destId="{B25B450F-E4FF-4FD5-A5CC-5DF0AA35BB08}" srcOrd="4" destOrd="0" presId="urn:microsoft.com/office/officeart/2005/8/layout/hProcess3"/>
    <dgm:cxn modelId="{0DB3C315-0732-4ECF-8E06-AFEEE0016C67}" type="presParOf" srcId="{3486F44C-78EF-4E8A-8625-3F00227BC340}" destId="{FD0AD176-982A-4C7B-8E81-6743BC1654A7}" srcOrd="5" destOrd="0" presId="urn:microsoft.com/office/officeart/2005/8/layout/hProcess3"/>
    <dgm:cxn modelId="{E491D040-BD8D-425D-81F4-B65FF4642B4D}" type="presParOf" srcId="{FD0AD176-982A-4C7B-8E81-6743BC1654A7}" destId="{0EE71DDB-CFF1-4331-865D-9F4421865262}" srcOrd="0" destOrd="0" presId="urn:microsoft.com/office/officeart/2005/8/layout/hProcess3"/>
    <dgm:cxn modelId="{F0C8804F-69AA-42FE-B316-A9F508FD5618}" type="presParOf" srcId="{FD0AD176-982A-4C7B-8E81-6743BC1654A7}" destId="{0B9F89D5-64D3-4696-BF74-6CACD9BEE6B2}" srcOrd="1" destOrd="0" presId="urn:microsoft.com/office/officeart/2005/8/layout/hProcess3"/>
    <dgm:cxn modelId="{9D87D40B-B0EB-4B0A-B931-A1DDE3565E2E}" type="presParOf" srcId="{FD0AD176-982A-4C7B-8E81-6743BC1654A7}" destId="{E66B1273-25D0-423A-998A-C3902F18A1F4}" srcOrd="2" destOrd="0" presId="urn:microsoft.com/office/officeart/2005/8/layout/hProcess3"/>
    <dgm:cxn modelId="{C6D7C2A4-BD61-421A-A000-A7E815496A6C}" type="presParOf" srcId="{FD0AD176-982A-4C7B-8E81-6743BC1654A7}" destId="{B384B4F5-B7B4-4E4B-8A21-67B53FBB6F45}" srcOrd="3" destOrd="0" presId="urn:microsoft.com/office/officeart/2005/8/layout/hProcess3"/>
    <dgm:cxn modelId="{39706F3C-46DF-4E4F-97ED-D259BFD25CA2}" type="presParOf" srcId="{3486F44C-78EF-4E8A-8625-3F00227BC340}" destId="{FF1C6BD5-43B5-45E6-A7A9-462B44F79649}" srcOrd="6" destOrd="0" presId="urn:microsoft.com/office/officeart/2005/8/layout/hProcess3"/>
    <dgm:cxn modelId="{84C54DAC-540F-4759-BCFE-585D30FFBCF4}" type="presParOf" srcId="{3486F44C-78EF-4E8A-8625-3F00227BC340}" destId="{21717DCB-C5F5-4BDD-9515-89BF5BB072A0}" srcOrd="7" destOrd="0" presId="urn:microsoft.com/office/officeart/2005/8/layout/hProcess3"/>
    <dgm:cxn modelId="{8C6643F4-E923-495D-A1D2-2DE403893F2F}" type="presParOf" srcId="{3486F44C-78EF-4E8A-8625-3F00227BC340}" destId="{A18E2538-B180-4097-BDD3-03B51892DE93}" srcOrd="8" destOrd="0" presId="urn:microsoft.com/office/officeart/2005/8/layout/hProcess3"/>
  </dgm:cxnLst>
  <dgm:bg/>
  <dgm:whole/>
  <dgm:extLst>
    <a:ext uri="http://schemas.microsoft.com/office/drawing/2008/diagram">
      <dsp:dataModelExt xmlns:dsp="http://schemas.microsoft.com/office/drawing/2008/diagram" relId="rId52"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E5F68868-DC52-4675-BC4C-C84300D685C6}" type="doc">
      <dgm:prSet loTypeId="urn:microsoft.com/office/officeart/2005/8/layout/chevron1" loCatId="process" qsTypeId="urn:microsoft.com/office/officeart/2005/8/quickstyle/3d3" qsCatId="3D" csTypeId="urn:microsoft.com/office/officeart/2005/8/colors/colorful2" csCatId="colorful" phldr="1"/>
      <dgm:spPr/>
    </dgm:pt>
    <dgm:pt modelId="{E37099F5-1516-4206-BE53-A48E149B4FF4}">
      <dgm:prSet phldrT="[Text]" custT="1"/>
      <dgm:spPr/>
      <dgm:t>
        <a:bodyPr/>
        <a:lstStyle/>
        <a:p>
          <a:r>
            <a:rPr lang="en-US" sz="900" b="1">
              <a:solidFill>
                <a:schemeClr val="tx1"/>
              </a:solidFill>
              <a:latin typeface="Times New Roman" pitchFamily="18" charset="0"/>
              <a:cs typeface="Times New Roman" pitchFamily="18" charset="0"/>
            </a:rPr>
            <a:t>Literature Review</a:t>
          </a:r>
        </a:p>
      </dgm:t>
    </dgm:pt>
    <dgm:pt modelId="{E3C64FEB-9369-41F7-B930-4838D5980304}" type="parTrans" cxnId="{A3CD770B-1C76-4187-8C6E-93DE5901BA31}">
      <dgm:prSet/>
      <dgm:spPr/>
      <dgm:t>
        <a:bodyPr/>
        <a:lstStyle/>
        <a:p>
          <a:endParaRPr lang="en-US" sz="1800" b="1">
            <a:solidFill>
              <a:schemeClr val="tx1"/>
            </a:solidFill>
            <a:latin typeface="Times New Roman" pitchFamily="18" charset="0"/>
            <a:cs typeface="Times New Roman" pitchFamily="18" charset="0"/>
          </a:endParaRPr>
        </a:p>
      </dgm:t>
    </dgm:pt>
    <dgm:pt modelId="{E2454EDD-83F7-46B1-8C91-C26DD7ABE7CC}" type="sibTrans" cxnId="{A3CD770B-1C76-4187-8C6E-93DE5901BA31}">
      <dgm:prSet/>
      <dgm:spPr/>
      <dgm:t>
        <a:bodyPr/>
        <a:lstStyle/>
        <a:p>
          <a:endParaRPr lang="en-US" sz="1800" b="1">
            <a:solidFill>
              <a:schemeClr val="tx1"/>
            </a:solidFill>
            <a:latin typeface="Times New Roman" pitchFamily="18" charset="0"/>
            <a:cs typeface="Times New Roman" pitchFamily="18" charset="0"/>
          </a:endParaRPr>
        </a:p>
      </dgm:t>
    </dgm:pt>
    <dgm:pt modelId="{D50BE28B-ED22-42C2-9074-847AF6C22A1A}">
      <dgm:prSet phldrT="[Text]" custT="1"/>
      <dgm:spPr/>
      <dgm:t>
        <a:bodyPr/>
        <a:lstStyle/>
        <a:p>
          <a:r>
            <a:rPr lang="en-US" sz="900" b="1">
              <a:solidFill>
                <a:schemeClr val="tx1"/>
              </a:solidFill>
              <a:latin typeface="Times New Roman" pitchFamily="18" charset="0"/>
              <a:cs typeface="Times New Roman" pitchFamily="18" charset="0"/>
            </a:rPr>
            <a:t>Company Reports</a:t>
          </a:r>
        </a:p>
      </dgm:t>
    </dgm:pt>
    <dgm:pt modelId="{F8E64E92-2DFD-4940-8943-2D492FA09FD4}" type="parTrans" cxnId="{DD3C091C-8C8C-489F-8B51-11FE853AB5E6}">
      <dgm:prSet/>
      <dgm:spPr/>
      <dgm:t>
        <a:bodyPr/>
        <a:lstStyle/>
        <a:p>
          <a:endParaRPr lang="en-US" sz="1800" b="1">
            <a:solidFill>
              <a:schemeClr val="tx1"/>
            </a:solidFill>
            <a:latin typeface="Times New Roman" pitchFamily="18" charset="0"/>
            <a:cs typeface="Times New Roman" pitchFamily="18" charset="0"/>
          </a:endParaRPr>
        </a:p>
      </dgm:t>
    </dgm:pt>
    <dgm:pt modelId="{C819A13B-A211-45B9-AA56-9AE4EB87AE6E}" type="sibTrans" cxnId="{DD3C091C-8C8C-489F-8B51-11FE853AB5E6}">
      <dgm:prSet/>
      <dgm:spPr/>
      <dgm:t>
        <a:bodyPr/>
        <a:lstStyle/>
        <a:p>
          <a:endParaRPr lang="en-US" sz="1800" b="1">
            <a:solidFill>
              <a:schemeClr val="tx1"/>
            </a:solidFill>
            <a:latin typeface="Times New Roman" pitchFamily="18" charset="0"/>
            <a:cs typeface="Times New Roman" pitchFamily="18" charset="0"/>
          </a:endParaRPr>
        </a:p>
      </dgm:t>
    </dgm:pt>
    <dgm:pt modelId="{09E549B5-28CB-4B93-B4CE-4FCEB52321C2}">
      <dgm:prSet phldrT="[Text]" custT="1"/>
      <dgm:spPr/>
      <dgm:t>
        <a:bodyPr/>
        <a:lstStyle/>
        <a:p>
          <a:r>
            <a:rPr lang="en-US" sz="900" b="1">
              <a:solidFill>
                <a:schemeClr val="tx1"/>
              </a:solidFill>
              <a:latin typeface="Times New Roman" pitchFamily="18" charset="0"/>
              <a:cs typeface="Times New Roman" pitchFamily="18" charset="0"/>
            </a:rPr>
            <a:t>Case Studies</a:t>
          </a:r>
        </a:p>
      </dgm:t>
    </dgm:pt>
    <dgm:pt modelId="{7B22C65A-62CC-45AD-90ED-112883EEFBB9}" type="parTrans" cxnId="{B6D9D400-E1BD-4BF4-A4A0-97D96454DA23}">
      <dgm:prSet/>
      <dgm:spPr/>
      <dgm:t>
        <a:bodyPr/>
        <a:lstStyle/>
        <a:p>
          <a:endParaRPr lang="en-US" sz="1800" b="1">
            <a:solidFill>
              <a:schemeClr val="tx1"/>
            </a:solidFill>
            <a:latin typeface="Times New Roman" pitchFamily="18" charset="0"/>
            <a:cs typeface="Times New Roman" pitchFamily="18" charset="0"/>
          </a:endParaRPr>
        </a:p>
      </dgm:t>
    </dgm:pt>
    <dgm:pt modelId="{0B9C755A-E8EA-4C76-971F-B4FE47544552}" type="sibTrans" cxnId="{B6D9D400-E1BD-4BF4-A4A0-97D96454DA23}">
      <dgm:prSet/>
      <dgm:spPr/>
      <dgm:t>
        <a:bodyPr/>
        <a:lstStyle/>
        <a:p>
          <a:endParaRPr lang="en-US" sz="1800" b="1">
            <a:solidFill>
              <a:schemeClr val="tx1"/>
            </a:solidFill>
            <a:latin typeface="Times New Roman" pitchFamily="18" charset="0"/>
            <a:cs typeface="Times New Roman" pitchFamily="18" charset="0"/>
          </a:endParaRPr>
        </a:p>
      </dgm:t>
    </dgm:pt>
    <dgm:pt modelId="{E7549E7B-0225-4A0D-B556-ECF094D04B85}">
      <dgm:prSet custT="1"/>
      <dgm:spPr/>
      <dgm:t>
        <a:bodyPr/>
        <a:lstStyle/>
        <a:p>
          <a:r>
            <a:rPr lang="en-US" sz="900" b="1">
              <a:solidFill>
                <a:schemeClr val="tx1"/>
              </a:solidFill>
              <a:latin typeface="Times New Roman" pitchFamily="18" charset="0"/>
              <a:cs typeface="Times New Roman" pitchFamily="18" charset="0"/>
            </a:rPr>
            <a:t>Case Studies</a:t>
          </a:r>
        </a:p>
      </dgm:t>
    </dgm:pt>
    <dgm:pt modelId="{5CC460B3-1EDA-44FC-87CD-8BD9606FC443}" type="parTrans" cxnId="{0C7698AB-CC61-4B23-85EB-4AE2D001D916}">
      <dgm:prSet/>
      <dgm:spPr/>
      <dgm:t>
        <a:bodyPr/>
        <a:lstStyle/>
        <a:p>
          <a:endParaRPr lang="en-US" sz="1800" b="1">
            <a:solidFill>
              <a:schemeClr val="tx1"/>
            </a:solidFill>
            <a:latin typeface="Times New Roman" pitchFamily="18" charset="0"/>
            <a:cs typeface="Times New Roman" pitchFamily="18" charset="0"/>
          </a:endParaRPr>
        </a:p>
      </dgm:t>
    </dgm:pt>
    <dgm:pt modelId="{D2BE9200-D5F9-4C8E-BDE5-79F3D40EAF5D}" type="sibTrans" cxnId="{0C7698AB-CC61-4B23-85EB-4AE2D001D916}">
      <dgm:prSet/>
      <dgm:spPr/>
      <dgm:t>
        <a:bodyPr/>
        <a:lstStyle/>
        <a:p>
          <a:endParaRPr lang="en-US" sz="1800" b="1">
            <a:solidFill>
              <a:schemeClr val="tx1"/>
            </a:solidFill>
            <a:latin typeface="Times New Roman" pitchFamily="18" charset="0"/>
            <a:cs typeface="Times New Roman" pitchFamily="18" charset="0"/>
          </a:endParaRPr>
        </a:p>
      </dgm:t>
    </dgm:pt>
    <dgm:pt modelId="{3C246BDC-6682-44A5-BF50-AF522C14B1E2}">
      <dgm:prSet custT="1"/>
      <dgm:spPr/>
      <dgm:t>
        <a:bodyPr/>
        <a:lstStyle/>
        <a:p>
          <a:r>
            <a:rPr lang="en-US" sz="900" b="1">
              <a:solidFill>
                <a:schemeClr val="tx1"/>
              </a:solidFill>
              <a:latin typeface="Times New Roman" pitchFamily="18" charset="0"/>
              <a:cs typeface="Times New Roman" pitchFamily="18" charset="0"/>
            </a:rPr>
            <a:t>News and Media Sources</a:t>
          </a:r>
        </a:p>
      </dgm:t>
    </dgm:pt>
    <dgm:pt modelId="{144DFD17-6022-4CCF-9F18-B524D8C6EC01}" type="parTrans" cxnId="{26A73332-DB56-4D2D-B624-DF03DD919475}">
      <dgm:prSet/>
      <dgm:spPr/>
      <dgm:t>
        <a:bodyPr/>
        <a:lstStyle/>
        <a:p>
          <a:endParaRPr lang="en-US" sz="1800" b="1">
            <a:solidFill>
              <a:schemeClr val="tx1"/>
            </a:solidFill>
            <a:latin typeface="Times New Roman" pitchFamily="18" charset="0"/>
            <a:cs typeface="Times New Roman" pitchFamily="18" charset="0"/>
          </a:endParaRPr>
        </a:p>
      </dgm:t>
    </dgm:pt>
    <dgm:pt modelId="{8AF8BB1F-AB1F-4AF0-8A42-B3701143FCD8}" type="sibTrans" cxnId="{26A73332-DB56-4D2D-B624-DF03DD919475}">
      <dgm:prSet/>
      <dgm:spPr/>
      <dgm:t>
        <a:bodyPr/>
        <a:lstStyle/>
        <a:p>
          <a:endParaRPr lang="en-US" sz="1800" b="1">
            <a:solidFill>
              <a:schemeClr val="tx1"/>
            </a:solidFill>
            <a:latin typeface="Times New Roman" pitchFamily="18" charset="0"/>
            <a:cs typeface="Times New Roman" pitchFamily="18" charset="0"/>
          </a:endParaRPr>
        </a:p>
      </dgm:t>
    </dgm:pt>
    <dgm:pt modelId="{38FF4B5D-F031-40BB-A591-B65D7EBC6D86}">
      <dgm:prSet custT="1"/>
      <dgm:spPr/>
      <dgm:t>
        <a:bodyPr/>
        <a:lstStyle/>
        <a:p>
          <a:r>
            <a:rPr lang="en-US" sz="900" b="1">
              <a:solidFill>
                <a:schemeClr val="tx1"/>
              </a:solidFill>
              <a:latin typeface="Times New Roman" pitchFamily="18" charset="0"/>
              <a:cs typeface="Times New Roman" pitchFamily="18" charset="0"/>
            </a:rPr>
            <a:t>Cross-Cultural Studies</a:t>
          </a:r>
        </a:p>
      </dgm:t>
    </dgm:pt>
    <dgm:pt modelId="{37BB7FB2-AFD7-426B-A60F-EAB692D16554}" type="parTrans" cxnId="{68190CAD-0A1F-4D8B-9FEF-37A1DC502371}">
      <dgm:prSet/>
      <dgm:spPr/>
      <dgm:t>
        <a:bodyPr/>
        <a:lstStyle/>
        <a:p>
          <a:endParaRPr lang="en-US" sz="1800" b="1">
            <a:solidFill>
              <a:schemeClr val="tx1"/>
            </a:solidFill>
            <a:latin typeface="Times New Roman" pitchFamily="18" charset="0"/>
            <a:cs typeface="Times New Roman" pitchFamily="18" charset="0"/>
          </a:endParaRPr>
        </a:p>
      </dgm:t>
    </dgm:pt>
    <dgm:pt modelId="{6DC468EC-3F08-4515-9064-EEE5D8D6E6D4}" type="sibTrans" cxnId="{68190CAD-0A1F-4D8B-9FEF-37A1DC502371}">
      <dgm:prSet/>
      <dgm:spPr/>
      <dgm:t>
        <a:bodyPr/>
        <a:lstStyle/>
        <a:p>
          <a:endParaRPr lang="en-US" sz="1800" b="1">
            <a:solidFill>
              <a:schemeClr val="tx1"/>
            </a:solidFill>
            <a:latin typeface="Times New Roman" pitchFamily="18" charset="0"/>
            <a:cs typeface="Times New Roman" pitchFamily="18" charset="0"/>
          </a:endParaRPr>
        </a:p>
      </dgm:t>
    </dgm:pt>
    <dgm:pt modelId="{0B4454DF-0D89-4FAC-8562-1E1DC26D4199}" type="pres">
      <dgm:prSet presAssocID="{E5F68868-DC52-4675-BC4C-C84300D685C6}" presName="Name0" presStyleCnt="0">
        <dgm:presLayoutVars>
          <dgm:dir/>
          <dgm:animLvl val="lvl"/>
          <dgm:resizeHandles val="exact"/>
        </dgm:presLayoutVars>
      </dgm:prSet>
      <dgm:spPr/>
    </dgm:pt>
    <dgm:pt modelId="{874FF99A-25AB-41FC-9A31-DE5225AD8099}" type="pres">
      <dgm:prSet presAssocID="{E37099F5-1516-4206-BE53-A48E149B4FF4}" presName="parTxOnly" presStyleLbl="node1" presStyleIdx="0" presStyleCnt="6">
        <dgm:presLayoutVars>
          <dgm:chMax val="0"/>
          <dgm:chPref val="0"/>
          <dgm:bulletEnabled val="1"/>
        </dgm:presLayoutVars>
      </dgm:prSet>
      <dgm:spPr/>
    </dgm:pt>
    <dgm:pt modelId="{9E1C19E7-783E-4570-8F8B-74A3560617C3}" type="pres">
      <dgm:prSet presAssocID="{E2454EDD-83F7-46B1-8C91-C26DD7ABE7CC}" presName="parTxOnlySpace" presStyleCnt="0"/>
      <dgm:spPr/>
    </dgm:pt>
    <dgm:pt modelId="{D8DD1127-4498-4F5F-B832-21F0BA0BD324}" type="pres">
      <dgm:prSet presAssocID="{D50BE28B-ED22-42C2-9074-847AF6C22A1A}" presName="parTxOnly" presStyleLbl="node1" presStyleIdx="1" presStyleCnt="6">
        <dgm:presLayoutVars>
          <dgm:chMax val="0"/>
          <dgm:chPref val="0"/>
          <dgm:bulletEnabled val="1"/>
        </dgm:presLayoutVars>
      </dgm:prSet>
      <dgm:spPr/>
    </dgm:pt>
    <dgm:pt modelId="{4DC8A134-7D2B-4463-8B98-9C156327FF31}" type="pres">
      <dgm:prSet presAssocID="{C819A13B-A211-45B9-AA56-9AE4EB87AE6E}" presName="parTxOnlySpace" presStyleCnt="0"/>
      <dgm:spPr/>
    </dgm:pt>
    <dgm:pt modelId="{02025E70-2158-4466-8302-509EE537857C}" type="pres">
      <dgm:prSet presAssocID="{09E549B5-28CB-4B93-B4CE-4FCEB52321C2}" presName="parTxOnly" presStyleLbl="node1" presStyleIdx="2" presStyleCnt="6">
        <dgm:presLayoutVars>
          <dgm:chMax val="0"/>
          <dgm:chPref val="0"/>
          <dgm:bulletEnabled val="1"/>
        </dgm:presLayoutVars>
      </dgm:prSet>
      <dgm:spPr/>
    </dgm:pt>
    <dgm:pt modelId="{EE44C818-CD0A-4C6A-96EF-E919175F24F5}" type="pres">
      <dgm:prSet presAssocID="{0B9C755A-E8EA-4C76-971F-B4FE47544552}" presName="parTxOnlySpace" presStyleCnt="0"/>
      <dgm:spPr/>
    </dgm:pt>
    <dgm:pt modelId="{D8683E48-A58C-46D4-90DF-CD173D555567}" type="pres">
      <dgm:prSet presAssocID="{38FF4B5D-F031-40BB-A591-B65D7EBC6D86}" presName="parTxOnly" presStyleLbl="node1" presStyleIdx="3" presStyleCnt="6">
        <dgm:presLayoutVars>
          <dgm:chMax val="0"/>
          <dgm:chPref val="0"/>
          <dgm:bulletEnabled val="1"/>
        </dgm:presLayoutVars>
      </dgm:prSet>
      <dgm:spPr/>
    </dgm:pt>
    <dgm:pt modelId="{B71FACB8-988A-42E3-B497-8E17E4A8BA4D}" type="pres">
      <dgm:prSet presAssocID="{6DC468EC-3F08-4515-9064-EEE5D8D6E6D4}" presName="parTxOnlySpace" presStyleCnt="0"/>
      <dgm:spPr/>
    </dgm:pt>
    <dgm:pt modelId="{C6CF2A5D-48FF-4E81-9AE6-E516EF229D8F}" type="pres">
      <dgm:prSet presAssocID="{3C246BDC-6682-44A5-BF50-AF522C14B1E2}" presName="parTxOnly" presStyleLbl="node1" presStyleIdx="4" presStyleCnt="6">
        <dgm:presLayoutVars>
          <dgm:chMax val="0"/>
          <dgm:chPref val="0"/>
          <dgm:bulletEnabled val="1"/>
        </dgm:presLayoutVars>
      </dgm:prSet>
      <dgm:spPr/>
    </dgm:pt>
    <dgm:pt modelId="{F61F0162-C760-44F5-ACAF-95D27D58192D}" type="pres">
      <dgm:prSet presAssocID="{8AF8BB1F-AB1F-4AF0-8A42-B3701143FCD8}" presName="parTxOnlySpace" presStyleCnt="0"/>
      <dgm:spPr/>
    </dgm:pt>
    <dgm:pt modelId="{26F9198F-93B6-4DC7-A718-D89D8671DF38}" type="pres">
      <dgm:prSet presAssocID="{E7549E7B-0225-4A0D-B556-ECF094D04B85}" presName="parTxOnly" presStyleLbl="node1" presStyleIdx="5" presStyleCnt="6">
        <dgm:presLayoutVars>
          <dgm:chMax val="0"/>
          <dgm:chPref val="0"/>
          <dgm:bulletEnabled val="1"/>
        </dgm:presLayoutVars>
      </dgm:prSet>
      <dgm:spPr/>
    </dgm:pt>
  </dgm:ptLst>
  <dgm:cxnLst>
    <dgm:cxn modelId="{B6D9D400-E1BD-4BF4-A4A0-97D96454DA23}" srcId="{E5F68868-DC52-4675-BC4C-C84300D685C6}" destId="{09E549B5-28CB-4B93-B4CE-4FCEB52321C2}" srcOrd="2" destOrd="0" parTransId="{7B22C65A-62CC-45AD-90ED-112883EEFBB9}" sibTransId="{0B9C755A-E8EA-4C76-971F-B4FE47544552}"/>
    <dgm:cxn modelId="{A3CD770B-1C76-4187-8C6E-93DE5901BA31}" srcId="{E5F68868-DC52-4675-BC4C-C84300D685C6}" destId="{E37099F5-1516-4206-BE53-A48E149B4FF4}" srcOrd="0" destOrd="0" parTransId="{E3C64FEB-9369-41F7-B930-4838D5980304}" sibTransId="{E2454EDD-83F7-46B1-8C91-C26DD7ABE7CC}"/>
    <dgm:cxn modelId="{7B71CE1B-EE5C-45F0-868B-F15951C807E0}" type="presOf" srcId="{E37099F5-1516-4206-BE53-A48E149B4FF4}" destId="{874FF99A-25AB-41FC-9A31-DE5225AD8099}" srcOrd="0" destOrd="0" presId="urn:microsoft.com/office/officeart/2005/8/layout/chevron1"/>
    <dgm:cxn modelId="{DD3C091C-8C8C-489F-8B51-11FE853AB5E6}" srcId="{E5F68868-DC52-4675-BC4C-C84300D685C6}" destId="{D50BE28B-ED22-42C2-9074-847AF6C22A1A}" srcOrd="1" destOrd="0" parTransId="{F8E64E92-2DFD-4940-8943-2D492FA09FD4}" sibTransId="{C819A13B-A211-45B9-AA56-9AE4EB87AE6E}"/>
    <dgm:cxn modelId="{26A73332-DB56-4D2D-B624-DF03DD919475}" srcId="{E5F68868-DC52-4675-BC4C-C84300D685C6}" destId="{3C246BDC-6682-44A5-BF50-AF522C14B1E2}" srcOrd="4" destOrd="0" parTransId="{144DFD17-6022-4CCF-9F18-B524D8C6EC01}" sibTransId="{8AF8BB1F-AB1F-4AF0-8A42-B3701143FCD8}"/>
    <dgm:cxn modelId="{DD4AA94A-FD63-4109-A30E-6CDE88D4576D}" type="presOf" srcId="{D50BE28B-ED22-42C2-9074-847AF6C22A1A}" destId="{D8DD1127-4498-4F5F-B832-21F0BA0BD324}" srcOrd="0" destOrd="0" presId="urn:microsoft.com/office/officeart/2005/8/layout/chevron1"/>
    <dgm:cxn modelId="{BDFB9F62-E86B-4354-8734-FBE3AD4A95B0}" type="presOf" srcId="{E7549E7B-0225-4A0D-B556-ECF094D04B85}" destId="{26F9198F-93B6-4DC7-A718-D89D8671DF38}" srcOrd="0" destOrd="0" presId="urn:microsoft.com/office/officeart/2005/8/layout/chevron1"/>
    <dgm:cxn modelId="{0C7698AB-CC61-4B23-85EB-4AE2D001D916}" srcId="{E5F68868-DC52-4675-BC4C-C84300D685C6}" destId="{E7549E7B-0225-4A0D-B556-ECF094D04B85}" srcOrd="5" destOrd="0" parTransId="{5CC460B3-1EDA-44FC-87CD-8BD9606FC443}" sibTransId="{D2BE9200-D5F9-4C8E-BDE5-79F3D40EAF5D}"/>
    <dgm:cxn modelId="{68190CAD-0A1F-4D8B-9FEF-37A1DC502371}" srcId="{E5F68868-DC52-4675-BC4C-C84300D685C6}" destId="{38FF4B5D-F031-40BB-A591-B65D7EBC6D86}" srcOrd="3" destOrd="0" parTransId="{37BB7FB2-AFD7-426B-A60F-EAB692D16554}" sibTransId="{6DC468EC-3F08-4515-9064-EEE5D8D6E6D4}"/>
    <dgm:cxn modelId="{83DFE5D1-F712-43AF-9C58-2645083C82B7}" type="presOf" srcId="{3C246BDC-6682-44A5-BF50-AF522C14B1E2}" destId="{C6CF2A5D-48FF-4E81-9AE6-E516EF229D8F}" srcOrd="0" destOrd="0" presId="urn:microsoft.com/office/officeart/2005/8/layout/chevron1"/>
    <dgm:cxn modelId="{8A063ED2-941F-4524-804A-827E31AAB410}" type="presOf" srcId="{E5F68868-DC52-4675-BC4C-C84300D685C6}" destId="{0B4454DF-0D89-4FAC-8562-1E1DC26D4199}" srcOrd="0" destOrd="0" presId="urn:microsoft.com/office/officeart/2005/8/layout/chevron1"/>
    <dgm:cxn modelId="{8AF6E9EA-8794-4526-9EE8-C9F5831D1EDF}" type="presOf" srcId="{09E549B5-28CB-4B93-B4CE-4FCEB52321C2}" destId="{02025E70-2158-4466-8302-509EE537857C}" srcOrd="0" destOrd="0" presId="urn:microsoft.com/office/officeart/2005/8/layout/chevron1"/>
    <dgm:cxn modelId="{099E19F9-5931-4C4B-B313-D1FEC0DF7972}" type="presOf" srcId="{38FF4B5D-F031-40BB-A591-B65D7EBC6D86}" destId="{D8683E48-A58C-46D4-90DF-CD173D555567}" srcOrd="0" destOrd="0" presId="urn:microsoft.com/office/officeart/2005/8/layout/chevron1"/>
    <dgm:cxn modelId="{B94771AA-91BF-436C-8750-7301B6233AFB}" type="presParOf" srcId="{0B4454DF-0D89-4FAC-8562-1E1DC26D4199}" destId="{874FF99A-25AB-41FC-9A31-DE5225AD8099}" srcOrd="0" destOrd="0" presId="urn:microsoft.com/office/officeart/2005/8/layout/chevron1"/>
    <dgm:cxn modelId="{7CCA02B6-6615-41A2-B713-BE39D0BF4A9B}" type="presParOf" srcId="{0B4454DF-0D89-4FAC-8562-1E1DC26D4199}" destId="{9E1C19E7-783E-4570-8F8B-74A3560617C3}" srcOrd="1" destOrd="0" presId="urn:microsoft.com/office/officeart/2005/8/layout/chevron1"/>
    <dgm:cxn modelId="{8C6478B9-24E8-4780-B529-67B26150CE16}" type="presParOf" srcId="{0B4454DF-0D89-4FAC-8562-1E1DC26D4199}" destId="{D8DD1127-4498-4F5F-B832-21F0BA0BD324}" srcOrd="2" destOrd="0" presId="urn:microsoft.com/office/officeart/2005/8/layout/chevron1"/>
    <dgm:cxn modelId="{7B512338-AD26-4C3D-A2E7-D12B8D7951DB}" type="presParOf" srcId="{0B4454DF-0D89-4FAC-8562-1E1DC26D4199}" destId="{4DC8A134-7D2B-4463-8B98-9C156327FF31}" srcOrd="3" destOrd="0" presId="urn:microsoft.com/office/officeart/2005/8/layout/chevron1"/>
    <dgm:cxn modelId="{BE7DA2E4-E326-48E7-AA3A-5C418D9D07EB}" type="presParOf" srcId="{0B4454DF-0D89-4FAC-8562-1E1DC26D4199}" destId="{02025E70-2158-4466-8302-509EE537857C}" srcOrd="4" destOrd="0" presId="urn:microsoft.com/office/officeart/2005/8/layout/chevron1"/>
    <dgm:cxn modelId="{BDA73B3D-C2C8-4F2A-ACB6-74BE4C2D8B15}" type="presParOf" srcId="{0B4454DF-0D89-4FAC-8562-1E1DC26D4199}" destId="{EE44C818-CD0A-4C6A-96EF-E919175F24F5}" srcOrd="5" destOrd="0" presId="urn:microsoft.com/office/officeart/2005/8/layout/chevron1"/>
    <dgm:cxn modelId="{5DF72D33-A137-44F9-ABF9-C8C701BD9828}" type="presParOf" srcId="{0B4454DF-0D89-4FAC-8562-1E1DC26D4199}" destId="{D8683E48-A58C-46D4-90DF-CD173D555567}" srcOrd="6" destOrd="0" presId="urn:microsoft.com/office/officeart/2005/8/layout/chevron1"/>
    <dgm:cxn modelId="{90315684-2895-4357-A896-CB9E5EC85968}" type="presParOf" srcId="{0B4454DF-0D89-4FAC-8562-1E1DC26D4199}" destId="{B71FACB8-988A-42E3-B497-8E17E4A8BA4D}" srcOrd="7" destOrd="0" presId="urn:microsoft.com/office/officeart/2005/8/layout/chevron1"/>
    <dgm:cxn modelId="{4A2DA8CF-75EC-410F-8B9C-19D383A4B09B}" type="presParOf" srcId="{0B4454DF-0D89-4FAC-8562-1E1DC26D4199}" destId="{C6CF2A5D-48FF-4E81-9AE6-E516EF229D8F}" srcOrd="8" destOrd="0" presId="urn:microsoft.com/office/officeart/2005/8/layout/chevron1"/>
    <dgm:cxn modelId="{734FC319-1833-497D-B9C4-6225DE928D07}" type="presParOf" srcId="{0B4454DF-0D89-4FAC-8562-1E1DC26D4199}" destId="{F61F0162-C760-44F5-ACAF-95D27D58192D}" srcOrd="9" destOrd="0" presId="urn:microsoft.com/office/officeart/2005/8/layout/chevron1"/>
    <dgm:cxn modelId="{7A947093-CCA1-4791-A969-4C4972274F73}" type="presParOf" srcId="{0B4454DF-0D89-4FAC-8562-1E1DC26D4199}" destId="{26F9198F-93B6-4DC7-A718-D89D8671DF38}" srcOrd="10" destOrd="0" presId="urn:microsoft.com/office/officeart/2005/8/layout/chevron1"/>
  </dgm:cxnLst>
  <dgm:bg/>
  <dgm:whole/>
  <dgm:extLst>
    <a:ext uri="http://schemas.microsoft.com/office/drawing/2008/diagram">
      <dsp:dataModelExt xmlns:dsp="http://schemas.microsoft.com/office/drawing/2008/diagram" relId="rId57"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9DB869AF-1EA5-4756-A429-D15737760E9A}" type="doc">
      <dgm:prSet loTypeId="urn:microsoft.com/office/officeart/2005/8/layout/process1" loCatId="process" qsTypeId="urn:microsoft.com/office/officeart/2005/8/quickstyle/3d3" qsCatId="3D" csTypeId="urn:microsoft.com/office/officeart/2005/8/colors/colorful1#5" csCatId="colorful" phldr="1"/>
      <dgm:spPr/>
    </dgm:pt>
    <dgm:pt modelId="{49F01CF1-8A2D-4BF7-B97E-8A709B794C7F}">
      <dgm:prSet phldrT="[Text]" custT="1"/>
      <dgm:spPr/>
      <dgm:t>
        <a:bodyPr/>
        <a:lstStyle/>
        <a:p>
          <a:r>
            <a:rPr lang="en-US" sz="900" b="1">
              <a:solidFill>
                <a:schemeClr val="tx1"/>
              </a:solidFill>
              <a:latin typeface="Times New Roman" pitchFamily="18" charset="0"/>
              <a:cs typeface="Times New Roman" pitchFamily="18" charset="0"/>
            </a:rPr>
            <a:t>Initial Coding</a:t>
          </a:r>
          <a:endParaRPr lang="en-US" sz="900">
            <a:solidFill>
              <a:schemeClr val="tx1"/>
            </a:solidFill>
            <a:latin typeface="Times New Roman" pitchFamily="18" charset="0"/>
            <a:cs typeface="Times New Roman" pitchFamily="18" charset="0"/>
          </a:endParaRPr>
        </a:p>
      </dgm:t>
    </dgm:pt>
    <dgm:pt modelId="{C5DBF8CB-1AC9-4818-A8B1-38AB43185143}" type="parTrans" cxnId="{257E1A25-80B8-4828-AC25-E5A12666131B}">
      <dgm:prSet/>
      <dgm:spPr/>
      <dgm:t>
        <a:bodyPr/>
        <a:lstStyle/>
        <a:p>
          <a:endParaRPr lang="en-US" sz="2800">
            <a:solidFill>
              <a:schemeClr val="tx1"/>
            </a:solidFill>
            <a:latin typeface="Times New Roman" pitchFamily="18" charset="0"/>
            <a:cs typeface="Times New Roman" pitchFamily="18" charset="0"/>
          </a:endParaRPr>
        </a:p>
      </dgm:t>
    </dgm:pt>
    <dgm:pt modelId="{753F9330-8FA8-44A1-AC48-5A3DCA773A79}" type="sibTrans" cxnId="{257E1A25-80B8-4828-AC25-E5A12666131B}">
      <dgm:prSet custT="1"/>
      <dgm:spPr/>
      <dgm:t>
        <a:bodyPr/>
        <a:lstStyle/>
        <a:p>
          <a:endParaRPr lang="en-US" sz="800">
            <a:solidFill>
              <a:schemeClr val="tx1"/>
            </a:solidFill>
            <a:latin typeface="Times New Roman" pitchFamily="18" charset="0"/>
            <a:cs typeface="Times New Roman" pitchFamily="18" charset="0"/>
          </a:endParaRPr>
        </a:p>
      </dgm:t>
    </dgm:pt>
    <dgm:pt modelId="{4F9A1229-7D93-454F-BC3D-8FFE786AEBAE}">
      <dgm:prSet phldrT="[Text]" custT="1"/>
      <dgm:spPr/>
      <dgm:t>
        <a:bodyPr/>
        <a:lstStyle/>
        <a:p>
          <a:r>
            <a:rPr lang="en-US" sz="900" b="1">
              <a:solidFill>
                <a:schemeClr val="tx1"/>
              </a:solidFill>
              <a:latin typeface="Times New Roman" pitchFamily="18" charset="0"/>
              <a:cs typeface="Times New Roman" pitchFamily="18" charset="0"/>
            </a:rPr>
            <a:t>Code Grouping</a:t>
          </a:r>
          <a:endParaRPr lang="en-US" sz="900">
            <a:solidFill>
              <a:schemeClr val="tx1"/>
            </a:solidFill>
            <a:latin typeface="Times New Roman" pitchFamily="18" charset="0"/>
            <a:cs typeface="Times New Roman" pitchFamily="18" charset="0"/>
          </a:endParaRPr>
        </a:p>
      </dgm:t>
    </dgm:pt>
    <dgm:pt modelId="{0F2E8DAF-1842-48D5-8AB0-E103BFAEF308}" type="parTrans" cxnId="{7B74308F-B322-4784-BCA8-433915C6085C}">
      <dgm:prSet/>
      <dgm:spPr/>
      <dgm:t>
        <a:bodyPr/>
        <a:lstStyle/>
        <a:p>
          <a:endParaRPr lang="en-US" sz="2800">
            <a:solidFill>
              <a:schemeClr val="tx1"/>
            </a:solidFill>
            <a:latin typeface="Times New Roman" pitchFamily="18" charset="0"/>
            <a:cs typeface="Times New Roman" pitchFamily="18" charset="0"/>
          </a:endParaRPr>
        </a:p>
      </dgm:t>
    </dgm:pt>
    <dgm:pt modelId="{12287A68-9D74-4B4E-B866-9120C58A94A3}" type="sibTrans" cxnId="{7B74308F-B322-4784-BCA8-433915C6085C}">
      <dgm:prSet custT="1"/>
      <dgm:spPr/>
      <dgm:t>
        <a:bodyPr/>
        <a:lstStyle/>
        <a:p>
          <a:endParaRPr lang="en-US" sz="800">
            <a:solidFill>
              <a:schemeClr val="tx1"/>
            </a:solidFill>
            <a:latin typeface="Times New Roman" pitchFamily="18" charset="0"/>
            <a:cs typeface="Times New Roman" pitchFamily="18" charset="0"/>
          </a:endParaRPr>
        </a:p>
      </dgm:t>
    </dgm:pt>
    <dgm:pt modelId="{30DBC1F1-EA53-4ACC-A829-AE0ED9E54BF3}">
      <dgm:prSet phldrT="[Text]" custT="1"/>
      <dgm:spPr/>
      <dgm:t>
        <a:bodyPr/>
        <a:lstStyle/>
        <a:p>
          <a:r>
            <a:rPr lang="en-US" sz="900" b="1">
              <a:solidFill>
                <a:schemeClr val="tx1"/>
              </a:solidFill>
              <a:latin typeface="Times New Roman" pitchFamily="18" charset="0"/>
              <a:cs typeface="Times New Roman" pitchFamily="18" charset="0"/>
            </a:rPr>
            <a:t>Review and Refinement</a:t>
          </a:r>
          <a:endParaRPr lang="en-US" sz="900">
            <a:solidFill>
              <a:schemeClr val="tx1"/>
            </a:solidFill>
            <a:latin typeface="Times New Roman" pitchFamily="18" charset="0"/>
            <a:cs typeface="Times New Roman" pitchFamily="18" charset="0"/>
          </a:endParaRPr>
        </a:p>
      </dgm:t>
    </dgm:pt>
    <dgm:pt modelId="{E716B2EC-35F1-4523-8429-049CB3A24718}" type="parTrans" cxnId="{1536C30C-221E-40C9-9FAD-B51F1CFCE22E}">
      <dgm:prSet/>
      <dgm:spPr/>
      <dgm:t>
        <a:bodyPr/>
        <a:lstStyle/>
        <a:p>
          <a:endParaRPr lang="en-US" sz="2800">
            <a:solidFill>
              <a:schemeClr val="tx1"/>
            </a:solidFill>
            <a:latin typeface="Times New Roman" pitchFamily="18" charset="0"/>
            <a:cs typeface="Times New Roman" pitchFamily="18" charset="0"/>
          </a:endParaRPr>
        </a:p>
      </dgm:t>
    </dgm:pt>
    <dgm:pt modelId="{DB7CD77E-F8AE-44C4-A55A-B7ECE60C58C9}" type="sibTrans" cxnId="{1536C30C-221E-40C9-9FAD-B51F1CFCE22E}">
      <dgm:prSet custT="1"/>
      <dgm:spPr/>
      <dgm:t>
        <a:bodyPr/>
        <a:lstStyle/>
        <a:p>
          <a:endParaRPr lang="en-US" sz="800">
            <a:solidFill>
              <a:schemeClr val="tx1"/>
            </a:solidFill>
            <a:latin typeface="Times New Roman" pitchFamily="18" charset="0"/>
            <a:cs typeface="Times New Roman" pitchFamily="18" charset="0"/>
          </a:endParaRPr>
        </a:p>
      </dgm:t>
    </dgm:pt>
    <dgm:pt modelId="{66CB95E4-5B34-4EB3-85D9-9081D82ACF15}">
      <dgm:prSet custT="1"/>
      <dgm:spPr/>
      <dgm:t>
        <a:bodyPr/>
        <a:lstStyle/>
        <a:p>
          <a:r>
            <a:rPr lang="en-US" sz="900" b="1">
              <a:solidFill>
                <a:schemeClr val="tx1"/>
              </a:solidFill>
              <a:latin typeface="Times New Roman" pitchFamily="18" charset="0"/>
              <a:cs typeface="Times New Roman" pitchFamily="18" charset="0"/>
            </a:rPr>
            <a:t>Data Segmentation</a:t>
          </a:r>
          <a:endParaRPr lang="en-US" sz="900">
            <a:solidFill>
              <a:schemeClr val="tx1"/>
            </a:solidFill>
            <a:latin typeface="Times New Roman" pitchFamily="18" charset="0"/>
            <a:cs typeface="Times New Roman" pitchFamily="18" charset="0"/>
          </a:endParaRPr>
        </a:p>
      </dgm:t>
    </dgm:pt>
    <dgm:pt modelId="{BF34FE65-89AA-4853-9E28-3DEF698F2695}" type="parTrans" cxnId="{3B233ED1-59F8-4283-ABDC-5E780DA07303}">
      <dgm:prSet/>
      <dgm:spPr/>
      <dgm:t>
        <a:bodyPr/>
        <a:lstStyle/>
        <a:p>
          <a:endParaRPr lang="en-US" sz="2800">
            <a:solidFill>
              <a:schemeClr val="tx1"/>
            </a:solidFill>
            <a:latin typeface="Times New Roman" pitchFamily="18" charset="0"/>
            <a:cs typeface="Times New Roman" pitchFamily="18" charset="0"/>
          </a:endParaRPr>
        </a:p>
      </dgm:t>
    </dgm:pt>
    <dgm:pt modelId="{F7690FB5-B245-4B41-90A4-DB3BDF74F501}" type="sibTrans" cxnId="{3B233ED1-59F8-4283-ABDC-5E780DA07303}">
      <dgm:prSet custT="1"/>
      <dgm:spPr/>
      <dgm:t>
        <a:bodyPr/>
        <a:lstStyle/>
        <a:p>
          <a:endParaRPr lang="en-US" sz="800">
            <a:solidFill>
              <a:schemeClr val="tx1"/>
            </a:solidFill>
            <a:latin typeface="Times New Roman" pitchFamily="18" charset="0"/>
            <a:cs typeface="Times New Roman" pitchFamily="18" charset="0"/>
          </a:endParaRPr>
        </a:p>
      </dgm:t>
    </dgm:pt>
    <dgm:pt modelId="{6541C8F6-6093-482E-B718-1C47CFAB661F}">
      <dgm:prSet custT="1"/>
      <dgm:spPr/>
      <dgm:t>
        <a:bodyPr/>
        <a:lstStyle/>
        <a:p>
          <a:r>
            <a:rPr lang="en-US" sz="900" b="1">
              <a:solidFill>
                <a:schemeClr val="tx1"/>
              </a:solidFill>
              <a:latin typeface="Times New Roman" pitchFamily="18" charset="0"/>
              <a:cs typeface="Times New Roman" pitchFamily="18" charset="0"/>
            </a:rPr>
            <a:t>Data Analysis</a:t>
          </a:r>
          <a:endParaRPr lang="en-US" sz="900">
            <a:solidFill>
              <a:schemeClr val="tx1"/>
            </a:solidFill>
            <a:latin typeface="Times New Roman" pitchFamily="18" charset="0"/>
            <a:cs typeface="Times New Roman" pitchFamily="18" charset="0"/>
          </a:endParaRPr>
        </a:p>
      </dgm:t>
    </dgm:pt>
    <dgm:pt modelId="{CCF763C9-1F4D-462F-8474-66227A88C397}" type="parTrans" cxnId="{F0C04416-E45E-4DA9-B2E2-62BAC7DC9200}">
      <dgm:prSet/>
      <dgm:spPr/>
      <dgm:t>
        <a:bodyPr/>
        <a:lstStyle/>
        <a:p>
          <a:endParaRPr lang="en-US" sz="2800">
            <a:solidFill>
              <a:schemeClr val="tx1"/>
            </a:solidFill>
            <a:latin typeface="Times New Roman" pitchFamily="18" charset="0"/>
            <a:cs typeface="Times New Roman" pitchFamily="18" charset="0"/>
          </a:endParaRPr>
        </a:p>
      </dgm:t>
    </dgm:pt>
    <dgm:pt modelId="{DED2D325-C3DB-4ADD-BEB9-72D453F535C0}" type="sibTrans" cxnId="{F0C04416-E45E-4DA9-B2E2-62BAC7DC9200}">
      <dgm:prSet custT="1"/>
      <dgm:spPr/>
      <dgm:t>
        <a:bodyPr/>
        <a:lstStyle/>
        <a:p>
          <a:endParaRPr lang="en-US" sz="800">
            <a:solidFill>
              <a:schemeClr val="tx1"/>
            </a:solidFill>
            <a:latin typeface="Times New Roman" pitchFamily="18" charset="0"/>
            <a:cs typeface="Times New Roman" pitchFamily="18" charset="0"/>
          </a:endParaRPr>
        </a:p>
      </dgm:t>
    </dgm:pt>
    <dgm:pt modelId="{8FA3F88D-4F7F-4982-BB18-59B49D941EE3}">
      <dgm:prSet custT="1"/>
      <dgm:spPr/>
      <dgm:t>
        <a:bodyPr/>
        <a:lstStyle/>
        <a:p>
          <a:r>
            <a:rPr lang="en-US" sz="900" b="1">
              <a:solidFill>
                <a:schemeClr val="tx1"/>
              </a:solidFill>
              <a:latin typeface="Times New Roman" pitchFamily="18" charset="0"/>
              <a:cs typeface="Times New Roman" pitchFamily="18" charset="0"/>
            </a:rPr>
            <a:t>Report on Findings</a:t>
          </a:r>
          <a:endParaRPr lang="en-US" sz="900">
            <a:solidFill>
              <a:schemeClr val="tx1"/>
            </a:solidFill>
            <a:latin typeface="Times New Roman" pitchFamily="18" charset="0"/>
            <a:cs typeface="Times New Roman" pitchFamily="18" charset="0"/>
          </a:endParaRPr>
        </a:p>
      </dgm:t>
    </dgm:pt>
    <dgm:pt modelId="{723B5DB2-22E9-4304-9B49-671396C444D9}" type="parTrans" cxnId="{FB67654E-3A7E-4807-B26D-28A44A7FE7A6}">
      <dgm:prSet/>
      <dgm:spPr/>
      <dgm:t>
        <a:bodyPr/>
        <a:lstStyle/>
        <a:p>
          <a:endParaRPr lang="en-US" sz="2800">
            <a:solidFill>
              <a:schemeClr val="tx1"/>
            </a:solidFill>
            <a:latin typeface="Times New Roman" pitchFamily="18" charset="0"/>
            <a:cs typeface="Times New Roman" pitchFamily="18" charset="0"/>
          </a:endParaRPr>
        </a:p>
      </dgm:t>
    </dgm:pt>
    <dgm:pt modelId="{881E3A1E-0F05-42AE-BCA9-C3092D5A25D7}" type="sibTrans" cxnId="{FB67654E-3A7E-4807-B26D-28A44A7FE7A6}">
      <dgm:prSet custT="1"/>
      <dgm:spPr/>
      <dgm:t>
        <a:bodyPr/>
        <a:lstStyle/>
        <a:p>
          <a:endParaRPr lang="en-US" sz="800">
            <a:solidFill>
              <a:schemeClr val="tx1"/>
            </a:solidFill>
            <a:latin typeface="Times New Roman" pitchFamily="18" charset="0"/>
            <a:cs typeface="Times New Roman" pitchFamily="18" charset="0"/>
          </a:endParaRPr>
        </a:p>
      </dgm:t>
    </dgm:pt>
    <dgm:pt modelId="{AEE93A1E-E387-4B35-B4C5-FBBB634B58A8}">
      <dgm:prSet custT="1"/>
      <dgm:spPr/>
      <dgm:t>
        <a:bodyPr/>
        <a:lstStyle/>
        <a:p>
          <a:r>
            <a:rPr lang="en-US" sz="900" b="1">
              <a:solidFill>
                <a:schemeClr val="tx1"/>
              </a:solidFill>
              <a:latin typeface="Times New Roman" pitchFamily="18" charset="0"/>
              <a:cs typeface="Times New Roman" pitchFamily="18" charset="0"/>
            </a:rPr>
            <a:t>Conclusion and Implications</a:t>
          </a:r>
          <a:endParaRPr lang="en-US" sz="900">
            <a:solidFill>
              <a:schemeClr val="tx1"/>
            </a:solidFill>
            <a:latin typeface="Times New Roman" pitchFamily="18" charset="0"/>
            <a:cs typeface="Times New Roman" pitchFamily="18" charset="0"/>
          </a:endParaRPr>
        </a:p>
      </dgm:t>
    </dgm:pt>
    <dgm:pt modelId="{471348F4-FDBD-409D-A3C2-8E3DF078FF9E}" type="parTrans" cxnId="{AEC49953-2C53-4026-8A91-7FD34B2A3480}">
      <dgm:prSet/>
      <dgm:spPr/>
      <dgm:t>
        <a:bodyPr/>
        <a:lstStyle/>
        <a:p>
          <a:endParaRPr lang="en-US" sz="2800">
            <a:solidFill>
              <a:schemeClr val="tx1"/>
            </a:solidFill>
            <a:latin typeface="Times New Roman" pitchFamily="18" charset="0"/>
            <a:cs typeface="Times New Roman" pitchFamily="18" charset="0"/>
          </a:endParaRPr>
        </a:p>
      </dgm:t>
    </dgm:pt>
    <dgm:pt modelId="{F2C6F096-EA4B-4D28-9361-966388279036}" type="sibTrans" cxnId="{AEC49953-2C53-4026-8A91-7FD34B2A3480}">
      <dgm:prSet/>
      <dgm:spPr/>
      <dgm:t>
        <a:bodyPr/>
        <a:lstStyle/>
        <a:p>
          <a:endParaRPr lang="en-US" sz="2800">
            <a:solidFill>
              <a:schemeClr val="tx1"/>
            </a:solidFill>
            <a:latin typeface="Times New Roman" pitchFamily="18" charset="0"/>
            <a:cs typeface="Times New Roman" pitchFamily="18" charset="0"/>
          </a:endParaRPr>
        </a:p>
      </dgm:t>
    </dgm:pt>
    <dgm:pt modelId="{A2B91F85-9AE6-4E01-956D-AFF03202976E}" type="pres">
      <dgm:prSet presAssocID="{9DB869AF-1EA5-4756-A429-D15737760E9A}" presName="Name0" presStyleCnt="0">
        <dgm:presLayoutVars>
          <dgm:dir/>
          <dgm:resizeHandles val="exact"/>
        </dgm:presLayoutVars>
      </dgm:prSet>
      <dgm:spPr/>
    </dgm:pt>
    <dgm:pt modelId="{889E7BF7-C57D-4664-91FE-6B4921F2C28A}" type="pres">
      <dgm:prSet presAssocID="{49F01CF1-8A2D-4BF7-B97E-8A709B794C7F}" presName="node" presStyleLbl="node1" presStyleIdx="0" presStyleCnt="7">
        <dgm:presLayoutVars>
          <dgm:bulletEnabled val="1"/>
        </dgm:presLayoutVars>
      </dgm:prSet>
      <dgm:spPr/>
    </dgm:pt>
    <dgm:pt modelId="{C9E29578-5872-4BFD-95EA-D3C972947544}" type="pres">
      <dgm:prSet presAssocID="{753F9330-8FA8-44A1-AC48-5A3DCA773A79}" presName="sibTrans" presStyleLbl="sibTrans2D1" presStyleIdx="0" presStyleCnt="6"/>
      <dgm:spPr/>
    </dgm:pt>
    <dgm:pt modelId="{2935E72C-4D69-479E-8C06-044527D01433}" type="pres">
      <dgm:prSet presAssocID="{753F9330-8FA8-44A1-AC48-5A3DCA773A79}" presName="connectorText" presStyleLbl="sibTrans2D1" presStyleIdx="0" presStyleCnt="6"/>
      <dgm:spPr/>
    </dgm:pt>
    <dgm:pt modelId="{C0A59EE3-433C-4678-B6DA-FAA66776452B}" type="pres">
      <dgm:prSet presAssocID="{4F9A1229-7D93-454F-BC3D-8FFE786AEBAE}" presName="node" presStyleLbl="node1" presStyleIdx="1" presStyleCnt="7">
        <dgm:presLayoutVars>
          <dgm:bulletEnabled val="1"/>
        </dgm:presLayoutVars>
      </dgm:prSet>
      <dgm:spPr/>
    </dgm:pt>
    <dgm:pt modelId="{5549E192-4615-4876-990C-F194CB626BB4}" type="pres">
      <dgm:prSet presAssocID="{12287A68-9D74-4B4E-B866-9120C58A94A3}" presName="sibTrans" presStyleLbl="sibTrans2D1" presStyleIdx="1" presStyleCnt="6"/>
      <dgm:spPr/>
    </dgm:pt>
    <dgm:pt modelId="{F8B5D9E4-66C1-4849-B149-BE78A6F738C0}" type="pres">
      <dgm:prSet presAssocID="{12287A68-9D74-4B4E-B866-9120C58A94A3}" presName="connectorText" presStyleLbl="sibTrans2D1" presStyleIdx="1" presStyleCnt="6"/>
      <dgm:spPr/>
    </dgm:pt>
    <dgm:pt modelId="{1998D8FB-5D15-450E-8C3E-FD439CF5AF87}" type="pres">
      <dgm:prSet presAssocID="{30DBC1F1-EA53-4ACC-A829-AE0ED9E54BF3}" presName="node" presStyleLbl="node1" presStyleIdx="2" presStyleCnt="7">
        <dgm:presLayoutVars>
          <dgm:bulletEnabled val="1"/>
        </dgm:presLayoutVars>
      </dgm:prSet>
      <dgm:spPr/>
    </dgm:pt>
    <dgm:pt modelId="{69D504F6-1401-4BE0-8E92-CA73320916B6}" type="pres">
      <dgm:prSet presAssocID="{DB7CD77E-F8AE-44C4-A55A-B7ECE60C58C9}" presName="sibTrans" presStyleLbl="sibTrans2D1" presStyleIdx="2" presStyleCnt="6"/>
      <dgm:spPr/>
    </dgm:pt>
    <dgm:pt modelId="{26276F0D-B4D6-4FEA-9C55-F03E07D5640F}" type="pres">
      <dgm:prSet presAssocID="{DB7CD77E-F8AE-44C4-A55A-B7ECE60C58C9}" presName="connectorText" presStyleLbl="sibTrans2D1" presStyleIdx="2" presStyleCnt="6"/>
      <dgm:spPr/>
    </dgm:pt>
    <dgm:pt modelId="{0121BBAE-C3FC-402A-906A-EBC726C057E2}" type="pres">
      <dgm:prSet presAssocID="{66CB95E4-5B34-4EB3-85D9-9081D82ACF15}" presName="node" presStyleLbl="node1" presStyleIdx="3" presStyleCnt="7">
        <dgm:presLayoutVars>
          <dgm:bulletEnabled val="1"/>
        </dgm:presLayoutVars>
      </dgm:prSet>
      <dgm:spPr/>
    </dgm:pt>
    <dgm:pt modelId="{3EAF8F51-F0C6-4699-87B0-6CF9534616D7}" type="pres">
      <dgm:prSet presAssocID="{F7690FB5-B245-4B41-90A4-DB3BDF74F501}" presName="sibTrans" presStyleLbl="sibTrans2D1" presStyleIdx="3" presStyleCnt="6"/>
      <dgm:spPr/>
    </dgm:pt>
    <dgm:pt modelId="{811BC2F1-2442-4265-97A0-C157D876D1EB}" type="pres">
      <dgm:prSet presAssocID="{F7690FB5-B245-4B41-90A4-DB3BDF74F501}" presName="connectorText" presStyleLbl="sibTrans2D1" presStyleIdx="3" presStyleCnt="6"/>
      <dgm:spPr/>
    </dgm:pt>
    <dgm:pt modelId="{B9B866E3-BDD3-4BE4-B760-CD2797767C81}" type="pres">
      <dgm:prSet presAssocID="{6541C8F6-6093-482E-B718-1C47CFAB661F}" presName="node" presStyleLbl="node1" presStyleIdx="4" presStyleCnt="7">
        <dgm:presLayoutVars>
          <dgm:bulletEnabled val="1"/>
        </dgm:presLayoutVars>
      </dgm:prSet>
      <dgm:spPr/>
    </dgm:pt>
    <dgm:pt modelId="{F8AEBCCD-D753-47A4-9FD0-A8D880FC4E04}" type="pres">
      <dgm:prSet presAssocID="{DED2D325-C3DB-4ADD-BEB9-72D453F535C0}" presName="sibTrans" presStyleLbl="sibTrans2D1" presStyleIdx="4" presStyleCnt="6"/>
      <dgm:spPr/>
    </dgm:pt>
    <dgm:pt modelId="{F92E9DC0-2014-4349-B718-8D855DD0D3C9}" type="pres">
      <dgm:prSet presAssocID="{DED2D325-C3DB-4ADD-BEB9-72D453F535C0}" presName="connectorText" presStyleLbl="sibTrans2D1" presStyleIdx="4" presStyleCnt="6"/>
      <dgm:spPr/>
    </dgm:pt>
    <dgm:pt modelId="{3924D549-4F8F-4AA0-8837-838788F3999C}" type="pres">
      <dgm:prSet presAssocID="{8FA3F88D-4F7F-4982-BB18-59B49D941EE3}" presName="node" presStyleLbl="node1" presStyleIdx="5" presStyleCnt="7">
        <dgm:presLayoutVars>
          <dgm:bulletEnabled val="1"/>
        </dgm:presLayoutVars>
      </dgm:prSet>
      <dgm:spPr/>
    </dgm:pt>
    <dgm:pt modelId="{19356468-B18A-43FE-8E6B-4515374137D3}" type="pres">
      <dgm:prSet presAssocID="{881E3A1E-0F05-42AE-BCA9-C3092D5A25D7}" presName="sibTrans" presStyleLbl="sibTrans2D1" presStyleIdx="5" presStyleCnt="6"/>
      <dgm:spPr/>
    </dgm:pt>
    <dgm:pt modelId="{8F798A54-ADDD-4FBC-BD3A-F155CAC3E86A}" type="pres">
      <dgm:prSet presAssocID="{881E3A1E-0F05-42AE-BCA9-C3092D5A25D7}" presName="connectorText" presStyleLbl="sibTrans2D1" presStyleIdx="5" presStyleCnt="6"/>
      <dgm:spPr/>
    </dgm:pt>
    <dgm:pt modelId="{284A2541-FFD3-4C69-87FC-B2B0BFEF4B43}" type="pres">
      <dgm:prSet presAssocID="{AEE93A1E-E387-4B35-B4C5-FBBB634B58A8}" presName="node" presStyleLbl="node1" presStyleIdx="6" presStyleCnt="7">
        <dgm:presLayoutVars>
          <dgm:bulletEnabled val="1"/>
        </dgm:presLayoutVars>
      </dgm:prSet>
      <dgm:spPr/>
    </dgm:pt>
  </dgm:ptLst>
  <dgm:cxnLst>
    <dgm:cxn modelId="{3C927F00-DA54-4DBB-9A6D-830B48C4FBB1}" type="presOf" srcId="{DED2D325-C3DB-4ADD-BEB9-72D453F535C0}" destId="{F8AEBCCD-D753-47A4-9FD0-A8D880FC4E04}" srcOrd="0" destOrd="0" presId="urn:microsoft.com/office/officeart/2005/8/layout/process1"/>
    <dgm:cxn modelId="{B88ED602-52CB-4650-8ECC-17DFF4B46716}" type="presOf" srcId="{753F9330-8FA8-44A1-AC48-5A3DCA773A79}" destId="{C9E29578-5872-4BFD-95EA-D3C972947544}" srcOrd="0" destOrd="0" presId="urn:microsoft.com/office/officeart/2005/8/layout/process1"/>
    <dgm:cxn modelId="{03FA2F03-BE68-451F-8E86-697AF6E66E55}" type="presOf" srcId="{753F9330-8FA8-44A1-AC48-5A3DCA773A79}" destId="{2935E72C-4D69-479E-8C06-044527D01433}" srcOrd="1" destOrd="0" presId="urn:microsoft.com/office/officeart/2005/8/layout/process1"/>
    <dgm:cxn modelId="{1536C30C-221E-40C9-9FAD-B51F1CFCE22E}" srcId="{9DB869AF-1EA5-4756-A429-D15737760E9A}" destId="{30DBC1F1-EA53-4ACC-A829-AE0ED9E54BF3}" srcOrd="2" destOrd="0" parTransId="{E716B2EC-35F1-4523-8429-049CB3A24718}" sibTransId="{DB7CD77E-F8AE-44C4-A55A-B7ECE60C58C9}"/>
    <dgm:cxn modelId="{F0C04416-E45E-4DA9-B2E2-62BAC7DC9200}" srcId="{9DB869AF-1EA5-4756-A429-D15737760E9A}" destId="{6541C8F6-6093-482E-B718-1C47CFAB661F}" srcOrd="4" destOrd="0" parTransId="{CCF763C9-1F4D-462F-8474-66227A88C397}" sibTransId="{DED2D325-C3DB-4ADD-BEB9-72D453F535C0}"/>
    <dgm:cxn modelId="{8E3BBC17-DD95-4691-AAEE-53352A621B21}" type="presOf" srcId="{6541C8F6-6093-482E-B718-1C47CFAB661F}" destId="{B9B866E3-BDD3-4BE4-B760-CD2797767C81}" srcOrd="0" destOrd="0" presId="urn:microsoft.com/office/officeart/2005/8/layout/process1"/>
    <dgm:cxn modelId="{257E1A25-80B8-4828-AC25-E5A12666131B}" srcId="{9DB869AF-1EA5-4756-A429-D15737760E9A}" destId="{49F01CF1-8A2D-4BF7-B97E-8A709B794C7F}" srcOrd="0" destOrd="0" parTransId="{C5DBF8CB-1AC9-4818-A8B1-38AB43185143}" sibTransId="{753F9330-8FA8-44A1-AC48-5A3DCA773A79}"/>
    <dgm:cxn modelId="{999A082F-6ED7-4722-B7CE-0F725246EA3A}" type="presOf" srcId="{AEE93A1E-E387-4B35-B4C5-FBBB634B58A8}" destId="{284A2541-FFD3-4C69-87FC-B2B0BFEF4B43}" srcOrd="0" destOrd="0" presId="urn:microsoft.com/office/officeart/2005/8/layout/process1"/>
    <dgm:cxn modelId="{1F326437-6FE9-4FB4-95B2-7E26194410E0}" type="presOf" srcId="{8FA3F88D-4F7F-4982-BB18-59B49D941EE3}" destId="{3924D549-4F8F-4AA0-8837-838788F3999C}" srcOrd="0" destOrd="0" presId="urn:microsoft.com/office/officeart/2005/8/layout/process1"/>
    <dgm:cxn modelId="{5AA2373D-3CD0-4E46-A646-CEA691A58DD5}" type="presOf" srcId="{DB7CD77E-F8AE-44C4-A55A-B7ECE60C58C9}" destId="{69D504F6-1401-4BE0-8E92-CA73320916B6}" srcOrd="0" destOrd="0" presId="urn:microsoft.com/office/officeart/2005/8/layout/process1"/>
    <dgm:cxn modelId="{F244BE43-7DDB-4697-BE98-AA25ACEEFA60}" type="presOf" srcId="{12287A68-9D74-4B4E-B866-9120C58A94A3}" destId="{F8B5D9E4-66C1-4849-B149-BE78A6F738C0}" srcOrd="1" destOrd="0" presId="urn:microsoft.com/office/officeart/2005/8/layout/process1"/>
    <dgm:cxn modelId="{FB67654E-3A7E-4807-B26D-28A44A7FE7A6}" srcId="{9DB869AF-1EA5-4756-A429-D15737760E9A}" destId="{8FA3F88D-4F7F-4982-BB18-59B49D941EE3}" srcOrd="5" destOrd="0" parTransId="{723B5DB2-22E9-4304-9B49-671396C444D9}" sibTransId="{881E3A1E-0F05-42AE-BCA9-C3092D5A25D7}"/>
    <dgm:cxn modelId="{AEC49953-2C53-4026-8A91-7FD34B2A3480}" srcId="{9DB869AF-1EA5-4756-A429-D15737760E9A}" destId="{AEE93A1E-E387-4B35-B4C5-FBBB634B58A8}" srcOrd="6" destOrd="0" parTransId="{471348F4-FDBD-409D-A3C2-8E3DF078FF9E}" sibTransId="{F2C6F096-EA4B-4D28-9361-966388279036}"/>
    <dgm:cxn modelId="{DDE74C59-1385-4CE0-BB39-E269C235666A}" type="presOf" srcId="{881E3A1E-0F05-42AE-BCA9-C3092D5A25D7}" destId="{8F798A54-ADDD-4FBC-BD3A-F155CAC3E86A}" srcOrd="1" destOrd="0" presId="urn:microsoft.com/office/officeart/2005/8/layout/process1"/>
    <dgm:cxn modelId="{CA2B155B-E025-4072-AF65-C0658E9ADB0A}" type="presOf" srcId="{DED2D325-C3DB-4ADD-BEB9-72D453F535C0}" destId="{F92E9DC0-2014-4349-B718-8D855DD0D3C9}" srcOrd="1" destOrd="0" presId="urn:microsoft.com/office/officeart/2005/8/layout/process1"/>
    <dgm:cxn modelId="{72B5B664-8E49-4B46-A24A-8A70C4A35811}" type="presOf" srcId="{49F01CF1-8A2D-4BF7-B97E-8A709B794C7F}" destId="{889E7BF7-C57D-4664-91FE-6B4921F2C28A}" srcOrd="0" destOrd="0" presId="urn:microsoft.com/office/officeart/2005/8/layout/process1"/>
    <dgm:cxn modelId="{D946ED73-EE74-423A-B751-A4564D3CB214}" type="presOf" srcId="{66CB95E4-5B34-4EB3-85D9-9081D82ACF15}" destId="{0121BBAE-C3FC-402A-906A-EBC726C057E2}" srcOrd="0" destOrd="0" presId="urn:microsoft.com/office/officeart/2005/8/layout/process1"/>
    <dgm:cxn modelId="{C261D576-957C-43E5-99C0-3FB1F821EDBB}" type="presOf" srcId="{30DBC1F1-EA53-4ACC-A829-AE0ED9E54BF3}" destId="{1998D8FB-5D15-450E-8C3E-FD439CF5AF87}" srcOrd="0" destOrd="0" presId="urn:microsoft.com/office/officeart/2005/8/layout/process1"/>
    <dgm:cxn modelId="{8A2F9785-08BF-4B28-9A0F-FBA93FAAAEB9}" type="presOf" srcId="{12287A68-9D74-4B4E-B866-9120C58A94A3}" destId="{5549E192-4615-4876-990C-F194CB626BB4}" srcOrd="0" destOrd="0" presId="urn:microsoft.com/office/officeart/2005/8/layout/process1"/>
    <dgm:cxn modelId="{7B74308F-B322-4784-BCA8-433915C6085C}" srcId="{9DB869AF-1EA5-4756-A429-D15737760E9A}" destId="{4F9A1229-7D93-454F-BC3D-8FFE786AEBAE}" srcOrd="1" destOrd="0" parTransId="{0F2E8DAF-1842-48D5-8AB0-E103BFAEF308}" sibTransId="{12287A68-9D74-4B4E-B866-9120C58A94A3}"/>
    <dgm:cxn modelId="{BF1BD99E-E70A-4389-9CC5-9E06CDF495F1}" type="presOf" srcId="{4F9A1229-7D93-454F-BC3D-8FFE786AEBAE}" destId="{C0A59EE3-433C-4678-B6DA-FAA66776452B}" srcOrd="0" destOrd="0" presId="urn:microsoft.com/office/officeart/2005/8/layout/process1"/>
    <dgm:cxn modelId="{D49B8CA7-43BD-448B-B1EA-8A0AC40F5806}" type="presOf" srcId="{F7690FB5-B245-4B41-90A4-DB3BDF74F501}" destId="{811BC2F1-2442-4265-97A0-C157D876D1EB}" srcOrd="1" destOrd="0" presId="urn:microsoft.com/office/officeart/2005/8/layout/process1"/>
    <dgm:cxn modelId="{27924FBD-CB5A-4EF8-BDFF-EAF337038E39}" type="presOf" srcId="{881E3A1E-0F05-42AE-BCA9-C3092D5A25D7}" destId="{19356468-B18A-43FE-8E6B-4515374137D3}" srcOrd="0" destOrd="0" presId="urn:microsoft.com/office/officeart/2005/8/layout/process1"/>
    <dgm:cxn modelId="{3B233ED1-59F8-4283-ABDC-5E780DA07303}" srcId="{9DB869AF-1EA5-4756-A429-D15737760E9A}" destId="{66CB95E4-5B34-4EB3-85D9-9081D82ACF15}" srcOrd="3" destOrd="0" parTransId="{BF34FE65-89AA-4853-9E28-3DEF698F2695}" sibTransId="{F7690FB5-B245-4B41-90A4-DB3BDF74F501}"/>
    <dgm:cxn modelId="{32C55ED6-91FD-4993-BB30-6724358CD1AC}" type="presOf" srcId="{F7690FB5-B245-4B41-90A4-DB3BDF74F501}" destId="{3EAF8F51-F0C6-4699-87B0-6CF9534616D7}" srcOrd="0" destOrd="0" presId="urn:microsoft.com/office/officeart/2005/8/layout/process1"/>
    <dgm:cxn modelId="{56C108DA-C637-4275-80BA-7A997BBB068F}" type="presOf" srcId="{DB7CD77E-F8AE-44C4-A55A-B7ECE60C58C9}" destId="{26276F0D-B4D6-4FEA-9C55-F03E07D5640F}" srcOrd="1" destOrd="0" presId="urn:microsoft.com/office/officeart/2005/8/layout/process1"/>
    <dgm:cxn modelId="{45ECAFF9-475D-45BA-A697-5E9504B50A59}" type="presOf" srcId="{9DB869AF-1EA5-4756-A429-D15737760E9A}" destId="{A2B91F85-9AE6-4E01-956D-AFF03202976E}" srcOrd="0" destOrd="0" presId="urn:microsoft.com/office/officeart/2005/8/layout/process1"/>
    <dgm:cxn modelId="{CEE8B589-9EC0-4076-A708-CC7575BAB876}" type="presParOf" srcId="{A2B91F85-9AE6-4E01-956D-AFF03202976E}" destId="{889E7BF7-C57D-4664-91FE-6B4921F2C28A}" srcOrd="0" destOrd="0" presId="urn:microsoft.com/office/officeart/2005/8/layout/process1"/>
    <dgm:cxn modelId="{EC9697F1-A339-4F2D-BCB9-D1F492E4DB1A}" type="presParOf" srcId="{A2B91F85-9AE6-4E01-956D-AFF03202976E}" destId="{C9E29578-5872-4BFD-95EA-D3C972947544}" srcOrd="1" destOrd="0" presId="urn:microsoft.com/office/officeart/2005/8/layout/process1"/>
    <dgm:cxn modelId="{79E9F80F-949D-41A9-B86A-DABC88C9FB1B}" type="presParOf" srcId="{C9E29578-5872-4BFD-95EA-D3C972947544}" destId="{2935E72C-4D69-479E-8C06-044527D01433}" srcOrd="0" destOrd="0" presId="urn:microsoft.com/office/officeart/2005/8/layout/process1"/>
    <dgm:cxn modelId="{CEADF604-B1D5-4665-AA13-41831541258E}" type="presParOf" srcId="{A2B91F85-9AE6-4E01-956D-AFF03202976E}" destId="{C0A59EE3-433C-4678-B6DA-FAA66776452B}" srcOrd="2" destOrd="0" presId="urn:microsoft.com/office/officeart/2005/8/layout/process1"/>
    <dgm:cxn modelId="{3DA9B4BD-5E6C-4047-8A64-845503AD94C3}" type="presParOf" srcId="{A2B91F85-9AE6-4E01-956D-AFF03202976E}" destId="{5549E192-4615-4876-990C-F194CB626BB4}" srcOrd="3" destOrd="0" presId="urn:microsoft.com/office/officeart/2005/8/layout/process1"/>
    <dgm:cxn modelId="{BED9DB24-CFC4-4569-BB30-EC0F73924C0F}" type="presParOf" srcId="{5549E192-4615-4876-990C-F194CB626BB4}" destId="{F8B5D9E4-66C1-4849-B149-BE78A6F738C0}" srcOrd="0" destOrd="0" presId="urn:microsoft.com/office/officeart/2005/8/layout/process1"/>
    <dgm:cxn modelId="{528A9C0E-97A9-433B-89F8-057DA3B176AA}" type="presParOf" srcId="{A2B91F85-9AE6-4E01-956D-AFF03202976E}" destId="{1998D8FB-5D15-450E-8C3E-FD439CF5AF87}" srcOrd="4" destOrd="0" presId="urn:microsoft.com/office/officeart/2005/8/layout/process1"/>
    <dgm:cxn modelId="{0BEA7816-BE8F-46F9-B61C-DC0A5CF06046}" type="presParOf" srcId="{A2B91F85-9AE6-4E01-956D-AFF03202976E}" destId="{69D504F6-1401-4BE0-8E92-CA73320916B6}" srcOrd="5" destOrd="0" presId="urn:microsoft.com/office/officeart/2005/8/layout/process1"/>
    <dgm:cxn modelId="{C4BBBA93-5D4D-436A-BD9C-34756801EFC2}" type="presParOf" srcId="{69D504F6-1401-4BE0-8E92-CA73320916B6}" destId="{26276F0D-B4D6-4FEA-9C55-F03E07D5640F}" srcOrd="0" destOrd="0" presId="urn:microsoft.com/office/officeart/2005/8/layout/process1"/>
    <dgm:cxn modelId="{4AD6CC39-6CE9-4CFF-AF32-598A965ADF28}" type="presParOf" srcId="{A2B91F85-9AE6-4E01-956D-AFF03202976E}" destId="{0121BBAE-C3FC-402A-906A-EBC726C057E2}" srcOrd="6" destOrd="0" presId="urn:microsoft.com/office/officeart/2005/8/layout/process1"/>
    <dgm:cxn modelId="{80413A6F-E466-49A1-81DB-56781164CF24}" type="presParOf" srcId="{A2B91F85-9AE6-4E01-956D-AFF03202976E}" destId="{3EAF8F51-F0C6-4699-87B0-6CF9534616D7}" srcOrd="7" destOrd="0" presId="urn:microsoft.com/office/officeart/2005/8/layout/process1"/>
    <dgm:cxn modelId="{76D5163F-6BEB-406E-9124-0F7624DAA4BB}" type="presParOf" srcId="{3EAF8F51-F0C6-4699-87B0-6CF9534616D7}" destId="{811BC2F1-2442-4265-97A0-C157D876D1EB}" srcOrd="0" destOrd="0" presId="urn:microsoft.com/office/officeart/2005/8/layout/process1"/>
    <dgm:cxn modelId="{6141712A-BA88-493C-8937-09138B426ACD}" type="presParOf" srcId="{A2B91F85-9AE6-4E01-956D-AFF03202976E}" destId="{B9B866E3-BDD3-4BE4-B760-CD2797767C81}" srcOrd="8" destOrd="0" presId="urn:microsoft.com/office/officeart/2005/8/layout/process1"/>
    <dgm:cxn modelId="{2C6A75AF-930F-4ED4-8271-79589CF04941}" type="presParOf" srcId="{A2B91F85-9AE6-4E01-956D-AFF03202976E}" destId="{F8AEBCCD-D753-47A4-9FD0-A8D880FC4E04}" srcOrd="9" destOrd="0" presId="urn:microsoft.com/office/officeart/2005/8/layout/process1"/>
    <dgm:cxn modelId="{6BD050C4-DC1F-43D1-AEC6-86A1E91C6B18}" type="presParOf" srcId="{F8AEBCCD-D753-47A4-9FD0-A8D880FC4E04}" destId="{F92E9DC0-2014-4349-B718-8D855DD0D3C9}" srcOrd="0" destOrd="0" presId="urn:microsoft.com/office/officeart/2005/8/layout/process1"/>
    <dgm:cxn modelId="{42B4A737-AE46-4E11-BF3E-E968F8B46FC2}" type="presParOf" srcId="{A2B91F85-9AE6-4E01-956D-AFF03202976E}" destId="{3924D549-4F8F-4AA0-8837-838788F3999C}" srcOrd="10" destOrd="0" presId="urn:microsoft.com/office/officeart/2005/8/layout/process1"/>
    <dgm:cxn modelId="{E455EC29-ABB2-4281-AD44-AF97AC64303F}" type="presParOf" srcId="{A2B91F85-9AE6-4E01-956D-AFF03202976E}" destId="{19356468-B18A-43FE-8E6B-4515374137D3}" srcOrd="11" destOrd="0" presId="urn:microsoft.com/office/officeart/2005/8/layout/process1"/>
    <dgm:cxn modelId="{E74600D5-2D38-4663-A8EF-9C8C87798B53}" type="presParOf" srcId="{19356468-B18A-43FE-8E6B-4515374137D3}" destId="{8F798A54-ADDD-4FBC-BD3A-F155CAC3E86A}" srcOrd="0" destOrd="0" presId="urn:microsoft.com/office/officeart/2005/8/layout/process1"/>
    <dgm:cxn modelId="{8798AE0C-F220-4B5E-99CB-798024E1D93F}" type="presParOf" srcId="{A2B91F85-9AE6-4E01-956D-AFF03202976E}" destId="{284A2541-FFD3-4C69-87FC-B2B0BFEF4B43}" srcOrd="12" destOrd="0" presId="urn:microsoft.com/office/officeart/2005/8/layout/process1"/>
  </dgm:cxnLst>
  <dgm:bg/>
  <dgm:whole/>
  <dgm:extLst>
    <a:ext uri="http://schemas.microsoft.com/office/drawing/2008/diagram">
      <dsp:dataModelExt xmlns:dsp="http://schemas.microsoft.com/office/drawing/2008/diagram" relId="rId62"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1802C307-6A16-4634-A492-2D80C979DCD1}" type="doc">
      <dgm:prSet loTypeId="urn:microsoft.com/office/officeart/2005/8/layout/cycle7" loCatId="cycle" qsTypeId="urn:microsoft.com/office/officeart/2005/8/quickstyle/3d3" qsCatId="3D" csTypeId="urn:microsoft.com/office/officeart/2005/8/colors/colorful2" csCatId="colorful" phldr="1"/>
      <dgm:spPr/>
      <dgm:t>
        <a:bodyPr/>
        <a:lstStyle/>
        <a:p>
          <a:endParaRPr lang="en-US"/>
        </a:p>
      </dgm:t>
    </dgm:pt>
    <dgm:pt modelId="{F6F8BA93-65D2-4C02-B79B-478874FC30DE}">
      <dgm:prSet phldrT="[Text]" custT="1"/>
      <dgm:spPr/>
      <dgm:t>
        <a:bodyPr/>
        <a:lstStyle/>
        <a:p>
          <a:pPr algn="ctr"/>
          <a:r>
            <a:rPr lang="en-US" sz="800" b="1">
              <a:solidFill>
                <a:schemeClr val="tx1"/>
              </a:solidFill>
              <a:latin typeface="Times New Roman" pitchFamily="18" charset="0"/>
              <a:cs typeface="Times New Roman" pitchFamily="18" charset="0"/>
            </a:rPr>
            <a:t>Generalizability</a:t>
          </a:r>
          <a:endParaRPr lang="en-US" sz="800">
            <a:solidFill>
              <a:schemeClr val="tx1"/>
            </a:solidFill>
            <a:latin typeface="Times New Roman" pitchFamily="18" charset="0"/>
            <a:cs typeface="Times New Roman" pitchFamily="18" charset="0"/>
          </a:endParaRPr>
        </a:p>
      </dgm:t>
    </dgm:pt>
    <dgm:pt modelId="{BFB61578-46D2-4F26-BE51-A7B730E55F4B}" type="parTrans" cxnId="{879E704E-5BB4-4770-B91C-D0429C33A1D7}">
      <dgm:prSet/>
      <dgm:spPr/>
      <dgm:t>
        <a:bodyPr/>
        <a:lstStyle/>
        <a:p>
          <a:pPr algn="ctr"/>
          <a:endParaRPr lang="en-US" sz="1800">
            <a:solidFill>
              <a:schemeClr val="tx1"/>
            </a:solidFill>
            <a:latin typeface="Times New Roman" pitchFamily="18" charset="0"/>
            <a:cs typeface="Times New Roman" pitchFamily="18" charset="0"/>
          </a:endParaRPr>
        </a:p>
      </dgm:t>
    </dgm:pt>
    <dgm:pt modelId="{BFA4DEF5-5A9A-40CC-8A8F-DD00371C3E42}" type="sibTrans" cxnId="{879E704E-5BB4-4770-B91C-D0429C33A1D7}">
      <dgm:prSet custT="1"/>
      <dgm:spPr/>
      <dgm:t>
        <a:bodyPr/>
        <a:lstStyle/>
        <a:p>
          <a:pPr algn="ctr"/>
          <a:endParaRPr lang="en-US" sz="600">
            <a:solidFill>
              <a:schemeClr val="tx1"/>
            </a:solidFill>
            <a:latin typeface="Times New Roman" pitchFamily="18" charset="0"/>
            <a:cs typeface="Times New Roman" pitchFamily="18" charset="0"/>
          </a:endParaRPr>
        </a:p>
      </dgm:t>
    </dgm:pt>
    <dgm:pt modelId="{BA5A639C-B9E3-4952-91BA-66E53B978040}">
      <dgm:prSet phldrT="[Text]" custT="1"/>
      <dgm:spPr/>
      <dgm:t>
        <a:bodyPr/>
        <a:lstStyle/>
        <a:p>
          <a:pPr algn="ctr"/>
          <a:r>
            <a:rPr lang="en-US" sz="800" b="1">
              <a:solidFill>
                <a:schemeClr val="tx1"/>
              </a:solidFill>
              <a:latin typeface="Times New Roman" pitchFamily="18" charset="0"/>
              <a:cs typeface="Times New Roman" pitchFamily="18" charset="0"/>
            </a:rPr>
            <a:t>Dynamic Nature of Culture</a:t>
          </a:r>
          <a:endParaRPr lang="en-US" sz="800">
            <a:solidFill>
              <a:schemeClr val="tx1"/>
            </a:solidFill>
            <a:latin typeface="Times New Roman" pitchFamily="18" charset="0"/>
            <a:cs typeface="Times New Roman" pitchFamily="18" charset="0"/>
          </a:endParaRPr>
        </a:p>
      </dgm:t>
    </dgm:pt>
    <dgm:pt modelId="{66405033-9724-4899-8667-E728E0842C6B}" type="parTrans" cxnId="{74D5DC46-F001-4649-AB3D-A1EF15E55B0B}">
      <dgm:prSet/>
      <dgm:spPr/>
      <dgm:t>
        <a:bodyPr/>
        <a:lstStyle/>
        <a:p>
          <a:pPr algn="ctr"/>
          <a:endParaRPr lang="en-US" sz="1800">
            <a:solidFill>
              <a:schemeClr val="tx1"/>
            </a:solidFill>
            <a:latin typeface="Times New Roman" pitchFamily="18" charset="0"/>
            <a:cs typeface="Times New Roman" pitchFamily="18" charset="0"/>
          </a:endParaRPr>
        </a:p>
      </dgm:t>
    </dgm:pt>
    <dgm:pt modelId="{93A55344-15AF-46F2-9C5A-6935374A63E6}" type="sibTrans" cxnId="{74D5DC46-F001-4649-AB3D-A1EF15E55B0B}">
      <dgm:prSet custT="1"/>
      <dgm:spPr/>
      <dgm:t>
        <a:bodyPr/>
        <a:lstStyle/>
        <a:p>
          <a:pPr algn="ctr"/>
          <a:endParaRPr lang="en-US" sz="600">
            <a:solidFill>
              <a:schemeClr val="tx1"/>
            </a:solidFill>
            <a:latin typeface="Times New Roman" pitchFamily="18" charset="0"/>
            <a:cs typeface="Times New Roman" pitchFamily="18" charset="0"/>
          </a:endParaRPr>
        </a:p>
      </dgm:t>
    </dgm:pt>
    <dgm:pt modelId="{AE93BBF1-3B3B-43F4-AA09-93AF08241AB5}">
      <dgm:prSet phldrT="[Text]" custT="1"/>
      <dgm:spPr/>
      <dgm:t>
        <a:bodyPr/>
        <a:lstStyle/>
        <a:p>
          <a:pPr algn="ctr"/>
          <a:r>
            <a:rPr lang="en-US" sz="800" b="1">
              <a:solidFill>
                <a:schemeClr val="tx1"/>
              </a:solidFill>
              <a:latin typeface="Times New Roman" pitchFamily="18" charset="0"/>
              <a:cs typeface="Times New Roman" pitchFamily="18" charset="0"/>
            </a:rPr>
            <a:t>Limited Perspective</a:t>
          </a:r>
          <a:endParaRPr lang="en-US" sz="800">
            <a:solidFill>
              <a:schemeClr val="tx1"/>
            </a:solidFill>
            <a:latin typeface="Times New Roman" pitchFamily="18" charset="0"/>
            <a:cs typeface="Times New Roman" pitchFamily="18" charset="0"/>
          </a:endParaRPr>
        </a:p>
      </dgm:t>
    </dgm:pt>
    <dgm:pt modelId="{47F2AA14-9401-4AA0-88CA-A68722E095E6}" type="parTrans" cxnId="{93E4CC20-BCD2-4766-BD93-3105A5AE6CAC}">
      <dgm:prSet/>
      <dgm:spPr/>
      <dgm:t>
        <a:bodyPr/>
        <a:lstStyle/>
        <a:p>
          <a:pPr algn="ctr"/>
          <a:endParaRPr lang="en-US" sz="1800">
            <a:solidFill>
              <a:schemeClr val="tx1"/>
            </a:solidFill>
            <a:latin typeface="Times New Roman" pitchFamily="18" charset="0"/>
            <a:cs typeface="Times New Roman" pitchFamily="18" charset="0"/>
          </a:endParaRPr>
        </a:p>
      </dgm:t>
    </dgm:pt>
    <dgm:pt modelId="{CA63794D-7169-4DE2-8D89-B65B943AE07D}" type="sibTrans" cxnId="{93E4CC20-BCD2-4766-BD93-3105A5AE6CAC}">
      <dgm:prSet custT="1"/>
      <dgm:spPr/>
      <dgm:t>
        <a:bodyPr/>
        <a:lstStyle/>
        <a:p>
          <a:pPr algn="ctr"/>
          <a:endParaRPr lang="en-US" sz="600">
            <a:solidFill>
              <a:schemeClr val="tx1"/>
            </a:solidFill>
            <a:latin typeface="Times New Roman" pitchFamily="18" charset="0"/>
            <a:cs typeface="Times New Roman" pitchFamily="18" charset="0"/>
          </a:endParaRPr>
        </a:p>
      </dgm:t>
    </dgm:pt>
    <dgm:pt modelId="{DACEE971-30CC-4F68-B432-677B273ED85A}">
      <dgm:prSet custT="1"/>
      <dgm:spPr/>
      <dgm:t>
        <a:bodyPr/>
        <a:lstStyle/>
        <a:p>
          <a:pPr algn="ctr"/>
          <a:r>
            <a:rPr lang="en-US" sz="800" b="1">
              <a:solidFill>
                <a:schemeClr val="tx1"/>
              </a:solidFill>
              <a:latin typeface="Times New Roman" pitchFamily="18" charset="0"/>
              <a:cs typeface="Times New Roman" pitchFamily="18" charset="0"/>
            </a:rPr>
            <a:t>The complexity of Mergers</a:t>
          </a:r>
          <a:endParaRPr lang="en-US" sz="800">
            <a:solidFill>
              <a:schemeClr val="tx1"/>
            </a:solidFill>
            <a:latin typeface="Times New Roman" pitchFamily="18" charset="0"/>
            <a:cs typeface="Times New Roman" pitchFamily="18" charset="0"/>
          </a:endParaRPr>
        </a:p>
      </dgm:t>
    </dgm:pt>
    <dgm:pt modelId="{F6A7EE8D-532E-4856-813B-A8EDA293B9C4}" type="parTrans" cxnId="{BB281777-1CB0-4CA0-A4B8-ED43DBAAD426}">
      <dgm:prSet/>
      <dgm:spPr/>
      <dgm:t>
        <a:bodyPr/>
        <a:lstStyle/>
        <a:p>
          <a:pPr algn="ctr"/>
          <a:endParaRPr lang="en-US" sz="1800">
            <a:solidFill>
              <a:schemeClr val="tx1"/>
            </a:solidFill>
            <a:latin typeface="Times New Roman" pitchFamily="18" charset="0"/>
            <a:cs typeface="Times New Roman" pitchFamily="18" charset="0"/>
          </a:endParaRPr>
        </a:p>
      </dgm:t>
    </dgm:pt>
    <dgm:pt modelId="{BC749E9A-21AF-496E-8B32-8104211ED05D}" type="sibTrans" cxnId="{BB281777-1CB0-4CA0-A4B8-ED43DBAAD426}">
      <dgm:prSet custT="1"/>
      <dgm:spPr/>
      <dgm:t>
        <a:bodyPr/>
        <a:lstStyle/>
        <a:p>
          <a:pPr algn="ctr"/>
          <a:endParaRPr lang="en-US" sz="600">
            <a:solidFill>
              <a:schemeClr val="tx1"/>
            </a:solidFill>
            <a:latin typeface="Times New Roman" pitchFamily="18" charset="0"/>
            <a:cs typeface="Times New Roman" pitchFamily="18" charset="0"/>
          </a:endParaRPr>
        </a:p>
      </dgm:t>
    </dgm:pt>
    <dgm:pt modelId="{91355211-50E7-4599-8715-118258EEB1F5}">
      <dgm:prSet custT="1"/>
      <dgm:spPr/>
      <dgm:t>
        <a:bodyPr/>
        <a:lstStyle/>
        <a:p>
          <a:pPr algn="ctr"/>
          <a:r>
            <a:rPr lang="en-US" sz="800" b="1">
              <a:solidFill>
                <a:schemeClr val="tx1"/>
              </a:solidFill>
              <a:latin typeface="Times New Roman" pitchFamily="18" charset="0"/>
              <a:cs typeface="Times New Roman" pitchFamily="18" charset="0"/>
            </a:rPr>
            <a:t>The complexity of Mergers</a:t>
          </a:r>
          <a:endParaRPr lang="en-US" sz="800">
            <a:solidFill>
              <a:schemeClr val="tx1"/>
            </a:solidFill>
            <a:latin typeface="Times New Roman" pitchFamily="18" charset="0"/>
            <a:cs typeface="Times New Roman" pitchFamily="18" charset="0"/>
          </a:endParaRPr>
        </a:p>
      </dgm:t>
    </dgm:pt>
    <dgm:pt modelId="{3E12AD34-BDF3-45E8-A61E-0E553859911E}" type="parTrans" cxnId="{B66475B6-9C9F-4418-B0D2-57E8CD173EDE}">
      <dgm:prSet/>
      <dgm:spPr/>
      <dgm:t>
        <a:bodyPr/>
        <a:lstStyle/>
        <a:p>
          <a:pPr algn="ctr"/>
          <a:endParaRPr lang="en-US" sz="1800">
            <a:solidFill>
              <a:schemeClr val="tx1"/>
            </a:solidFill>
            <a:latin typeface="Times New Roman" pitchFamily="18" charset="0"/>
            <a:cs typeface="Times New Roman" pitchFamily="18" charset="0"/>
          </a:endParaRPr>
        </a:p>
      </dgm:t>
    </dgm:pt>
    <dgm:pt modelId="{71639F9E-F78A-488E-85E6-838C3FA08809}" type="sibTrans" cxnId="{B66475B6-9C9F-4418-B0D2-57E8CD173EDE}">
      <dgm:prSet custT="1"/>
      <dgm:spPr/>
      <dgm:t>
        <a:bodyPr/>
        <a:lstStyle/>
        <a:p>
          <a:pPr algn="ctr"/>
          <a:endParaRPr lang="en-US" sz="600">
            <a:solidFill>
              <a:schemeClr val="tx1"/>
            </a:solidFill>
            <a:latin typeface="Times New Roman" pitchFamily="18" charset="0"/>
            <a:cs typeface="Times New Roman" pitchFamily="18" charset="0"/>
          </a:endParaRPr>
        </a:p>
      </dgm:t>
    </dgm:pt>
    <dgm:pt modelId="{EE9D0BFE-ABE7-443D-9225-E5501E33CF0C}">
      <dgm:prSet custT="1"/>
      <dgm:spPr/>
      <dgm:t>
        <a:bodyPr/>
        <a:lstStyle/>
        <a:p>
          <a:pPr algn="ctr"/>
          <a:r>
            <a:rPr lang="en-US" sz="800" b="1">
              <a:solidFill>
                <a:schemeClr val="tx1"/>
              </a:solidFill>
              <a:latin typeface="Times New Roman" pitchFamily="18" charset="0"/>
              <a:cs typeface="Times New Roman" pitchFamily="18" charset="0"/>
            </a:rPr>
            <a:t>Language Barriers</a:t>
          </a:r>
          <a:endParaRPr lang="en-US" sz="800">
            <a:solidFill>
              <a:schemeClr val="tx1"/>
            </a:solidFill>
            <a:latin typeface="Times New Roman" pitchFamily="18" charset="0"/>
            <a:cs typeface="Times New Roman" pitchFamily="18" charset="0"/>
          </a:endParaRPr>
        </a:p>
      </dgm:t>
    </dgm:pt>
    <dgm:pt modelId="{F9062E8D-1115-4FE1-BAFF-DFCCE64999AB}" type="parTrans" cxnId="{02C47F4E-F5D0-4B48-8917-F9F77BF5E682}">
      <dgm:prSet/>
      <dgm:spPr/>
      <dgm:t>
        <a:bodyPr/>
        <a:lstStyle/>
        <a:p>
          <a:pPr algn="ctr"/>
          <a:endParaRPr lang="en-US" sz="1800">
            <a:solidFill>
              <a:schemeClr val="tx1"/>
            </a:solidFill>
            <a:latin typeface="Times New Roman" pitchFamily="18" charset="0"/>
            <a:cs typeface="Times New Roman" pitchFamily="18" charset="0"/>
          </a:endParaRPr>
        </a:p>
      </dgm:t>
    </dgm:pt>
    <dgm:pt modelId="{6594E2DD-6249-4AC1-AD87-5A29C26C153B}" type="sibTrans" cxnId="{02C47F4E-F5D0-4B48-8917-F9F77BF5E682}">
      <dgm:prSet custT="1"/>
      <dgm:spPr/>
      <dgm:t>
        <a:bodyPr/>
        <a:lstStyle/>
        <a:p>
          <a:pPr algn="ctr"/>
          <a:endParaRPr lang="en-US" sz="600">
            <a:solidFill>
              <a:schemeClr val="tx1"/>
            </a:solidFill>
            <a:latin typeface="Times New Roman" pitchFamily="18" charset="0"/>
            <a:cs typeface="Times New Roman" pitchFamily="18" charset="0"/>
          </a:endParaRPr>
        </a:p>
      </dgm:t>
    </dgm:pt>
    <dgm:pt modelId="{821861F7-8FE7-4634-9735-94E34854AE63}" type="pres">
      <dgm:prSet presAssocID="{1802C307-6A16-4634-A492-2D80C979DCD1}" presName="Name0" presStyleCnt="0">
        <dgm:presLayoutVars>
          <dgm:dir/>
          <dgm:resizeHandles val="exact"/>
        </dgm:presLayoutVars>
      </dgm:prSet>
      <dgm:spPr/>
    </dgm:pt>
    <dgm:pt modelId="{12779FD5-2BB8-4C9C-86A3-34E811E4C782}" type="pres">
      <dgm:prSet presAssocID="{F6F8BA93-65D2-4C02-B79B-478874FC30DE}" presName="node" presStyleLbl="node1" presStyleIdx="0" presStyleCnt="6">
        <dgm:presLayoutVars>
          <dgm:bulletEnabled val="1"/>
        </dgm:presLayoutVars>
      </dgm:prSet>
      <dgm:spPr/>
    </dgm:pt>
    <dgm:pt modelId="{4157898B-6BFB-4447-84F2-9204C93A0D39}" type="pres">
      <dgm:prSet presAssocID="{BFA4DEF5-5A9A-40CC-8A8F-DD00371C3E42}" presName="sibTrans" presStyleLbl="sibTrans2D1" presStyleIdx="0" presStyleCnt="6"/>
      <dgm:spPr/>
    </dgm:pt>
    <dgm:pt modelId="{2976FBBE-8FDA-4D49-9265-7C1255926468}" type="pres">
      <dgm:prSet presAssocID="{BFA4DEF5-5A9A-40CC-8A8F-DD00371C3E42}" presName="connectorText" presStyleLbl="sibTrans2D1" presStyleIdx="0" presStyleCnt="6"/>
      <dgm:spPr/>
    </dgm:pt>
    <dgm:pt modelId="{EBE9625D-1DC1-4292-8187-B6CBC9BEAFC0}" type="pres">
      <dgm:prSet presAssocID="{BA5A639C-B9E3-4952-91BA-66E53B978040}" presName="node" presStyleLbl="node1" presStyleIdx="1" presStyleCnt="6">
        <dgm:presLayoutVars>
          <dgm:bulletEnabled val="1"/>
        </dgm:presLayoutVars>
      </dgm:prSet>
      <dgm:spPr/>
    </dgm:pt>
    <dgm:pt modelId="{2506B905-7468-45C2-A12E-70547808889E}" type="pres">
      <dgm:prSet presAssocID="{93A55344-15AF-46F2-9C5A-6935374A63E6}" presName="sibTrans" presStyleLbl="sibTrans2D1" presStyleIdx="1" presStyleCnt="6"/>
      <dgm:spPr/>
    </dgm:pt>
    <dgm:pt modelId="{76498FEB-80A8-4859-923E-C7A2BBC4F470}" type="pres">
      <dgm:prSet presAssocID="{93A55344-15AF-46F2-9C5A-6935374A63E6}" presName="connectorText" presStyleLbl="sibTrans2D1" presStyleIdx="1" presStyleCnt="6"/>
      <dgm:spPr/>
    </dgm:pt>
    <dgm:pt modelId="{9D59709F-FC01-4896-8B90-1D672754EAD3}" type="pres">
      <dgm:prSet presAssocID="{AE93BBF1-3B3B-43F4-AA09-93AF08241AB5}" presName="node" presStyleLbl="node1" presStyleIdx="2" presStyleCnt="6">
        <dgm:presLayoutVars>
          <dgm:bulletEnabled val="1"/>
        </dgm:presLayoutVars>
      </dgm:prSet>
      <dgm:spPr/>
    </dgm:pt>
    <dgm:pt modelId="{28F61E05-BDCD-4924-B571-C23CE208AE19}" type="pres">
      <dgm:prSet presAssocID="{CA63794D-7169-4DE2-8D89-B65B943AE07D}" presName="sibTrans" presStyleLbl="sibTrans2D1" presStyleIdx="2" presStyleCnt="6"/>
      <dgm:spPr/>
    </dgm:pt>
    <dgm:pt modelId="{1004CE61-571C-417A-ABA5-DBD899B2FF25}" type="pres">
      <dgm:prSet presAssocID="{CA63794D-7169-4DE2-8D89-B65B943AE07D}" presName="connectorText" presStyleLbl="sibTrans2D1" presStyleIdx="2" presStyleCnt="6"/>
      <dgm:spPr/>
    </dgm:pt>
    <dgm:pt modelId="{7143BEFA-7F28-4DFC-B725-496E1B8C0E20}" type="pres">
      <dgm:prSet presAssocID="{EE9D0BFE-ABE7-443D-9225-E5501E33CF0C}" presName="node" presStyleLbl="node1" presStyleIdx="3" presStyleCnt="6">
        <dgm:presLayoutVars>
          <dgm:bulletEnabled val="1"/>
        </dgm:presLayoutVars>
      </dgm:prSet>
      <dgm:spPr/>
    </dgm:pt>
    <dgm:pt modelId="{39AC8C38-20DA-4F26-BDD4-5A027C8C2F58}" type="pres">
      <dgm:prSet presAssocID="{6594E2DD-6249-4AC1-AD87-5A29C26C153B}" presName="sibTrans" presStyleLbl="sibTrans2D1" presStyleIdx="3" presStyleCnt="6"/>
      <dgm:spPr/>
    </dgm:pt>
    <dgm:pt modelId="{42031E48-F68E-4286-8944-6DC7A4A432C6}" type="pres">
      <dgm:prSet presAssocID="{6594E2DD-6249-4AC1-AD87-5A29C26C153B}" presName="connectorText" presStyleLbl="sibTrans2D1" presStyleIdx="3" presStyleCnt="6"/>
      <dgm:spPr/>
    </dgm:pt>
    <dgm:pt modelId="{47411FAA-121E-4D1F-A5C8-A0B8554B4D15}" type="pres">
      <dgm:prSet presAssocID="{91355211-50E7-4599-8715-118258EEB1F5}" presName="node" presStyleLbl="node1" presStyleIdx="4" presStyleCnt="6">
        <dgm:presLayoutVars>
          <dgm:bulletEnabled val="1"/>
        </dgm:presLayoutVars>
      </dgm:prSet>
      <dgm:spPr/>
    </dgm:pt>
    <dgm:pt modelId="{8EB3DB00-F7D4-4DCC-8C0B-DDC9E47A15A2}" type="pres">
      <dgm:prSet presAssocID="{71639F9E-F78A-488E-85E6-838C3FA08809}" presName="sibTrans" presStyleLbl="sibTrans2D1" presStyleIdx="4" presStyleCnt="6"/>
      <dgm:spPr/>
    </dgm:pt>
    <dgm:pt modelId="{AD6C20C2-A5CD-4460-983E-77BCCB71F60A}" type="pres">
      <dgm:prSet presAssocID="{71639F9E-F78A-488E-85E6-838C3FA08809}" presName="connectorText" presStyleLbl="sibTrans2D1" presStyleIdx="4" presStyleCnt="6"/>
      <dgm:spPr/>
    </dgm:pt>
    <dgm:pt modelId="{6230BA36-D8F8-4F46-BFF1-787872A4E175}" type="pres">
      <dgm:prSet presAssocID="{DACEE971-30CC-4F68-B432-677B273ED85A}" presName="node" presStyleLbl="node1" presStyleIdx="5" presStyleCnt="6">
        <dgm:presLayoutVars>
          <dgm:bulletEnabled val="1"/>
        </dgm:presLayoutVars>
      </dgm:prSet>
      <dgm:spPr/>
    </dgm:pt>
    <dgm:pt modelId="{989F9670-AA8B-421A-915F-A47FA7566F4C}" type="pres">
      <dgm:prSet presAssocID="{BC749E9A-21AF-496E-8B32-8104211ED05D}" presName="sibTrans" presStyleLbl="sibTrans2D1" presStyleIdx="5" presStyleCnt="6"/>
      <dgm:spPr/>
    </dgm:pt>
    <dgm:pt modelId="{DD6E20C4-C4FB-4415-9665-6724688EF434}" type="pres">
      <dgm:prSet presAssocID="{BC749E9A-21AF-496E-8B32-8104211ED05D}" presName="connectorText" presStyleLbl="sibTrans2D1" presStyleIdx="5" presStyleCnt="6"/>
      <dgm:spPr/>
    </dgm:pt>
  </dgm:ptLst>
  <dgm:cxnLst>
    <dgm:cxn modelId="{D66E6500-E52B-4568-B443-A156511C05A1}" type="presOf" srcId="{BC749E9A-21AF-496E-8B32-8104211ED05D}" destId="{DD6E20C4-C4FB-4415-9665-6724688EF434}" srcOrd="1" destOrd="0" presId="urn:microsoft.com/office/officeart/2005/8/layout/cycle7"/>
    <dgm:cxn modelId="{76A0B903-740C-4879-94A9-A6BA708DE31B}" type="presOf" srcId="{BA5A639C-B9E3-4952-91BA-66E53B978040}" destId="{EBE9625D-1DC1-4292-8187-B6CBC9BEAFC0}" srcOrd="0" destOrd="0" presId="urn:microsoft.com/office/officeart/2005/8/layout/cycle7"/>
    <dgm:cxn modelId="{01283416-E532-4DBE-ADA4-69E7FEB12555}" type="presOf" srcId="{1802C307-6A16-4634-A492-2D80C979DCD1}" destId="{821861F7-8FE7-4634-9735-94E34854AE63}" srcOrd="0" destOrd="0" presId="urn:microsoft.com/office/officeart/2005/8/layout/cycle7"/>
    <dgm:cxn modelId="{0B526D19-0D97-4D91-9DEF-300480EA7109}" type="presOf" srcId="{EE9D0BFE-ABE7-443D-9225-E5501E33CF0C}" destId="{7143BEFA-7F28-4DFC-B725-496E1B8C0E20}" srcOrd="0" destOrd="0" presId="urn:microsoft.com/office/officeart/2005/8/layout/cycle7"/>
    <dgm:cxn modelId="{4928B11E-AB2D-4F72-85E7-7F2EFD4A9AD5}" type="presOf" srcId="{BFA4DEF5-5A9A-40CC-8A8F-DD00371C3E42}" destId="{2976FBBE-8FDA-4D49-9265-7C1255926468}" srcOrd="1" destOrd="0" presId="urn:microsoft.com/office/officeart/2005/8/layout/cycle7"/>
    <dgm:cxn modelId="{93E4CC20-BCD2-4766-BD93-3105A5AE6CAC}" srcId="{1802C307-6A16-4634-A492-2D80C979DCD1}" destId="{AE93BBF1-3B3B-43F4-AA09-93AF08241AB5}" srcOrd="2" destOrd="0" parTransId="{47F2AA14-9401-4AA0-88CA-A68722E095E6}" sibTransId="{CA63794D-7169-4DE2-8D89-B65B943AE07D}"/>
    <dgm:cxn modelId="{E3388B37-1B14-4C4E-8CAA-917A03C09929}" type="presOf" srcId="{DACEE971-30CC-4F68-B432-677B273ED85A}" destId="{6230BA36-D8F8-4F46-BFF1-787872A4E175}" srcOrd="0" destOrd="0" presId="urn:microsoft.com/office/officeart/2005/8/layout/cycle7"/>
    <dgm:cxn modelId="{1AA15745-A985-4C3C-8210-15C538C492FC}" type="presOf" srcId="{AE93BBF1-3B3B-43F4-AA09-93AF08241AB5}" destId="{9D59709F-FC01-4896-8B90-1D672754EAD3}" srcOrd="0" destOrd="0" presId="urn:microsoft.com/office/officeart/2005/8/layout/cycle7"/>
    <dgm:cxn modelId="{74D5DC46-F001-4649-AB3D-A1EF15E55B0B}" srcId="{1802C307-6A16-4634-A492-2D80C979DCD1}" destId="{BA5A639C-B9E3-4952-91BA-66E53B978040}" srcOrd="1" destOrd="0" parTransId="{66405033-9724-4899-8667-E728E0842C6B}" sibTransId="{93A55344-15AF-46F2-9C5A-6935374A63E6}"/>
    <dgm:cxn modelId="{874D5147-C267-4404-820D-3BFA5A8EB65F}" type="presOf" srcId="{93A55344-15AF-46F2-9C5A-6935374A63E6}" destId="{2506B905-7468-45C2-A12E-70547808889E}" srcOrd="0" destOrd="0" presId="urn:microsoft.com/office/officeart/2005/8/layout/cycle7"/>
    <dgm:cxn modelId="{9A5F2448-775F-4F66-8CD3-D26B7DCB9DB5}" type="presOf" srcId="{CA63794D-7169-4DE2-8D89-B65B943AE07D}" destId="{1004CE61-571C-417A-ABA5-DBD899B2FF25}" srcOrd="1" destOrd="0" presId="urn:microsoft.com/office/officeart/2005/8/layout/cycle7"/>
    <dgm:cxn modelId="{D5E7874B-2147-45BF-8D91-488B4F09ACAC}" type="presOf" srcId="{91355211-50E7-4599-8715-118258EEB1F5}" destId="{47411FAA-121E-4D1F-A5C8-A0B8554B4D15}" srcOrd="0" destOrd="0" presId="urn:microsoft.com/office/officeart/2005/8/layout/cycle7"/>
    <dgm:cxn modelId="{879E704E-5BB4-4770-B91C-D0429C33A1D7}" srcId="{1802C307-6A16-4634-A492-2D80C979DCD1}" destId="{F6F8BA93-65D2-4C02-B79B-478874FC30DE}" srcOrd="0" destOrd="0" parTransId="{BFB61578-46D2-4F26-BE51-A7B730E55F4B}" sibTransId="{BFA4DEF5-5A9A-40CC-8A8F-DD00371C3E42}"/>
    <dgm:cxn modelId="{C3897A4E-4BCC-48ED-AD22-11E596C50F19}" type="presOf" srcId="{71639F9E-F78A-488E-85E6-838C3FA08809}" destId="{8EB3DB00-F7D4-4DCC-8C0B-DDC9E47A15A2}" srcOrd="0" destOrd="0" presId="urn:microsoft.com/office/officeart/2005/8/layout/cycle7"/>
    <dgm:cxn modelId="{02C47F4E-F5D0-4B48-8917-F9F77BF5E682}" srcId="{1802C307-6A16-4634-A492-2D80C979DCD1}" destId="{EE9D0BFE-ABE7-443D-9225-E5501E33CF0C}" srcOrd="3" destOrd="0" parTransId="{F9062E8D-1115-4FE1-BAFF-DFCCE64999AB}" sibTransId="{6594E2DD-6249-4AC1-AD87-5A29C26C153B}"/>
    <dgm:cxn modelId="{71DFAE4E-7947-4F6F-8B4B-40CF52B6AB58}" type="presOf" srcId="{BFA4DEF5-5A9A-40CC-8A8F-DD00371C3E42}" destId="{4157898B-6BFB-4447-84F2-9204C93A0D39}" srcOrd="0" destOrd="0" presId="urn:microsoft.com/office/officeart/2005/8/layout/cycle7"/>
    <dgm:cxn modelId="{BB281777-1CB0-4CA0-A4B8-ED43DBAAD426}" srcId="{1802C307-6A16-4634-A492-2D80C979DCD1}" destId="{DACEE971-30CC-4F68-B432-677B273ED85A}" srcOrd="5" destOrd="0" parTransId="{F6A7EE8D-532E-4856-813B-A8EDA293B9C4}" sibTransId="{BC749E9A-21AF-496E-8B32-8104211ED05D}"/>
    <dgm:cxn modelId="{DEB09E78-DF02-4A8B-933E-CB7DD7FBE955}" type="presOf" srcId="{BC749E9A-21AF-496E-8B32-8104211ED05D}" destId="{989F9670-AA8B-421A-915F-A47FA7566F4C}" srcOrd="0" destOrd="0" presId="urn:microsoft.com/office/officeart/2005/8/layout/cycle7"/>
    <dgm:cxn modelId="{7FCCFF79-3E40-4AD2-B771-1F8D539EB99F}" type="presOf" srcId="{F6F8BA93-65D2-4C02-B79B-478874FC30DE}" destId="{12779FD5-2BB8-4C9C-86A3-34E811E4C782}" srcOrd="0" destOrd="0" presId="urn:microsoft.com/office/officeart/2005/8/layout/cycle7"/>
    <dgm:cxn modelId="{141FC87E-47E3-40E7-BC36-6D38AED1CA2E}" type="presOf" srcId="{6594E2DD-6249-4AC1-AD87-5A29C26C153B}" destId="{42031E48-F68E-4286-8944-6DC7A4A432C6}" srcOrd="1" destOrd="0" presId="urn:microsoft.com/office/officeart/2005/8/layout/cycle7"/>
    <dgm:cxn modelId="{C1341D82-6EFB-4F1A-B967-EA05E4C91D46}" type="presOf" srcId="{CA63794D-7169-4DE2-8D89-B65B943AE07D}" destId="{28F61E05-BDCD-4924-B571-C23CE208AE19}" srcOrd="0" destOrd="0" presId="urn:microsoft.com/office/officeart/2005/8/layout/cycle7"/>
    <dgm:cxn modelId="{B66475B6-9C9F-4418-B0D2-57E8CD173EDE}" srcId="{1802C307-6A16-4634-A492-2D80C979DCD1}" destId="{91355211-50E7-4599-8715-118258EEB1F5}" srcOrd="4" destOrd="0" parTransId="{3E12AD34-BDF3-45E8-A61E-0E553859911E}" sibTransId="{71639F9E-F78A-488E-85E6-838C3FA08809}"/>
    <dgm:cxn modelId="{509858B8-0AAC-41B0-B37F-CB77B32E34F8}" type="presOf" srcId="{6594E2DD-6249-4AC1-AD87-5A29C26C153B}" destId="{39AC8C38-20DA-4F26-BDD4-5A027C8C2F58}" srcOrd="0" destOrd="0" presId="urn:microsoft.com/office/officeart/2005/8/layout/cycle7"/>
    <dgm:cxn modelId="{37A672E1-7ACB-49B3-ADC7-BC0157E8C112}" type="presOf" srcId="{71639F9E-F78A-488E-85E6-838C3FA08809}" destId="{AD6C20C2-A5CD-4460-983E-77BCCB71F60A}" srcOrd="1" destOrd="0" presId="urn:microsoft.com/office/officeart/2005/8/layout/cycle7"/>
    <dgm:cxn modelId="{C290E5FB-C727-4ACE-988F-9942CD0E4874}" type="presOf" srcId="{93A55344-15AF-46F2-9C5A-6935374A63E6}" destId="{76498FEB-80A8-4859-923E-C7A2BBC4F470}" srcOrd="1" destOrd="0" presId="urn:microsoft.com/office/officeart/2005/8/layout/cycle7"/>
    <dgm:cxn modelId="{B6FA7ECD-4913-4218-9B6B-7E7D18706031}" type="presParOf" srcId="{821861F7-8FE7-4634-9735-94E34854AE63}" destId="{12779FD5-2BB8-4C9C-86A3-34E811E4C782}" srcOrd="0" destOrd="0" presId="urn:microsoft.com/office/officeart/2005/8/layout/cycle7"/>
    <dgm:cxn modelId="{F630B99E-7C01-4EEA-84FB-7344AB57FD28}" type="presParOf" srcId="{821861F7-8FE7-4634-9735-94E34854AE63}" destId="{4157898B-6BFB-4447-84F2-9204C93A0D39}" srcOrd="1" destOrd="0" presId="urn:microsoft.com/office/officeart/2005/8/layout/cycle7"/>
    <dgm:cxn modelId="{02B9943F-2545-41AD-9AA4-FC7647321004}" type="presParOf" srcId="{4157898B-6BFB-4447-84F2-9204C93A0D39}" destId="{2976FBBE-8FDA-4D49-9265-7C1255926468}" srcOrd="0" destOrd="0" presId="urn:microsoft.com/office/officeart/2005/8/layout/cycle7"/>
    <dgm:cxn modelId="{09518573-C4FC-4E56-9BDE-7854DE6A3ACB}" type="presParOf" srcId="{821861F7-8FE7-4634-9735-94E34854AE63}" destId="{EBE9625D-1DC1-4292-8187-B6CBC9BEAFC0}" srcOrd="2" destOrd="0" presId="urn:microsoft.com/office/officeart/2005/8/layout/cycle7"/>
    <dgm:cxn modelId="{79A35D24-A9C4-4A58-8E53-6323558390E6}" type="presParOf" srcId="{821861F7-8FE7-4634-9735-94E34854AE63}" destId="{2506B905-7468-45C2-A12E-70547808889E}" srcOrd="3" destOrd="0" presId="urn:microsoft.com/office/officeart/2005/8/layout/cycle7"/>
    <dgm:cxn modelId="{8B8D3A7B-B9ED-4C9D-A0FE-A32668B1A033}" type="presParOf" srcId="{2506B905-7468-45C2-A12E-70547808889E}" destId="{76498FEB-80A8-4859-923E-C7A2BBC4F470}" srcOrd="0" destOrd="0" presId="urn:microsoft.com/office/officeart/2005/8/layout/cycle7"/>
    <dgm:cxn modelId="{651EB3F8-4C96-4D13-9C1A-B586B80B35A1}" type="presParOf" srcId="{821861F7-8FE7-4634-9735-94E34854AE63}" destId="{9D59709F-FC01-4896-8B90-1D672754EAD3}" srcOrd="4" destOrd="0" presId="urn:microsoft.com/office/officeart/2005/8/layout/cycle7"/>
    <dgm:cxn modelId="{CEC8B27D-3D44-4F29-8A3B-34FFDF68913B}" type="presParOf" srcId="{821861F7-8FE7-4634-9735-94E34854AE63}" destId="{28F61E05-BDCD-4924-B571-C23CE208AE19}" srcOrd="5" destOrd="0" presId="urn:microsoft.com/office/officeart/2005/8/layout/cycle7"/>
    <dgm:cxn modelId="{0232DEF1-BD1C-4C29-94C8-69EA36B37D84}" type="presParOf" srcId="{28F61E05-BDCD-4924-B571-C23CE208AE19}" destId="{1004CE61-571C-417A-ABA5-DBD899B2FF25}" srcOrd="0" destOrd="0" presId="urn:microsoft.com/office/officeart/2005/8/layout/cycle7"/>
    <dgm:cxn modelId="{B79910A2-D6D7-4061-9557-E3CA43E15E89}" type="presParOf" srcId="{821861F7-8FE7-4634-9735-94E34854AE63}" destId="{7143BEFA-7F28-4DFC-B725-496E1B8C0E20}" srcOrd="6" destOrd="0" presId="urn:microsoft.com/office/officeart/2005/8/layout/cycle7"/>
    <dgm:cxn modelId="{40152983-DB16-4FEC-AEDD-AE02889960C8}" type="presParOf" srcId="{821861F7-8FE7-4634-9735-94E34854AE63}" destId="{39AC8C38-20DA-4F26-BDD4-5A027C8C2F58}" srcOrd="7" destOrd="0" presId="urn:microsoft.com/office/officeart/2005/8/layout/cycle7"/>
    <dgm:cxn modelId="{4845EFB0-0395-4CBA-ABEB-8769FF934CFE}" type="presParOf" srcId="{39AC8C38-20DA-4F26-BDD4-5A027C8C2F58}" destId="{42031E48-F68E-4286-8944-6DC7A4A432C6}" srcOrd="0" destOrd="0" presId="urn:microsoft.com/office/officeart/2005/8/layout/cycle7"/>
    <dgm:cxn modelId="{1DA87987-76BC-4CD1-BD52-E85798272A7B}" type="presParOf" srcId="{821861F7-8FE7-4634-9735-94E34854AE63}" destId="{47411FAA-121E-4D1F-A5C8-A0B8554B4D15}" srcOrd="8" destOrd="0" presId="urn:microsoft.com/office/officeart/2005/8/layout/cycle7"/>
    <dgm:cxn modelId="{3F26C1C7-2217-4CC0-86A7-D4B8A18927E2}" type="presParOf" srcId="{821861F7-8FE7-4634-9735-94E34854AE63}" destId="{8EB3DB00-F7D4-4DCC-8C0B-DDC9E47A15A2}" srcOrd="9" destOrd="0" presId="urn:microsoft.com/office/officeart/2005/8/layout/cycle7"/>
    <dgm:cxn modelId="{9EC25945-33D3-4B7D-83C6-AE0B60EBCCD2}" type="presParOf" srcId="{8EB3DB00-F7D4-4DCC-8C0B-DDC9E47A15A2}" destId="{AD6C20C2-A5CD-4460-983E-77BCCB71F60A}" srcOrd="0" destOrd="0" presId="urn:microsoft.com/office/officeart/2005/8/layout/cycle7"/>
    <dgm:cxn modelId="{730E9F18-098B-4B2F-BD17-3BC37F198E38}" type="presParOf" srcId="{821861F7-8FE7-4634-9735-94E34854AE63}" destId="{6230BA36-D8F8-4F46-BFF1-787872A4E175}" srcOrd="10" destOrd="0" presId="urn:microsoft.com/office/officeart/2005/8/layout/cycle7"/>
    <dgm:cxn modelId="{DCC325D5-4CBA-4E89-84C3-02D753321EC7}" type="presParOf" srcId="{821861F7-8FE7-4634-9735-94E34854AE63}" destId="{989F9670-AA8B-421A-915F-A47FA7566F4C}" srcOrd="11" destOrd="0" presId="urn:microsoft.com/office/officeart/2005/8/layout/cycle7"/>
    <dgm:cxn modelId="{2A676602-37CA-4AEB-8527-89C21B9F427F}" type="presParOf" srcId="{989F9670-AA8B-421A-915F-A47FA7566F4C}" destId="{DD6E20C4-C4FB-4415-9665-6724688EF434}" srcOrd="0" destOrd="0" presId="urn:microsoft.com/office/officeart/2005/8/layout/cycle7"/>
  </dgm:cxnLst>
  <dgm:bg/>
  <dgm:whole/>
  <dgm:extLst>
    <a:ext uri="http://schemas.microsoft.com/office/drawing/2008/diagram">
      <dsp:dataModelExt xmlns:dsp="http://schemas.microsoft.com/office/drawing/2008/diagram" relId="rId67" minVer="http://schemas.openxmlformats.org/drawingml/2006/diagram"/>
    </a:ext>
  </dgm:extLst>
</dgm:dataModel>
</file>

<file path=word/diagrams/data11.xml><?xml version="1.0" encoding="utf-8"?>
<dgm:dataModel xmlns:dgm="http://schemas.openxmlformats.org/drawingml/2006/diagram" xmlns:a="http://schemas.openxmlformats.org/drawingml/2006/main">
  <dgm:ptLst>
    <dgm:pt modelId="{BD3B723D-24A7-46E3-A91B-F08429EE8B36}" type="doc">
      <dgm:prSet loTypeId="urn:microsoft.com/office/officeart/2005/8/layout/hChevron3" loCatId="process" qsTypeId="urn:microsoft.com/office/officeart/2005/8/quickstyle/3d3" qsCatId="3D" csTypeId="urn:microsoft.com/office/officeart/2005/8/colors/colorful4" csCatId="colorful" phldr="1"/>
      <dgm:spPr/>
    </dgm:pt>
    <dgm:pt modelId="{8DC92352-8960-4E47-8DB9-DC9E377F0E88}">
      <dgm:prSet phldrT="[Text]"/>
      <dgm:spPr/>
      <dgm:t>
        <a:bodyPr/>
        <a:lstStyle/>
        <a:p>
          <a:pPr algn="ctr"/>
          <a:r>
            <a:rPr lang="en-US" b="1">
              <a:solidFill>
                <a:schemeClr val="tx1"/>
              </a:solidFill>
              <a:latin typeface="Times New Roman" pitchFamily="18" charset="0"/>
              <a:cs typeface="Times New Roman" pitchFamily="18" charset="0"/>
            </a:rPr>
            <a:t>Longitudinal Studies</a:t>
          </a:r>
          <a:endParaRPr lang="en-US">
            <a:solidFill>
              <a:schemeClr val="tx1"/>
            </a:solidFill>
            <a:latin typeface="Times New Roman" pitchFamily="18" charset="0"/>
            <a:cs typeface="Times New Roman" pitchFamily="18" charset="0"/>
          </a:endParaRPr>
        </a:p>
      </dgm:t>
    </dgm:pt>
    <dgm:pt modelId="{CD31205D-101D-450B-B96F-B814981F5E6A}" type="parTrans" cxnId="{B232FF54-ECC8-4C49-83CC-7A64EF3423B5}">
      <dgm:prSet/>
      <dgm:spPr/>
      <dgm:t>
        <a:bodyPr/>
        <a:lstStyle/>
        <a:p>
          <a:pPr algn="ctr"/>
          <a:endParaRPr lang="en-US">
            <a:solidFill>
              <a:schemeClr val="tx1"/>
            </a:solidFill>
            <a:latin typeface="Times New Roman" pitchFamily="18" charset="0"/>
            <a:cs typeface="Times New Roman" pitchFamily="18" charset="0"/>
          </a:endParaRPr>
        </a:p>
      </dgm:t>
    </dgm:pt>
    <dgm:pt modelId="{E8E46C22-AE6C-4E0F-A4C5-60144C58D3C3}" type="sibTrans" cxnId="{B232FF54-ECC8-4C49-83CC-7A64EF3423B5}">
      <dgm:prSet/>
      <dgm:spPr/>
      <dgm:t>
        <a:bodyPr/>
        <a:lstStyle/>
        <a:p>
          <a:pPr algn="ctr"/>
          <a:endParaRPr lang="en-US">
            <a:solidFill>
              <a:schemeClr val="tx1"/>
            </a:solidFill>
            <a:latin typeface="Times New Roman" pitchFamily="18" charset="0"/>
            <a:cs typeface="Times New Roman" pitchFamily="18" charset="0"/>
          </a:endParaRPr>
        </a:p>
      </dgm:t>
    </dgm:pt>
    <dgm:pt modelId="{46E10253-DBBF-409A-A71B-C43829513E10}">
      <dgm:prSet phldrT="[Text]"/>
      <dgm:spPr/>
      <dgm:t>
        <a:bodyPr/>
        <a:lstStyle/>
        <a:p>
          <a:pPr algn="ctr"/>
          <a:r>
            <a:rPr lang="en-US" b="1">
              <a:solidFill>
                <a:schemeClr val="tx1"/>
              </a:solidFill>
              <a:latin typeface="Times New Roman" pitchFamily="18" charset="0"/>
              <a:cs typeface="Times New Roman" pitchFamily="18" charset="0"/>
            </a:rPr>
            <a:t>Industry-Specific Research</a:t>
          </a:r>
          <a:endParaRPr lang="en-US">
            <a:solidFill>
              <a:schemeClr val="tx1"/>
            </a:solidFill>
            <a:latin typeface="Times New Roman" pitchFamily="18" charset="0"/>
            <a:cs typeface="Times New Roman" pitchFamily="18" charset="0"/>
          </a:endParaRPr>
        </a:p>
      </dgm:t>
    </dgm:pt>
    <dgm:pt modelId="{BD5BC456-BB9D-41CE-95E9-70AB450E9B04}" type="parTrans" cxnId="{DD6EE9EC-E1F4-4BFC-A602-EEBFB475003E}">
      <dgm:prSet/>
      <dgm:spPr/>
      <dgm:t>
        <a:bodyPr/>
        <a:lstStyle/>
        <a:p>
          <a:pPr algn="ctr"/>
          <a:endParaRPr lang="en-US">
            <a:solidFill>
              <a:schemeClr val="tx1"/>
            </a:solidFill>
            <a:latin typeface="Times New Roman" pitchFamily="18" charset="0"/>
            <a:cs typeface="Times New Roman" pitchFamily="18" charset="0"/>
          </a:endParaRPr>
        </a:p>
      </dgm:t>
    </dgm:pt>
    <dgm:pt modelId="{AD623A74-9BD4-4CFD-81AB-89F8ECBA31B0}" type="sibTrans" cxnId="{DD6EE9EC-E1F4-4BFC-A602-EEBFB475003E}">
      <dgm:prSet/>
      <dgm:spPr/>
      <dgm:t>
        <a:bodyPr/>
        <a:lstStyle/>
        <a:p>
          <a:pPr algn="ctr"/>
          <a:endParaRPr lang="en-US">
            <a:solidFill>
              <a:schemeClr val="tx1"/>
            </a:solidFill>
            <a:latin typeface="Times New Roman" pitchFamily="18" charset="0"/>
            <a:cs typeface="Times New Roman" pitchFamily="18" charset="0"/>
          </a:endParaRPr>
        </a:p>
      </dgm:t>
    </dgm:pt>
    <dgm:pt modelId="{458AA290-EB4D-4EEF-9D42-2E08207DF88D}">
      <dgm:prSet phldrT="[Text]"/>
      <dgm:spPr/>
      <dgm:t>
        <a:bodyPr/>
        <a:lstStyle/>
        <a:p>
          <a:pPr algn="ctr"/>
          <a:r>
            <a:rPr lang="en-US" b="1">
              <a:solidFill>
                <a:schemeClr val="tx1"/>
              </a:solidFill>
              <a:latin typeface="Times New Roman" pitchFamily="18" charset="0"/>
              <a:cs typeface="Times New Roman" pitchFamily="18" charset="0"/>
            </a:rPr>
            <a:t>Technology and Remote Work</a:t>
          </a:r>
          <a:endParaRPr lang="en-US">
            <a:solidFill>
              <a:schemeClr val="tx1"/>
            </a:solidFill>
            <a:latin typeface="Times New Roman" pitchFamily="18" charset="0"/>
            <a:cs typeface="Times New Roman" pitchFamily="18" charset="0"/>
          </a:endParaRPr>
        </a:p>
      </dgm:t>
    </dgm:pt>
    <dgm:pt modelId="{A714DD36-F596-4BD4-B453-2066F8D6A10C}" type="parTrans" cxnId="{A92BCEE3-E77E-4B01-8B0C-2D3BE62A401A}">
      <dgm:prSet/>
      <dgm:spPr/>
      <dgm:t>
        <a:bodyPr/>
        <a:lstStyle/>
        <a:p>
          <a:pPr algn="ctr"/>
          <a:endParaRPr lang="en-US">
            <a:solidFill>
              <a:schemeClr val="tx1"/>
            </a:solidFill>
            <a:latin typeface="Times New Roman" pitchFamily="18" charset="0"/>
            <a:cs typeface="Times New Roman" pitchFamily="18" charset="0"/>
          </a:endParaRPr>
        </a:p>
      </dgm:t>
    </dgm:pt>
    <dgm:pt modelId="{FA4487A5-CB29-4DA4-BBF1-DDB6C88F7AF9}" type="sibTrans" cxnId="{A92BCEE3-E77E-4B01-8B0C-2D3BE62A401A}">
      <dgm:prSet/>
      <dgm:spPr/>
      <dgm:t>
        <a:bodyPr/>
        <a:lstStyle/>
        <a:p>
          <a:pPr algn="ctr"/>
          <a:endParaRPr lang="en-US">
            <a:solidFill>
              <a:schemeClr val="tx1"/>
            </a:solidFill>
            <a:latin typeface="Times New Roman" pitchFamily="18" charset="0"/>
            <a:cs typeface="Times New Roman" pitchFamily="18" charset="0"/>
          </a:endParaRPr>
        </a:p>
      </dgm:t>
    </dgm:pt>
    <dgm:pt modelId="{E5265B4F-9F99-481E-A507-0404FA317A81}">
      <dgm:prSet/>
      <dgm:spPr/>
      <dgm:t>
        <a:bodyPr/>
        <a:lstStyle/>
        <a:p>
          <a:pPr algn="ctr"/>
          <a:r>
            <a:rPr lang="en-US" b="1">
              <a:solidFill>
                <a:schemeClr val="tx1"/>
              </a:solidFill>
              <a:latin typeface="Times New Roman" pitchFamily="18" charset="0"/>
              <a:cs typeface="Times New Roman" pitchFamily="18" charset="0"/>
            </a:rPr>
            <a:t>Crisis Management</a:t>
          </a:r>
          <a:endParaRPr lang="en-US">
            <a:solidFill>
              <a:schemeClr val="tx1"/>
            </a:solidFill>
            <a:latin typeface="Times New Roman" pitchFamily="18" charset="0"/>
            <a:cs typeface="Times New Roman" pitchFamily="18" charset="0"/>
          </a:endParaRPr>
        </a:p>
      </dgm:t>
    </dgm:pt>
    <dgm:pt modelId="{9A94709A-3689-43F4-88DD-2996ED690165}" type="parTrans" cxnId="{F02CA4D6-514F-4F64-9674-72D1878CE4F4}">
      <dgm:prSet/>
      <dgm:spPr/>
      <dgm:t>
        <a:bodyPr/>
        <a:lstStyle/>
        <a:p>
          <a:pPr algn="ctr"/>
          <a:endParaRPr lang="en-US">
            <a:solidFill>
              <a:schemeClr val="tx1"/>
            </a:solidFill>
            <a:latin typeface="Times New Roman" pitchFamily="18" charset="0"/>
            <a:cs typeface="Times New Roman" pitchFamily="18" charset="0"/>
          </a:endParaRPr>
        </a:p>
      </dgm:t>
    </dgm:pt>
    <dgm:pt modelId="{4E3EEB41-96BA-4DC4-A8A6-72CB21E2E550}" type="sibTrans" cxnId="{F02CA4D6-514F-4F64-9674-72D1878CE4F4}">
      <dgm:prSet/>
      <dgm:spPr/>
      <dgm:t>
        <a:bodyPr/>
        <a:lstStyle/>
        <a:p>
          <a:pPr algn="ctr"/>
          <a:endParaRPr lang="en-US">
            <a:solidFill>
              <a:schemeClr val="tx1"/>
            </a:solidFill>
            <a:latin typeface="Times New Roman" pitchFamily="18" charset="0"/>
            <a:cs typeface="Times New Roman" pitchFamily="18" charset="0"/>
          </a:endParaRPr>
        </a:p>
      </dgm:t>
    </dgm:pt>
    <dgm:pt modelId="{0D1A74FD-DD75-4F47-B865-6529A7417B0C}">
      <dgm:prSet/>
      <dgm:spPr/>
      <dgm:t>
        <a:bodyPr/>
        <a:lstStyle/>
        <a:p>
          <a:pPr algn="ctr"/>
          <a:r>
            <a:rPr lang="en-US" b="1">
              <a:solidFill>
                <a:schemeClr val="tx1"/>
              </a:solidFill>
              <a:latin typeface="Times New Roman" pitchFamily="18" charset="0"/>
              <a:cs typeface="Times New Roman" pitchFamily="18" charset="0"/>
            </a:rPr>
            <a:t>Comparative Analysis</a:t>
          </a:r>
          <a:endParaRPr lang="en-US">
            <a:solidFill>
              <a:schemeClr val="tx1"/>
            </a:solidFill>
            <a:latin typeface="Times New Roman" pitchFamily="18" charset="0"/>
            <a:cs typeface="Times New Roman" pitchFamily="18" charset="0"/>
          </a:endParaRPr>
        </a:p>
      </dgm:t>
    </dgm:pt>
    <dgm:pt modelId="{32BC4A90-5C07-41EF-AA81-255305ADA20D}" type="parTrans" cxnId="{D5061B4D-006F-4A26-9D4A-B37B6CC0ADD3}">
      <dgm:prSet/>
      <dgm:spPr/>
      <dgm:t>
        <a:bodyPr/>
        <a:lstStyle/>
        <a:p>
          <a:pPr algn="ctr"/>
          <a:endParaRPr lang="en-US">
            <a:solidFill>
              <a:schemeClr val="tx1"/>
            </a:solidFill>
            <a:latin typeface="Times New Roman" pitchFamily="18" charset="0"/>
            <a:cs typeface="Times New Roman" pitchFamily="18" charset="0"/>
          </a:endParaRPr>
        </a:p>
      </dgm:t>
    </dgm:pt>
    <dgm:pt modelId="{7931D5FD-47B3-4D88-B309-7049DE7EDF96}" type="sibTrans" cxnId="{D5061B4D-006F-4A26-9D4A-B37B6CC0ADD3}">
      <dgm:prSet/>
      <dgm:spPr/>
      <dgm:t>
        <a:bodyPr/>
        <a:lstStyle/>
        <a:p>
          <a:pPr algn="ctr"/>
          <a:endParaRPr lang="en-US">
            <a:solidFill>
              <a:schemeClr val="tx1"/>
            </a:solidFill>
            <a:latin typeface="Times New Roman" pitchFamily="18" charset="0"/>
            <a:cs typeface="Times New Roman" pitchFamily="18" charset="0"/>
          </a:endParaRPr>
        </a:p>
      </dgm:t>
    </dgm:pt>
    <dgm:pt modelId="{E222E693-DEF8-421F-BDA1-A03D417C330A}" type="pres">
      <dgm:prSet presAssocID="{BD3B723D-24A7-46E3-A91B-F08429EE8B36}" presName="Name0" presStyleCnt="0">
        <dgm:presLayoutVars>
          <dgm:dir/>
          <dgm:resizeHandles val="exact"/>
        </dgm:presLayoutVars>
      </dgm:prSet>
      <dgm:spPr/>
    </dgm:pt>
    <dgm:pt modelId="{DCF99F42-3437-48FD-B6B4-604B1B978462}" type="pres">
      <dgm:prSet presAssocID="{8DC92352-8960-4E47-8DB9-DC9E377F0E88}" presName="parTxOnly" presStyleLbl="node1" presStyleIdx="0" presStyleCnt="5">
        <dgm:presLayoutVars>
          <dgm:bulletEnabled val="1"/>
        </dgm:presLayoutVars>
      </dgm:prSet>
      <dgm:spPr/>
    </dgm:pt>
    <dgm:pt modelId="{FE08F1AB-652F-4E7D-B071-F2837D5D8110}" type="pres">
      <dgm:prSet presAssocID="{E8E46C22-AE6C-4E0F-A4C5-60144C58D3C3}" presName="parSpace" presStyleCnt="0"/>
      <dgm:spPr/>
    </dgm:pt>
    <dgm:pt modelId="{7D05CA51-3604-42F0-B5FA-8A291BB98591}" type="pres">
      <dgm:prSet presAssocID="{46E10253-DBBF-409A-A71B-C43829513E10}" presName="parTxOnly" presStyleLbl="node1" presStyleIdx="1" presStyleCnt="5">
        <dgm:presLayoutVars>
          <dgm:bulletEnabled val="1"/>
        </dgm:presLayoutVars>
      </dgm:prSet>
      <dgm:spPr/>
    </dgm:pt>
    <dgm:pt modelId="{89516A46-4967-4BAE-BEFE-064551743ACD}" type="pres">
      <dgm:prSet presAssocID="{AD623A74-9BD4-4CFD-81AB-89F8ECBA31B0}" presName="parSpace" presStyleCnt="0"/>
      <dgm:spPr/>
    </dgm:pt>
    <dgm:pt modelId="{5F2D8278-142F-4539-81F4-AE856EAE101E}" type="pres">
      <dgm:prSet presAssocID="{458AA290-EB4D-4EEF-9D42-2E08207DF88D}" presName="parTxOnly" presStyleLbl="node1" presStyleIdx="2" presStyleCnt="5">
        <dgm:presLayoutVars>
          <dgm:bulletEnabled val="1"/>
        </dgm:presLayoutVars>
      </dgm:prSet>
      <dgm:spPr/>
    </dgm:pt>
    <dgm:pt modelId="{68301B19-15B1-456B-9D7E-A33FD2DDD7E2}" type="pres">
      <dgm:prSet presAssocID="{FA4487A5-CB29-4DA4-BBF1-DDB6C88F7AF9}" presName="parSpace" presStyleCnt="0"/>
      <dgm:spPr/>
    </dgm:pt>
    <dgm:pt modelId="{71C9F74A-4F52-409A-A873-28962E8314F9}" type="pres">
      <dgm:prSet presAssocID="{0D1A74FD-DD75-4F47-B865-6529A7417B0C}" presName="parTxOnly" presStyleLbl="node1" presStyleIdx="3" presStyleCnt="5">
        <dgm:presLayoutVars>
          <dgm:bulletEnabled val="1"/>
        </dgm:presLayoutVars>
      </dgm:prSet>
      <dgm:spPr/>
    </dgm:pt>
    <dgm:pt modelId="{F3C7EAA5-02B7-4EBB-B83F-BCF968900B64}" type="pres">
      <dgm:prSet presAssocID="{7931D5FD-47B3-4D88-B309-7049DE7EDF96}" presName="parSpace" presStyleCnt="0"/>
      <dgm:spPr/>
    </dgm:pt>
    <dgm:pt modelId="{E7B8BD5B-1F23-4378-A590-1991D38BF556}" type="pres">
      <dgm:prSet presAssocID="{E5265B4F-9F99-481E-A507-0404FA317A81}" presName="parTxOnly" presStyleLbl="node1" presStyleIdx="4" presStyleCnt="5">
        <dgm:presLayoutVars>
          <dgm:bulletEnabled val="1"/>
        </dgm:presLayoutVars>
      </dgm:prSet>
      <dgm:spPr/>
    </dgm:pt>
  </dgm:ptLst>
  <dgm:cxnLst>
    <dgm:cxn modelId="{D5061B4D-006F-4A26-9D4A-B37B6CC0ADD3}" srcId="{BD3B723D-24A7-46E3-A91B-F08429EE8B36}" destId="{0D1A74FD-DD75-4F47-B865-6529A7417B0C}" srcOrd="3" destOrd="0" parTransId="{32BC4A90-5C07-41EF-AA81-255305ADA20D}" sibTransId="{7931D5FD-47B3-4D88-B309-7049DE7EDF96}"/>
    <dgm:cxn modelId="{B232FF54-ECC8-4C49-83CC-7A64EF3423B5}" srcId="{BD3B723D-24A7-46E3-A91B-F08429EE8B36}" destId="{8DC92352-8960-4E47-8DB9-DC9E377F0E88}" srcOrd="0" destOrd="0" parTransId="{CD31205D-101D-450B-B96F-B814981F5E6A}" sibTransId="{E8E46C22-AE6C-4E0F-A4C5-60144C58D3C3}"/>
    <dgm:cxn modelId="{01975F69-A753-4E7F-BABA-3BB03EF815B4}" type="presOf" srcId="{BD3B723D-24A7-46E3-A91B-F08429EE8B36}" destId="{E222E693-DEF8-421F-BDA1-A03D417C330A}" srcOrd="0" destOrd="0" presId="urn:microsoft.com/office/officeart/2005/8/layout/hChevron3"/>
    <dgm:cxn modelId="{B8F69E72-3F22-4346-9591-A2DEB003477D}" type="presOf" srcId="{E5265B4F-9F99-481E-A507-0404FA317A81}" destId="{E7B8BD5B-1F23-4378-A590-1991D38BF556}" srcOrd="0" destOrd="0" presId="urn:microsoft.com/office/officeart/2005/8/layout/hChevron3"/>
    <dgm:cxn modelId="{FD1DAC80-1F22-4929-964D-E1F9ECD129F9}" type="presOf" srcId="{0D1A74FD-DD75-4F47-B865-6529A7417B0C}" destId="{71C9F74A-4F52-409A-A873-28962E8314F9}" srcOrd="0" destOrd="0" presId="urn:microsoft.com/office/officeart/2005/8/layout/hChevron3"/>
    <dgm:cxn modelId="{590D918D-79EC-4875-8557-BB449868E08C}" type="presOf" srcId="{46E10253-DBBF-409A-A71B-C43829513E10}" destId="{7D05CA51-3604-42F0-B5FA-8A291BB98591}" srcOrd="0" destOrd="0" presId="urn:microsoft.com/office/officeart/2005/8/layout/hChevron3"/>
    <dgm:cxn modelId="{F02CA4D6-514F-4F64-9674-72D1878CE4F4}" srcId="{BD3B723D-24A7-46E3-A91B-F08429EE8B36}" destId="{E5265B4F-9F99-481E-A507-0404FA317A81}" srcOrd="4" destOrd="0" parTransId="{9A94709A-3689-43F4-88DD-2996ED690165}" sibTransId="{4E3EEB41-96BA-4DC4-A8A6-72CB21E2E550}"/>
    <dgm:cxn modelId="{F3A133DC-EA95-40D2-812A-DCC3562524DF}" type="presOf" srcId="{458AA290-EB4D-4EEF-9D42-2E08207DF88D}" destId="{5F2D8278-142F-4539-81F4-AE856EAE101E}" srcOrd="0" destOrd="0" presId="urn:microsoft.com/office/officeart/2005/8/layout/hChevron3"/>
    <dgm:cxn modelId="{A92BCEE3-E77E-4B01-8B0C-2D3BE62A401A}" srcId="{BD3B723D-24A7-46E3-A91B-F08429EE8B36}" destId="{458AA290-EB4D-4EEF-9D42-2E08207DF88D}" srcOrd="2" destOrd="0" parTransId="{A714DD36-F596-4BD4-B453-2066F8D6A10C}" sibTransId="{FA4487A5-CB29-4DA4-BBF1-DDB6C88F7AF9}"/>
    <dgm:cxn modelId="{894238E4-90B2-4AE5-9D3C-F183146FFAE2}" type="presOf" srcId="{8DC92352-8960-4E47-8DB9-DC9E377F0E88}" destId="{DCF99F42-3437-48FD-B6B4-604B1B978462}" srcOrd="0" destOrd="0" presId="urn:microsoft.com/office/officeart/2005/8/layout/hChevron3"/>
    <dgm:cxn modelId="{DD6EE9EC-E1F4-4BFC-A602-EEBFB475003E}" srcId="{BD3B723D-24A7-46E3-A91B-F08429EE8B36}" destId="{46E10253-DBBF-409A-A71B-C43829513E10}" srcOrd="1" destOrd="0" parTransId="{BD5BC456-BB9D-41CE-95E9-70AB450E9B04}" sibTransId="{AD623A74-9BD4-4CFD-81AB-89F8ECBA31B0}"/>
    <dgm:cxn modelId="{C9C1B1C5-5F41-4879-9913-C1F308BB8389}" type="presParOf" srcId="{E222E693-DEF8-421F-BDA1-A03D417C330A}" destId="{DCF99F42-3437-48FD-B6B4-604B1B978462}" srcOrd="0" destOrd="0" presId="urn:microsoft.com/office/officeart/2005/8/layout/hChevron3"/>
    <dgm:cxn modelId="{AC53304E-EE23-4A6B-97AA-BB3CA9555FF2}" type="presParOf" srcId="{E222E693-DEF8-421F-BDA1-A03D417C330A}" destId="{FE08F1AB-652F-4E7D-B071-F2837D5D8110}" srcOrd="1" destOrd="0" presId="urn:microsoft.com/office/officeart/2005/8/layout/hChevron3"/>
    <dgm:cxn modelId="{B9FA2954-F9B6-4EC2-8DCF-4FCB92E7999C}" type="presParOf" srcId="{E222E693-DEF8-421F-BDA1-A03D417C330A}" destId="{7D05CA51-3604-42F0-B5FA-8A291BB98591}" srcOrd="2" destOrd="0" presId="urn:microsoft.com/office/officeart/2005/8/layout/hChevron3"/>
    <dgm:cxn modelId="{F8E40BD5-20E5-4D4B-BD55-79565777BD89}" type="presParOf" srcId="{E222E693-DEF8-421F-BDA1-A03D417C330A}" destId="{89516A46-4967-4BAE-BEFE-064551743ACD}" srcOrd="3" destOrd="0" presId="urn:microsoft.com/office/officeart/2005/8/layout/hChevron3"/>
    <dgm:cxn modelId="{4E62DAB0-E66F-4E74-A7D6-8F36DD8C1997}" type="presParOf" srcId="{E222E693-DEF8-421F-BDA1-A03D417C330A}" destId="{5F2D8278-142F-4539-81F4-AE856EAE101E}" srcOrd="4" destOrd="0" presId="urn:microsoft.com/office/officeart/2005/8/layout/hChevron3"/>
    <dgm:cxn modelId="{7915D5B2-B716-49D7-B9CD-3D88D7AD0E2B}" type="presParOf" srcId="{E222E693-DEF8-421F-BDA1-A03D417C330A}" destId="{68301B19-15B1-456B-9D7E-A33FD2DDD7E2}" srcOrd="5" destOrd="0" presId="urn:microsoft.com/office/officeart/2005/8/layout/hChevron3"/>
    <dgm:cxn modelId="{C91B06C8-3BDB-43B0-931F-CEBAE045B36B}" type="presParOf" srcId="{E222E693-DEF8-421F-BDA1-A03D417C330A}" destId="{71C9F74A-4F52-409A-A873-28962E8314F9}" srcOrd="6" destOrd="0" presId="urn:microsoft.com/office/officeart/2005/8/layout/hChevron3"/>
    <dgm:cxn modelId="{D797E66E-4C63-4A31-9827-EAF0E483CBA6}" type="presParOf" srcId="{E222E693-DEF8-421F-BDA1-A03D417C330A}" destId="{F3C7EAA5-02B7-4EBB-B83F-BCF968900B64}" srcOrd="7" destOrd="0" presId="urn:microsoft.com/office/officeart/2005/8/layout/hChevron3"/>
    <dgm:cxn modelId="{D54B0752-9951-49E0-89F2-A01A0FBAA9B9}" type="presParOf" srcId="{E222E693-DEF8-421F-BDA1-A03D417C330A}" destId="{E7B8BD5B-1F23-4378-A590-1991D38BF556}" srcOrd="8" destOrd="0" presId="urn:microsoft.com/office/officeart/2005/8/layout/hChevron3"/>
  </dgm:cxnLst>
  <dgm:bg/>
  <dgm:whole/>
  <dgm:extLst>
    <a:ext uri="http://schemas.microsoft.com/office/drawing/2008/diagram">
      <dsp:dataModelExt xmlns:dsp="http://schemas.microsoft.com/office/drawing/2008/diagram" relId="rId7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D0B9D1-D42F-46AA-9E88-85DD4B0A0DFC}">
      <dsp:nvSpPr>
        <dsp:cNvPr id="0" name=""/>
        <dsp:cNvSpPr/>
      </dsp:nvSpPr>
      <dsp:spPr>
        <a:xfrm>
          <a:off x="2824" y="1392180"/>
          <a:ext cx="1050583" cy="420233"/>
        </a:xfrm>
        <a:prstGeom prst="chevron">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latin typeface="Times New Roman" pitchFamily="18" charset="0"/>
              <a:cs typeface="Times New Roman" pitchFamily="18" charset="0"/>
            </a:rPr>
            <a:t>Enhanced Business Performance</a:t>
          </a:r>
          <a:endParaRPr lang="en-US" sz="700" kern="1200">
            <a:solidFill>
              <a:schemeClr val="tx1"/>
            </a:solidFill>
            <a:latin typeface="Times New Roman" pitchFamily="18" charset="0"/>
            <a:cs typeface="Times New Roman" pitchFamily="18" charset="0"/>
          </a:endParaRPr>
        </a:p>
      </dsp:txBody>
      <dsp:txXfrm>
        <a:off x="212941" y="1392180"/>
        <a:ext cx="630350" cy="420233"/>
      </dsp:txXfrm>
    </dsp:sp>
    <dsp:sp modelId="{7A19CD93-A7C5-4AFA-9D67-7AB8297E9202}">
      <dsp:nvSpPr>
        <dsp:cNvPr id="0" name=""/>
        <dsp:cNvSpPr/>
      </dsp:nvSpPr>
      <dsp:spPr>
        <a:xfrm>
          <a:off x="948349" y="1392180"/>
          <a:ext cx="1050583" cy="420233"/>
        </a:xfrm>
        <a:prstGeom prst="chevron">
          <a:avLst/>
        </a:prstGeom>
        <a:solidFill>
          <a:schemeClr val="accent2">
            <a:hueOff val="-291073"/>
            <a:satOff val="-16786"/>
            <a:lumOff val="172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latin typeface="Times New Roman" pitchFamily="18" charset="0"/>
              <a:cs typeface="Times New Roman" pitchFamily="18" charset="0"/>
            </a:rPr>
            <a:t>Global Expansion and Market Access</a:t>
          </a:r>
          <a:endParaRPr lang="en-US" sz="700" kern="1200">
            <a:solidFill>
              <a:schemeClr val="tx1"/>
            </a:solidFill>
            <a:latin typeface="Times New Roman" pitchFamily="18" charset="0"/>
            <a:cs typeface="Times New Roman" pitchFamily="18" charset="0"/>
          </a:endParaRPr>
        </a:p>
      </dsp:txBody>
      <dsp:txXfrm>
        <a:off x="1158466" y="1392180"/>
        <a:ext cx="630350" cy="420233"/>
      </dsp:txXfrm>
    </dsp:sp>
    <dsp:sp modelId="{61E7CEF5-261A-42D0-AE80-14D8183A1A19}">
      <dsp:nvSpPr>
        <dsp:cNvPr id="0" name=""/>
        <dsp:cNvSpPr/>
      </dsp:nvSpPr>
      <dsp:spPr>
        <a:xfrm>
          <a:off x="1893875" y="1392180"/>
          <a:ext cx="1050583" cy="420233"/>
        </a:xfrm>
        <a:prstGeom prst="chevron">
          <a:avLst/>
        </a:prstGeom>
        <a:solidFill>
          <a:schemeClr val="accent2">
            <a:hueOff val="-582145"/>
            <a:satOff val="-33571"/>
            <a:lumOff val="3451"/>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latin typeface="Times New Roman" pitchFamily="18" charset="0"/>
              <a:cs typeface="Times New Roman" pitchFamily="18" charset="0"/>
            </a:rPr>
            <a:t>Minimized Integration Challenges</a:t>
          </a:r>
          <a:endParaRPr lang="en-US" sz="700" kern="1200">
            <a:solidFill>
              <a:schemeClr val="tx1"/>
            </a:solidFill>
            <a:latin typeface="Times New Roman" pitchFamily="18" charset="0"/>
            <a:cs typeface="Times New Roman" pitchFamily="18" charset="0"/>
          </a:endParaRPr>
        </a:p>
      </dsp:txBody>
      <dsp:txXfrm>
        <a:off x="2103992" y="1392180"/>
        <a:ext cx="630350" cy="420233"/>
      </dsp:txXfrm>
    </dsp:sp>
    <dsp:sp modelId="{DB7625D2-156D-43D6-BBA0-EBE9F2410AB9}">
      <dsp:nvSpPr>
        <dsp:cNvPr id="0" name=""/>
        <dsp:cNvSpPr/>
      </dsp:nvSpPr>
      <dsp:spPr>
        <a:xfrm>
          <a:off x="2839400" y="1392180"/>
          <a:ext cx="1050583" cy="420233"/>
        </a:xfrm>
        <a:prstGeom prst="chevron">
          <a:avLst/>
        </a:prstGeom>
        <a:solidFill>
          <a:schemeClr val="accent2">
            <a:hueOff val="-873218"/>
            <a:satOff val="-50357"/>
            <a:lumOff val="5177"/>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latin typeface="Times New Roman" pitchFamily="18" charset="0"/>
              <a:cs typeface="Times New Roman" pitchFamily="18" charset="0"/>
            </a:rPr>
            <a:t>Employee Satisfaction and Retention</a:t>
          </a:r>
          <a:endParaRPr lang="en-US" sz="700" kern="1200">
            <a:solidFill>
              <a:schemeClr val="tx1"/>
            </a:solidFill>
            <a:latin typeface="Times New Roman" pitchFamily="18" charset="0"/>
            <a:cs typeface="Times New Roman" pitchFamily="18" charset="0"/>
          </a:endParaRPr>
        </a:p>
      </dsp:txBody>
      <dsp:txXfrm>
        <a:off x="3049517" y="1392180"/>
        <a:ext cx="630350" cy="420233"/>
      </dsp:txXfrm>
    </dsp:sp>
    <dsp:sp modelId="{873B0998-E380-48F9-B0BC-66EB4DBBC36C}">
      <dsp:nvSpPr>
        <dsp:cNvPr id="0" name=""/>
        <dsp:cNvSpPr/>
      </dsp:nvSpPr>
      <dsp:spPr>
        <a:xfrm>
          <a:off x="3784926" y="1392180"/>
          <a:ext cx="1050583" cy="420233"/>
        </a:xfrm>
        <a:prstGeom prst="chevron">
          <a:avLst/>
        </a:prstGeom>
        <a:solidFill>
          <a:schemeClr val="accent2">
            <a:hueOff val="-1164290"/>
            <a:satOff val="-67142"/>
            <a:lumOff val="6902"/>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latin typeface="Times New Roman" pitchFamily="18" charset="0"/>
              <a:cs typeface="Times New Roman" pitchFamily="18" charset="0"/>
            </a:rPr>
            <a:t>Employee Satisfaction and Retention</a:t>
          </a:r>
          <a:endParaRPr lang="en-US" sz="700" kern="1200">
            <a:solidFill>
              <a:schemeClr val="tx1"/>
            </a:solidFill>
            <a:latin typeface="Times New Roman" pitchFamily="18" charset="0"/>
            <a:cs typeface="Times New Roman" pitchFamily="18" charset="0"/>
          </a:endParaRPr>
        </a:p>
      </dsp:txBody>
      <dsp:txXfrm>
        <a:off x="3995043" y="1392180"/>
        <a:ext cx="630350" cy="420233"/>
      </dsp:txXfrm>
    </dsp:sp>
    <dsp:sp modelId="{12760582-3301-4E46-A73E-1B213C9C5F65}">
      <dsp:nvSpPr>
        <dsp:cNvPr id="0" name=""/>
        <dsp:cNvSpPr/>
      </dsp:nvSpPr>
      <dsp:spPr>
        <a:xfrm>
          <a:off x="4730451" y="1392180"/>
          <a:ext cx="1050583" cy="420233"/>
        </a:xfrm>
        <a:prstGeom prst="chevron">
          <a:avLst/>
        </a:prstGeom>
        <a:solidFill>
          <a:schemeClr val="accent2">
            <a:hueOff val="-1455363"/>
            <a:satOff val="-83928"/>
            <a:lumOff val="8628"/>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latin typeface="Times New Roman" pitchFamily="18" charset="0"/>
              <a:cs typeface="Times New Roman" pitchFamily="18" charset="0"/>
            </a:rPr>
            <a:t>Effective Communication and Collaboration</a:t>
          </a:r>
          <a:endParaRPr lang="en-US" sz="700" kern="1200">
            <a:solidFill>
              <a:schemeClr val="tx1"/>
            </a:solidFill>
            <a:latin typeface="Times New Roman" pitchFamily="18" charset="0"/>
            <a:cs typeface="Times New Roman" pitchFamily="18" charset="0"/>
          </a:endParaRPr>
        </a:p>
      </dsp:txBody>
      <dsp:txXfrm>
        <a:off x="4940568" y="1392180"/>
        <a:ext cx="630350" cy="42023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8663C1-042D-4BB9-9CAC-8968136F7C46}">
      <dsp:nvSpPr>
        <dsp:cNvPr id="0" name=""/>
        <dsp:cNvSpPr/>
      </dsp:nvSpPr>
      <dsp:spPr>
        <a:xfrm>
          <a:off x="1224723" y="-23089"/>
          <a:ext cx="3322179" cy="3322179"/>
        </a:xfrm>
        <a:prstGeom prst="circularArrow">
          <a:avLst>
            <a:gd name="adj1" fmla="val 5544"/>
            <a:gd name="adj2" fmla="val 330680"/>
            <a:gd name="adj3" fmla="val 14534981"/>
            <a:gd name="adj4" fmla="val 16939256"/>
            <a:gd name="adj5" fmla="val 5757"/>
          </a:avLst>
        </a:prstGeom>
        <a:solidFill>
          <a:schemeClr val="accent2">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B8BCE8AA-AA15-4D33-A86E-1AD19D7C304B}">
      <dsp:nvSpPr>
        <dsp:cNvPr id="0" name=""/>
        <dsp:cNvSpPr/>
      </dsp:nvSpPr>
      <dsp:spPr>
        <a:xfrm>
          <a:off x="2375723" y="694"/>
          <a:ext cx="1020179" cy="510089"/>
        </a:xfrm>
        <a:prstGeom prst="roundRect">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tx1"/>
              </a:solidFill>
              <a:latin typeface="Times New Roman" pitchFamily="18" charset="0"/>
              <a:cs typeface="Times New Roman" pitchFamily="18" charset="0"/>
            </a:rPr>
            <a:t>Cultural Clashes and Misunderstandings</a:t>
          </a:r>
          <a:endParaRPr lang="en-US" sz="800" kern="1200">
            <a:solidFill>
              <a:schemeClr val="tx1"/>
            </a:solidFill>
            <a:latin typeface="Times New Roman" pitchFamily="18" charset="0"/>
            <a:cs typeface="Times New Roman" pitchFamily="18" charset="0"/>
          </a:endParaRPr>
        </a:p>
      </dsp:txBody>
      <dsp:txXfrm>
        <a:off x="2400623" y="25594"/>
        <a:ext cx="970379" cy="460289"/>
      </dsp:txXfrm>
    </dsp:sp>
    <dsp:sp modelId="{F106AE5B-B4A3-4186-A98A-CE1ABA7C2A9A}">
      <dsp:nvSpPr>
        <dsp:cNvPr id="0" name=""/>
        <dsp:cNvSpPr/>
      </dsp:nvSpPr>
      <dsp:spPr>
        <a:xfrm>
          <a:off x="3483349" y="534098"/>
          <a:ext cx="1020179" cy="510089"/>
        </a:xfrm>
        <a:prstGeom prst="roundRect">
          <a:avLst/>
        </a:prstGeom>
        <a:solidFill>
          <a:schemeClr val="accent2">
            <a:hueOff val="-242561"/>
            <a:satOff val="-13988"/>
            <a:lumOff val="1438"/>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tx1"/>
              </a:solidFill>
              <a:latin typeface="Times New Roman" pitchFamily="18" charset="0"/>
              <a:cs typeface="Times New Roman" pitchFamily="18" charset="0"/>
            </a:rPr>
            <a:t>Integration Difficulties</a:t>
          </a:r>
          <a:endParaRPr lang="en-US" sz="800" kern="1200">
            <a:solidFill>
              <a:schemeClr val="tx1"/>
            </a:solidFill>
            <a:latin typeface="Times New Roman" pitchFamily="18" charset="0"/>
            <a:cs typeface="Times New Roman" pitchFamily="18" charset="0"/>
          </a:endParaRPr>
        </a:p>
      </dsp:txBody>
      <dsp:txXfrm>
        <a:off x="3508249" y="558998"/>
        <a:ext cx="970379" cy="460289"/>
      </dsp:txXfrm>
    </dsp:sp>
    <dsp:sp modelId="{555CC42C-D4DA-429D-B87F-E5CA8F440CC2}">
      <dsp:nvSpPr>
        <dsp:cNvPr id="0" name=""/>
        <dsp:cNvSpPr/>
      </dsp:nvSpPr>
      <dsp:spPr>
        <a:xfrm>
          <a:off x="3756910" y="1732648"/>
          <a:ext cx="1020179" cy="510089"/>
        </a:xfrm>
        <a:prstGeom prst="roundRect">
          <a:avLst/>
        </a:prstGeom>
        <a:solidFill>
          <a:schemeClr val="accent2">
            <a:hueOff val="-485121"/>
            <a:satOff val="-27976"/>
            <a:lumOff val="287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tx1"/>
              </a:solidFill>
              <a:latin typeface="Times New Roman" pitchFamily="18" charset="0"/>
              <a:cs typeface="Times New Roman" pitchFamily="18" charset="0"/>
            </a:rPr>
            <a:t>Leadership Challenges</a:t>
          </a:r>
          <a:endParaRPr lang="en-US" sz="800" kern="1200">
            <a:solidFill>
              <a:schemeClr val="tx1"/>
            </a:solidFill>
            <a:latin typeface="Times New Roman" pitchFamily="18" charset="0"/>
            <a:cs typeface="Times New Roman" pitchFamily="18" charset="0"/>
          </a:endParaRPr>
        </a:p>
      </dsp:txBody>
      <dsp:txXfrm>
        <a:off x="3781810" y="1757548"/>
        <a:ext cx="970379" cy="460289"/>
      </dsp:txXfrm>
    </dsp:sp>
    <dsp:sp modelId="{54B2DDA9-4673-49B0-8E69-838B7CB091B3}">
      <dsp:nvSpPr>
        <dsp:cNvPr id="0" name=""/>
        <dsp:cNvSpPr/>
      </dsp:nvSpPr>
      <dsp:spPr>
        <a:xfrm>
          <a:off x="2990409" y="2693810"/>
          <a:ext cx="1020179" cy="510089"/>
        </a:xfrm>
        <a:prstGeom prst="roundRect">
          <a:avLst/>
        </a:prstGeom>
        <a:solidFill>
          <a:schemeClr val="accent2">
            <a:hueOff val="-727682"/>
            <a:satOff val="-41964"/>
            <a:lumOff val="4314"/>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tx1"/>
              </a:solidFill>
              <a:latin typeface="Times New Roman" pitchFamily="18" charset="0"/>
              <a:cs typeface="Times New Roman" pitchFamily="18" charset="0"/>
            </a:rPr>
            <a:t>Employee Engagement and Retention</a:t>
          </a:r>
          <a:endParaRPr lang="en-US" sz="800" kern="1200">
            <a:solidFill>
              <a:schemeClr val="tx1"/>
            </a:solidFill>
            <a:latin typeface="Times New Roman" pitchFamily="18" charset="0"/>
            <a:cs typeface="Times New Roman" pitchFamily="18" charset="0"/>
          </a:endParaRPr>
        </a:p>
      </dsp:txBody>
      <dsp:txXfrm>
        <a:off x="3015309" y="2718710"/>
        <a:ext cx="970379" cy="460289"/>
      </dsp:txXfrm>
    </dsp:sp>
    <dsp:sp modelId="{DBC926D7-46F1-4AAE-B404-68EB19AFFCDA}">
      <dsp:nvSpPr>
        <dsp:cNvPr id="0" name=""/>
        <dsp:cNvSpPr/>
      </dsp:nvSpPr>
      <dsp:spPr>
        <a:xfrm>
          <a:off x="1761036" y="2693810"/>
          <a:ext cx="1020179" cy="510089"/>
        </a:xfrm>
        <a:prstGeom prst="roundRect">
          <a:avLst/>
        </a:prstGeom>
        <a:solidFill>
          <a:schemeClr val="accent2">
            <a:hueOff val="-970242"/>
            <a:satOff val="-55952"/>
            <a:lumOff val="5752"/>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tx1"/>
              </a:solidFill>
              <a:latin typeface="Times New Roman" pitchFamily="18" charset="0"/>
              <a:cs typeface="Times New Roman" pitchFamily="18" charset="0"/>
            </a:rPr>
            <a:t>Cultural Adaptation Strategies</a:t>
          </a:r>
          <a:endParaRPr lang="en-US" sz="800" kern="1200">
            <a:solidFill>
              <a:schemeClr val="tx1"/>
            </a:solidFill>
            <a:latin typeface="Times New Roman" pitchFamily="18" charset="0"/>
            <a:cs typeface="Times New Roman" pitchFamily="18" charset="0"/>
          </a:endParaRPr>
        </a:p>
      </dsp:txBody>
      <dsp:txXfrm>
        <a:off x="1785936" y="2718710"/>
        <a:ext cx="970379" cy="460289"/>
      </dsp:txXfrm>
    </dsp:sp>
    <dsp:sp modelId="{D7FB44B9-D3D5-4484-95A4-97D41F3BCD55}">
      <dsp:nvSpPr>
        <dsp:cNvPr id="0" name=""/>
        <dsp:cNvSpPr/>
      </dsp:nvSpPr>
      <dsp:spPr>
        <a:xfrm>
          <a:off x="994535" y="1732648"/>
          <a:ext cx="1020179" cy="510089"/>
        </a:xfrm>
        <a:prstGeom prst="roundRect">
          <a:avLst/>
        </a:prstGeom>
        <a:solidFill>
          <a:schemeClr val="accent2">
            <a:hueOff val="-1212803"/>
            <a:satOff val="-69940"/>
            <a:lumOff val="719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tx1"/>
              </a:solidFill>
              <a:latin typeface="Times New Roman" pitchFamily="18" charset="0"/>
              <a:cs typeface="Times New Roman" pitchFamily="18" charset="0"/>
            </a:rPr>
            <a:t>Cultural Sensitivity Training</a:t>
          </a:r>
          <a:endParaRPr lang="en-US" sz="800" kern="1200">
            <a:solidFill>
              <a:schemeClr val="tx1"/>
            </a:solidFill>
            <a:latin typeface="Times New Roman" pitchFamily="18" charset="0"/>
            <a:cs typeface="Times New Roman" pitchFamily="18" charset="0"/>
          </a:endParaRPr>
        </a:p>
      </dsp:txBody>
      <dsp:txXfrm>
        <a:off x="1019435" y="1757548"/>
        <a:ext cx="970379" cy="460289"/>
      </dsp:txXfrm>
    </dsp:sp>
    <dsp:sp modelId="{2613E480-24CF-4051-A353-815FA862F728}">
      <dsp:nvSpPr>
        <dsp:cNvPr id="0" name=""/>
        <dsp:cNvSpPr/>
      </dsp:nvSpPr>
      <dsp:spPr>
        <a:xfrm>
          <a:off x="1268096" y="534098"/>
          <a:ext cx="1020179" cy="510089"/>
        </a:xfrm>
        <a:prstGeom prst="roundRect">
          <a:avLst/>
        </a:prstGeom>
        <a:solidFill>
          <a:schemeClr val="accent2">
            <a:hueOff val="-1455363"/>
            <a:satOff val="-83928"/>
            <a:lumOff val="8628"/>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tx1"/>
              </a:solidFill>
              <a:latin typeface="Times New Roman" pitchFamily="18" charset="0"/>
              <a:cs typeface="Times New Roman" pitchFamily="18" charset="0"/>
            </a:rPr>
            <a:t>Legal and Regulatory Compliance</a:t>
          </a:r>
          <a:endParaRPr lang="en-US" sz="800" kern="1200">
            <a:solidFill>
              <a:schemeClr val="tx1"/>
            </a:solidFill>
            <a:latin typeface="Times New Roman" pitchFamily="18" charset="0"/>
            <a:cs typeface="Times New Roman" pitchFamily="18" charset="0"/>
          </a:endParaRPr>
        </a:p>
      </dsp:txBody>
      <dsp:txXfrm>
        <a:off x="1292996" y="558998"/>
        <a:ext cx="970379" cy="46028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F9789C-D1A9-4FB2-902E-33CD6FAD81AA}">
      <dsp:nvSpPr>
        <dsp:cNvPr id="0" name=""/>
        <dsp:cNvSpPr/>
      </dsp:nvSpPr>
      <dsp:spPr>
        <a:xfrm>
          <a:off x="2186494" y="1737115"/>
          <a:ext cx="1457359" cy="1457359"/>
        </a:xfrm>
        <a:prstGeom prst="ellips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kern="1200">
              <a:solidFill>
                <a:schemeClr val="tx1"/>
              </a:solidFill>
            </a:rPr>
            <a:t>Collaboration and Team Performance</a:t>
          </a:r>
        </a:p>
        <a:p>
          <a:pPr marL="0" lvl="0" indent="0" algn="ctr" defTabSz="488950">
            <a:lnSpc>
              <a:spcPct val="90000"/>
            </a:lnSpc>
            <a:spcBef>
              <a:spcPct val="0"/>
            </a:spcBef>
            <a:spcAft>
              <a:spcPct val="35000"/>
            </a:spcAft>
            <a:buNone/>
          </a:pPr>
          <a:r>
            <a:rPr lang="en-US" sz="1100" b="1" kern="1200">
              <a:solidFill>
                <a:schemeClr val="tx1"/>
              </a:solidFill>
              <a:latin typeface="Times New Roman" pitchFamily="18" charset="0"/>
              <a:cs typeface="Times New Roman" pitchFamily="18" charset="0"/>
            </a:rPr>
            <a:t>(Dependent variable)</a:t>
          </a:r>
        </a:p>
      </dsp:txBody>
      <dsp:txXfrm>
        <a:off x="2399919" y="1950540"/>
        <a:ext cx="1030509" cy="1030509"/>
      </dsp:txXfrm>
    </dsp:sp>
    <dsp:sp modelId="{A9E3C04B-171F-48BE-8992-9C0A5E5A35C4}">
      <dsp:nvSpPr>
        <dsp:cNvPr id="0" name=""/>
        <dsp:cNvSpPr/>
      </dsp:nvSpPr>
      <dsp:spPr>
        <a:xfrm rot="12900000">
          <a:off x="1248531" y="1482372"/>
          <a:ext cx="1117515" cy="415347"/>
        </a:xfrm>
        <a:prstGeom prst="leftArrow">
          <a:avLst>
            <a:gd name="adj1" fmla="val 60000"/>
            <a:gd name="adj2" fmla="val 5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08424C1F-5AB9-42CA-A5DB-BF7EDF60C789}">
      <dsp:nvSpPr>
        <dsp:cNvPr id="0" name=""/>
        <dsp:cNvSpPr/>
      </dsp:nvSpPr>
      <dsp:spPr>
        <a:xfrm>
          <a:off x="657335" y="815758"/>
          <a:ext cx="1384491" cy="1107593"/>
        </a:xfrm>
        <a:prstGeom prst="roundRect">
          <a:avLst>
            <a:gd name="adj" fmla="val 1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rPr>
            <a:t>Cultural Awareness Training</a:t>
          </a:r>
        </a:p>
        <a:p>
          <a:pPr marL="0" lvl="0" indent="0" algn="ctr" defTabSz="444500">
            <a:lnSpc>
              <a:spcPct val="90000"/>
            </a:lnSpc>
            <a:spcBef>
              <a:spcPct val="0"/>
            </a:spcBef>
            <a:spcAft>
              <a:spcPct val="35000"/>
            </a:spcAft>
            <a:buNone/>
          </a:pPr>
          <a:r>
            <a:rPr lang="en-US" sz="1000" b="1" kern="1200">
              <a:solidFill>
                <a:schemeClr val="tx1"/>
              </a:solidFill>
              <a:latin typeface="Times New Roman" pitchFamily="18" charset="0"/>
              <a:cs typeface="Times New Roman" pitchFamily="18" charset="0"/>
            </a:rPr>
            <a:t>(Independent variable) </a:t>
          </a:r>
          <a:endParaRPr lang="en-US" sz="1000" kern="1200">
            <a:solidFill>
              <a:schemeClr val="tx1"/>
            </a:solidFill>
            <a:latin typeface="Times New Roman" pitchFamily="18" charset="0"/>
            <a:cs typeface="Times New Roman" pitchFamily="18" charset="0"/>
          </a:endParaRPr>
        </a:p>
      </dsp:txBody>
      <dsp:txXfrm>
        <a:off x="689775" y="848198"/>
        <a:ext cx="1319611" cy="1042713"/>
      </dsp:txXfrm>
    </dsp:sp>
    <dsp:sp modelId="{3C0B2AAC-694F-4102-94E6-03B1A8E5093C}">
      <dsp:nvSpPr>
        <dsp:cNvPr id="0" name=""/>
        <dsp:cNvSpPr/>
      </dsp:nvSpPr>
      <dsp:spPr>
        <a:xfrm rot="16200000">
          <a:off x="2356416" y="905643"/>
          <a:ext cx="1117515" cy="415347"/>
        </a:xfrm>
        <a:prstGeom prst="leftArrow">
          <a:avLst>
            <a:gd name="adj1" fmla="val 60000"/>
            <a:gd name="adj2" fmla="val 50000"/>
          </a:avLst>
        </a:prstGeom>
        <a:solidFill>
          <a:schemeClr val="accent2">
            <a:hueOff val="-727682"/>
            <a:satOff val="-41964"/>
            <a:lumOff val="4314"/>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0BB7127E-9B25-417D-BD53-9ABC38C2F6BB}">
      <dsp:nvSpPr>
        <dsp:cNvPr id="0" name=""/>
        <dsp:cNvSpPr/>
      </dsp:nvSpPr>
      <dsp:spPr>
        <a:xfrm>
          <a:off x="2222928" y="762"/>
          <a:ext cx="1384491" cy="1107593"/>
        </a:xfrm>
        <a:prstGeom prst="roundRect">
          <a:avLst>
            <a:gd name="adj" fmla="val 10000"/>
          </a:avLst>
        </a:prstGeom>
        <a:solidFill>
          <a:schemeClr val="accent2">
            <a:hueOff val="-727682"/>
            <a:satOff val="-41964"/>
            <a:lumOff val="4314"/>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rPr>
            <a:t>Cross-Cultural Teams and Projects</a:t>
          </a:r>
        </a:p>
        <a:p>
          <a:pPr marL="0" lvl="0" indent="0" algn="ctr" defTabSz="444500">
            <a:lnSpc>
              <a:spcPct val="90000"/>
            </a:lnSpc>
            <a:spcBef>
              <a:spcPct val="0"/>
            </a:spcBef>
            <a:spcAft>
              <a:spcPct val="35000"/>
            </a:spcAft>
            <a:buNone/>
          </a:pPr>
          <a:r>
            <a:rPr lang="en-US" sz="1000" b="1" kern="1200">
              <a:solidFill>
                <a:schemeClr val="tx1"/>
              </a:solidFill>
              <a:latin typeface="Times New Roman" pitchFamily="18" charset="0"/>
              <a:cs typeface="Times New Roman" pitchFamily="18" charset="0"/>
            </a:rPr>
            <a:t>(Independent variable) </a:t>
          </a:r>
          <a:endParaRPr lang="en-US" sz="1000" kern="1200">
            <a:solidFill>
              <a:schemeClr val="tx1"/>
            </a:solidFill>
            <a:latin typeface="Times New Roman" pitchFamily="18" charset="0"/>
            <a:cs typeface="Times New Roman" pitchFamily="18" charset="0"/>
          </a:endParaRPr>
        </a:p>
      </dsp:txBody>
      <dsp:txXfrm>
        <a:off x="2255368" y="33202"/>
        <a:ext cx="1319611" cy="1042713"/>
      </dsp:txXfrm>
    </dsp:sp>
    <dsp:sp modelId="{B1F25C48-7A04-41BC-8BE6-2DCA59AC3C78}">
      <dsp:nvSpPr>
        <dsp:cNvPr id="0" name=""/>
        <dsp:cNvSpPr/>
      </dsp:nvSpPr>
      <dsp:spPr>
        <a:xfrm rot="19500000">
          <a:off x="3464301" y="1482372"/>
          <a:ext cx="1117515" cy="415347"/>
        </a:xfrm>
        <a:prstGeom prst="leftArrow">
          <a:avLst>
            <a:gd name="adj1" fmla="val 60000"/>
            <a:gd name="adj2" fmla="val 50000"/>
          </a:avLst>
        </a:prstGeom>
        <a:solidFill>
          <a:schemeClr val="accent2">
            <a:hueOff val="-1455363"/>
            <a:satOff val="-83928"/>
            <a:lumOff val="8628"/>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AB677488-81DF-4406-8194-EFE4BF8611F8}">
      <dsp:nvSpPr>
        <dsp:cNvPr id="0" name=""/>
        <dsp:cNvSpPr/>
      </dsp:nvSpPr>
      <dsp:spPr>
        <a:xfrm>
          <a:off x="3788521" y="815758"/>
          <a:ext cx="1384491" cy="1107593"/>
        </a:xfrm>
        <a:prstGeom prst="roundRect">
          <a:avLst>
            <a:gd name="adj" fmla="val 10000"/>
          </a:avLst>
        </a:prstGeom>
        <a:solidFill>
          <a:schemeClr val="accent2">
            <a:hueOff val="-1455363"/>
            <a:satOff val="-83928"/>
            <a:lumOff val="8628"/>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rPr>
            <a:t>Cultural Adaptation of Policies</a:t>
          </a:r>
        </a:p>
        <a:p>
          <a:pPr marL="0" lvl="0" indent="0" algn="ctr" defTabSz="444500">
            <a:lnSpc>
              <a:spcPct val="90000"/>
            </a:lnSpc>
            <a:spcBef>
              <a:spcPct val="0"/>
            </a:spcBef>
            <a:spcAft>
              <a:spcPct val="35000"/>
            </a:spcAft>
            <a:buNone/>
          </a:pPr>
          <a:r>
            <a:rPr lang="en-US" sz="1000" b="1" kern="1200">
              <a:solidFill>
                <a:schemeClr val="tx1"/>
              </a:solidFill>
              <a:latin typeface="Times New Roman" pitchFamily="18" charset="0"/>
              <a:cs typeface="Times New Roman" pitchFamily="18" charset="0"/>
            </a:rPr>
            <a:t>(Independent variable) </a:t>
          </a:r>
          <a:endParaRPr lang="en-US" sz="1000" kern="1200">
            <a:solidFill>
              <a:schemeClr val="tx1"/>
            </a:solidFill>
            <a:latin typeface="Times New Roman" pitchFamily="18" charset="0"/>
            <a:cs typeface="Times New Roman" pitchFamily="18" charset="0"/>
          </a:endParaRPr>
        </a:p>
      </dsp:txBody>
      <dsp:txXfrm>
        <a:off x="3820961" y="848198"/>
        <a:ext cx="1319611" cy="1042713"/>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D75659E-8710-468B-BB10-2FFCD80A2A68}">
      <dsp:nvSpPr>
        <dsp:cNvPr id="0" name=""/>
        <dsp:cNvSpPr/>
      </dsp:nvSpPr>
      <dsp:spPr>
        <a:xfrm>
          <a:off x="1541420" y="195480"/>
          <a:ext cx="2691858" cy="2691858"/>
        </a:xfrm>
        <a:prstGeom prst="pie">
          <a:avLst>
            <a:gd name="adj1" fmla="val 16200000"/>
            <a:gd name="adj2" fmla="val 1928580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tx1"/>
              </a:solidFill>
              <a:latin typeface="Times New Roman" pitchFamily="18" charset="0"/>
              <a:cs typeface="Times New Roman" pitchFamily="18" charset="0"/>
            </a:rPr>
            <a:t>Cultural Intelligence (CQ)</a:t>
          </a:r>
          <a:endParaRPr lang="en-US" sz="800" kern="1200">
            <a:solidFill>
              <a:schemeClr val="tx1"/>
            </a:solidFill>
            <a:latin typeface="Times New Roman" pitchFamily="18" charset="0"/>
            <a:cs typeface="Times New Roman" pitchFamily="18" charset="0"/>
          </a:endParaRPr>
        </a:p>
      </dsp:txBody>
      <dsp:txXfrm>
        <a:off x="2955607" y="445438"/>
        <a:ext cx="640918" cy="512735"/>
      </dsp:txXfrm>
    </dsp:sp>
    <dsp:sp modelId="{C4F0B905-A417-4899-B32D-AB34CD0A29BA}">
      <dsp:nvSpPr>
        <dsp:cNvPr id="0" name=""/>
        <dsp:cNvSpPr/>
      </dsp:nvSpPr>
      <dsp:spPr>
        <a:xfrm>
          <a:off x="1576030" y="238742"/>
          <a:ext cx="2691858" cy="2691858"/>
        </a:xfrm>
        <a:prstGeom prst="pie">
          <a:avLst>
            <a:gd name="adj1" fmla="val 19285800"/>
            <a:gd name="adj2" fmla="val 771600"/>
          </a:avLst>
        </a:prstGeom>
        <a:solidFill>
          <a:schemeClr val="accent4">
            <a:hueOff val="1633482"/>
            <a:satOff val="-6796"/>
            <a:lumOff val="1601"/>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tx1"/>
              </a:solidFill>
              <a:latin typeface="Times New Roman" pitchFamily="18" charset="0"/>
              <a:cs typeface="Times New Roman" pitchFamily="18" charset="0"/>
            </a:rPr>
            <a:t>Intercultural Communication Competence (ICC)</a:t>
          </a:r>
          <a:endParaRPr lang="en-US" sz="800" kern="1200">
            <a:solidFill>
              <a:schemeClr val="tx1"/>
            </a:solidFill>
            <a:latin typeface="Times New Roman" pitchFamily="18" charset="0"/>
            <a:cs typeface="Times New Roman" pitchFamily="18" charset="0"/>
          </a:endParaRPr>
        </a:p>
      </dsp:txBody>
      <dsp:txXfrm>
        <a:off x="3404251" y="1214541"/>
        <a:ext cx="737056" cy="448643"/>
      </dsp:txXfrm>
    </dsp:sp>
    <dsp:sp modelId="{342F53B0-C5C7-4AE0-A2F8-AE3A34469DB9}">
      <dsp:nvSpPr>
        <dsp:cNvPr id="0" name=""/>
        <dsp:cNvSpPr/>
      </dsp:nvSpPr>
      <dsp:spPr>
        <a:xfrm>
          <a:off x="1563532" y="293220"/>
          <a:ext cx="2691858" cy="2691858"/>
        </a:xfrm>
        <a:prstGeom prst="pie">
          <a:avLst>
            <a:gd name="adj1" fmla="val 771600"/>
            <a:gd name="adj2" fmla="val 3857400"/>
          </a:avLst>
        </a:prstGeom>
        <a:solidFill>
          <a:schemeClr val="accent4">
            <a:hueOff val="3266964"/>
            <a:satOff val="-13592"/>
            <a:lumOff val="3203"/>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tx1"/>
              </a:solidFill>
              <a:latin typeface="Times New Roman" pitchFamily="18" charset="0"/>
              <a:cs typeface="Times New Roman" pitchFamily="18" charset="0"/>
            </a:rPr>
            <a:t>The Lewin's Change Management Model</a:t>
          </a:r>
          <a:endParaRPr lang="en-US" sz="800" kern="1200">
            <a:solidFill>
              <a:schemeClr val="tx1"/>
            </a:solidFill>
            <a:latin typeface="Times New Roman" pitchFamily="18" charset="0"/>
            <a:cs typeface="Times New Roman" pitchFamily="18" charset="0"/>
          </a:endParaRPr>
        </a:p>
      </dsp:txBody>
      <dsp:txXfrm>
        <a:off x="3292090" y="1887505"/>
        <a:ext cx="640918" cy="496712"/>
      </dsp:txXfrm>
    </dsp:sp>
    <dsp:sp modelId="{32368C6C-1EE2-463D-B38D-5BE35721A571}">
      <dsp:nvSpPr>
        <dsp:cNvPr id="0" name=""/>
        <dsp:cNvSpPr/>
      </dsp:nvSpPr>
      <dsp:spPr>
        <a:xfrm>
          <a:off x="1513540" y="317254"/>
          <a:ext cx="2691858" cy="2691858"/>
        </a:xfrm>
        <a:prstGeom prst="pie">
          <a:avLst>
            <a:gd name="adj1" fmla="val 3857400"/>
            <a:gd name="adj2" fmla="val 6942600"/>
          </a:avLst>
        </a:prstGeom>
        <a:solidFill>
          <a:schemeClr val="accent4">
            <a:hueOff val="4900445"/>
            <a:satOff val="-20388"/>
            <a:lumOff val="4804"/>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tx1"/>
              </a:solidFill>
              <a:latin typeface="Times New Roman" pitchFamily="18" charset="0"/>
              <a:cs typeface="Times New Roman" pitchFamily="18" charset="0"/>
            </a:rPr>
            <a:t>The Iceberg Model of Culture</a:t>
          </a:r>
          <a:endParaRPr lang="en-US" sz="800" kern="1200">
            <a:solidFill>
              <a:schemeClr val="tx1"/>
            </a:solidFill>
            <a:latin typeface="Times New Roman" pitchFamily="18" charset="0"/>
            <a:cs typeface="Times New Roman" pitchFamily="18" charset="0"/>
          </a:endParaRPr>
        </a:p>
      </dsp:txBody>
      <dsp:txXfrm>
        <a:off x="2547022" y="2432286"/>
        <a:ext cx="624895" cy="448643"/>
      </dsp:txXfrm>
    </dsp:sp>
    <dsp:sp modelId="{9ECF988F-33E5-4DA8-BA1D-66751D5ED4DF}">
      <dsp:nvSpPr>
        <dsp:cNvPr id="0" name=""/>
        <dsp:cNvSpPr/>
      </dsp:nvSpPr>
      <dsp:spPr>
        <a:xfrm>
          <a:off x="1463548" y="293220"/>
          <a:ext cx="2691858" cy="2691858"/>
        </a:xfrm>
        <a:prstGeom prst="pie">
          <a:avLst>
            <a:gd name="adj1" fmla="val 6942600"/>
            <a:gd name="adj2" fmla="val 10028400"/>
          </a:avLst>
        </a:prstGeom>
        <a:solidFill>
          <a:schemeClr val="accent4">
            <a:hueOff val="6533927"/>
            <a:satOff val="-27185"/>
            <a:lumOff val="6405"/>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tx1"/>
              </a:solidFill>
              <a:latin typeface="Times New Roman" pitchFamily="18" charset="0"/>
              <a:cs typeface="Times New Roman" pitchFamily="18" charset="0"/>
            </a:rPr>
            <a:t>The Social Identity Theory</a:t>
          </a:r>
          <a:endParaRPr lang="en-US" sz="800" kern="1200">
            <a:solidFill>
              <a:schemeClr val="tx1"/>
            </a:solidFill>
            <a:latin typeface="Times New Roman" pitchFamily="18" charset="0"/>
            <a:cs typeface="Times New Roman" pitchFamily="18" charset="0"/>
          </a:endParaRPr>
        </a:p>
      </dsp:txBody>
      <dsp:txXfrm>
        <a:off x="1785931" y="1887505"/>
        <a:ext cx="640918" cy="496712"/>
      </dsp:txXfrm>
    </dsp:sp>
    <dsp:sp modelId="{8A66FAF5-831D-4474-A6CD-9A27FF062D3D}">
      <dsp:nvSpPr>
        <dsp:cNvPr id="0" name=""/>
        <dsp:cNvSpPr/>
      </dsp:nvSpPr>
      <dsp:spPr>
        <a:xfrm>
          <a:off x="1451051" y="238742"/>
          <a:ext cx="2691858" cy="2691858"/>
        </a:xfrm>
        <a:prstGeom prst="pie">
          <a:avLst>
            <a:gd name="adj1" fmla="val 10028400"/>
            <a:gd name="adj2" fmla="val 13114200"/>
          </a:avLst>
        </a:prstGeom>
        <a:solidFill>
          <a:schemeClr val="accent4">
            <a:hueOff val="8167408"/>
            <a:satOff val="-33981"/>
            <a:lumOff val="8007"/>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tx1"/>
              </a:solidFill>
              <a:latin typeface="Times New Roman" pitchFamily="18" charset="0"/>
              <a:cs typeface="Times New Roman" pitchFamily="18" charset="0"/>
            </a:rPr>
            <a:t>Cultural Assimilator Model</a:t>
          </a:r>
          <a:endParaRPr lang="en-US" sz="800" kern="1200">
            <a:solidFill>
              <a:schemeClr val="tx1"/>
            </a:solidFill>
            <a:latin typeface="Times New Roman" pitchFamily="18" charset="0"/>
            <a:cs typeface="Times New Roman" pitchFamily="18" charset="0"/>
          </a:endParaRPr>
        </a:p>
      </dsp:txBody>
      <dsp:txXfrm>
        <a:off x="1577632" y="1214541"/>
        <a:ext cx="737056" cy="448643"/>
      </dsp:txXfrm>
    </dsp:sp>
    <dsp:sp modelId="{DA92AAD0-8049-4133-BFF1-2B33BF3B4A5A}">
      <dsp:nvSpPr>
        <dsp:cNvPr id="0" name=""/>
        <dsp:cNvSpPr/>
      </dsp:nvSpPr>
      <dsp:spPr>
        <a:xfrm>
          <a:off x="1485660" y="195480"/>
          <a:ext cx="2691858" cy="2691858"/>
        </a:xfrm>
        <a:prstGeom prst="pie">
          <a:avLst>
            <a:gd name="adj1" fmla="val 13114200"/>
            <a:gd name="adj2" fmla="val 16200000"/>
          </a:avLst>
        </a:prstGeom>
        <a:solidFill>
          <a:schemeClr val="accent4">
            <a:hueOff val="9800891"/>
            <a:satOff val="-40777"/>
            <a:lumOff val="9608"/>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tx1"/>
              </a:solidFill>
              <a:latin typeface="Times New Roman" pitchFamily="18" charset="0"/>
              <a:cs typeface="Times New Roman" pitchFamily="18" charset="0"/>
            </a:rPr>
            <a:t>The Dual Concern Model</a:t>
          </a:r>
          <a:endParaRPr lang="en-US" sz="800" kern="1200">
            <a:solidFill>
              <a:schemeClr val="tx1"/>
            </a:solidFill>
            <a:latin typeface="Times New Roman" pitchFamily="18" charset="0"/>
            <a:cs typeface="Times New Roman" pitchFamily="18" charset="0"/>
          </a:endParaRPr>
        </a:p>
      </dsp:txBody>
      <dsp:txXfrm>
        <a:off x="2122413" y="445438"/>
        <a:ext cx="640918" cy="512735"/>
      </dsp:txXfrm>
    </dsp:sp>
    <dsp:sp modelId="{10E8E768-0B51-40DE-BE2F-BE88FBEBEE09}">
      <dsp:nvSpPr>
        <dsp:cNvPr id="0" name=""/>
        <dsp:cNvSpPr/>
      </dsp:nvSpPr>
      <dsp:spPr>
        <a:xfrm>
          <a:off x="1374647" y="28841"/>
          <a:ext cx="3025136" cy="3025136"/>
        </a:xfrm>
        <a:prstGeom prst="circularArrow">
          <a:avLst>
            <a:gd name="adj1" fmla="val 5085"/>
            <a:gd name="adj2" fmla="val 327528"/>
            <a:gd name="adj3" fmla="val 18957827"/>
            <a:gd name="adj4" fmla="val 16200343"/>
            <a:gd name="adj5" fmla="val 5932"/>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BFF8DCD5-E23B-400C-9130-4305E8289135}">
      <dsp:nvSpPr>
        <dsp:cNvPr id="0" name=""/>
        <dsp:cNvSpPr/>
      </dsp:nvSpPr>
      <dsp:spPr>
        <a:xfrm>
          <a:off x="1409474" y="72294"/>
          <a:ext cx="3025136" cy="3025136"/>
        </a:xfrm>
        <a:prstGeom prst="circularArrow">
          <a:avLst>
            <a:gd name="adj1" fmla="val 5085"/>
            <a:gd name="adj2" fmla="val 327528"/>
            <a:gd name="adj3" fmla="val 443744"/>
            <a:gd name="adj4" fmla="val 19285776"/>
            <a:gd name="adj5" fmla="val 5932"/>
          </a:avLst>
        </a:prstGeom>
        <a:solidFill>
          <a:schemeClr val="accent4">
            <a:hueOff val="1633482"/>
            <a:satOff val="-6796"/>
            <a:lumOff val="1601"/>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2C6C0134-6903-466E-8B96-25BDFAF14E82}">
      <dsp:nvSpPr>
        <dsp:cNvPr id="0" name=""/>
        <dsp:cNvSpPr/>
      </dsp:nvSpPr>
      <dsp:spPr>
        <a:xfrm>
          <a:off x="1396932" y="126646"/>
          <a:ext cx="3025136" cy="3025136"/>
        </a:xfrm>
        <a:prstGeom prst="circularArrow">
          <a:avLst>
            <a:gd name="adj1" fmla="val 5085"/>
            <a:gd name="adj2" fmla="val 327528"/>
            <a:gd name="adj3" fmla="val 3529100"/>
            <a:gd name="adj4" fmla="val 770764"/>
            <a:gd name="adj5" fmla="val 5932"/>
          </a:avLst>
        </a:prstGeom>
        <a:solidFill>
          <a:schemeClr val="accent4">
            <a:hueOff val="3266964"/>
            <a:satOff val="-13592"/>
            <a:lumOff val="3203"/>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AA583475-065B-41C3-A900-1024BC357C4D}">
      <dsp:nvSpPr>
        <dsp:cNvPr id="0" name=""/>
        <dsp:cNvSpPr/>
      </dsp:nvSpPr>
      <dsp:spPr>
        <a:xfrm>
          <a:off x="1346901" y="150545"/>
          <a:ext cx="3025136" cy="3025136"/>
        </a:xfrm>
        <a:prstGeom prst="circularArrow">
          <a:avLst>
            <a:gd name="adj1" fmla="val 5085"/>
            <a:gd name="adj2" fmla="val 327528"/>
            <a:gd name="adj3" fmla="val 6615046"/>
            <a:gd name="adj4" fmla="val 3857426"/>
            <a:gd name="adj5" fmla="val 5932"/>
          </a:avLst>
        </a:prstGeom>
        <a:solidFill>
          <a:schemeClr val="accent4">
            <a:hueOff val="4900445"/>
            <a:satOff val="-20388"/>
            <a:lumOff val="4804"/>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A4D78434-2494-4991-A0B6-0EA7D95AE584}">
      <dsp:nvSpPr>
        <dsp:cNvPr id="0" name=""/>
        <dsp:cNvSpPr/>
      </dsp:nvSpPr>
      <dsp:spPr>
        <a:xfrm>
          <a:off x="1296870" y="126646"/>
          <a:ext cx="3025136" cy="3025136"/>
        </a:xfrm>
        <a:prstGeom prst="circularArrow">
          <a:avLst>
            <a:gd name="adj1" fmla="val 5085"/>
            <a:gd name="adj2" fmla="val 327528"/>
            <a:gd name="adj3" fmla="val 9701707"/>
            <a:gd name="adj4" fmla="val 6943371"/>
            <a:gd name="adj5" fmla="val 5932"/>
          </a:avLst>
        </a:prstGeom>
        <a:solidFill>
          <a:schemeClr val="accent4">
            <a:hueOff val="6533927"/>
            <a:satOff val="-27185"/>
            <a:lumOff val="6405"/>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EB7D708A-DC90-47B7-A8A7-895E719C278C}">
      <dsp:nvSpPr>
        <dsp:cNvPr id="0" name=""/>
        <dsp:cNvSpPr/>
      </dsp:nvSpPr>
      <dsp:spPr>
        <a:xfrm>
          <a:off x="1284328" y="72294"/>
          <a:ext cx="3025136" cy="3025136"/>
        </a:xfrm>
        <a:prstGeom prst="circularArrow">
          <a:avLst>
            <a:gd name="adj1" fmla="val 5085"/>
            <a:gd name="adj2" fmla="val 327528"/>
            <a:gd name="adj3" fmla="val 12786695"/>
            <a:gd name="adj4" fmla="val 10028727"/>
            <a:gd name="adj5" fmla="val 5932"/>
          </a:avLst>
        </a:prstGeom>
        <a:solidFill>
          <a:schemeClr val="accent4">
            <a:hueOff val="8167408"/>
            <a:satOff val="-33981"/>
            <a:lumOff val="8007"/>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8B8E8399-0903-4D27-9C85-F1199E3A6BDA}">
      <dsp:nvSpPr>
        <dsp:cNvPr id="0" name=""/>
        <dsp:cNvSpPr/>
      </dsp:nvSpPr>
      <dsp:spPr>
        <a:xfrm>
          <a:off x="1319155" y="28841"/>
          <a:ext cx="3025136" cy="3025136"/>
        </a:xfrm>
        <a:prstGeom prst="circularArrow">
          <a:avLst>
            <a:gd name="adj1" fmla="val 5085"/>
            <a:gd name="adj2" fmla="val 327528"/>
            <a:gd name="adj3" fmla="val 15872129"/>
            <a:gd name="adj4" fmla="val 13114645"/>
            <a:gd name="adj5" fmla="val 5932"/>
          </a:avLst>
        </a:prstGeom>
        <a:solidFill>
          <a:schemeClr val="accent4">
            <a:hueOff val="9800891"/>
            <a:satOff val="-40777"/>
            <a:lumOff val="9608"/>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B5389FF-20A8-457B-93FA-67ED79E523D4}">
      <dsp:nvSpPr>
        <dsp:cNvPr id="0" name=""/>
        <dsp:cNvSpPr/>
      </dsp:nvSpPr>
      <dsp:spPr>
        <a:xfrm>
          <a:off x="429555" y="0"/>
          <a:ext cx="4868297" cy="3204595"/>
        </a:xfrm>
        <a:prstGeom prst="rightArrow">
          <a:avLst/>
        </a:prstGeom>
        <a:solidFill>
          <a:schemeClr val="accent3">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FEF56FC6-A67F-4F9C-86BE-72FBED6BEBA4}">
      <dsp:nvSpPr>
        <dsp:cNvPr id="0" name=""/>
        <dsp:cNvSpPr/>
      </dsp:nvSpPr>
      <dsp:spPr>
        <a:xfrm>
          <a:off x="2516" y="961378"/>
          <a:ext cx="1100456" cy="1281838"/>
        </a:xfrm>
        <a:prstGeom prst="roundRect">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latin typeface="Times New Roman" pitchFamily="18" charset="0"/>
              <a:cs typeface="Times New Roman" pitchFamily="18" charset="0"/>
            </a:rPr>
            <a:t>Cross-Cultural Training</a:t>
          </a:r>
          <a:endParaRPr lang="en-US" sz="1000" kern="1200">
            <a:solidFill>
              <a:schemeClr val="tx1"/>
            </a:solidFill>
            <a:latin typeface="Times New Roman" pitchFamily="18" charset="0"/>
            <a:cs typeface="Times New Roman" pitchFamily="18" charset="0"/>
          </a:endParaRPr>
        </a:p>
      </dsp:txBody>
      <dsp:txXfrm>
        <a:off x="56236" y="1015098"/>
        <a:ext cx="993016" cy="1174398"/>
      </dsp:txXfrm>
    </dsp:sp>
    <dsp:sp modelId="{76C2EEE7-BC26-44DE-A78F-795D9B6AE273}">
      <dsp:nvSpPr>
        <dsp:cNvPr id="0" name=""/>
        <dsp:cNvSpPr/>
      </dsp:nvSpPr>
      <dsp:spPr>
        <a:xfrm>
          <a:off x="1157996" y="961378"/>
          <a:ext cx="1100456" cy="1281838"/>
        </a:xfrm>
        <a:prstGeom prst="roundRect">
          <a:avLst/>
        </a:prstGeom>
        <a:solidFill>
          <a:schemeClr val="accent3">
            <a:hueOff val="677650"/>
            <a:satOff val="25000"/>
            <a:lumOff val="-367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latin typeface="Times New Roman" pitchFamily="18" charset="0"/>
              <a:cs typeface="Times New Roman" pitchFamily="18" charset="0"/>
            </a:rPr>
            <a:t>Diversity in Leadership</a:t>
          </a:r>
          <a:endParaRPr lang="en-US" sz="1000" kern="1200">
            <a:solidFill>
              <a:schemeClr val="tx1"/>
            </a:solidFill>
            <a:latin typeface="Times New Roman" pitchFamily="18" charset="0"/>
            <a:cs typeface="Times New Roman" pitchFamily="18" charset="0"/>
          </a:endParaRPr>
        </a:p>
      </dsp:txBody>
      <dsp:txXfrm>
        <a:off x="1211716" y="1015098"/>
        <a:ext cx="993016" cy="1174398"/>
      </dsp:txXfrm>
    </dsp:sp>
    <dsp:sp modelId="{49F977EE-4151-43FD-8457-B06CBB139B0A}">
      <dsp:nvSpPr>
        <dsp:cNvPr id="0" name=""/>
        <dsp:cNvSpPr/>
      </dsp:nvSpPr>
      <dsp:spPr>
        <a:xfrm>
          <a:off x="2313476" y="961378"/>
          <a:ext cx="1100456" cy="1281838"/>
        </a:xfrm>
        <a:prstGeom prst="roundRect">
          <a:avLst/>
        </a:prstGeom>
        <a:solidFill>
          <a:schemeClr val="accent3">
            <a:hueOff val="1355300"/>
            <a:satOff val="50000"/>
            <a:lumOff val="-7353"/>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latin typeface="Times New Roman" pitchFamily="18" charset="0"/>
              <a:cs typeface="Times New Roman" pitchFamily="18" charset="0"/>
            </a:rPr>
            <a:t>Communication Strategies</a:t>
          </a:r>
          <a:endParaRPr lang="en-US" sz="1000" kern="1200">
            <a:solidFill>
              <a:schemeClr val="tx1"/>
            </a:solidFill>
            <a:latin typeface="Times New Roman" pitchFamily="18" charset="0"/>
            <a:cs typeface="Times New Roman" pitchFamily="18" charset="0"/>
          </a:endParaRPr>
        </a:p>
      </dsp:txBody>
      <dsp:txXfrm>
        <a:off x="2367196" y="1015098"/>
        <a:ext cx="993016" cy="1174398"/>
      </dsp:txXfrm>
    </dsp:sp>
    <dsp:sp modelId="{EDCC5CD4-29B1-47F5-A0A3-FAB9F9A8E1D8}">
      <dsp:nvSpPr>
        <dsp:cNvPr id="0" name=""/>
        <dsp:cNvSpPr/>
      </dsp:nvSpPr>
      <dsp:spPr>
        <a:xfrm>
          <a:off x="3468955" y="961378"/>
          <a:ext cx="1100456" cy="1281838"/>
        </a:xfrm>
        <a:prstGeom prst="roundRect">
          <a:avLst/>
        </a:prstGeom>
        <a:solidFill>
          <a:schemeClr val="accent3">
            <a:hueOff val="2032949"/>
            <a:satOff val="75000"/>
            <a:lumOff val="-11029"/>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latin typeface="Times New Roman" pitchFamily="18" charset="0"/>
              <a:cs typeface="Times New Roman" pitchFamily="18" charset="0"/>
            </a:rPr>
            <a:t>Employee Resource Groups</a:t>
          </a:r>
          <a:endParaRPr lang="en-US" sz="1000" kern="1200">
            <a:solidFill>
              <a:schemeClr val="tx1"/>
            </a:solidFill>
            <a:latin typeface="Times New Roman" pitchFamily="18" charset="0"/>
            <a:cs typeface="Times New Roman" pitchFamily="18" charset="0"/>
          </a:endParaRPr>
        </a:p>
      </dsp:txBody>
      <dsp:txXfrm>
        <a:off x="3522675" y="1015098"/>
        <a:ext cx="993016" cy="1174398"/>
      </dsp:txXfrm>
    </dsp:sp>
    <dsp:sp modelId="{A5EA1107-792D-4F94-9121-A120ED1AAA15}">
      <dsp:nvSpPr>
        <dsp:cNvPr id="0" name=""/>
        <dsp:cNvSpPr/>
      </dsp:nvSpPr>
      <dsp:spPr>
        <a:xfrm>
          <a:off x="4624435" y="961378"/>
          <a:ext cx="1100456" cy="1281838"/>
        </a:xfrm>
        <a:prstGeom prst="roundRect">
          <a:avLst/>
        </a:prstGeom>
        <a:solidFill>
          <a:schemeClr val="accent3">
            <a:hueOff val="2710599"/>
            <a:satOff val="100000"/>
            <a:lumOff val="-1470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latin typeface="Times New Roman" pitchFamily="18" charset="0"/>
              <a:cs typeface="Times New Roman" pitchFamily="18" charset="0"/>
            </a:rPr>
            <a:t>Cultural Liaisons</a:t>
          </a:r>
          <a:endParaRPr lang="en-US" sz="1000" kern="1200">
            <a:solidFill>
              <a:schemeClr val="tx1"/>
            </a:solidFill>
            <a:latin typeface="Times New Roman" pitchFamily="18" charset="0"/>
            <a:cs typeface="Times New Roman" pitchFamily="18" charset="0"/>
          </a:endParaRPr>
        </a:p>
      </dsp:txBody>
      <dsp:txXfrm>
        <a:off x="4678155" y="1015098"/>
        <a:ext cx="993016" cy="1174398"/>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000804-CD1E-4522-82F0-549FC7574EAB}">
      <dsp:nvSpPr>
        <dsp:cNvPr id="0" name=""/>
        <dsp:cNvSpPr/>
      </dsp:nvSpPr>
      <dsp:spPr>
        <a:xfrm>
          <a:off x="1632" y="1127085"/>
          <a:ext cx="618284" cy="388360"/>
        </a:xfrm>
        <a:prstGeom prst="roundRect">
          <a:avLst>
            <a:gd name="adj" fmla="val 1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b="1" kern="1200">
              <a:solidFill>
                <a:schemeClr val="tx1"/>
              </a:solidFill>
              <a:latin typeface="Times New Roman" pitchFamily="18" charset="0"/>
              <a:cs typeface="Times New Roman" pitchFamily="18" charset="0"/>
            </a:rPr>
            <a:t>Growing Cross-Border Activity</a:t>
          </a:r>
          <a:endParaRPr lang="en-US" sz="600" kern="1200">
            <a:solidFill>
              <a:schemeClr val="tx1"/>
            </a:solidFill>
            <a:latin typeface="Times New Roman" pitchFamily="18" charset="0"/>
            <a:cs typeface="Times New Roman" pitchFamily="18" charset="0"/>
          </a:endParaRPr>
        </a:p>
      </dsp:txBody>
      <dsp:txXfrm>
        <a:off x="13007" y="1138460"/>
        <a:ext cx="595534" cy="365610"/>
      </dsp:txXfrm>
    </dsp:sp>
    <dsp:sp modelId="{CD81BE2B-7576-4E26-AD95-734C76741682}">
      <dsp:nvSpPr>
        <dsp:cNvPr id="0" name=""/>
        <dsp:cNvSpPr/>
      </dsp:nvSpPr>
      <dsp:spPr>
        <a:xfrm>
          <a:off x="681746" y="1244598"/>
          <a:ext cx="131076" cy="153334"/>
        </a:xfrm>
        <a:prstGeom prst="rightArrow">
          <a:avLst>
            <a:gd name="adj1" fmla="val 60000"/>
            <a:gd name="adj2" fmla="val 5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chemeClr val="tx1"/>
            </a:solidFill>
            <a:latin typeface="Times New Roman" pitchFamily="18" charset="0"/>
            <a:cs typeface="Times New Roman" pitchFamily="18" charset="0"/>
          </a:endParaRPr>
        </a:p>
      </dsp:txBody>
      <dsp:txXfrm>
        <a:off x="681746" y="1275265"/>
        <a:ext cx="91753" cy="92000"/>
      </dsp:txXfrm>
    </dsp:sp>
    <dsp:sp modelId="{F0A94885-3D5A-4644-A59E-5E322D29428B}">
      <dsp:nvSpPr>
        <dsp:cNvPr id="0" name=""/>
        <dsp:cNvSpPr/>
      </dsp:nvSpPr>
      <dsp:spPr>
        <a:xfrm>
          <a:off x="867231" y="1127085"/>
          <a:ext cx="618284" cy="388360"/>
        </a:xfrm>
        <a:prstGeom prst="roundRect">
          <a:avLst>
            <a:gd name="adj" fmla="val 1000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b="1" kern="1200">
              <a:solidFill>
                <a:schemeClr val="tx1"/>
              </a:solidFill>
              <a:latin typeface="Times New Roman" pitchFamily="18" charset="0"/>
              <a:cs typeface="Times New Roman" pitchFamily="18" charset="0"/>
            </a:rPr>
            <a:t>Cultural Differences Impact Business Outcomes</a:t>
          </a:r>
          <a:endParaRPr lang="en-US" sz="600" kern="1200">
            <a:solidFill>
              <a:schemeClr val="tx1"/>
            </a:solidFill>
            <a:latin typeface="Times New Roman" pitchFamily="18" charset="0"/>
            <a:cs typeface="Times New Roman" pitchFamily="18" charset="0"/>
          </a:endParaRPr>
        </a:p>
      </dsp:txBody>
      <dsp:txXfrm>
        <a:off x="878606" y="1138460"/>
        <a:ext cx="595534" cy="365610"/>
      </dsp:txXfrm>
    </dsp:sp>
    <dsp:sp modelId="{F9539083-8014-4D76-BE13-056A9BE9C1CF}">
      <dsp:nvSpPr>
        <dsp:cNvPr id="0" name=""/>
        <dsp:cNvSpPr/>
      </dsp:nvSpPr>
      <dsp:spPr>
        <a:xfrm>
          <a:off x="1547345" y="1244598"/>
          <a:ext cx="131076" cy="153334"/>
        </a:xfrm>
        <a:prstGeom prst="rightArrow">
          <a:avLst>
            <a:gd name="adj1" fmla="val 60000"/>
            <a:gd name="adj2" fmla="val 5000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chemeClr val="tx1"/>
            </a:solidFill>
            <a:latin typeface="Times New Roman" pitchFamily="18" charset="0"/>
            <a:cs typeface="Times New Roman" pitchFamily="18" charset="0"/>
          </a:endParaRPr>
        </a:p>
      </dsp:txBody>
      <dsp:txXfrm>
        <a:off x="1547345" y="1275265"/>
        <a:ext cx="91753" cy="92000"/>
      </dsp:txXfrm>
    </dsp:sp>
    <dsp:sp modelId="{435FD5A3-0CF9-4870-AEE9-3953CF10753D}">
      <dsp:nvSpPr>
        <dsp:cNvPr id="0" name=""/>
        <dsp:cNvSpPr/>
      </dsp:nvSpPr>
      <dsp:spPr>
        <a:xfrm>
          <a:off x="1732830" y="1127085"/>
          <a:ext cx="618284" cy="388360"/>
        </a:xfrm>
        <a:prstGeom prst="roundRect">
          <a:avLst>
            <a:gd name="adj" fmla="val 1000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b="1" kern="1200">
              <a:solidFill>
                <a:schemeClr val="tx1"/>
              </a:solidFill>
              <a:latin typeface="Times New Roman" pitchFamily="18" charset="0"/>
              <a:cs typeface="Times New Roman" pitchFamily="18" charset="0"/>
            </a:rPr>
            <a:t>Cultural Differences Impact Business Outcomes</a:t>
          </a:r>
          <a:endParaRPr lang="en-US" sz="600" kern="1200">
            <a:solidFill>
              <a:schemeClr val="tx1"/>
            </a:solidFill>
            <a:latin typeface="Times New Roman" pitchFamily="18" charset="0"/>
            <a:cs typeface="Times New Roman" pitchFamily="18" charset="0"/>
          </a:endParaRPr>
        </a:p>
      </dsp:txBody>
      <dsp:txXfrm>
        <a:off x="1744205" y="1138460"/>
        <a:ext cx="595534" cy="365610"/>
      </dsp:txXfrm>
    </dsp:sp>
    <dsp:sp modelId="{FFC43218-DA30-4DEE-A28F-CBB5D90E0998}">
      <dsp:nvSpPr>
        <dsp:cNvPr id="0" name=""/>
        <dsp:cNvSpPr/>
      </dsp:nvSpPr>
      <dsp:spPr>
        <a:xfrm>
          <a:off x="2412944" y="1244598"/>
          <a:ext cx="131076" cy="153334"/>
        </a:xfrm>
        <a:prstGeom prst="rightArrow">
          <a:avLst>
            <a:gd name="adj1" fmla="val 60000"/>
            <a:gd name="adj2" fmla="val 5000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chemeClr val="tx1"/>
            </a:solidFill>
            <a:latin typeface="Times New Roman" pitchFamily="18" charset="0"/>
            <a:cs typeface="Times New Roman" pitchFamily="18" charset="0"/>
          </a:endParaRPr>
        </a:p>
      </dsp:txBody>
      <dsp:txXfrm>
        <a:off x="2412944" y="1275265"/>
        <a:ext cx="91753" cy="92000"/>
      </dsp:txXfrm>
    </dsp:sp>
    <dsp:sp modelId="{68FE578B-5291-4A64-9BC4-1A130E5273E3}">
      <dsp:nvSpPr>
        <dsp:cNvPr id="0" name=""/>
        <dsp:cNvSpPr/>
      </dsp:nvSpPr>
      <dsp:spPr>
        <a:xfrm>
          <a:off x="2598429" y="1127085"/>
          <a:ext cx="618284" cy="388360"/>
        </a:xfrm>
        <a:prstGeom prst="roundRect">
          <a:avLst>
            <a:gd name="adj" fmla="val 1000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b="1" kern="1200">
              <a:solidFill>
                <a:schemeClr val="tx1"/>
              </a:solidFill>
              <a:latin typeface="Times New Roman" pitchFamily="18" charset="0"/>
              <a:cs typeface="Times New Roman" pitchFamily="18" charset="0"/>
            </a:rPr>
            <a:t>Risk Mitigation</a:t>
          </a:r>
          <a:endParaRPr lang="en-US" sz="600" kern="1200">
            <a:solidFill>
              <a:schemeClr val="tx1"/>
            </a:solidFill>
            <a:latin typeface="Times New Roman" pitchFamily="18" charset="0"/>
            <a:cs typeface="Times New Roman" pitchFamily="18" charset="0"/>
          </a:endParaRPr>
        </a:p>
      </dsp:txBody>
      <dsp:txXfrm>
        <a:off x="2609804" y="1138460"/>
        <a:ext cx="595534" cy="365610"/>
      </dsp:txXfrm>
    </dsp:sp>
    <dsp:sp modelId="{8A77CEB9-ABD1-436B-A820-8ADA44483D6B}">
      <dsp:nvSpPr>
        <dsp:cNvPr id="0" name=""/>
        <dsp:cNvSpPr/>
      </dsp:nvSpPr>
      <dsp:spPr>
        <a:xfrm>
          <a:off x="3278542" y="1244598"/>
          <a:ext cx="131076" cy="153334"/>
        </a:xfrm>
        <a:prstGeom prst="rightArrow">
          <a:avLst>
            <a:gd name="adj1" fmla="val 60000"/>
            <a:gd name="adj2" fmla="val 5000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chemeClr val="tx1"/>
            </a:solidFill>
            <a:latin typeface="Times New Roman" pitchFamily="18" charset="0"/>
            <a:cs typeface="Times New Roman" pitchFamily="18" charset="0"/>
          </a:endParaRPr>
        </a:p>
      </dsp:txBody>
      <dsp:txXfrm>
        <a:off x="3278542" y="1275265"/>
        <a:ext cx="91753" cy="92000"/>
      </dsp:txXfrm>
    </dsp:sp>
    <dsp:sp modelId="{46A97F85-5734-4224-8B3E-5CEE719E7664}">
      <dsp:nvSpPr>
        <dsp:cNvPr id="0" name=""/>
        <dsp:cNvSpPr/>
      </dsp:nvSpPr>
      <dsp:spPr>
        <a:xfrm>
          <a:off x="3464028" y="1127085"/>
          <a:ext cx="618284" cy="388360"/>
        </a:xfrm>
        <a:prstGeom prst="roundRect">
          <a:avLst>
            <a:gd name="adj" fmla="val 10000"/>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b="1" kern="1200">
              <a:solidFill>
                <a:schemeClr val="tx1"/>
              </a:solidFill>
              <a:latin typeface="Times New Roman" pitchFamily="18" charset="0"/>
              <a:cs typeface="Times New Roman" pitchFamily="18" charset="0"/>
            </a:rPr>
            <a:t>Corporate Reputation</a:t>
          </a:r>
          <a:endParaRPr lang="en-US" sz="600" kern="1200">
            <a:solidFill>
              <a:schemeClr val="tx1"/>
            </a:solidFill>
            <a:latin typeface="Times New Roman" pitchFamily="18" charset="0"/>
            <a:cs typeface="Times New Roman" pitchFamily="18" charset="0"/>
          </a:endParaRPr>
        </a:p>
      </dsp:txBody>
      <dsp:txXfrm>
        <a:off x="3475403" y="1138460"/>
        <a:ext cx="595534" cy="365610"/>
      </dsp:txXfrm>
    </dsp:sp>
    <dsp:sp modelId="{81B54C18-4A51-4F66-A08E-7C39D0001FF5}">
      <dsp:nvSpPr>
        <dsp:cNvPr id="0" name=""/>
        <dsp:cNvSpPr/>
      </dsp:nvSpPr>
      <dsp:spPr>
        <a:xfrm>
          <a:off x="4144141" y="1244598"/>
          <a:ext cx="131076" cy="153334"/>
        </a:xfrm>
        <a:prstGeom prst="rightArrow">
          <a:avLst>
            <a:gd name="adj1" fmla="val 60000"/>
            <a:gd name="adj2" fmla="val 50000"/>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chemeClr val="tx1"/>
            </a:solidFill>
            <a:latin typeface="Times New Roman" pitchFamily="18" charset="0"/>
            <a:cs typeface="Times New Roman" pitchFamily="18" charset="0"/>
          </a:endParaRPr>
        </a:p>
      </dsp:txBody>
      <dsp:txXfrm>
        <a:off x="4144141" y="1275265"/>
        <a:ext cx="91753" cy="92000"/>
      </dsp:txXfrm>
    </dsp:sp>
    <dsp:sp modelId="{29604004-245D-4598-B45E-08C8498F5B88}">
      <dsp:nvSpPr>
        <dsp:cNvPr id="0" name=""/>
        <dsp:cNvSpPr/>
      </dsp:nvSpPr>
      <dsp:spPr>
        <a:xfrm>
          <a:off x="4329627" y="1127085"/>
          <a:ext cx="618284" cy="388360"/>
        </a:xfrm>
        <a:prstGeom prst="roundRect">
          <a:avLst>
            <a:gd name="adj" fmla="val 1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b="1" kern="1200">
              <a:solidFill>
                <a:schemeClr val="tx1"/>
              </a:solidFill>
              <a:latin typeface="Times New Roman" pitchFamily="18" charset="0"/>
              <a:cs typeface="Times New Roman" pitchFamily="18" charset="0"/>
            </a:rPr>
            <a:t>Optimize Human Resources</a:t>
          </a:r>
          <a:endParaRPr lang="en-US" sz="600" kern="1200">
            <a:solidFill>
              <a:schemeClr val="tx1"/>
            </a:solidFill>
            <a:latin typeface="Times New Roman" pitchFamily="18" charset="0"/>
            <a:cs typeface="Times New Roman" pitchFamily="18" charset="0"/>
          </a:endParaRPr>
        </a:p>
      </dsp:txBody>
      <dsp:txXfrm>
        <a:off x="4341002" y="1138460"/>
        <a:ext cx="595534" cy="365610"/>
      </dsp:txXfrm>
    </dsp:sp>
    <dsp:sp modelId="{89C25A27-867E-486A-848A-16065DA9CD7F}">
      <dsp:nvSpPr>
        <dsp:cNvPr id="0" name=""/>
        <dsp:cNvSpPr/>
      </dsp:nvSpPr>
      <dsp:spPr>
        <a:xfrm>
          <a:off x="5009740" y="1244598"/>
          <a:ext cx="131076" cy="153334"/>
        </a:xfrm>
        <a:prstGeom prst="rightArrow">
          <a:avLst>
            <a:gd name="adj1" fmla="val 60000"/>
            <a:gd name="adj2" fmla="val 5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chemeClr val="tx1"/>
            </a:solidFill>
            <a:latin typeface="Times New Roman" pitchFamily="18" charset="0"/>
            <a:cs typeface="Times New Roman" pitchFamily="18" charset="0"/>
          </a:endParaRPr>
        </a:p>
      </dsp:txBody>
      <dsp:txXfrm>
        <a:off x="5009740" y="1275265"/>
        <a:ext cx="91753" cy="92000"/>
      </dsp:txXfrm>
    </dsp:sp>
    <dsp:sp modelId="{DEC59AFC-4C2E-4238-B4E3-1BCC656E2440}">
      <dsp:nvSpPr>
        <dsp:cNvPr id="0" name=""/>
        <dsp:cNvSpPr/>
      </dsp:nvSpPr>
      <dsp:spPr>
        <a:xfrm>
          <a:off x="5195226" y="1127085"/>
          <a:ext cx="618284" cy="388360"/>
        </a:xfrm>
        <a:prstGeom prst="roundRect">
          <a:avLst>
            <a:gd name="adj" fmla="val 1000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b="1" kern="1200">
              <a:solidFill>
                <a:schemeClr val="tx1"/>
              </a:solidFill>
              <a:latin typeface="Times New Roman" pitchFamily="18" charset="0"/>
              <a:cs typeface="Times New Roman" pitchFamily="18" charset="0"/>
            </a:rPr>
            <a:t>Competitive Advantage</a:t>
          </a:r>
          <a:endParaRPr lang="en-US" sz="600" kern="1200">
            <a:solidFill>
              <a:schemeClr val="tx1"/>
            </a:solidFill>
            <a:latin typeface="Times New Roman" pitchFamily="18" charset="0"/>
            <a:cs typeface="Times New Roman" pitchFamily="18" charset="0"/>
          </a:endParaRPr>
        </a:p>
      </dsp:txBody>
      <dsp:txXfrm>
        <a:off x="5206601" y="1138460"/>
        <a:ext cx="595534" cy="365610"/>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18E2538-B180-4097-BDD3-03B51892DE93}">
      <dsp:nvSpPr>
        <dsp:cNvPr id="0" name=""/>
        <dsp:cNvSpPr/>
      </dsp:nvSpPr>
      <dsp:spPr>
        <a:xfrm>
          <a:off x="0" y="18296"/>
          <a:ext cx="5953911" cy="3168000"/>
        </a:xfrm>
        <a:prstGeom prst="rightArrow">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0B9F89D5-64D3-4696-BF74-6CACD9BEE6B2}">
      <dsp:nvSpPr>
        <dsp:cNvPr id="0" name=""/>
        <dsp:cNvSpPr/>
      </dsp:nvSpPr>
      <dsp:spPr>
        <a:xfrm>
          <a:off x="3923825" y="810296"/>
          <a:ext cx="1434694" cy="1584000"/>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0" tIns="142240" rIns="0" bIns="142240" numCol="1" spcCol="1270" anchor="ctr" anchorCtr="0">
          <a:noAutofit/>
        </a:bodyPr>
        <a:lstStyle/>
        <a:p>
          <a:pPr marL="0" lvl="0" indent="0" algn="ctr" defTabSz="622300">
            <a:lnSpc>
              <a:spcPct val="90000"/>
            </a:lnSpc>
            <a:spcBef>
              <a:spcPct val="0"/>
            </a:spcBef>
            <a:spcAft>
              <a:spcPct val="35000"/>
            </a:spcAft>
            <a:buNone/>
          </a:pPr>
          <a:r>
            <a:rPr lang="en-US" sz="1400" b="1" kern="1200">
              <a:solidFill>
                <a:schemeClr val="tx1"/>
              </a:solidFill>
            </a:rPr>
            <a:t>Legal and Regulatory Implications</a:t>
          </a:r>
          <a:endParaRPr lang="en-US" sz="1400" kern="1200">
            <a:solidFill>
              <a:schemeClr val="tx1"/>
            </a:solidFill>
          </a:endParaRPr>
        </a:p>
      </dsp:txBody>
      <dsp:txXfrm>
        <a:off x="3923825" y="810296"/>
        <a:ext cx="1434694" cy="1584000"/>
      </dsp:txXfrm>
    </dsp:sp>
    <dsp:sp modelId="{1343AD87-D080-43B6-9A50-7696DCF1F949}">
      <dsp:nvSpPr>
        <dsp:cNvPr id="0" name=""/>
        <dsp:cNvSpPr/>
      </dsp:nvSpPr>
      <dsp:spPr>
        <a:xfrm>
          <a:off x="2202191" y="810296"/>
          <a:ext cx="1434694" cy="1584000"/>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0" tIns="142240" rIns="0" bIns="142240" numCol="1" spcCol="1270" anchor="ctr" anchorCtr="0">
          <a:noAutofit/>
        </a:bodyPr>
        <a:lstStyle/>
        <a:p>
          <a:pPr marL="0" lvl="0" indent="0" algn="ctr" defTabSz="622300">
            <a:lnSpc>
              <a:spcPct val="90000"/>
            </a:lnSpc>
            <a:spcBef>
              <a:spcPct val="0"/>
            </a:spcBef>
            <a:spcAft>
              <a:spcPct val="35000"/>
            </a:spcAft>
            <a:buNone/>
          </a:pPr>
          <a:r>
            <a:rPr lang="en-US" sz="1400" b="1" kern="1200">
              <a:solidFill>
                <a:schemeClr val="tx1"/>
              </a:solidFill>
            </a:rPr>
            <a:t>Impact on Market Performance</a:t>
          </a:r>
          <a:endParaRPr lang="en-US" sz="1400" kern="1200">
            <a:solidFill>
              <a:schemeClr val="tx1"/>
            </a:solidFill>
          </a:endParaRPr>
        </a:p>
      </dsp:txBody>
      <dsp:txXfrm>
        <a:off x="2202191" y="810296"/>
        <a:ext cx="1434694" cy="1584000"/>
      </dsp:txXfrm>
    </dsp:sp>
    <dsp:sp modelId="{3FEAF898-B4E0-443D-A981-ECEC9C54E47B}">
      <dsp:nvSpPr>
        <dsp:cNvPr id="0" name=""/>
        <dsp:cNvSpPr/>
      </dsp:nvSpPr>
      <dsp:spPr>
        <a:xfrm>
          <a:off x="480557" y="810296"/>
          <a:ext cx="1434694" cy="1584000"/>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0" tIns="142240" rIns="0" bIns="142240" numCol="1" spcCol="1270" anchor="ctr" anchorCtr="0">
          <a:noAutofit/>
        </a:bodyPr>
        <a:lstStyle/>
        <a:p>
          <a:pPr marL="0" lvl="0" indent="0" algn="ctr" defTabSz="622300">
            <a:lnSpc>
              <a:spcPct val="90000"/>
            </a:lnSpc>
            <a:spcBef>
              <a:spcPct val="0"/>
            </a:spcBef>
            <a:spcAft>
              <a:spcPct val="35000"/>
            </a:spcAft>
            <a:buNone/>
          </a:pPr>
          <a:r>
            <a:rPr lang="en-US" sz="1400" b="1" kern="1200">
              <a:solidFill>
                <a:schemeClr val="tx1"/>
              </a:solidFill>
            </a:rPr>
            <a:t>Context-Specific Approaches</a:t>
          </a:r>
          <a:endParaRPr lang="en-US" sz="1400" kern="1200">
            <a:solidFill>
              <a:schemeClr val="tx1"/>
            </a:solidFill>
          </a:endParaRPr>
        </a:p>
      </dsp:txBody>
      <dsp:txXfrm>
        <a:off x="480557" y="810296"/>
        <a:ext cx="1434694" cy="1584000"/>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4FF99A-25AB-41FC-9A31-DE5225AD8099}">
      <dsp:nvSpPr>
        <dsp:cNvPr id="0" name=""/>
        <dsp:cNvSpPr/>
      </dsp:nvSpPr>
      <dsp:spPr>
        <a:xfrm>
          <a:off x="2786" y="1395005"/>
          <a:ext cx="1036457" cy="414582"/>
        </a:xfrm>
        <a:prstGeom prst="chevron">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tx1"/>
              </a:solidFill>
              <a:latin typeface="Times New Roman" pitchFamily="18" charset="0"/>
              <a:cs typeface="Times New Roman" pitchFamily="18" charset="0"/>
            </a:rPr>
            <a:t>Literature Review</a:t>
          </a:r>
        </a:p>
      </dsp:txBody>
      <dsp:txXfrm>
        <a:off x="210077" y="1395005"/>
        <a:ext cx="621875" cy="414582"/>
      </dsp:txXfrm>
    </dsp:sp>
    <dsp:sp modelId="{D8DD1127-4498-4F5F-B832-21F0BA0BD324}">
      <dsp:nvSpPr>
        <dsp:cNvPr id="0" name=""/>
        <dsp:cNvSpPr/>
      </dsp:nvSpPr>
      <dsp:spPr>
        <a:xfrm>
          <a:off x="935597" y="1395005"/>
          <a:ext cx="1036457" cy="414582"/>
        </a:xfrm>
        <a:prstGeom prst="chevron">
          <a:avLst/>
        </a:prstGeom>
        <a:solidFill>
          <a:schemeClr val="accent2">
            <a:hueOff val="-291073"/>
            <a:satOff val="-16786"/>
            <a:lumOff val="172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tx1"/>
              </a:solidFill>
              <a:latin typeface="Times New Roman" pitchFamily="18" charset="0"/>
              <a:cs typeface="Times New Roman" pitchFamily="18" charset="0"/>
            </a:rPr>
            <a:t>Company Reports</a:t>
          </a:r>
        </a:p>
      </dsp:txBody>
      <dsp:txXfrm>
        <a:off x="1142888" y="1395005"/>
        <a:ext cx="621875" cy="414582"/>
      </dsp:txXfrm>
    </dsp:sp>
    <dsp:sp modelId="{02025E70-2158-4466-8302-509EE537857C}">
      <dsp:nvSpPr>
        <dsp:cNvPr id="0" name=""/>
        <dsp:cNvSpPr/>
      </dsp:nvSpPr>
      <dsp:spPr>
        <a:xfrm>
          <a:off x="1868409" y="1395005"/>
          <a:ext cx="1036457" cy="414582"/>
        </a:xfrm>
        <a:prstGeom prst="chevron">
          <a:avLst/>
        </a:prstGeom>
        <a:solidFill>
          <a:schemeClr val="accent2">
            <a:hueOff val="-582145"/>
            <a:satOff val="-33571"/>
            <a:lumOff val="3451"/>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tx1"/>
              </a:solidFill>
              <a:latin typeface="Times New Roman" pitchFamily="18" charset="0"/>
              <a:cs typeface="Times New Roman" pitchFamily="18" charset="0"/>
            </a:rPr>
            <a:t>Case Studies</a:t>
          </a:r>
        </a:p>
      </dsp:txBody>
      <dsp:txXfrm>
        <a:off x="2075700" y="1395005"/>
        <a:ext cx="621875" cy="414582"/>
      </dsp:txXfrm>
    </dsp:sp>
    <dsp:sp modelId="{D8683E48-A58C-46D4-90DF-CD173D555567}">
      <dsp:nvSpPr>
        <dsp:cNvPr id="0" name=""/>
        <dsp:cNvSpPr/>
      </dsp:nvSpPr>
      <dsp:spPr>
        <a:xfrm>
          <a:off x="2801220" y="1395005"/>
          <a:ext cx="1036457" cy="414582"/>
        </a:xfrm>
        <a:prstGeom prst="chevron">
          <a:avLst/>
        </a:prstGeom>
        <a:solidFill>
          <a:schemeClr val="accent2">
            <a:hueOff val="-873218"/>
            <a:satOff val="-50357"/>
            <a:lumOff val="5177"/>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tx1"/>
              </a:solidFill>
              <a:latin typeface="Times New Roman" pitchFamily="18" charset="0"/>
              <a:cs typeface="Times New Roman" pitchFamily="18" charset="0"/>
            </a:rPr>
            <a:t>Cross-Cultural Studies</a:t>
          </a:r>
        </a:p>
      </dsp:txBody>
      <dsp:txXfrm>
        <a:off x="3008511" y="1395005"/>
        <a:ext cx="621875" cy="414582"/>
      </dsp:txXfrm>
    </dsp:sp>
    <dsp:sp modelId="{C6CF2A5D-48FF-4E81-9AE6-E516EF229D8F}">
      <dsp:nvSpPr>
        <dsp:cNvPr id="0" name=""/>
        <dsp:cNvSpPr/>
      </dsp:nvSpPr>
      <dsp:spPr>
        <a:xfrm>
          <a:off x="3734032" y="1395005"/>
          <a:ext cx="1036457" cy="414582"/>
        </a:xfrm>
        <a:prstGeom prst="chevron">
          <a:avLst/>
        </a:prstGeom>
        <a:solidFill>
          <a:schemeClr val="accent2">
            <a:hueOff val="-1164290"/>
            <a:satOff val="-67142"/>
            <a:lumOff val="6902"/>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tx1"/>
              </a:solidFill>
              <a:latin typeface="Times New Roman" pitchFamily="18" charset="0"/>
              <a:cs typeface="Times New Roman" pitchFamily="18" charset="0"/>
            </a:rPr>
            <a:t>News and Media Sources</a:t>
          </a:r>
        </a:p>
      </dsp:txBody>
      <dsp:txXfrm>
        <a:off x="3941323" y="1395005"/>
        <a:ext cx="621875" cy="414582"/>
      </dsp:txXfrm>
    </dsp:sp>
    <dsp:sp modelId="{26F9198F-93B6-4DC7-A718-D89D8671DF38}">
      <dsp:nvSpPr>
        <dsp:cNvPr id="0" name=""/>
        <dsp:cNvSpPr/>
      </dsp:nvSpPr>
      <dsp:spPr>
        <a:xfrm>
          <a:off x="4666843" y="1395005"/>
          <a:ext cx="1036457" cy="414582"/>
        </a:xfrm>
        <a:prstGeom prst="chevron">
          <a:avLst/>
        </a:prstGeom>
        <a:solidFill>
          <a:schemeClr val="accent2">
            <a:hueOff val="-1455363"/>
            <a:satOff val="-83928"/>
            <a:lumOff val="8628"/>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tx1"/>
              </a:solidFill>
              <a:latin typeface="Times New Roman" pitchFamily="18" charset="0"/>
              <a:cs typeface="Times New Roman" pitchFamily="18" charset="0"/>
            </a:rPr>
            <a:t>Case Studies</a:t>
          </a:r>
        </a:p>
      </dsp:txBody>
      <dsp:txXfrm>
        <a:off x="4874134" y="1395005"/>
        <a:ext cx="621875" cy="414582"/>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9E7BF7-C57D-4664-91FE-6B4921F2C28A}">
      <dsp:nvSpPr>
        <dsp:cNvPr id="0" name=""/>
        <dsp:cNvSpPr/>
      </dsp:nvSpPr>
      <dsp:spPr>
        <a:xfrm>
          <a:off x="4528" y="1317799"/>
          <a:ext cx="625700" cy="568996"/>
        </a:xfrm>
        <a:prstGeom prst="roundRect">
          <a:avLst>
            <a:gd name="adj" fmla="val 1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tx1"/>
              </a:solidFill>
              <a:latin typeface="Times New Roman" pitchFamily="18" charset="0"/>
              <a:cs typeface="Times New Roman" pitchFamily="18" charset="0"/>
            </a:rPr>
            <a:t>Initial Coding</a:t>
          </a:r>
          <a:endParaRPr lang="en-US" sz="900" kern="1200">
            <a:solidFill>
              <a:schemeClr val="tx1"/>
            </a:solidFill>
            <a:latin typeface="Times New Roman" pitchFamily="18" charset="0"/>
            <a:cs typeface="Times New Roman" pitchFamily="18" charset="0"/>
          </a:endParaRPr>
        </a:p>
      </dsp:txBody>
      <dsp:txXfrm>
        <a:off x="21193" y="1334464"/>
        <a:ext cx="592370" cy="535666"/>
      </dsp:txXfrm>
    </dsp:sp>
    <dsp:sp modelId="{C9E29578-5872-4BFD-95EA-D3C972947544}">
      <dsp:nvSpPr>
        <dsp:cNvPr id="0" name=""/>
        <dsp:cNvSpPr/>
      </dsp:nvSpPr>
      <dsp:spPr>
        <a:xfrm>
          <a:off x="692799" y="1524710"/>
          <a:ext cx="132648" cy="155173"/>
        </a:xfrm>
        <a:prstGeom prst="rightArrow">
          <a:avLst>
            <a:gd name="adj1" fmla="val 60000"/>
            <a:gd name="adj2" fmla="val 5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solidFill>
              <a:schemeClr val="tx1"/>
            </a:solidFill>
            <a:latin typeface="Times New Roman" pitchFamily="18" charset="0"/>
            <a:cs typeface="Times New Roman" pitchFamily="18" charset="0"/>
          </a:endParaRPr>
        </a:p>
      </dsp:txBody>
      <dsp:txXfrm>
        <a:off x="692799" y="1555745"/>
        <a:ext cx="92854" cy="93103"/>
      </dsp:txXfrm>
    </dsp:sp>
    <dsp:sp modelId="{C0A59EE3-433C-4678-B6DA-FAA66776452B}">
      <dsp:nvSpPr>
        <dsp:cNvPr id="0" name=""/>
        <dsp:cNvSpPr/>
      </dsp:nvSpPr>
      <dsp:spPr>
        <a:xfrm>
          <a:off x="880509" y="1317799"/>
          <a:ext cx="625700" cy="568996"/>
        </a:xfrm>
        <a:prstGeom prst="roundRect">
          <a:avLst>
            <a:gd name="adj" fmla="val 1000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tx1"/>
              </a:solidFill>
              <a:latin typeface="Times New Roman" pitchFamily="18" charset="0"/>
              <a:cs typeface="Times New Roman" pitchFamily="18" charset="0"/>
            </a:rPr>
            <a:t>Code Grouping</a:t>
          </a:r>
          <a:endParaRPr lang="en-US" sz="900" kern="1200">
            <a:solidFill>
              <a:schemeClr val="tx1"/>
            </a:solidFill>
            <a:latin typeface="Times New Roman" pitchFamily="18" charset="0"/>
            <a:cs typeface="Times New Roman" pitchFamily="18" charset="0"/>
          </a:endParaRPr>
        </a:p>
      </dsp:txBody>
      <dsp:txXfrm>
        <a:off x="897174" y="1334464"/>
        <a:ext cx="592370" cy="535666"/>
      </dsp:txXfrm>
    </dsp:sp>
    <dsp:sp modelId="{5549E192-4615-4876-990C-F194CB626BB4}">
      <dsp:nvSpPr>
        <dsp:cNvPr id="0" name=""/>
        <dsp:cNvSpPr/>
      </dsp:nvSpPr>
      <dsp:spPr>
        <a:xfrm>
          <a:off x="1568780" y="1524710"/>
          <a:ext cx="132648" cy="155173"/>
        </a:xfrm>
        <a:prstGeom prst="rightArrow">
          <a:avLst>
            <a:gd name="adj1" fmla="val 60000"/>
            <a:gd name="adj2" fmla="val 5000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solidFill>
              <a:schemeClr val="tx1"/>
            </a:solidFill>
            <a:latin typeface="Times New Roman" pitchFamily="18" charset="0"/>
            <a:cs typeface="Times New Roman" pitchFamily="18" charset="0"/>
          </a:endParaRPr>
        </a:p>
      </dsp:txBody>
      <dsp:txXfrm>
        <a:off x="1568780" y="1555745"/>
        <a:ext cx="92854" cy="93103"/>
      </dsp:txXfrm>
    </dsp:sp>
    <dsp:sp modelId="{1998D8FB-5D15-450E-8C3E-FD439CF5AF87}">
      <dsp:nvSpPr>
        <dsp:cNvPr id="0" name=""/>
        <dsp:cNvSpPr/>
      </dsp:nvSpPr>
      <dsp:spPr>
        <a:xfrm>
          <a:off x="1756490" y="1317799"/>
          <a:ext cx="625700" cy="568996"/>
        </a:xfrm>
        <a:prstGeom prst="roundRect">
          <a:avLst>
            <a:gd name="adj" fmla="val 1000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tx1"/>
              </a:solidFill>
              <a:latin typeface="Times New Roman" pitchFamily="18" charset="0"/>
              <a:cs typeface="Times New Roman" pitchFamily="18" charset="0"/>
            </a:rPr>
            <a:t>Review and Refinement</a:t>
          </a:r>
          <a:endParaRPr lang="en-US" sz="900" kern="1200">
            <a:solidFill>
              <a:schemeClr val="tx1"/>
            </a:solidFill>
            <a:latin typeface="Times New Roman" pitchFamily="18" charset="0"/>
            <a:cs typeface="Times New Roman" pitchFamily="18" charset="0"/>
          </a:endParaRPr>
        </a:p>
      </dsp:txBody>
      <dsp:txXfrm>
        <a:off x="1773155" y="1334464"/>
        <a:ext cx="592370" cy="535666"/>
      </dsp:txXfrm>
    </dsp:sp>
    <dsp:sp modelId="{69D504F6-1401-4BE0-8E92-CA73320916B6}">
      <dsp:nvSpPr>
        <dsp:cNvPr id="0" name=""/>
        <dsp:cNvSpPr/>
      </dsp:nvSpPr>
      <dsp:spPr>
        <a:xfrm>
          <a:off x="2444761" y="1524710"/>
          <a:ext cx="132648" cy="155173"/>
        </a:xfrm>
        <a:prstGeom prst="rightArrow">
          <a:avLst>
            <a:gd name="adj1" fmla="val 60000"/>
            <a:gd name="adj2" fmla="val 5000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solidFill>
              <a:schemeClr val="tx1"/>
            </a:solidFill>
            <a:latin typeface="Times New Roman" pitchFamily="18" charset="0"/>
            <a:cs typeface="Times New Roman" pitchFamily="18" charset="0"/>
          </a:endParaRPr>
        </a:p>
      </dsp:txBody>
      <dsp:txXfrm>
        <a:off x="2444761" y="1555745"/>
        <a:ext cx="92854" cy="93103"/>
      </dsp:txXfrm>
    </dsp:sp>
    <dsp:sp modelId="{0121BBAE-C3FC-402A-906A-EBC726C057E2}">
      <dsp:nvSpPr>
        <dsp:cNvPr id="0" name=""/>
        <dsp:cNvSpPr/>
      </dsp:nvSpPr>
      <dsp:spPr>
        <a:xfrm>
          <a:off x="2632471" y="1317799"/>
          <a:ext cx="625700" cy="568996"/>
        </a:xfrm>
        <a:prstGeom prst="roundRect">
          <a:avLst>
            <a:gd name="adj" fmla="val 1000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tx1"/>
              </a:solidFill>
              <a:latin typeface="Times New Roman" pitchFamily="18" charset="0"/>
              <a:cs typeface="Times New Roman" pitchFamily="18" charset="0"/>
            </a:rPr>
            <a:t>Data Segmentation</a:t>
          </a:r>
          <a:endParaRPr lang="en-US" sz="900" kern="1200">
            <a:solidFill>
              <a:schemeClr val="tx1"/>
            </a:solidFill>
            <a:latin typeface="Times New Roman" pitchFamily="18" charset="0"/>
            <a:cs typeface="Times New Roman" pitchFamily="18" charset="0"/>
          </a:endParaRPr>
        </a:p>
      </dsp:txBody>
      <dsp:txXfrm>
        <a:off x="2649136" y="1334464"/>
        <a:ext cx="592370" cy="535666"/>
      </dsp:txXfrm>
    </dsp:sp>
    <dsp:sp modelId="{3EAF8F51-F0C6-4699-87B0-6CF9534616D7}">
      <dsp:nvSpPr>
        <dsp:cNvPr id="0" name=""/>
        <dsp:cNvSpPr/>
      </dsp:nvSpPr>
      <dsp:spPr>
        <a:xfrm>
          <a:off x="3320742" y="1524710"/>
          <a:ext cx="132648" cy="155173"/>
        </a:xfrm>
        <a:prstGeom prst="rightArrow">
          <a:avLst>
            <a:gd name="adj1" fmla="val 60000"/>
            <a:gd name="adj2" fmla="val 5000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solidFill>
              <a:schemeClr val="tx1"/>
            </a:solidFill>
            <a:latin typeface="Times New Roman" pitchFamily="18" charset="0"/>
            <a:cs typeface="Times New Roman" pitchFamily="18" charset="0"/>
          </a:endParaRPr>
        </a:p>
      </dsp:txBody>
      <dsp:txXfrm>
        <a:off x="3320742" y="1555745"/>
        <a:ext cx="92854" cy="93103"/>
      </dsp:txXfrm>
    </dsp:sp>
    <dsp:sp modelId="{B9B866E3-BDD3-4BE4-B760-CD2797767C81}">
      <dsp:nvSpPr>
        <dsp:cNvPr id="0" name=""/>
        <dsp:cNvSpPr/>
      </dsp:nvSpPr>
      <dsp:spPr>
        <a:xfrm>
          <a:off x="3508452" y="1317799"/>
          <a:ext cx="625700" cy="568996"/>
        </a:xfrm>
        <a:prstGeom prst="roundRect">
          <a:avLst>
            <a:gd name="adj" fmla="val 10000"/>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tx1"/>
              </a:solidFill>
              <a:latin typeface="Times New Roman" pitchFamily="18" charset="0"/>
              <a:cs typeface="Times New Roman" pitchFamily="18" charset="0"/>
            </a:rPr>
            <a:t>Data Analysis</a:t>
          </a:r>
          <a:endParaRPr lang="en-US" sz="900" kern="1200">
            <a:solidFill>
              <a:schemeClr val="tx1"/>
            </a:solidFill>
            <a:latin typeface="Times New Roman" pitchFamily="18" charset="0"/>
            <a:cs typeface="Times New Roman" pitchFamily="18" charset="0"/>
          </a:endParaRPr>
        </a:p>
      </dsp:txBody>
      <dsp:txXfrm>
        <a:off x="3525117" y="1334464"/>
        <a:ext cx="592370" cy="535666"/>
      </dsp:txXfrm>
    </dsp:sp>
    <dsp:sp modelId="{F8AEBCCD-D753-47A4-9FD0-A8D880FC4E04}">
      <dsp:nvSpPr>
        <dsp:cNvPr id="0" name=""/>
        <dsp:cNvSpPr/>
      </dsp:nvSpPr>
      <dsp:spPr>
        <a:xfrm>
          <a:off x="4196723" y="1524710"/>
          <a:ext cx="132648" cy="155173"/>
        </a:xfrm>
        <a:prstGeom prst="rightArrow">
          <a:avLst>
            <a:gd name="adj1" fmla="val 60000"/>
            <a:gd name="adj2" fmla="val 50000"/>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solidFill>
              <a:schemeClr val="tx1"/>
            </a:solidFill>
            <a:latin typeface="Times New Roman" pitchFamily="18" charset="0"/>
            <a:cs typeface="Times New Roman" pitchFamily="18" charset="0"/>
          </a:endParaRPr>
        </a:p>
      </dsp:txBody>
      <dsp:txXfrm>
        <a:off x="4196723" y="1555745"/>
        <a:ext cx="92854" cy="93103"/>
      </dsp:txXfrm>
    </dsp:sp>
    <dsp:sp modelId="{3924D549-4F8F-4AA0-8837-838788F3999C}">
      <dsp:nvSpPr>
        <dsp:cNvPr id="0" name=""/>
        <dsp:cNvSpPr/>
      </dsp:nvSpPr>
      <dsp:spPr>
        <a:xfrm>
          <a:off x="4384433" y="1317799"/>
          <a:ext cx="625700" cy="568996"/>
        </a:xfrm>
        <a:prstGeom prst="roundRect">
          <a:avLst>
            <a:gd name="adj" fmla="val 1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tx1"/>
              </a:solidFill>
              <a:latin typeface="Times New Roman" pitchFamily="18" charset="0"/>
              <a:cs typeface="Times New Roman" pitchFamily="18" charset="0"/>
            </a:rPr>
            <a:t>Report on Findings</a:t>
          </a:r>
          <a:endParaRPr lang="en-US" sz="900" kern="1200">
            <a:solidFill>
              <a:schemeClr val="tx1"/>
            </a:solidFill>
            <a:latin typeface="Times New Roman" pitchFamily="18" charset="0"/>
            <a:cs typeface="Times New Roman" pitchFamily="18" charset="0"/>
          </a:endParaRPr>
        </a:p>
      </dsp:txBody>
      <dsp:txXfrm>
        <a:off x="4401098" y="1334464"/>
        <a:ext cx="592370" cy="535666"/>
      </dsp:txXfrm>
    </dsp:sp>
    <dsp:sp modelId="{19356468-B18A-43FE-8E6B-4515374137D3}">
      <dsp:nvSpPr>
        <dsp:cNvPr id="0" name=""/>
        <dsp:cNvSpPr/>
      </dsp:nvSpPr>
      <dsp:spPr>
        <a:xfrm>
          <a:off x="5072704" y="1524710"/>
          <a:ext cx="132648" cy="155173"/>
        </a:xfrm>
        <a:prstGeom prst="rightArrow">
          <a:avLst>
            <a:gd name="adj1" fmla="val 60000"/>
            <a:gd name="adj2" fmla="val 5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solidFill>
              <a:schemeClr val="tx1"/>
            </a:solidFill>
            <a:latin typeface="Times New Roman" pitchFamily="18" charset="0"/>
            <a:cs typeface="Times New Roman" pitchFamily="18" charset="0"/>
          </a:endParaRPr>
        </a:p>
      </dsp:txBody>
      <dsp:txXfrm>
        <a:off x="5072704" y="1555745"/>
        <a:ext cx="92854" cy="93103"/>
      </dsp:txXfrm>
    </dsp:sp>
    <dsp:sp modelId="{284A2541-FFD3-4C69-87FC-B2B0BFEF4B43}">
      <dsp:nvSpPr>
        <dsp:cNvPr id="0" name=""/>
        <dsp:cNvSpPr/>
      </dsp:nvSpPr>
      <dsp:spPr>
        <a:xfrm>
          <a:off x="5260414" y="1317799"/>
          <a:ext cx="625700" cy="568996"/>
        </a:xfrm>
        <a:prstGeom prst="roundRect">
          <a:avLst>
            <a:gd name="adj" fmla="val 1000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tx1"/>
              </a:solidFill>
              <a:latin typeface="Times New Roman" pitchFamily="18" charset="0"/>
              <a:cs typeface="Times New Roman" pitchFamily="18" charset="0"/>
            </a:rPr>
            <a:t>Conclusion and Implications</a:t>
          </a:r>
          <a:endParaRPr lang="en-US" sz="900" kern="1200">
            <a:solidFill>
              <a:schemeClr val="tx1"/>
            </a:solidFill>
            <a:latin typeface="Times New Roman" pitchFamily="18" charset="0"/>
            <a:cs typeface="Times New Roman" pitchFamily="18" charset="0"/>
          </a:endParaRPr>
        </a:p>
      </dsp:txBody>
      <dsp:txXfrm>
        <a:off x="5277079" y="1334464"/>
        <a:ext cx="592370" cy="535666"/>
      </dsp:txXfrm>
    </dsp:sp>
  </dsp:spTree>
</dsp:drawing>
</file>

<file path=word/diagrams/drawing10.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779FD5-2BB8-4C9C-86A3-34E811E4C782}">
      <dsp:nvSpPr>
        <dsp:cNvPr id="0" name=""/>
        <dsp:cNvSpPr/>
      </dsp:nvSpPr>
      <dsp:spPr>
        <a:xfrm>
          <a:off x="2436631" y="1361"/>
          <a:ext cx="839640" cy="419820"/>
        </a:xfrm>
        <a:prstGeom prst="roundRect">
          <a:avLst>
            <a:gd name="adj" fmla="val 1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tx1"/>
              </a:solidFill>
              <a:latin typeface="Times New Roman" pitchFamily="18" charset="0"/>
              <a:cs typeface="Times New Roman" pitchFamily="18" charset="0"/>
            </a:rPr>
            <a:t>Generalizability</a:t>
          </a:r>
          <a:endParaRPr lang="en-US" sz="800" kern="1200">
            <a:solidFill>
              <a:schemeClr val="tx1"/>
            </a:solidFill>
            <a:latin typeface="Times New Roman" pitchFamily="18" charset="0"/>
            <a:cs typeface="Times New Roman" pitchFamily="18" charset="0"/>
          </a:endParaRPr>
        </a:p>
      </dsp:txBody>
      <dsp:txXfrm>
        <a:off x="2448927" y="13657"/>
        <a:ext cx="815048" cy="395228"/>
      </dsp:txXfrm>
    </dsp:sp>
    <dsp:sp modelId="{4157898B-6BFB-4447-84F2-9204C93A0D39}">
      <dsp:nvSpPr>
        <dsp:cNvPr id="0" name=""/>
        <dsp:cNvSpPr/>
      </dsp:nvSpPr>
      <dsp:spPr>
        <a:xfrm rot="1800000">
          <a:off x="3238116" y="484707"/>
          <a:ext cx="438381" cy="146937"/>
        </a:xfrm>
        <a:prstGeom prst="leftRightArrow">
          <a:avLst>
            <a:gd name="adj1" fmla="val 60000"/>
            <a:gd name="adj2" fmla="val 5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chemeClr val="tx1"/>
            </a:solidFill>
            <a:latin typeface="Times New Roman" pitchFamily="18" charset="0"/>
            <a:cs typeface="Times New Roman" pitchFamily="18" charset="0"/>
          </a:endParaRPr>
        </a:p>
      </dsp:txBody>
      <dsp:txXfrm>
        <a:off x="3282197" y="514094"/>
        <a:ext cx="350219" cy="88163"/>
      </dsp:txXfrm>
    </dsp:sp>
    <dsp:sp modelId="{EBE9625D-1DC1-4292-8187-B6CBC9BEAFC0}">
      <dsp:nvSpPr>
        <dsp:cNvPr id="0" name=""/>
        <dsp:cNvSpPr/>
      </dsp:nvSpPr>
      <dsp:spPr>
        <a:xfrm>
          <a:off x="3638342" y="695170"/>
          <a:ext cx="839640" cy="419820"/>
        </a:xfrm>
        <a:prstGeom prst="roundRect">
          <a:avLst>
            <a:gd name="adj" fmla="val 10000"/>
          </a:avLst>
        </a:prstGeom>
        <a:solidFill>
          <a:schemeClr val="accent2">
            <a:hueOff val="-291073"/>
            <a:satOff val="-16786"/>
            <a:lumOff val="172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tx1"/>
              </a:solidFill>
              <a:latin typeface="Times New Roman" pitchFamily="18" charset="0"/>
              <a:cs typeface="Times New Roman" pitchFamily="18" charset="0"/>
            </a:rPr>
            <a:t>Dynamic Nature of Culture</a:t>
          </a:r>
          <a:endParaRPr lang="en-US" sz="800" kern="1200">
            <a:solidFill>
              <a:schemeClr val="tx1"/>
            </a:solidFill>
            <a:latin typeface="Times New Roman" pitchFamily="18" charset="0"/>
            <a:cs typeface="Times New Roman" pitchFamily="18" charset="0"/>
          </a:endParaRPr>
        </a:p>
      </dsp:txBody>
      <dsp:txXfrm>
        <a:off x="3650638" y="707466"/>
        <a:ext cx="815048" cy="395228"/>
      </dsp:txXfrm>
    </dsp:sp>
    <dsp:sp modelId="{2506B905-7468-45C2-A12E-70547808889E}">
      <dsp:nvSpPr>
        <dsp:cNvPr id="0" name=""/>
        <dsp:cNvSpPr/>
      </dsp:nvSpPr>
      <dsp:spPr>
        <a:xfrm rot="5400000">
          <a:off x="3838972" y="1525420"/>
          <a:ext cx="438381" cy="146937"/>
        </a:xfrm>
        <a:prstGeom prst="leftRightArrow">
          <a:avLst>
            <a:gd name="adj1" fmla="val 60000"/>
            <a:gd name="adj2" fmla="val 50000"/>
          </a:avLst>
        </a:prstGeom>
        <a:solidFill>
          <a:schemeClr val="accent2">
            <a:hueOff val="-291073"/>
            <a:satOff val="-16786"/>
            <a:lumOff val="1726"/>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chemeClr val="tx1"/>
            </a:solidFill>
            <a:latin typeface="Times New Roman" pitchFamily="18" charset="0"/>
            <a:cs typeface="Times New Roman" pitchFamily="18" charset="0"/>
          </a:endParaRPr>
        </a:p>
      </dsp:txBody>
      <dsp:txXfrm>
        <a:off x="3883053" y="1554807"/>
        <a:ext cx="350219" cy="88163"/>
      </dsp:txXfrm>
    </dsp:sp>
    <dsp:sp modelId="{9D59709F-FC01-4896-8B90-1D672754EAD3}">
      <dsp:nvSpPr>
        <dsp:cNvPr id="0" name=""/>
        <dsp:cNvSpPr/>
      </dsp:nvSpPr>
      <dsp:spPr>
        <a:xfrm>
          <a:off x="3638342" y="2082787"/>
          <a:ext cx="839640" cy="419820"/>
        </a:xfrm>
        <a:prstGeom prst="roundRect">
          <a:avLst>
            <a:gd name="adj" fmla="val 10000"/>
          </a:avLst>
        </a:prstGeom>
        <a:solidFill>
          <a:schemeClr val="accent2">
            <a:hueOff val="-582145"/>
            <a:satOff val="-33571"/>
            <a:lumOff val="3451"/>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tx1"/>
              </a:solidFill>
              <a:latin typeface="Times New Roman" pitchFamily="18" charset="0"/>
              <a:cs typeface="Times New Roman" pitchFamily="18" charset="0"/>
            </a:rPr>
            <a:t>Limited Perspective</a:t>
          </a:r>
          <a:endParaRPr lang="en-US" sz="800" kern="1200">
            <a:solidFill>
              <a:schemeClr val="tx1"/>
            </a:solidFill>
            <a:latin typeface="Times New Roman" pitchFamily="18" charset="0"/>
            <a:cs typeface="Times New Roman" pitchFamily="18" charset="0"/>
          </a:endParaRPr>
        </a:p>
      </dsp:txBody>
      <dsp:txXfrm>
        <a:off x="3650638" y="2095083"/>
        <a:ext cx="815048" cy="395228"/>
      </dsp:txXfrm>
    </dsp:sp>
    <dsp:sp modelId="{28F61E05-BDCD-4924-B571-C23CE208AE19}">
      <dsp:nvSpPr>
        <dsp:cNvPr id="0" name=""/>
        <dsp:cNvSpPr/>
      </dsp:nvSpPr>
      <dsp:spPr>
        <a:xfrm rot="9000000">
          <a:off x="3238116" y="2566133"/>
          <a:ext cx="438381" cy="146937"/>
        </a:xfrm>
        <a:prstGeom prst="leftRightArrow">
          <a:avLst>
            <a:gd name="adj1" fmla="val 60000"/>
            <a:gd name="adj2" fmla="val 50000"/>
          </a:avLst>
        </a:prstGeom>
        <a:solidFill>
          <a:schemeClr val="accent2">
            <a:hueOff val="-582145"/>
            <a:satOff val="-33571"/>
            <a:lumOff val="3451"/>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chemeClr val="tx1"/>
            </a:solidFill>
            <a:latin typeface="Times New Roman" pitchFamily="18" charset="0"/>
            <a:cs typeface="Times New Roman" pitchFamily="18" charset="0"/>
          </a:endParaRPr>
        </a:p>
      </dsp:txBody>
      <dsp:txXfrm rot="10800000">
        <a:off x="3282197" y="2595520"/>
        <a:ext cx="350219" cy="88163"/>
      </dsp:txXfrm>
    </dsp:sp>
    <dsp:sp modelId="{7143BEFA-7F28-4DFC-B725-496E1B8C0E20}">
      <dsp:nvSpPr>
        <dsp:cNvPr id="0" name=""/>
        <dsp:cNvSpPr/>
      </dsp:nvSpPr>
      <dsp:spPr>
        <a:xfrm>
          <a:off x="2436631" y="2776595"/>
          <a:ext cx="839640" cy="419820"/>
        </a:xfrm>
        <a:prstGeom prst="roundRect">
          <a:avLst>
            <a:gd name="adj" fmla="val 10000"/>
          </a:avLst>
        </a:prstGeom>
        <a:solidFill>
          <a:schemeClr val="accent2">
            <a:hueOff val="-873218"/>
            <a:satOff val="-50357"/>
            <a:lumOff val="5177"/>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tx1"/>
              </a:solidFill>
              <a:latin typeface="Times New Roman" pitchFamily="18" charset="0"/>
              <a:cs typeface="Times New Roman" pitchFamily="18" charset="0"/>
            </a:rPr>
            <a:t>Language Barriers</a:t>
          </a:r>
          <a:endParaRPr lang="en-US" sz="800" kern="1200">
            <a:solidFill>
              <a:schemeClr val="tx1"/>
            </a:solidFill>
            <a:latin typeface="Times New Roman" pitchFamily="18" charset="0"/>
            <a:cs typeface="Times New Roman" pitchFamily="18" charset="0"/>
          </a:endParaRPr>
        </a:p>
      </dsp:txBody>
      <dsp:txXfrm>
        <a:off x="2448927" y="2788891"/>
        <a:ext cx="815048" cy="395228"/>
      </dsp:txXfrm>
    </dsp:sp>
    <dsp:sp modelId="{39AC8C38-20DA-4F26-BDD4-5A027C8C2F58}">
      <dsp:nvSpPr>
        <dsp:cNvPr id="0" name=""/>
        <dsp:cNvSpPr/>
      </dsp:nvSpPr>
      <dsp:spPr>
        <a:xfrm rot="12600000">
          <a:off x="2036405" y="2566133"/>
          <a:ext cx="438381" cy="146937"/>
        </a:xfrm>
        <a:prstGeom prst="leftRightArrow">
          <a:avLst>
            <a:gd name="adj1" fmla="val 60000"/>
            <a:gd name="adj2" fmla="val 50000"/>
          </a:avLst>
        </a:prstGeom>
        <a:solidFill>
          <a:schemeClr val="accent2">
            <a:hueOff val="-873218"/>
            <a:satOff val="-50357"/>
            <a:lumOff val="5177"/>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chemeClr val="tx1"/>
            </a:solidFill>
            <a:latin typeface="Times New Roman" pitchFamily="18" charset="0"/>
            <a:cs typeface="Times New Roman" pitchFamily="18" charset="0"/>
          </a:endParaRPr>
        </a:p>
      </dsp:txBody>
      <dsp:txXfrm rot="10800000">
        <a:off x="2080486" y="2595520"/>
        <a:ext cx="350219" cy="88163"/>
      </dsp:txXfrm>
    </dsp:sp>
    <dsp:sp modelId="{47411FAA-121E-4D1F-A5C8-A0B8554B4D15}">
      <dsp:nvSpPr>
        <dsp:cNvPr id="0" name=""/>
        <dsp:cNvSpPr/>
      </dsp:nvSpPr>
      <dsp:spPr>
        <a:xfrm>
          <a:off x="1234919" y="2082787"/>
          <a:ext cx="839640" cy="419820"/>
        </a:xfrm>
        <a:prstGeom prst="roundRect">
          <a:avLst>
            <a:gd name="adj" fmla="val 10000"/>
          </a:avLst>
        </a:prstGeom>
        <a:solidFill>
          <a:schemeClr val="accent2">
            <a:hueOff val="-1164290"/>
            <a:satOff val="-67142"/>
            <a:lumOff val="6902"/>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tx1"/>
              </a:solidFill>
              <a:latin typeface="Times New Roman" pitchFamily="18" charset="0"/>
              <a:cs typeface="Times New Roman" pitchFamily="18" charset="0"/>
            </a:rPr>
            <a:t>The complexity of Mergers</a:t>
          </a:r>
          <a:endParaRPr lang="en-US" sz="800" kern="1200">
            <a:solidFill>
              <a:schemeClr val="tx1"/>
            </a:solidFill>
            <a:latin typeface="Times New Roman" pitchFamily="18" charset="0"/>
            <a:cs typeface="Times New Roman" pitchFamily="18" charset="0"/>
          </a:endParaRPr>
        </a:p>
      </dsp:txBody>
      <dsp:txXfrm>
        <a:off x="1247215" y="2095083"/>
        <a:ext cx="815048" cy="395228"/>
      </dsp:txXfrm>
    </dsp:sp>
    <dsp:sp modelId="{8EB3DB00-F7D4-4DCC-8C0B-DDC9E47A15A2}">
      <dsp:nvSpPr>
        <dsp:cNvPr id="0" name=""/>
        <dsp:cNvSpPr/>
      </dsp:nvSpPr>
      <dsp:spPr>
        <a:xfrm rot="16200000">
          <a:off x="1435549" y="1525420"/>
          <a:ext cx="438381" cy="146937"/>
        </a:xfrm>
        <a:prstGeom prst="leftRightArrow">
          <a:avLst>
            <a:gd name="adj1" fmla="val 60000"/>
            <a:gd name="adj2" fmla="val 50000"/>
          </a:avLst>
        </a:prstGeom>
        <a:solidFill>
          <a:schemeClr val="accent2">
            <a:hueOff val="-1164290"/>
            <a:satOff val="-67142"/>
            <a:lumOff val="6902"/>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chemeClr val="tx1"/>
            </a:solidFill>
            <a:latin typeface="Times New Roman" pitchFamily="18" charset="0"/>
            <a:cs typeface="Times New Roman" pitchFamily="18" charset="0"/>
          </a:endParaRPr>
        </a:p>
      </dsp:txBody>
      <dsp:txXfrm>
        <a:off x="1479630" y="1554807"/>
        <a:ext cx="350219" cy="88163"/>
      </dsp:txXfrm>
    </dsp:sp>
    <dsp:sp modelId="{6230BA36-D8F8-4F46-BFF1-787872A4E175}">
      <dsp:nvSpPr>
        <dsp:cNvPr id="0" name=""/>
        <dsp:cNvSpPr/>
      </dsp:nvSpPr>
      <dsp:spPr>
        <a:xfrm>
          <a:off x="1234919" y="695170"/>
          <a:ext cx="839640" cy="419820"/>
        </a:xfrm>
        <a:prstGeom prst="roundRect">
          <a:avLst>
            <a:gd name="adj" fmla="val 10000"/>
          </a:avLst>
        </a:prstGeom>
        <a:solidFill>
          <a:schemeClr val="accent2">
            <a:hueOff val="-1455363"/>
            <a:satOff val="-83928"/>
            <a:lumOff val="8628"/>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tx1"/>
              </a:solidFill>
              <a:latin typeface="Times New Roman" pitchFamily="18" charset="0"/>
              <a:cs typeface="Times New Roman" pitchFamily="18" charset="0"/>
            </a:rPr>
            <a:t>The complexity of Mergers</a:t>
          </a:r>
          <a:endParaRPr lang="en-US" sz="800" kern="1200">
            <a:solidFill>
              <a:schemeClr val="tx1"/>
            </a:solidFill>
            <a:latin typeface="Times New Roman" pitchFamily="18" charset="0"/>
            <a:cs typeface="Times New Roman" pitchFamily="18" charset="0"/>
          </a:endParaRPr>
        </a:p>
      </dsp:txBody>
      <dsp:txXfrm>
        <a:off x="1247215" y="707466"/>
        <a:ext cx="815048" cy="395228"/>
      </dsp:txXfrm>
    </dsp:sp>
    <dsp:sp modelId="{989F9670-AA8B-421A-915F-A47FA7566F4C}">
      <dsp:nvSpPr>
        <dsp:cNvPr id="0" name=""/>
        <dsp:cNvSpPr/>
      </dsp:nvSpPr>
      <dsp:spPr>
        <a:xfrm rot="19800000">
          <a:off x="2036405" y="484707"/>
          <a:ext cx="438381" cy="146937"/>
        </a:xfrm>
        <a:prstGeom prst="leftRightArrow">
          <a:avLst>
            <a:gd name="adj1" fmla="val 60000"/>
            <a:gd name="adj2" fmla="val 50000"/>
          </a:avLst>
        </a:prstGeom>
        <a:solidFill>
          <a:schemeClr val="accent2">
            <a:hueOff val="-1455363"/>
            <a:satOff val="-83928"/>
            <a:lumOff val="8628"/>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chemeClr val="tx1"/>
            </a:solidFill>
            <a:latin typeface="Times New Roman" pitchFamily="18" charset="0"/>
            <a:cs typeface="Times New Roman" pitchFamily="18" charset="0"/>
          </a:endParaRPr>
        </a:p>
      </dsp:txBody>
      <dsp:txXfrm>
        <a:off x="2080486" y="514094"/>
        <a:ext cx="350219" cy="88163"/>
      </dsp:txXfrm>
    </dsp:sp>
  </dsp:spTree>
</dsp:drawing>
</file>

<file path=word/diagrams/drawing1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F99F42-3437-48FD-B6B4-604B1B978462}">
      <dsp:nvSpPr>
        <dsp:cNvPr id="0" name=""/>
        <dsp:cNvSpPr/>
      </dsp:nvSpPr>
      <dsp:spPr>
        <a:xfrm>
          <a:off x="702" y="1328356"/>
          <a:ext cx="1369700" cy="547880"/>
        </a:xfrm>
        <a:prstGeom prst="homePlate">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26670" rIns="13335" bIns="2667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latin typeface="Times New Roman" pitchFamily="18" charset="0"/>
              <a:cs typeface="Times New Roman" pitchFamily="18" charset="0"/>
            </a:rPr>
            <a:t>Longitudinal Studies</a:t>
          </a:r>
          <a:endParaRPr lang="en-US" sz="1000" kern="1200">
            <a:solidFill>
              <a:schemeClr val="tx1"/>
            </a:solidFill>
            <a:latin typeface="Times New Roman" pitchFamily="18" charset="0"/>
            <a:cs typeface="Times New Roman" pitchFamily="18" charset="0"/>
          </a:endParaRPr>
        </a:p>
      </dsp:txBody>
      <dsp:txXfrm>
        <a:off x="702" y="1328356"/>
        <a:ext cx="1232730" cy="547880"/>
      </dsp:txXfrm>
    </dsp:sp>
    <dsp:sp modelId="{7D05CA51-3604-42F0-B5FA-8A291BB98591}">
      <dsp:nvSpPr>
        <dsp:cNvPr id="0" name=""/>
        <dsp:cNvSpPr/>
      </dsp:nvSpPr>
      <dsp:spPr>
        <a:xfrm>
          <a:off x="1096463" y="1328356"/>
          <a:ext cx="1369700" cy="547880"/>
        </a:xfrm>
        <a:prstGeom prst="chevron">
          <a:avLst/>
        </a:prstGeom>
        <a:solidFill>
          <a:schemeClr val="accent4">
            <a:hueOff val="2450223"/>
            <a:satOff val="-10194"/>
            <a:lumOff val="2402"/>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0005" tIns="26670" rIns="13335" bIns="2667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latin typeface="Times New Roman" pitchFamily="18" charset="0"/>
              <a:cs typeface="Times New Roman" pitchFamily="18" charset="0"/>
            </a:rPr>
            <a:t>Industry-Specific Research</a:t>
          </a:r>
          <a:endParaRPr lang="en-US" sz="1000" kern="1200">
            <a:solidFill>
              <a:schemeClr val="tx1"/>
            </a:solidFill>
            <a:latin typeface="Times New Roman" pitchFamily="18" charset="0"/>
            <a:cs typeface="Times New Roman" pitchFamily="18" charset="0"/>
          </a:endParaRPr>
        </a:p>
      </dsp:txBody>
      <dsp:txXfrm>
        <a:off x="1370403" y="1328356"/>
        <a:ext cx="821820" cy="547880"/>
      </dsp:txXfrm>
    </dsp:sp>
    <dsp:sp modelId="{5F2D8278-142F-4539-81F4-AE856EAE101E}">
      <dsp:nvSpPr>
        <dsp:cNvPr id="0" name=""/>
        <dsp:cNvSpPr/>
      </dsp:nvSpPr>
      <dsp:spPr>
        <a:xfrm>
          <a:off x="2192224" y="1328356"/>
          <a:ext cx="1369700" cy="547880"/>
        </a:xfrm>
        <a:prstGeom prst="chevron">
          <a:avLst/>
        </a:prstGeom>
        <a:solidFill>
          <a:schemeClr val="accent4">
            <a:hueOff val="4900445"/>
            <a:satOff val="-20388"/>
            <a:lumOff val="4804"/>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0005" tIns="26670" rIns="13335" bIns="2667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latin typeface="Times New Roman" pitchFamily="18" charset="0"/>
              <a:cs typeface="Times New Roman" pitchFamily="18" charset="0"/>
            </a:rPr>
            <a:t>Technology and Remote Work</a:t>
          </a:r>
          <a:endParaRPr lang="en-US" sz="1000" kern="1200">
            <a:solidFill>
              <a:schemeClr val="tx1"/>
            </a:solidFill>
            <a:latin typeface="Times New Roman" pitchFamily="18" charset="0"/>
            <a:cs typeface="Times New Roman" pitchFamily="18" charset="0"/>
          </a:endParaRPr>
        </a:p>
      </dsp:txBody>
      <dsp:txXfrm>
        <a:off x="2466164" y="1328356"/>
        <a:ext cx="821820" cy="547880"/>
      </dsp:txXfrm>
    </dsp:sp>
    <dsp:sp modelId="{71C9F74A-4F52-409A-A873-28962E8314F9}">
      <dsp:nvSpPr>
        <dsp:cNvPr id="0" name=""/>
        <dsp:cNvSpPr/>
      </dsp:nvSpPr>
      <dsp:spPr>
        <a:xfrm>
          <a:off x="3287984" y="1328356"/>
          <a:ext cx="1369700" cy="547880"/>
        </a:xfrm>
        <a:prstGeom prst="chevron">
          <a:avLst/>
        </a:prstGeom>
        <a:solidFill>
          <a:schemeClr val="accent4">
            <a:hueOff val="7350668"/>
            <a:satOff val="-30583"/>
            <a:lumOff val="720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0005" tIns="26670" rIns="13335" bIns="2667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latin typeface="Times New Roman" pitchFamily="18" charset="0"/>
              <a:cs typeface="Times New Roman" pitchFamily="18" charset="0"/>
            </a:rPr>
            <a:t>Comparative Analysis</a:t>
          </a:r>
          <a:endParaRPr lang="en-US" sz="1000" kern="1200">
            <a:solidFill>
              <a:schemeClr val="tx1"/>
            </a:solidFill>
            <a:latin typeface="Times New Roman" pitchFamily="18" charset="0"/>
            <a:cs typeface="Times New Roman" pitchFamily="18" charset="0"/>
          </a:endParaRPr>
        </a:p>
      </dsp:txBody>
      <dsp:txXfrm>
        <a:off x="3561924" y="1328356"/>
        <a:ext cx="821820" cy="547880"/>
      </dsp:txXfrm>
    </dsp:sp>
    <dsp:sp modelId="{E7B8BD5B-1F23-4378-A590-1991D38BF556}">
      <dsp:nvSpPr>
        <dsp:cNvPr id="0" name=""/>
        <dsp:cNvSpPr/>
      </dsp:nvSpPr>
      <dsp:spPr>
        <a:xfrm>
          <a:off x="4383745" y="1328356"/>
          <a:ext cx="1369700" cy="547880"/>
        </a:xfrm>
        <a:prstGeom prst="chevron">
          <a:avLst/>
        </a:prstGeom>
        <a:solidFill>
          <a:schemeClr val="accent4">
            <a:hueOff val="9800891"/>
            <a:satOff val="-40777"/>
            <a:lumOff val="9608"/>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0005" tIns="26670" rIns="13335" bIns="2667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latin typeface="Times New Roman" pitchFamily="18" charset="0"/>
              <a:cs typeface="Times New Roman" pitchFamily="18" charset="0"/>
            </a:rPr>
            <a:t>Crisis Management</a:t>
          </a:r>
          <a:endParaRPr lang="en-US" sz="1000" kern="1200">
            <a:solidFill>
              <a:schemeClr val="tx1"/>
            </a:solidFill>
            <a:latin typeface="Times New Roman" pitchFamily="18" charset="0"/>
            <a:cs typeface="Times New Roman" pitchFamily="18" charset="0"/>
          </a:endParaRPr>
        </a:p>
      </dsp:txBody>
      <dsp:txXfrm>
        <a:off x="4657685" y="1328356"/>
        <a:ext cx="821820" cy="547880"/>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cycle3#2">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begPts" val="midR"/>
                <dgm:param type="connRout" val="longCurve"/>
                <dgm:param type="dstNode" val="node1"/>
                <dgm:param type="endPts" val="midL"/>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begPts" val="midL"/>
                <dgm:param type="connRout" val="longCurve"/>
                <dgm:param type="dstNode" val="node1"/>
                <dgm:param type="endPts" val="midR"/>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panAng" val="360"/>
                <dgm:param type="stAng" val="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panAng" val="-360"/>
                <dgm:param type="stAng" val="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begPts" val="midR"/>
                      <dgm:param type="connRout" val="longCurve"/>
                      <dgm:param type="dstNode" val="nodeFirstNode"/>
                      <dgm:param type="endPts" val="midL"/>
                    </dgm:alg>
                  </dgm:if>
                  <dgm:else name="Name15">
                    <dgm:alg type="conn">
                      <dgm:param type="begPts" val="midL"/>
                      <dgm:param type="connRout" val="longCurve"/>
                      <dgm:param type="dstNode" val="nodeFirstNode"/>
                      <dgm:param type="endPts" val="midR"/>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radial4#1">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ctrShpMap" val="fNode"/>
              <dgm:param type="spanAng" val="360"/>
              <dgm:param type="stAng" val="0"/>
            </dgm:alg>
          </dgm:if>
          <dgm:else name="Name4">
            <dgm:choose name="Name5">
              <dgm:if name="Name6" axis="ch ch" ptType="node node" st="1 1" cnt="1 0" func="cnt" op="lte" val="3">
                <dgm:alg type="cycle">
                  <dgm:param type="ctrShpMap" val="fNode"/>
                  <dgm:param type="spanAng" val="110"/>
                  <dgm:param type="stAng" val="-55"/>
                </dgm:alg>
              </dgm:if>
              <dgm:else name="Name7">
                <dgm:choose name="Name8">
                  <dgm:if name="Name9" axis="ch ch" ptType="node node" st="1 1" cnt="1 0" func="cnt" op="equ" val="4">
                    <dgm:alg type="cycle">
                      <dgm:param type="ctrShpMap" val="fNode"/>
                      <dgm:param type="spanAng" val="150"/>
                      <dgm:param type="stAng" val="-75"/>
                    </dgm:alg>
                  </dgm:if>
                  <dgm:else name="Name10">
                    <dgm:alg type="cycle">
                      <dgm:param type="ctrShpMap" val="fNode"/>
                      <dgm:param type="spanAng" val="180"/>
                      <dgm:param type="stAng" val="-90"/>
                    </dgm:alg>
                  </dgm:else>
                </dgm:choose>
              </dgm:else>
            </dgm:choose>
          </dgm:else>
        </dgm:choose>
      </dgm:if>
      <dgm:else name="Name11">
        <dgm:choose name="Name12">
          <dgm:if name="Name13" axis="ch ch" ptType="node node" st="1 1" cnt="1 0" func="cnt" op="lte" val="1">
            <dgm:alg type="cycle">
              <dgm:param type="ctrShpMap" val="fNode"/>
              <dgm:param type="spanAng" val="-360"/>
              <dgm:param type="stAng" val="0"/>
            </dgm:alg>
          </dgm:if>
          <dgm:else name="Name14">
            <dgm:choose name="Name15">
              <dgm:if name="Name16" axis="ch ch" ptType="node node" st="1 1" cnt="1 0" func="cnt" op="lte" val="3">
                <dgm:alg type="cycle">
                  <dgm:param type="ctrShpMap" val="fNode"/>
                  <dgm:param type="spanAng" val="-110"/>
                  <dgm:param type="stAng" val="55"/>
                </dgm:alg>
              </dgm:if>
              <dgm:else name="Name17">
                <dgm:choose name="Name18">
                  <dgm:if name="Name19" axis="ch ch" ptType="node node" st="1 1" cnt="1 0" func="cnt" op="equ" val="4">
                    <dgm:alg type="cycle">
                      <dgm:param type="ctrShpMap" val="fNode"/>
                      <dgm:param type="spanAng" val="-150"/>
                      <dgm:param type="stAng" val="75"/>
                    </dgm:alg>
                  </dgm:if>
                  <dgm:else name="Name20">
                    <dgm:alg type="cycle">
                      <dgm:param type="ctrShpMap" val="fNode"/>
                      <dgm:param type="spanAng" val="-180"/>
                      <dgm:param type="stAng" val="90"/>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begSty" val="arr"/>
              <dgm:param type="endPts" val="ctr"/>
              <dgm:param type="endSty" val="no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cycle8#2">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ar" val="1"/>
      <dgm:param type="horzAlign" val="ctr"/>
      <dgm:param type="vertAlign" val="mid"/>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3"/>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3"/>
                  <dgm:adj idx="2" val="12.86"/>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6"/>
                  <dgm:adj idx="2" val="64.29"/>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9"/>
                  <dgm:adj idx="2" val="115.71"/>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
                  <dgm:adj idx="2" val="167.14"/>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
                  <dgm:adj idx="2" val="218.57"/>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begPts" val="tL"/>
                  <dgm:param type="begSty" val="arr"/>
                  <dgm:param type="connRout" val="longCurve"/>
                  <dgm:param type="dstNode" val="dummy1b"/>
                  <dgm:param type="endPts" val="tR"/>
                  <dgm:param type="endSty" val="noArr"/>
                  <dgm:param type="srcNode" val="dummy1a"/>
                </dgm:alg>
              </dgm:if>
              <dgm:else name="Name175">
                <dgm:alg type="conn">
                  <dgm:param type="begPts" val="tL"/>
                  <dgm:param type="begSty" val="noArr"/>
                  <dgm:param type="connRout" val="longCurve"/>
                  <dgm:param type="dstNode" val="dummy1b"/>
                  <dgm:param type="endPts" val="tR"/>
                  <dgm:param type="endSty" val="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begPts" val="tL"/>
                  <dgm:param type="begSty" val="noArr"/>
                  <dgm:param type="connRout" val="curve"/>
                  <dgm:param type="dstNode" val="dummy1b"/>
                  <dgm:param type="endPts" val="tL"/>
                  <dgm:param type="endSty" val="arr"/>
                  <dgm:param type="srcNode" val="dummy1a"/>
                </dgm:alg>
              </dgm:if>
              <dgm:else name="Name180">
                <dgm:alg type="conn">
                  <dgm:param type="begPts" val="tL"/>
                  <dgm:param type="begSty" val="arr"/>
                  <dgm:param type="connRout" val="curve"/>
                  <dgm:param type="dstNode" val="dummy1b"/>
                  <dgm:param type="endPts" val="tL"/>
                  <dgm:param type="endSty" val="no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begPts" val="tL"/>
              <dgm:param type="begSty" val="noArr"/>
              <dgm:param type="connRout" val="curve"/>
              <dgm:param type="dstNode" val="dummy2b"/>
              <dgm:param type="endPts" val="tL"/>
              <dgm:param type="endSty" val="arr"/>
              <dgm:param type="srcNode" val="dummy2a"/>
            </dgm:alg>
          </dgm:if>
          <dgm:else name="Name185">
            <dgm:alg type="conn">
              <dgm:param type="begPts" val="tL"/>
              <dgm:param type="begSty" val="arr"/>
              <dgm:param type="connRout" val="curve"/>
              <dgm:param type="dstNode" val="dummy2b"/>
              <dgm:param type="endPts" val="tL"/>
              <dgm:param type="endSty" val="noArr"/>
              <dgm:param type="srcNode" val="dummy2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begPts" val="tL"/>
              <dgm:param type="begSty" val="noArr"/>
              <dgm:param type="connRout" val="curve"/>
              <dgm:param type="dstNode" val="dummy3b"/>
              <dgm:param type="endPts" val="tL"/>
              <dgm:param type="endSty" val="arr"/>
              <dgm:param type="srcNode" val="dummy3a"/>
            </dgm:alg>
          </dgm:if>
          <dgm:else name="Name189">
            <dgm:alg type="conn">
              <dgm:param type="begPts" val="tL"/>
              <dgm:param type="begSty" val="arr"/>
              <dgm:param type="connRout" val="curve"/>
              <dgm:param type="dstNode" val="dummy3b"/>
              <dgm:param type="endPts" val="tL"/>
              <dgm:param type="endSty" val="noArr"/>
              <dgm:param type="srcNode" val="dummy3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begPts" val="tL"/>
              <dgm:param type="begSty" val="noArr"/>
              <dgm:param type="connRout" val="curve"/>
              <dgm:param type="dstNode" val="dummy4b"/>
              <dgm:param type="endPts" val="tL"/>
              <dgm:param type="endSty" val="arr"/>
              <dgm:param type="srcNode" val="dummy4a"/>
            </dgm:alg>
          </dgm:if>
          <dgm:else name="Name193">
            <dgm:alg type="conn">
              <dgm:param type="begPts" val="tL"/>
              <dgm:param type="begSty" val="arr"/>
              <dgm:param type="connRout" val="curve"/>
              <dgm:param type="dstNode" val="dummy4b"/>
              <dgm:param type="endPts" val="tL"/>
              <dgm:param type="endSty" val="noArr"/>
              <dgm:param type="srcNode" val="dummy4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begPts" val="tL"/>
              <dgm:param type="begSty" val="noArr"/>
              <dgm:param type="connRout" val="curve"/>
              <dgm:param type="dstNode" val="dummy5b"/>
              <dgm:param type="endPts" val="tL"/>
              <dgm:param type="endSty" val="arr"/>
              <dgm:param type="srcNode" val="dummy5a"/>
            </dgm:alg>
          </dgm:if>
          <dgm:else name="Name197">
            <dgm:alg type="conn">
              <dgm:param type="begPts" val="tL"/>
              <dgm:param type="begSty" val="arr"/>
              <dgm:param type="connRout" val="curve"/>
              <dgm:param type="dstNode" val="dummy5b"/>
              <dgm:param type="endPts" val="tL"/>
              <dgm:param type="endSty" val="noArr"/>
              <dgm:param type="srcNode" val="dummy5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begPts" val="tL"/>
              <dgm:param type="begSty" val="noArr"/>
              <dgm:param type="connRout" val="curve"/>
              <dgm:param type="dstNode" val="dummy6b"/>
              <dgm:param type="endPts" val="tL"/>
              <dgm:param type="endSty" val="arr"/>
              <dgm:param type="srcNode" val="dummy6a"/>
            </dgm:alg>
          </dgm:if>
          <dgm:else name="Name201">
            <dgm:alg type="conn">
              <dgm:param type="begPts" val="tL"/>
              <dgm:param type="begSty" val="arr"/>
              <dgm:param type="connRout" val="curve"/>
              <dgm:param type="dstNode" val="dummy6b"/>
              <dgm:param type="endPts" val="tL"/>
              <dgm:param type="endSty" val="noArr"/>
              <dgm:param type="srcNode" val="dummy6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begPts" val="tL"/>
              <dgm:param type="begSty" val="noArr"/>
              <dgm:param type="connRout" val="curve"/>
              <dgm:param type="dstNode" val="dummy7b"/>
              <dgm:param type="endPts" val="tL"/>
              <dgm:param type="endSty" val="arr"/>
              <dgm:param type="srcNode" val="dummy7a"/>
            </dgm:alg>
          </dgm:if>
          <dgm:else name="Name205">
            <dgm:alg type="conn">
              <dgm:param type="begPts" val="tL"/>
              <dgm:param type="begSty" val="arr"/>
              <dgm:param type="connRout" val="curve"/>
              <dgm:param type="dstNode" val="dummy7b"/>
              <dgm:param type="endPts" val="tL"/>
              <dgm:param type="endSty" val="noArr"/>
              <dgm:param type="srcNode" val="dummy7a"/>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5.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6.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hProcess3">
  <dgm:title val=""/>
  <dgm:desc val=""/>
  <dgm:catLst>
    <dgm:cat type="process" pri="6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chOrder="t">
    <dgm:varLst>
      <dgm:dir/>
      <dgm:animLvl val="lvl"/>
      <dgm:resizeHandles val="exact"/>
    </dgm:varLst>
    <dgm:alg type="composite"/>
    <dgm:shape xmlns:r="http://schemas.openxmlformats.org/officeDocument/2006/relationships" r:blip="">
      <dgm:adjLst/>
    </dgm:shape>
    <dgm:presOf/>
    <dgm:constrLst>
      <dgm:constr type="w" for="ch" forName="dummy" refType="w"/>
      <dgm:constr type="h" for="ch" forName="dummy" refType="h"/>
      <dgm:constr type="h" for="ch" forName="dummy" refType="w" refFor="ch" refForName="dummy" op="lte" fact="0.4"/>
      <dgm:constr type="ctrX" for="ch" forName="dummy" refType="w" fact="0.5"/>
      <dgm:constr type="ctrY" for="ch" forName="dummy" refType="h" fact="0.5"/>
      <dgm:constr type="w" for="ch" forName="linH" refType="w"/>
      <dgm:constr type="h" for="ch" forName="linH" refType="h"/>
      <dgm:constr type="ctrX" for="ch" forName="linH" refType="w" fact="0.5"/>
      <dgm:constr type="ctrY" for="ch" forName="linH" refType="h" fact="0.5"/>
      <dgm:constr type="userP" for="ch" forName="linH" refType="h" refFor="ch" refForName="dummy" fact="0.25"/>
      <dgm:constr type="userT" for="des" forName="parTx" refType="w" refFor="ch" refForName="dummy" fact="0.2"/>
    </dgm:constrLst>
    <dgm:ruleLst/>
    <dgm:layoutNode name="dummy">
      <dgm:alg type="sp"/>
      <dgm:shape xmlns:r="http://schemas.openxmlformats.org/officeDocument/2006/relationships" r:blip="">
        <dgm:adjLst/>
      </dgm:shape>
      <dgm:presOf/>
      <dgm:constrLst/>
      <dgm:ruleLst/>
    </dgm:layoutNode>
    <dgm:layoutNode name="linH">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primFontSz" for="des" forName="parTx" val="65"/>
        <dgm:constr type="primFontSz" for="des" forName="desTx" refType="primFontSz" refFor="des" refForName="parTx" op="equ"/>
        <dgm:constr type="h" for="des" forName="parTx" refType="primFontSz" refFor="des" refForName="parTx"/>
        <dgm:constr type="h" for="des" forName="desTx" refType="primFontSz" refFor="des" refForName="parTx" fact="0.5"/>
        <dgm:constr type="h" for="des" forName="parTx" op="equ"/>
        <dgm:constr type="h" for="des" forName="desTx" op="equ"/>
        <dgm:constr type="h" for="ch" forName="backgroundArrow" refType="primFontSz" refFor="des" refForName="parTx" fact="2"/>
        <dgm:constr type="h" for="ch" forName="backgroundArrow" refType="h" refFor="des" refForName="parTx" op="lte" fact="2"/>
        <dgm:constr type="h" for="ch" forName="backgroundArrow" refType="h" refFor="des" refForName="parTx" op="gte" fact="2"/>
        <dgm:constr type="h" for="des" forName="spVertical1" refType="primFontSz" refFor="des" refForName="parTx" fact="0.5"/>
        <dgm:constr type="h" for="des" forName="spVertical1" refType="h" refFor="des" refForName="parTx" op="lte" fact="0.5"/>
        <dgm:constr type="h" for="des" forName="spVertical1" refType="h" refFor="des" refForName="parTx" op="gte" fact="0.5"/>
        <dgm:constr type="h" for="des" forName="spVertical2" refType="primFontSz" refFor="des" refForName="parTx" fact="0.5"/>
        <dgm:constr type="h" for="des" forName="spVertical2" refType="h" refFor="des" refForName="parTx" op="lte" fact="0.5"/>
        <dgm:constr type="h" for="des" forName="spVertical2" refType="h" refFor="des" refForName="parTx" op="gte" fact="0.5"/>
        <dgm:constr type="h" for="des" forName="spVertical3" refType="primFontSz" refFor="des" refForName="parTx" fact="-0.4"/>
        <dgm:constr type="h" for="des" forName="spVertical3" refType="h" refFor="des" refForName="parTx" op="lte" fact="-0.4"/>
        <dgm:constr type="h" for="des" forName="spVertical3" refType="h" refFor="des" refForName="parTx" op="gte" fact="-0.4"/>
        <dgm:constr type="w" for="ch" forName="backgroundArrow" refType="w"/>
        <dgm:constr type="w" for="ch" forName="negArrow" refType="w" fact="-1"/>
        <dgm:constr type="w" for="ch" forName="linV" refType="w"/>
        <dgm:constr type="w" for="ch" forName="space" refType="w" refFor="ch" refForName="linV" fact="0.2"/>
        <dgm:constr type="w" for="ch" forName="padding1" refType="w" fact="0.08"/>
        <dgm:constr type="userP"/>
        <dgm:constr type="w" for="ch" forName="padding2" refType="userP"/>
      </dgm:constrLst>
      <dgm:ruleLst>
        <dgm:rule type="w" for="ch" forName="linV" val="0" fact="NaN" max="NaN"/>
        <dgm:rule type="primFontSz" for="des" forName="parTx" val="5" fact="NaN" max="NaN"/>
      </dgm:ruleLst>
      <dgm:layoutNode name="padding1">
        <dgm:alg type="sp"/>
        <dgm:shape xmlns:r="http://schemas.openxmlformats.org/officeDocument/2006/relationships" r:blip="">
          <dgm:adjLst/>
        </dgm:shape>
        <dgm:presOf/>
        <dgm:constrLst/>
        <dgm:ruleLst/>
      </dgm:layoutNode>
      <dgm:forEach name="Name4" axis="ch" ptType="node">
        <dgm:layoutNode name="linV">
          <dgm:alg type="lin">
            <dgm:param type="linDir" val="fromT"/>
          </dgm:alg>
          <dgm:shape xmlns:r="http://schemas.openxmlformats.org/officeDocument/2006/relationships" r:blip="">
            <dgm:adjLst/>
          </dgm:shape>
          <dgm:presOf/>
          <dgm:constrLst>
            <dgm:constr type="w" for="ch" forName="spVertical1" refType="w"/>
            <dgm:constr type="w" for="ch" forName="parTx" refType="w"/>
            <dgm:constr type="w" for="ch" forName="spVertical2" refType="w"/>
            <dgm:constr type="w" for="ch" forName="spVertical3" refType="w"/>
            <dgm:constr type="w" for="ch" forName="desTx" refType="w"/>
          </dgm:constrLst>
          <dgm:ruleLst/>
          <dgm:layoutNode name="spVertical1">
            <dgm:alg type="sp"/>
            <dgm:shape xmlns:r="http://schemas.openxmlformats.org/officeDocument/2006/relationships" r:blip="">
              <dgm:adjLst/>
            </dgm:shape>
            <dgm:presOf/>
            <dgm:constrLst/>
            <dgm:ruleLst/>
          </dgm:layoutNode>
          <dgm:layoutNode name="parTx" styleLbl="revTx">
            <dgm:varLst>
              <dgm:chMax val="0"/>
              <dgm:chPref val="0"/>
              <dgm:bulletEnabled val="1"/>
            </dgm:varLst>
            <dgm:choose name="Name5">
              <dgm:if name="Name6" axis="root des" ptType="all node" func="maxDepth" op="gt" val="1">
                <dgm:alg type="tx">
                  <dgm:param type="parTxLTRAlign" val="l"/>
                  <dgm:param type="parTxRTLAlign" val="r"/>
                </dgm:alg>
              </dgm:if>
              <dgm:else name="Name7">
                <dgm:alg type="tx">
                  <dgm:param type="parTxLTRAlign" val="ctr"/>
                  <dgm:param type="parTxRTLAlign" val="ctr"/>
                </dgm:alg>
              </dgm:else>
            </dgm:choose>
            <dgm:shape xmlns:r="http://schemas.openxmlformats.org/officeDocument/2006/relationships" type="rect" r:blip="">
              <dgm:adjLst/>
            </dgm:shape>
            <dgm:presOf axis="self" ptType="node"/>
            <dgm:choose name="Name8">
              <dgm:if name="Name9" func="var" arg="dir" op="equ" val="norm">
                <dgm:constrLst>
                  <dgm:constr type="userT"/>
                  <dgm:constr type="h" refType="userT" op="lte"/>
                  <dgm:constr type="tMarg" refType="primFontSz" fact="0.8"/>
                  <dgm:constr type="bMarg" refType="tMarg"/>
                  <dgm:constr type="lMarg"/>
                  <dgm:constr type="rMarg"/>
                </dgm:constrLst>
              </dgm:if>
              <dgm:else name="Name10">
                <dgm:constrLst>
                  <dgm:constr type="userT"/>
                  <dgm:constr type="h" refType="userT" op="lte"/>
                  <dgm:constr type="tMarg" refType="primFontSz" fact="0.8"/>
                  <dgm:constr type="bMarg" refType="tMarg"/>
                  <dgm:constr type="lMarg"/>
                  <dgm:constr type="rMarg"/>
                </dgm:constrLst>
              </dgm:else>
            </dgm:choose>
            <dgm:ruleLst>
              <dgm:rule type="h" val="INF" fact="NaN" max="NaN"/>
            </dgm:ruleLst>
          </dgm:layoutNode>
          <dgm:layoutNode name="spVertical2">
            <dgm:alg type="sp"/>
            <dgm:shape xmlns:r="http://schemas.openxmlformats.org/officeDocument/2006/relationships" r:blip="">
              <dgm:adjLst/>
            </dgm:shape>
            <dgm:presOf/>
            <dgm:constrLst/>
            <dgm:ruleLst/>
          </dgm:layoutNode>
          <dgm:layoutNode name="spVertical3">
            <dgm:alg type="sp"/>
            <dgm:shape xmlns:r="http://schemas.openxmlformats.org/officeDocument/2006/relationships" r:blip="">
              <dgm:adjLst/>
            </dgm:shape>
            <dgm:presOf/>
            <dgm:constrLst/>
            <dgm:ruleLst/>
          </dgm:layoutNode>
          <dgm:choose name="Name11">
            <dgm:if name="Name12" axis="ch" ptType="node" func="cnt" op="gte" val="1">
              <dgm:layoutNode name="desTx" styleLbl="revTx">
                <dgm:varLst>
                  <dgm:bulletEnabled val="1"/>
                </dgm:varLst>
                <dgm:alg type="tx">
                  <dgm:param type="stBulletLvl" val="1"/>
                </dgm:alg>
                <dgm:shape xmlns:r="http://schemas.openxmlformats.org/officeDocument/2006/relationships" type="rect" r:blip="">
                  <dgm:adjLst/>
                </dgm:shape>
                <dgm:presOf axis="des" ptType="node"/>
                <dgm:constrLst>
                  <dgm:constr type="tMarg"/>
                  <dgm:constr type="bMarg"/>
                  <dgm:constr type="rMarg"/>
                  <dgm:constr type="lMarg"/>
                </dgm:constrLst>
                <dgm:ruleLst>
                  <dgm:rule type="h" val="INF" fact="NaN" max="NaN"/>
                </dgm:ruleLst>
              </dgm:layoutNode>
            </dgm:if>
            <dgm:else name="Name13"/>
          </dgm:choose>
        </dgm:layoutNod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name="padding2">
        <dgm:alg type="sp"/>
        <dgm:shape xmlns:r="http://schemas.openxmlformats.org/officeDocument/2006/relationships" r:blip="">
          <dgm:adjLst/>
        </dgm:shape>
        <dgm:presOf/>
        <dgm:constrLst/>
        <dgm:ruleLst/>
      </dgm:layoutNode>
      <dgm:layoutNode name="negArrow">
        <dgm:alg type="sp"/>
        <dgm:shape xmlns:r="http://schemas.openxmlformats.org/officeDocument/2006/relationships" r:blip="">
          <dgm:adjLst/>
        </dgm:shape>
        <dgm:presOf/>
        <dgm:constrLst/>
        <dgm:ruleLst/>
      </dgm:layoutNode>
      <dgm:layoutNode name="backgroundArrow" styleLbl="node1">
        <dgm:alg type="sp"/>
        <dgm:choose name="Name15">
          <dgm:if name="Name16" func="var" arg="dir" op="equ" val="norm">
            <dgm:shape xmlns:r="http://schemas.openxmlformats.org/officeDocument/2006/relationships" type="rightArrow" r:blip="">
              <dgm:adjLst/>
            </dgm:shape>
          </dgm:if>
          <dgm:else name="Name17">
            <dgm:shape xmlns:r="http://schemas.openxmlformats.org/officeDocument/2006/relationships" type="leftArrow" r:blip="">
              <dgm:adjLst/>
            </dgm:shape>
          </dgm:else>
        </dgm:choose>
        <dgm:presOf/>
        <dgm:constrLst/>
        <dgm:ruleLst/>
      </dgm:layoutNode>
    </dgm:layoutNode>
  </dgm:layoutNode>
</dgm:layoutDef>
</file>

<file path=word/diagrams/layout8.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9.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10.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layout11.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1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17T18:02:04.511"/>
    </inkml:context>
    <inkml:brush xml:id="br0">
      <inkml:brushProperty name="width" value="0.025" units="cm"/>
      <inkml:brushProperty name="height" value="0.025" units="cm"/>
    </inkml:brush>
  </inkml:definitions>
  <inkml:trace contextRef="#ctx0" brushRef="#br0">0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19T15:43:48.136"/>
    </inkml:context>
    <inkml:brush xml:id="br0">
      <inkml:brushProperty name="width" value="0.025" units="cm"/>
      <inkml:brushProperty name="height" value="0.025" units="cm"/>
    </inkml:brush>
  </inkml:definitions>
  <inkml:trace contextRef="#ctx0" brushRef="#br0">0 0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17T18:02:03.910"/>
    </inkml:context>
    <inkml:brush xml:id="br0">
      <inkml:brushProperty name="width" value="0.025" units="cm"/>
      <inkml:brushProperty name="height" value="0.025" units="cm"/>
    </inkml:brush>
  </inkml:definitions>
  <inkml:trace contextRef="#ctx0" brushRef="#br0">1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80</Pages>
  <Words>20665</Words>
  <Characters>117792</Characters>
  <Application>Microsoft Office Word</Application>
  <DocSecurity>0</DocSecurity>
  <Lines>981</Lines>
  <Paragraphs>276</Paragraphs>
  <ScaleCrop>false</ScaleCrop>
  <Company/>
  <LinksUpToDate>false</LinksUpToDate>
  <CharactersWithSpaces>138181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Purva Panchal (2208753)</dc:creator>
  <cp:keywords/>
  <dc:description/>
  <cp:lastModifiedBy>Purva Panchal (2208753)</cp:lastModifiedBy>
  <cp:revision>2</cp:revision>
  <dcterms:created xsi:type="dcterms:W3CDTF">2023-10-19T15:55:00Z</dcterms:created>
  <dcterms:modified xsi:type="dcterms:W3CDTF">2023-10-19T15:55:00Z</dcterms:modified>
</cp:coreProperties>
</file>