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B52C70" w14:textId="77777777" w:rsidR="0024058D" w:rsidRDefault="0024058D" w:rsidP="0024058D"/>
    <w:p w14:paraId="3676B1A2" w14:textId="77777777" w:rsidR="0024058D" w:rsidRDefault="0024058D" w:rsidP="0024058D">
      <w:pPr>
        <w:rPr>
          <w:rFonts w:cs="Arial"/>
          <w:caps/>
        </w:rPr>
      </w:pPr>
      <w:r>
        <w:rPr>
          <w:rFonts w:cs="Arial"/>
          <w:caps/>
          <w:noProof/>
        </w:rPr>
        <w:drawing>
          <wp:anchor distT="0" distB="0" distL="114300" distR="114300" simplePos="0" relativeHeight="251659264" behindDoc="0" locked="0" layoutInCell="1" allowOverlap="1" wp14:anchorId="36CECB18" wp14:editId="365227AB">
            <wp:simplePos x="0" y="0"/>
            <wp:positionH relativeFrom="column">
              <wp:posOffset>4003040</wp:posOffset>
            </wp:positionH>
            <wp:positionV relativeFrom="paragraph">
              <wp:posOffset>-55880</wp:posOffset>
            </wp:positionV>
            <wp:extent cx="1895475" cy="847725"/>
            <wp:effectExtent l="0" t="0" r="0" b="0"/>
            <wp:wrapSquare wrapText="bothSides"/>
            <wp:docPr id="802479771" name="Picture 4"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08C89DB2" wp14:editId="13566F96">
            <wp:extent cx="2305050" cy="923925"/>
            <wp:effectExtent l="0" t="0" r="0" b="9525"/>
            <wp:docPr id="1074543967"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028971E4" w14:textId="77777777" w:rsidR="0024058D" w:rsidRDefault="0024058D" w:rsidP="0024058D">
      <w:pPr>
        <w:jc w:val="center"/>
        <w:rPr>
          <w:rFonts w:cs="Arial"/>
          <w:caps/>
          <w:sz w:val="48"/>
          <w:szCs w:val="48"/>
        </w:rPr>
      </w:pPr>
    </w:p>
    <w:p w14:paraId="6DE2E9BA" w14:textId="77777777" w:rsidR="0024058D" w:rsidRDefault="0024058D" w:rsidP="0024058D">
      <w:pPr>
        <w:jc w:val="center"/>
        <w:rPr>
          <w:rFonts w:cs="Arial"/>
          <w:caps/>
          <w:sz w:val="48"/>
          <w:szCs w:val="48"/>
        </w:rPr>
      </w:pPr>
    </w:p>
    <w:p w14:paraId="352D83BA" w14:textId="77777777" w:rsidR="0024058D" w:rsidRDefault="0024058D" w:rsidP="0024058D">
      <w:pPr>
        <w:jc w:val="center"/>
        <w:rPr>
          <w:rFonts w:cs="Arial"/>
          <w:caps/>
          <w:sz w:val="48"/>
          <w:szCs w:val="48"/>
        </w:rPr>
      </w:pPr>
      <w:r>
        <w:rPr>
          <w:rFonts w:cs="Arial"/>
          <w:caps/>
          <w:sz w:val="48"/>
          <w:szCs w:val="48"/>
        </w:rPr>
        <w:t xml:space="preserve">Determining Net Explosive Quantity from Craters </w:t>
      </w:r>
    </w:p>
    <w:p w14:paraId="2E234A6B" w14:textId="77777777" w:rsidR="0024058D" w:rsidRDefault="0024058D" w:rsidP="0024058D">
      <w:pPr>
        <w:jc w:val="center"/>
        <w:rPr>
          <w:rFonts w:cs="Arial"/>
          <w:sz w:val="48"/>
          <w:szCs w:val="48"/>
        </w:rPr>
      </w:pPr>
      <w:r>
        <w:rPr>
          <w:rFonts w:cs="Arial"/>
          <w:sz w:val="48"/>
          <w:szCs w:val="48"/>
        </w:rPr>
        <w:t>by</w:t>
      </w:r>
    </w:p>
    <w:p w14:paraId="1AEAA82A" w14:textId="77777777" w:rsidR="0024058D" w:rsidRDefault="0024058D" w:rsidP="0024058D">
      <w:pPr>
        <w:jc w:val="center"/>
        <w:rPr>
          <w:rFonts w:cs="Arial"/>
          <w:sz w:val="48"/>
          <w:szCs w:val="48"/>
        </w:rPr>
      </w:pPr>
      <w:r>
        <w:rPr>
          <w:rFonts w:cs="Arial"/>
          <w:sz w:val="48"/>
          <w:szCs w:val="48"/>
        </w:rPr>
        <w:t>Josh Ede</w:t>
      </w:r>
    </w:p>
    <w:p w14:paraId="37421D10" w14:textId="77777777" w:rsidR="0024058D" w:rsidRDefault="0024058D" w:rsidP="0024058D">
      <w:pPr>
        <w:jc w:val="center"/>
        <w:rPr>
          <w:rFonts w:cs="Arial"/>
          <w:sz w:val="48"/>
          <w:szCs w:val="48"/>
        </w:rPr>
      </w:pPr>
    </w:p>
    <w:p w14:paraId="7E61C56D" w14:textId="77777777" w:rsidR="0024058D" w:rsidRDefault="0024058D" w:rsidP="0024058D">
      <w:pPr>
        <w:jc w:val="center"/>
        <w:rPr>
          <w:rFonts w:cs="Arial"/>
          <w:sz w:val="48"/>
          <w:szCs w:val="48"/>
        </w:rPr>
      </w:pPr>
      <w:r>
        <w:rPr>
          <w:rFonts w:cs="Arial"/>
          <w:sz w:val="48"/>
          <w:szCs w:val="48"/>
        </w:rPr>
        <w:t xml:space="preserve">Supervisor: </w:t>
      </w:r>
      <w:r>
        <w:rPr>
          <w:rFonts w:cs="Arial"/>
          <w:color w:val="000000"/>
          <w:sz w:val="48"/>
        </w:rPr>
        <w:t>Gareth Collett</w:t>
      </w:r>
    </w:p>
    <w:p w14:paraId="07DFE5E8" w14:textId="77777777" w:rsidR="0024058D" w:rsidRDefault="0024058D" w:rsidP="0024058D">
      <w:pPr>
        <w:jc w:val="center"/>
        <w:rPr>
          <w:rFonts w:cs="Arial"/>
          <w:sz w:val="48"/>
          <w:szCs w:val="48"/>
        </w:rPr>
      </w:pPr>
    </w:p>
    <w:p w14:paraId="338399C6" w14:textId="77777777" w:rsidR="0024058D" w:rsidRPr="00575890" w:rsidRDefault="0024058D" w:rsidP="0024058D">
      <w:pPr>
        <w:jc w:val="center"/>
        <w:rPr>
          <w:rFonts w:ascii="Calibri" w:hAnsi="Calibri"/>
          <w:color w:val="000000"/>
          <w:sz w:val="44"/>
        </w:rPr>
      </w:pPr>
      <w:r w:rsidRPr="00575890">
        <w:rPr>
          <w:rFonts w:ascii="Calibri" w:hAnsi="Calibri"/>
          <w:color w:val="000000"/>
          <w:sz w:val="44"/>
        </w:rPr>
        <w:t>Project submitted as part of the requirements for the award of B</w:t>
      </w:r>
      <w:r>
        <w:rPr>
          <w:rFonts w:ascii="Calibri" w:hAnsi="Calibri"/>
          <w:color w:val="000000"/>
          <w:sz w:val="44"/>
        </w:rPr>
        <w:t xml:space="preserve">Eng </w:t>
      </w:r>
      <w:r w:rsidRPr="00575890">
        <w:rPr>
          <w:rFonts w:ascii="Calibri" w:hAnsi="Calibri"/>
          <w:color w:val="000000"/>
          <w:sz w:val="44"/>
        </w:rPr>
        <w:t xml:space="preserve">(Hons) </w:t>
      </w:r>
      <w:r>
        <w:rPr>
          <w:rFonts w:ascii="Calibri" w:hAnsi="Calibri"/>
          <w:color w:val="000000"/>
          <w:sz w:val="44"/>
        </w:rPr>
        <w:t>OME</w:t>
      </w:r>
    </w:p>
    <w:p w14:paraId="5AAF0603" w14:textId="77777777" w:rsidR="0024058D" w:rsidRDefault="0024058D" w:rsidP="0024058D">
      <w:pPr>
        <w:jc w:val="center"/>
        <w:rPr>
          <w:rFonts w:cs="Arial"/>
          <w:sz w:val="48"/>
          <w:szCs w:val="48"/>
        </w:rPr>
      </w:pPr>
    </w:p>
    <w:p w14:paraId="07868D11" w14:textId="77777777" w:rsidR="0024058D" w:rsidRDefault="0024058D" w:rsidP="0024058D">
      <w:pPr>
        <w:jc w:val="center"/>
        <w:rPr>
          <w:rFonts w:cs="Arial"/>
          <w:sz w:val="48"/>
          <w:szCs w:val="48"/>
        </w:rPr>
      </w:pPr>
      <w:r>
        <w:rPr>
          <w:rFonts w:cs="Arial"/>
          <w:sz w:val="48"/>
          <w:szCs w:val="48"/>
        </w:rPr>
        <w:t>July 2025</w:t>
      </w:r>
    </w:p>
    <w:p w14:paraId="4FDE6ED6" w14:textId="77777777" w:rsidR="0024058D" w:rsidRDefault="0024058D" w:rsidP="0024058D">
      <w:pPr>
        <w:jc w:val="center"/>
        <w:rPr>
          <w:rFonts w:cs="Arial"/>
          <w:sz w:val="48"/>
          <w:szCs w:val="48"/>
        </w:rPr>
      </w:pPr>
    </w:p>
    <w:p w14:paraId="234EE149" w14:textId="77777777" w:rsidR="0024058D" w:rsidRDefault="0024058D" w:rsidP="0024058D">
      <w:pPr>
        <w:rPr>
          <w:b/>
        </w:rPr>
      </w:pPr>
    </w:p>
    <w:p w14:paraId="24256352" w14:textId="77777777" w:rsidR="0024058D" w:rsidRDefault="0024058D" w:rsidP="0024058D">
      <w:pPr>
        <w:rPr>
          <w:b/>
        </w:rPr>
      </w:pPr>
    </w:p>
    <w:p w14:paraId="4960044D" w14:textId="77777777" w:rsidR="0024058D" w:rsidRDefault="0024058D" w:rsidP="0024058D">
      <w:pPr>
        <w:rPr>
          <w:b/>
        </w:rPr>
      </w:pPr>
    </w:p>
    <w:p w14:paraId="0391CAB4" w14:textId="77777777" w:rsidR="0024058D" w:rsidRDefault="0024058D" w:rsidP="0024058D">
      <w:pPr>
        <w:rPr>
          <w:rFonts w:cs="Arial"/>
          <w:b/>
          <w:bCs/>
          <w:color w:val="000000"/>
        </w:rPr>
      </w:pPr>
      <w:r w:rsidRPr="00CD5CB7">
        <w:rPr>
          <w:rFonts w:cs="Arial"/>
          <w:b/>
          <w:bCs/>
          <w:color w:val="000000"/>
          <w:sz w:val="28"/>
        </w:rPr>
        <w:lastRenderedPageBreak/>
        <w:t>Declaration of Originality</w:t>
      </w:r>
    </w:p>
    <w:p w14:paraId="0B1A0EDF" w14:textId="77777777" w:rsidR="0024058D" w:rsidRPr="005B638E" w:rsidRDefault="0024058D" w:rsidP="0024058D">
      <w:pPr>
        <w:rPr>
          <w:rFonts w:ascii="Calibri" w:hAnsi="Calibri"/>
          <w:color w:val="000000"/>
        </w:rPr>
      </w:pPr>
      <w:r w:rsidRPr="005B638E">
        <w:rPr>
          <w:rFonts w:ascii="Calibri" w:hAnsi="Calibri"/>
          <w:b/>
          <w:bCs/>
          <w:color w:val="000000"/>
        </w:rPr>
        <w:t xml:space="preserve"> </w:t>
      </w:r>
    </w:p>
    <w:p w14:paraId="01B92C53" w14:textId="77777777" w:rsidR="0024058D" w:rsidRPr="005B638E" w:rsidRDefault="0024058D" w:rsidP="0024058D">
      <w:pPr>
        <w:rPr>
          <w:rFonts w:ascii="Calibri" w:hAnsi="Calibri"/>
          <w:color w:val="000000"/>
        </w:rPr>
      </w:pPr>
      <w:r w:rsidRPr="005B638E">
        <w:rPr>
          <w:rFonts w:ascii="Calibri" w:hAnsi="Calibri"/>
          <w:color w:val="000000"/>
        </w:rPr>
        <w:t xml:space="preserve">I, </w:t>
      </w:r>
      <w:r>
        <w:rPr>
          <w:rFonts w:ascii="Calibri" w:hAnsi="Calibri"/>
          <w:color w:val="000000"/>
        </w:rPr>
        <w:t>Josh Ede</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37E61F2E" w14:textId="77777777" w:rsidR="0024058D" w:rsidRPr="005B638E" w:rsidRDefault="0024058D" w:rsidP="0024058D">
      <w:pPr>
        <w:rPr>
          <w:rFonts w:ascii="Calibri" w:hAnsi="Calibri"/>
          <w:color w:val="000000"/>
        </w:rPr>
      </w:pPr>
      <w:r w:rsidRPr="005B638E">
        <w:rPr>
          <w:rFonts w:ascii="Calibri" w:hAnsi="Calibri"/>
          <w:color w:val="000000"/>
        </w:rPr>
        <w:t xml:space="preserve">  </w:t>
      </w:r>
    </w:p>
    <w:p w14:paraId="1246F5F1" w14:textId="77777777" w:rsidR="0024058D" w:rsidRPr="005B638E" w:rsidRDefault="0024058D" w:rsidP="0024058D">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4755DAF1" w14:textId="77777777" w:rsidR="0024058D" w:rsidRPr="005B638E" w:rsidRDefault="0024058D" w:rsidP="0024058D">
      <w:pPr>
        <w:rPr>
          <w:rFonts w:ascii="Calibri" w:hAnsi="Calibri"/>
          <w:color w:val="000000"/>
        </w:rPr>
      </w:pPr>
      <w:r w:rsidRPr="005B638E">
        <w:rPr>
          <w:rFonts w:ascii="Calibri" w:hAnsi="Calibri"/>
          <w:color w:val="000000"/>
        </w:rPr>
        <w:t xml:space="preserve">   </w:t>
      </w:r>
    </w:p>
    <w:p w14:paraId="43BD38D3" w14:textId="77777777" w:rsidR="0024058D" w:rsidRPr="005B638E" w:rsidRDefault="0024058D" w:rsidP="0024058D">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roofErr w:type="spellStart"/>
      <w:proofErr w:type="gramStart"/>
      <w:r>
        <w:rPr>
          <w:rFonts w:ascii="Calibri" w:hAnsi="Calibri"/>
          <w:b/>
          <w:bCs/>
          <w:i/>
          <w:iCs/>
          <w:color w:val="000000"/>
        </w:rPr>
        <w:t>J.Ede</w:t>
      </w:r>
      <w:proofErr w:type="spellEnd"/>
      <w:proofErr w:type="gramEnd"/>
      <w:r w:rsidRPr="005B638E">
        <w:rPr>
          <w:rFonts w:ascii="Calibri" w:hAnsi="Calibri"/>
          <w:b/>
          <w:bCs/>
          <w:i/>
          <w:iCs/>
          <w:color w:val="000000"/>
        </w:rPr>
        <w:t xml:space="preserve"> </w:t>
      </w:r>
    </w:p>
    <w:p w14:paraId="4D39D85C" w14:textId="77777777" w:rsidR="0024058D" w:rsidRPr="005B638E" w:rsidRDefault="0024058D" w:rsidP="0024058D">
      <w:pPr>
        <w:ind w:left="1440"/>
        <w:rPr>
          <w:rFonts w:ascii="Calibri" w:hAnsi="Calibri"/>
          <w:color w:val="000000"/>
        </w:rPr>
      </w:pPr>
      <w:r w:rsidRPr="005B638E">
        <w:rPr>
          <w:rFonts w:ascii="Calibri" w:hAnsi="Calibri"/>
          <w:b/>
          <w:bCs/>
          <w:i/>
          <w:iCs/>
          <w:color w:val="000000"/>
        </w:rPr>
        <w:t xml:space="preserve"> </w:t>
      </w:r>
    </w:p>
    <w:p w14:paraId="3F2E15DE" w14:textId="77777777" w:rsidR="0024058D" w:rsidRPr="005B638E" w:rsidRDefault="0024058D" w:rsidP="0024058D">
      <w:pPr>
        <w:ind w:left="1440"/>
        <w:rPr>
          <w:rFonts w:ascii="Calibri" w:hAnsi="Calibri"/>
          <w:color w:val="000000"/>
        </w:rPr>
      </w:pPr>
      <w:r w:rsidRPr="005B638E">
        <w:rPr>
          <w:rFonts w:ascii="Calibri" w:hAnsi="Calibri"/>
          <w:b/>
          <w:bCs/>
          <w:i/>
          <w:iCs/>
          <w:color w:val="000000"/>
        </w:rPr>
        <w:t xml:space="preserve"> </w:t>
      </w:r>
    </w:p>
    <w:p w14:paraId="6609B452" w14:textId="7FAF5E00" w:rsidR="0024058D" w:rsidRDefault="0024058D" w:rsidP="0024058D">
      <w:pPr>
        <w:ind w:left="1440"/>
        <w:rPr>
          <w:rFonts w:ascii="Calibri" w:hAnsi="Calibri"/>
          <w:b/>
          <w:bCs/>
          <w:i/>
          <w:iCs/>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2</w:t>
      </w:r>
      <w:r w:rsidR="000B403D">
        <w:rPr>
          <w:rFonts w:ascii="Calibri" w:hAnsi="Calibri"/>
          <w:b/>
          <w:bCs/>
          <w:i/>
          <w:iCs/>
          <w:color w:val="000000"/>
        </w:rPr>
        <w:t>8</w:t>
      </w:r>
      <w:r>
        <w:rPr>
          <w:rFonts w:ascii="Calibri" w:hAnsi="Calibri"/>
          <w:b/>
          <w:bCs/>
          <w:i/>
          <w:iCs/>
          <w:color w:val="000000"/>
        </w:rPr>
        <w:t>/07/2025</w:t>
      </w:r>
      <w:r w:rsidRPr="005B638E">
        <w:rPr>
          <w:rFonts w:ascii="Calibri" w:hAnsi="Calibri"/>
          <w:b/>
          <w:bCs/>
          <w:i/>
          <w:iCs/>
          <w:color w:val="000000"/>
        </w:rPr>
        <w:t xml:space="preserve"> </w:t>
      </w:r>
    </w:p>
    <w:p w14:paraId="5FE3C213" w14:textId="77777777" w:rsidR="00A27082" w:rsidRDefault="00A27082" w:rsidP="0024058D">
      <w:pPr>
        <w:ind w:left="1440"/>
        <w:rPr>
          <w:rFonts w:ascii="Calibri" w:hAnsi="Calibri"/>
          <w:b/>
          <w:bCs/>
          <w:i/>
          <w:iCs/>
          <w:color w:val="000000"/>
        </w:rPr>
      </w:pPr>
    </w:p>
    <w:p w14:paraId="57F64767" w14:textId="77777777" w:rsidR="00A27082" w:rsidRPr="005B638E" w:rsidRDefault="00A27082" w:rsidP="0024058D">
      <w:pPr>
        <w:ind w:left="1440"/>
        <w:rPr>
          <w:rFonts w:ascii="Calibri" w:hAnsi="Calibri"/>
          <w:color w:val="000000"/>
        </w:rPr>
      </w:pPr>
    </w:p>
    <w:p w14:paraId="3D0D7EEF" w14:textId="77777777" w:rsidR="00A27082" w:rsidRDefault="00A27082" w:rsidP="00A27082">
      <w:r>
        <w:t>© Crown copyright (2025), Dstl. This information is licensed under the Open Government Licence v3.0. To view this licence, visit https://www.nationalarchives.gov.uk/doc/open-government-licence/.</w:t>
      </w:r>
    </w:p>
    <w:p w14:paraId="1D57A35B" w14:textId="49CB6067" w:rsidR="0024058D" w:rsidRDefault="00A27082" w:rsidP="00A27082">
      <w:r>
        <w:t xml:space="preserve">Where we have identified any </w:t>
      </w:r>
      <w:proofErr w:type="gramStart"/>
      <w:r>
        <w:t>third party</w:t>
      </w:r>
      <w:proofErr w:type="gramEnd"/>
      <w:r>
        <w:t xml:space="preserve"> copyright information you will need to obtain permission from the copyright holders concerned. Any enquiries regarding this publication should be sent to: centralenquiries@dstl.gov.uk.</w:t>
      </w:r>
      <w:r w:rsidR="0024058D">
        <w:br w:type="page"/>
      </w:r>
    </w:p>
    <w:p w14:paraId="2FFC1F7C" w14:textId="77777777" w:rsidR="0024058D" w:rsidRPr="009F2495" w:rsidRDefault="0024058D" w:rsidP="0024058D">
      <w:pPr>
        <w:pStyle w:val="Heading1"/>
        <w:rPr>
          <w:rFonts w:asciiTheme="minorHAnsi" w:eastAsiaTheme="minorEastAsia" w:hAnsiTheme="minorHAnsi" w:cstheme="minorBidi"/>
        </w:rPr>
      </w:pPr>
      <w:bookmarkStart w:id="0" w:name="_Toc204446013"/>
      <w:r w:rsidRPr="009F2495">
        <w:rPr>
          <w:rFonts w:asciiTheme="minorHAnsi" w:eastAsiaTheme="minorEastAsia" w:hAnsiTheme="minorHAnsi" w:cstheme="minorBidi"/>
        </w:rPr>
        <w:lastRenderedPageBreak/>
        <w:t>Abstract</w:t>
      </w:r>
      <w:bookmarkEnd w:id="0"/>
    </w:p>
    <w:p w14:paraId="7650AE96" w14:textId="57818536" w:rsidR="0024058D" w:rsidRPr="009F2495" w:rsidRDefault="0024058D" w:rsidP="0024058D">
      <w:pPr>
        <w:rPr>
          <w:rFonts w:eastAsiaTheme="minorEastAsia"/>
        </w:rPr>
      </w:pPr>
      <w:r w:rsidRPr="009F2495">
        <w:rPr>
          <w:rFonts w:eastAsiaTheme="minorEastAsia"/>
        </w:rPr>
        <w:t>Net explosive quantity (NEQ) is a key factor to determine when investigating explosive incidents. Commonly adopted methods for determining NEQ post-detonation involve using damage estimations of vehicles and street architecture such as road signs. The</w:t>
      </w:r>
      <w:r>
        <w:rPr>
          <w:rFonts w:eastAsiaTheme="minorEastAsia"/>
        </w:rPr>
        <w:t>se</w:t>
      </w:r>
      <w:r w:rsidRPr="009F2495">
        <w:rPr>
          <w:rFonts w:eastAsiaTheme="minorEastAsia"/>
        </w:rPr>
        <w:t xml:space="preserve"> damage</w:t>
      </w:r>
      <w:r>
        <w:rPr>
          <w:rFonts w:eastAsiaTheme="minorEastAsia"/>
        </w:rPr>
        <w:t xml:space="preserve"> estimations</w:t>
      </w:r>
      <w:r w:rsidRPr="009F2495">
        <w:rPr>
          <w:rFonts w:eastAsiaTheme="minorEastAsia"/>
        </w:rPr>
        <w:t xml:space="preserve"> are subjective and could therefore be open to some interpretation by investigators. Craters formed from explosive detonations offer a more objective way of calculating NEQ. Unfortunately, the physics of cratering is very complex</w:t>
      </w:r>
      <w:r>
        <w:rPr>
          <w:rFonts w:eastAsiaTheme="minorEastAsia"/>
        </w:rPr>
        <w:t>,</w:t>
      </w:r>
      <w:r w:rsidRPr="009F2495">
        <w:rPr>
          <w:rFonts w:eastAsiaTheme="minorEastAsia"/>
        </w:rPr>
        <w:t xml:space="preserve"> and many factors must be considered both in the surface and in the explosive itself. Furthermore, cratering is greatly affected by the position of the device in relation to the surface. Larger incidents typically utilise a vehicle to carry material and are then detonated above </w:t>
      </w:r>
      <w:r>
        <w:rPr>
          <w:rFonts w:eastAsiaTheme="minorEastAsia"/>
        </w:rPr>
        <w:t>the ground</w:t>
      </w:r>
      <w:r w:rsidRPr="009F2495">
        <w:rPr>
          <w:rFonts w:eastAsiaTheme="minorEastAsia"/>
        </w:rPr>
        <w:t>. Despite these challenges investigators, often working with limited time and resources, are required to determine NEQ to pursue both evidential and intelligence objectives. American researchers have developed a tool that relates apparent crater diameter and height of burst to NEQ to predict NEQ based on those inputs. This project examines this tool, analyses its accuracy, and suggests that the United Kingdom adopt a similar tool and approach</w:t>
      </w:r>
      <w:r w:rsidR="00BA12FB">
        <w:rPr>
          <w:rFonts w:eastAsiaTheme="minorEastAsia"/>
        </w:rPr>
        <w:t>, while remaining aware</w:t>
      </w:r>
      <w:r w:rsidR="00BA5E8E">
        <w:rPr>
          <w:rFonts w:eastAsiaTheme="minorEastAsia"/>
        </w:rPr>
        <w:t xml:space="preserve"> of the capability limitations.</w:t>
      </w:r>
      <w:r w:rsidRPr="009F2495">
        <w:rPr>
          <w:rFonts w:eastAsiaTheme="minorEastAsia"/>
        </w:rPr>
        <w:t xml:space="preserve"> The project also examines open-source methods for calculating NEQ from apparent diameter to offer an alternative approach, however it concludes that the calculator developed by the U</w:t>
      </w:r>
      <w:r>
        <w:rPr>
          <w:rFonts w:eastAsiaTheme="minorEastAsia"/>
        </w:rPr>
        <w:t xml:space="preserve">nited </w:t>
      </w:r>
      <w:r w:rsidRPr="009F2495">
        <w:rPr>
          <w:rFonts w:eastAsiaTheme="minorEastAsia"/>
        </w:rPr>
        <w:t>S</w:t>
      </w:r>
      <w:r>
        <w:rPr>
          <w:rFonts w:eastAsiaTheme="minorEastAsia"/>
        </w:rPr>
        <w:t>tates</w:t>
      </w:r>
      <w:r w:rsidRPr="009F2495">
        <w:rPr>
          <w:rFonts w:eastAsiaTheme="minorEastAsia"/>
        </w:rPr>
        <w:t xml:space="preserve"> Army Engineering Research and Development </w:t>
      </w:r>
      <w:proofErr w:type="spellStart"/>
      <w:r w:rsidRPr="009F2495">
        <w:rPr>
          <w:rFonts w:eastAsiaTheme="minorEastAsia"/>
        </w:rPr>
        <w:t>Center</w:t>
      </w:r>
      <w:proofErr w:type="spellEnd"/>
      <w:r>
        <w:rPr>
          <w:rFonts w:eastAsiaTheme="minorEastAsia"/>
        </w:rPr>
        <w:t xml:space="preserve"> </w:t>
      </w:r>
      <w:r w:rsidRPr="009F2495">
        <w:rPr>
          <w:rFonts w:eastAsiaTheme="minorEastAsia"/>
        </w:rPr>
        <w:t>[sic]</w:t>
      </w:r>
      <w:r>
        <w:rPr>
          <w:rFonts w:eastAsiaTheme="minorEastAsia"/>
        </w:rPr>
        <w:t xml:space="preserve"> (ERDC)</w:t>
      </w:r>
      <w:r w:rsidRPr="009F2495">
        <w:rPr>
          <w:rFonts w:eastAsiaTheme="minorEastAsia"/>
        </w:rPr>
        <w:t xml:space="preserve"> remains the most accurate low resource method currently available, despite requiring some training and awareness on the part of the user.</w:t>
      </w:r>
    </w:p>
    <w:p w14:paraId="7949DFB0" w14:textId="77777777" w:rsidR="000417FE" w:rsidRDefault="000417FE"/>
    <w:p w14:paraId="6B2A1780" w14:textId="77777777" w:rsidR="006D01C1" w:rsidRPr="006D01C1" w:rsidRDefault="006D01C1" w:rsidP="006D01C1">
      <w:pPr>
        <w:jc w:val="center"/>
      </w:pPr>
    </w:p>
    <w:sectPr w:rsidR="006D01C1" w:rsidRPr="006D0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58D"/>
    <w:rsid w:val="000417FE"/>
    <w:rsid w:val="000B403D"/>
    <w:rsid w:val="0024058D"/>
    <w:rsid w:val="00352C1C"/>
    <w:rsid w:val="006D01C1"/>
    <w:rsid w:val="008B4752"/>
    <w:rsid w:val="008C002A"/>
    <w:rsid w:val="00A16E95"/>
    <w:rsid w:val="00A27082"/>
    <w:rsid w:val="00B6168D"/>
    <w:rsid w:val="00BA12FB"/>
    <w:rsid w:val="00BA5E8E"/>
    <w:rsid w:val="00C84589"/>
    <w:rsid w:val="00DB2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040BE"/>
  <w15:chartTrackingRefBased/>
  <w15:docId w15:val="{181DAC1A-2B62-47CE-9D05-94921F4DC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58D"/>
  </w:style>
  <w:style w:type="paragraph" w:styleId="Heading1">
    <w:name w:val="heading 1"/>
    <w:basedOn w:val="Normal"/>
    <w:next w:val="Normal"/>
    <w:link w:val="Heading1Char"/>
    <w:uiPriority w:val="9"/>
    <w:qFormat/>
    <w:rsid w:val="0024058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58D"/>
    <w:rPr>
      <w:rFonts w:asciiTheme="majorHAnsi" w:eastAsiaTheme="majorEastAsia" w:hAnsiTheme="majorHAnsi" w:cstheme="majorBidi"/>
      <w:color w:val="2E74B5"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404</Words>
  <Characters>2303</Characters>
  <Application>Microsoft Office Word</Application>
  <DocSecurity>0</DocSecurity>
  <Lines>19</Lines>
  <Paragraphs>5</Paragraphs>
  <ScaleCrop>false</ScaleCrop>
  <Company>Dstl</Company>
  <LinksUpToDate>false</LinksUpToDate>
  <CharactersWithSpaces>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Ede</dc:creator>
  <cp:keywords/>
  <dc:description/>
  <cp:lastModifiedBy>Joshua Ede (2023302)</cp:lastModifiedBy>
  <cp:revision>2</cp:revision>
  <dcterms:created xsi:type="dcterms:W3CDTF">2025-07-30T17:18:00Z</dcterms:created>
  <dcterms:modified xsi:type="dcterms:W3CDTF">2025-07-30T17:18:00Z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2025-07-28T07:10:22Z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7abcac5a-9dee-4498-87be-4c897e053a14</vt:lpwstr>
  </property>
  <property fmtid="{D5CDD505-2E9C-101B-9397-08002B2CF9AE}" pid="8" name="MSIP_Label_b0140c2a-7195-4538-b29d-0802498180ca_ContentBits">
    <vt:lpwstr>0</vt:lpwstr>
  </property>
</Properties>
</file>