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41C33" w14:textId="01702063"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122703E2" w14:textId="17FA4D52"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6ACE03E3" w14:textId="4374BA95"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29E6D511" w14:textId="68DBEBAB"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0CDF4781" w14:textId="6336CEA9"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37702A3E" w14:textId="34034AD7"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3FC6B7E9" w14:textId="7215CD2A"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1F1ED433" w14:textId="7EB7A56D"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6C3712A7" w14:textId="7CA858CD"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3233725A" w14:textId="7E807CE7"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36860AAB" w14:textId="33F7C266" w:rsidR="0B2E0C44" w:rsidRPr="003B60B0" w:rsidRDefault="0B2E0C44" w:rsidP="003B60B0">
      <w:pPr>
        <w:spacing w:before="120" w:after="120" w:line="360" w:lineRule="auto"/>
        <w:jc w:val="center"/>
        <w:rPr>
          <w:rFonts w:ascii="Times New Roman" w:eastAsia="Times New Roman" w:hAnsi="Times New Roman" w:cs="Times New Roman"/>
          <w:b/>
          <w:bCs/>
          <w:sz w:val="24"/>
          <w:szCs w:val="24"/>
          <w:lang w:val="en-GB"/>
        </w:rPr>
      </w:pPr>
    </w:p>
    <w:p w14:paraId="30CAEFC1" w14:textId="61074264" w:rsidR="0B2E0C44" w:rsidRPr="003B60B0" w:rsidRDefault="0B2E0C44" w:rsidP="003B60B0">
      <w:pPr>
        <w:spacing w:before="120" w:after="120" w:line="360" w:lineRule="auto"/>
        <w:jc w:val="center"/>
        <w:rPr>
          <w:rFonts w:ascii="Times New Roman" w:eastAsia="Times New Roman" w:hAnsi="Times New Roman" w:cs="Times New Roman"/>
          <w:sz w:val="24"/>
          <w:szCs w:val="24"/>
        </w:rPr>
      </w:pPr>
      <w:r w:rsidRPr="003B60B0">
        <w:rPr>
          <w:rFonts w:ascii="Times New Roman" w:eastAsia="Times New Roman" w:hAnsi="Times New Roman" w:cs="Times New Roman"/>
          <w:b/>
          <w:bCs/>
          <w:sz w:val="24"/>
          <w:szCs w:val="24"/>
          <w:lang w:val="en-GB"/>
        </w:rPr>
        <w:t>Criminal Litigation: The Case of Miss Sarah Jones</w:t>
      </w:r>
    </w:p>
    <w:p w14:paraId="71C017B0" w14:textId="4CFEF81F" w:rsidR="0B2E0C44" w:rsidRPr="003B60B0" w:rsidRDefault="0B2E0C44" w:rsidP="003B60B0">
      <w:pPr>
        <w:spacing w:line="360" w:lineRule="auto"/>
        <w:rPr>
          <w:rFonts w:ascii="Times New Roman" w:eastAsia="Times New Roman" w:hAnsi="Times New Roman" w:cs="Times New Roman"/>
          <w:sz w:val="24"/>
          <w:szCs w:val="24"/>
        </w:rPr>
      </w:pPr>
      <w:r w:rsidRPr="003B60B0">
        <w:rPr>
          <w:rFonts w:ascii="Times New Roman" w:eastAsia="Times New Roman" w:hAnsi="Times New Roman" w:cs="Times New Roman"/>
          <w:sz w:val="24"/>
          <w:szCs w:val="24"/>
        </w:rPr>
        <w:br w:type="page"/>
      </w:r>
    </w:p>
    <w:p w14:paraId="60E837E6" w14:textId="33CEF608"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b/>
          <w:bCs/>
          <w:color w:val="000000" w:themeColor="text1"/>
          <w:sz w:val="24"/>
          <w:szCs w:val="24"/>
          <w:u w:val="single"/>
          <w:lang w:val="en-GB"/>
        </w:rPr>
        <w:t>INTERNAL MEMORANDUM</w:t>
      </w:r>
    </w:p>
    <w:p w14:paraId="4BBE1704" w14:textId="4C0AFBC3"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p>
    <w:p w14:paraId="79381973" w14:textId="206D0C22"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b/>
          <w:bCs/>
          <w:color w:val="000000" w:themeColor="text1"/>
          <w:sz w:val="24"/>
          <w:szCs w:val="24"/>
          <w:lang w:val="en-GB"/>
        </w:rPr>
        <w:t xml:space="preserve">TO: </w:t>
      </w:r>
      <w:r w:rsidRPr="003B60B0">
        <w:rPr>
          <w:rFonts w:ascii="Times New Roman" w:eastAsia="Times New Roman" w:hAnsi="Times New Roman" w:cs="Times New Roman"/>
          <w:color w:val="000000" w:themeColor="text1"/>
          <w:sz w:val="24"/>
          <w:szCs w:val="24"/>
          <w:lang w:val="en-GB"/>
        </w:rPr>
        <w:t>Thomas Trinity</w:t>
      </w:r>
    </w:p>
    <w:p w14:paraId="20DE4C58" w14:textId="4FB8CCDC"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p>
    <w:p w14:paraId="765793A1" w14:textId="78C8C98F"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b/>
          <w:bCs/>
          <w:color w:val="000000" w:themeColor="text1"/>
          <w:sz w:val="24"/>
          <w:szCs w:val="24"/>
          <w:lang w:val="en-GB"/>
        </w:rPr>
        <w:t xml:space="preserve">FROM: </w:t>
      </w:r>
      <w:r w:rsidR="00EF0956">
        <w:rPr>
          <w:rFonts w:ascii="Times New Roman" w:eastAsia="Times New Roman" w:hAnsi="Times New Roman" w:cs="Times New Roman"/>
          <w:color w:val="000000" w:themeColor="text1"/>
          <w:sz w:val="24"/>
          <w:szCs w:val="24"/>
          <w:lang w:val="en-GB"/>
        </w:rPr>
        <w:t xml:space="preserve">Monika </w:t>
      </w:r>
      <w:proofErr w:type="spellStart"/>
      <w:r w:rsidR="00EF0956">
        <w:rPr>
          <w:rFonts w:ascii="Times New Roman" w:eastAsia="Times New Roman" w:hAnsi="Times New Roman" w:cs="Times New Roman"/>
          <w:color w:val="000000" w:themeColor="text1"/>
          <w:sz w:val="24"/>
          <w:szCs w:val="24"/>
          <w:lang w:val="en-GB"/>
        </w:rPr>
        <w:t>Pawelec</w:t>
      </w:r>
      <w:proofErr w:type="spellEnd"/>
      <w:r w:rsidR="00EF0956">
        <w:rPr>
          <w:rFonts w:ascii="Times New Roman" w:eastAsia="Times New Roman" w:hAnsi="Times New Roman" w:cs="Times New Roman"/>
          <w:color w:val="000000" w:themeColor="text1"/>
          <w:sz w:val="24"/>
          <w:szCs w:val="24"/>
          <w:lang w:val="en-GB"/>
        </w:rPr>
        <w:t xml:space="preserve"> </w:t>
      </w:r>
      <w:r w:rsidR="00B86ADE">
        <w:rPr>
          <w:rFonts w:ascii="Times New Roman" w:eastAsia="Times New Roman" w:hAnsi="Times New Roman" w:cs="Times New Roman"/>
          <w:color w:val="000000" w:themeColor="text1"/>
          <w:sz w:val="24"/>
          <w:szCs w:val="24"/>
          <w:lang w:val="en-GB"/>
        </w:rPr>
        <w:t xml:space="preserve"> </w:t>
      </w:r>
      <w:r w:rsidR="000A1C77">
        <w:rPr>
          <w:rFonts w:ascii="Times New Roman" w:eastAsia="Times New Roman" w:hAnsi="Times New Roman" w:cs="Times New Roman"/>
          <w:color w:val="000000" w:themeColor="text1"/>
          <w:sz w:val="24"/>
          <w:szCs w:val="24"/>
          <w:lang w:val="en-GB"/>
        </w:rPr>
        <w:t xml:space="preserve">Student </w:t>
      </w:r>
      <w:r w:rsidR="005A00C9">
        <w:rPr>
          <w:rFonts w:ascii="Times New Roman" w:eastAsia="Times New Roman" w:hAnsi="Times New Roman" w:cs="Times New Roman"/>
          <w:color w:val="000000" w:themeColor="text1"/>
          <w:sz w:val="24"/>
          <w:szCs w:val="24"/>
          <w:lang w:val="en-GB"/>
        </w:rPr>
        <w:t>no.</w:t>
      </w:r>
      <w:r w:rsidR="006F7A7D">
        <w:rPr>
          <w:rFonts w:ascii="Times New Roman" w:eastAsia="Times New Roman" w:hAnsi="Times New Roman" w:cs="Times New Roman"/>
          <w:color w:val="000000" w:themeColor="text1"/>
          <w:sz w:val="24"/>
          <w:szCs w:val="24"/>
          <w:lang w:val="en-GB"/>
        </w:rPr>
        <w:t>2217113</w:t>
      </w:r>
    </w:p>
    <w:p w14:paraId="33AF9754" w14:textId="61379F74"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p>
    <w:p w14:paraId="6B1B3193" w14:textId="60BD776C"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b/>
          <w:bCs/>
          <w:color w:val="000000" w:themeColor="text1"/>
          <w:sz w:val="24"/>
          <w:szCs w:val="24"/>
          <w:lang w:val="en-GB"/>
        </w:rPr>
        <w:t xml:space="preserve">MATTER: </w:t>
      </w:r>
      <w:r w:rsidRPr="003B60B0">
        <w:rPr>
          <w:rFonts w:ascii="Times New Roman" w:eastAsia="Times New Roman" w:hAnsi="Times New Roman" w:cs="Times New Roman"/>
          <w:color w:val="000000" w:themeColor="text1"/>
          <w:sz w:val="24"/>
          <w:szCs w:val="24"/>
          <w:lang w:val="en-GB"/>
        </w:rPr>
        <w:t>The case of Sarah Jones</w:t>
      </w:r>
    </w:p>
    <w:p w14:paraId="13F7B059" w14:textId="2A9880F8"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p>
    <w:p w14:paraId="3A3F5366" w14:textId="62C6DCF9"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b/>
          <w:bCs/>
          <w:color w:val="000000" w:themeColor="text1"/>
          <w:sz w:val="24"/>
          <w:szCs w:val="24"/>
          <w:lang w:val="en-GB"/>
        </w:rPr>
        <w:t xml:space="preserve">DATE: </w:t>
      </w:r>
      <w:r w:rsidRPr="003B60B0">
        <w:rPr>
          <w:rFonts w:ascii="Times New Roman" w:eastAsia="Times New Roman" w:hAnsi="Times New Roman" w:cs="Times New Roman"/>
          <w:color w:val="000000" w:themeColor="text1"/>
          <w:sz w:val="24"/>
          <w:szCs w:val="24"/>
          <w:lang w:val="en-GB"/>
        </w:rPr>
        <w:t>1</w:t>
      </w:r>
      <w:r w:rsidRPr="003B60B0">
        <w:rPr>
          <w:rFonts w:ascii="Times New Roman" w:eastAsia="Times New Roman" w:hAnsi="Times New Roman" w:cs="Times New Roman"/>
          <w:color w:val="000000" w:themeColor="text1"/>
          <w:sz w:val="24"/>
          <w:szCs w:val="24"/>
          <w:vertAlign w:val="superscript"/>
          <w:lang w:val="en-GB"/>
        </w:rPr>
        <w:t>st</w:t>
      </w:r>
      <w:r w:rsidRPr="003B60B0">
        <w:rPr>
          <w:rFonts w:ascii="Times New Roman" w:eastAsia="Times New Roman" w:hAnsi="Times New Roman" w:cs="Times New Roman"/>
          <w:color w:val="000000" w:themeColor="text1"/>
          <w:sz w:val="24"/>
          <w:szCs w:val="24"/>
          <w:lang w:val="en-GB"/>
        </w:rPr>
        <w:t xml:space="preserve"> November 2022</w:t>
      </w:r>
    </w:p>
    <w:p w14:paraId="6B8D8AEA" w14:textId="43CEF9E4"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p>
    <w:p w14:paraId="6CFEDF05" w14:textId="718E0E25"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Miss Sarah Jones is the subject of this case.</w:t>
      </w:r>
    </w:p>
    <w:p w14:paraId="30FE2758" w14:textId="35396A22"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I will detail the following below:</w:t>
      </w:r>
    </w:p>
    <w:p w14:paraId="24F572EF" w14:textId="1157E1A4" w:rsidR="0B2E0C44" w:rsidRPr="003B60B0" w:rsidRDefault="0B2E0C44" w:rsidP="003B60B0">
      <w:pPr>
        <w:pStyle w:val="ListParagraph"/>
        <w:numPr>
          <w:ilvl w:val="0"/>
          <w:numId w:val="1"/>
        </w:num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The review and setting out of the law for the offenses, as well as an explanation of the </w:t>
      </w:r>
      <w:proofErr w:type="spellStart"/>
      <w:r w:rsidRPr="003B60B0">
        <w:rPr>
          <w:rFonts w:ascii="Times New Roman" w:eastAsia="Times New Roman" w:hAnsi="Times New Roman" w:cs="Times New Roman"/>
          <w:color w:val="000000" w:themeColor="text1"/>
          <w:sz w:val="24"/>
          <w:szCs w:val="24"/>
          <w:lang w:val="en-GB"/>
        </w:rPr>
        <w:t>mens</w:t>
      </w:r>
      <w:proofErr w:type="spellEnd"/>
      <w:r w:rsidRPr="003B60B0">
        <w:rPr>
          <w:rFonts w:ascii="Times New Roman" w:eastAsia="Times New Roman" w:hAnsi="Times New Roman" w:cs="Times New Roman"/>
          <w:color w:val="000000" w:themeColor="text1"/>
          <w:sz w:val="24"/>
          <w:szCs w:val="24"/>
          <w:lang w:val="en-GB"/>
        </w:rPr>
        <w:t xml:space="preserve"> rea plus the actus reus</w:t>
      </w:r>
    </w:p>
    <w:p w14:paraId="41F339BA" w14:textId="30A4E105" w:rsidR="0B2E0C44" w:rsidRPr="003B60B0" w:rsidRDefault="0B2E0C44" w:rsidP="003B60B0">
      <w:pPr>
        <w:pStyle w:val="ListParagraph"/>
        <w:numPr>
          <w:ilvl w:val="0"/>
          <w:numId w:val="1"/>
        </w:num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Explanation of the possible range of sentences for alleged offenses</w:t>
      </w:r>
    </w:p>
    <w:p w14:paraId="3A880212" w14:textId="6B790495" w:rsidR="0B2E0C44" w:rsidRPr="003B60B0" w:rsidRDefault="0B2E0C44" w:rsidP="003B60B0">
      <w:pPr>
        <w:pStyle w:val="ListParagraph"/>
        <w:numPr>
          <w:ilvl w:val="0"/>
          <w:numId w:val="1"/>
        </w:num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An assessment of the weight of evidence presented in opposition of the client</w:t>
      </w:r>
    </w:p>
    <w:p w14:paraId="1CF502EC" w14:textId="181D91A8" w:rsidR="0B2E0C44" w:rsidRPr="003B60B0" w:rsidRDefault="0B2E0C44" w:rsidP="003B60B0">
      <w:pPr>
        <w:pStyle w:val="ListParagraph"/>
        <w:numPr>
          <w:ilvl w:val="0"/>
          <w:numId w:val="1"/>
        </w:num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Evaluation of Miss Davies' claims' strength, and its effects on Miss Jones' case</w:t>
      </w:r>
    </w:p>
    <w:p w14:paraId="7B1D4C57" w14:textId="1CE0E37A" w:rsidR="0B2E0C44" w:rsidRPr="003B60B0" w:rsidRDefault="0B2E0C44" w:rsidP="003B60B0">
      <w:pPr>
        <w:pStyle w:val="ListParagraph"/>
        <w:numPr>
          <w:ilvl w:val="0"/>
          <w:numId w:val="1"/>
        </w:num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Explanation of the benefits and drawbacks of recommending the client to keep quiet during the interview with police</w:t>
      </w:r>
    </w:p>
    <w:p w14:paraId="3244C27E" w14:textId="18AA0247" w:rsidR="0B2E0C44" w:rsidRPr="009A1EAF" w:rsidRDefault="0B2E0C44" w:rsidP="003B60B0">
      <w:pPr>
        <w:pStyle w:val="ListParagraph"/>
        <w:numPr>
          <w:ilvl w:val="0"/>
          <w:numId w:val="1"/>
        </w:num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Discussion of the variables that the court will consider when allocating the trial of Miss Jones' case</w:t>
      </w:r>
    </w:p>
    <w:p w14:paraId="6ABDD5DE" w14:textId="16C676B9"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Miss Sarah Jones, 35, has been charged with one count of theft of a £5000 Gucci handbag plus assault.  She comes from a rough neighbourhood and fell into crime life in her teen years as well as her early twenties. She is currently jobless though she volunteers at a local Catholic church after discovering religion some few years back. She was handed a four-year sentence in prison for robbery 5 years back but released after two years due to good behaviour. Miss Jones is a consistent church member who contributes to a variety of charitable activities. Miss Jones, on the other hand, claims that she never stole the bag; she discovered alongside a lane somewhere off Wind Street in Swansea during a night out, which is when she got into an altercation with Miss Nora Davies, who claims that the handbag is hers. Miss Jones contends that Miss Davies is from a rough neighbourhood too and she has long been unemployed, further stating that hence she is not capable of affording the Gucci handbag. PC Norman Jenkins, who was on patrol that night, witnessed the altercation, which led to Miss Davies' arrest on suspicion of handbag theft and assault. Miss Jones is scheduled to appear at South Wales Police Headquarters, for her initial interview in connection with this incident. She insists on her innocence on both counts.</w:t>
      </w:r>
    </w:p>
    <w:p w14:paraId="74B89740" w14:textId="58EBC481"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 xml:space="preserve">The review, law settings for the offenses and </w:t>
      </w:r>
      <w:r w:rsidR="009A1EAF" w:rsidRPr="009A1EAF">
        <w:rPr>
          <w:rFonts w:ascii="Times New Roman" w:eastAsia="Times New Roman" w:hAnsi="Times New Roman" w:cs="Times New Roman"/>
          <w:b/>
          <w:bCs/>
          <w:color w:val="auto"/>
          <w:sz w:val="24"/>
          <w:szCs w:val="24"/>
          <w:lang w:val="en-GB"/>
        </w:rPr>
        <w:t>men’s</w:t>
      </w:r>
      <w:r w:rsidRPr="009A1EAF">
        <w:rPr>
          <w:rFonts w:ascii="Times New Roman" w:eastAsia="Times New Roman" w:hAnsi="Times New Roman" w:cs="Times New Roman"/>
          <w:b/>
          <w:bCs/>
          <w:color w:val="auto"/>
          <w:sz w:val="24"/>
          <w:szCs w:val="24"/>
          <w:lang w:val="en-GB"/>
        </w:rPr>
        <w:t xml:space="preserve"> rea plus the actus reus:</w:t>
      </w:r>
    </w:p>
    <w:p w14:paraId="43E4BDA9" w14:textId="063C1D6C"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Miss Sarah Jones has been accused of a single charge of £5000 Gucci handbag theft plus one count assault. Section 1 TA 1968 defines theft as deceitfully acquiring property that belongs to another person with the intent of permanently denying the other person of the property (Koo, 2021). Miss Jones committed theft offence by taking the handbag belonging to Miss Davies with the intent of making it her own despite Miss Davies claiming that it belonged to her. However, Section 2 of the TA 1968 states that acquiring someone else’s property is not deceitful if the individual doing it trust that they are unable to find the individual whom the property belongs to by undertaking reasonable steps (Li and Ho, 2019). As Miss Jones was on her night out, she discovered the handbag along a lane unattended and not under anyone’s possession and hence she decided to claim it. However, Miss Davies shouted at her that it was hers, yet Miss Jones failed to oblige by handing it over to the claimed owner and rather fought for it. </w:t>
      </w:r>
    </w:p>
    <w:p w14:paraId="0D1852F5" w14:textId="0860D2DB"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On the other hand, assault in UK law is defined as deliberate or careless harm done to another person, and it is classified as ABH, GBH or common assault based on severity. This will be determined by a variety of factors, including motivating factors and the severity of the injury - common assault usually results in minor injuries or to pass discomfort, whereas GBH is extremely harmful towards long-term health (Titchener, 2019). Miss Jones committed assault by getting into a fight which Miss Davies and is considered a common assault since she had not weapon on her and hence unintentional. </w:t>
      </w:r>
    </w:p>
    <w:p w14:paraId="400E3342" w14:textId="2367581E"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proofErr w:type="spellStart"/>
      <w:r w:rsidRPr="003B60B0">
        <w:rPr>
          <w:rFonts w:ascii="Times New Roman" w:eastAsia="Times New Roman" w:hAnsi="Times New Roman" w:cs="Times New Roman"/>
          <w:color w:val="000000" w:themeColor="text1"/>
          <w:sz w:val="24"/>
          <w:szCs w:val="24"/>
          <w:lang w:val="en-GB"/>
        </w:rPr>
        <w:t>Mens</w:t>
      </w:r>
      <w:proofErr w:type="spellEnd"/>
      <w:r w:rsidRPr="003B60B0">
        <w:rPr>
          <w:rFonts w:ascii="Times New Roman" w:eastAsia="Times New Roman" w:hAnsi="Times New Roman" w:cs="Times New Roman"/>
          <w:color w:val="000000" w:themeColor="text1"/>
          <w:sz w:val="24"/>
          <w:szCs w:val="24"/>
          <w:lang w:val="en-GB"/>
        </w:rPr>
        <w:t xml:space="preserve"> rea refers to the mental component of an individual's intent to commit crime or understanding that one's actions will result in the commission of a crime (Levin, 2019). Miss Jones claims to have found the handbag along a lane and not in anyone’s possession and therefore she believed by taking it she was not committing any crime of theft. Furthermore, Actus reus is the action or failure to act which constitutes the tangible factors of a crime per a statute. Miss Jones is considered to have committed the crime of theft by willingly acting by taking the handbag that did not belong to her and that of assault by engaging in a fight with Miss Davies.</w:t>
      </w:r>
    </w:p>
    <w:p w14:paraId="613C00FC" w14:textId="4EE3BBCB"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Possible range of sentences for alleged offenses:</w:t>
      </w:r>
    </w:p>
    <w:p w14:paraId="211D2984" w14:textId="4FE7AD95"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In Wales, theft is a statutory offence. Meaning, the crime has been written down and defined in law. According to the law, someone is guilty of theft if he or she deceitfully appropriates another's property with the intent of permanently denying the other person of the property. Individuals charged with theft are tried within Crown Court. When they are found guilty, they could face up to 7 years in jail. In addition, they could face limitless fine. Wherever their case is heard in Magistrates Court, they may face limitless fine as well as a maximum of six months in jail (Ashworth and </w:t>
      </w:r>
      <w:proofErr w:type="spellStart"/>
      <w:r w:rsidRPr="003B60B0">
        <w:rPr>
          <w:rFonts w:ascii="Times New Roman" w:eastAsia="Times New Roman" w:hAnsi="Times New Roman" w:cs="Times New Roman"/>
          <w:color w:val="000000" w:themeColor="text1"/>
          <w:sz w:val="24"/>
          <w:szCs w:val="24"/>
          <w:lang w:val="en-GB"/>
        </w:rPr>
        <w:t>Wasik</w:t>
      </w:r>
      <w:proofErr w:type="spellEnd"/>
      <w:r w:rsidRPr="003B60B0">
        <w:rPr>
          <w:rFonts w:ascii="Times New Roman" w:eastAsia="Times New Roman" w:hAnsi="Times New Roman" w:cs="Times New Roman"/>
          <w:color w:val="000000" w:themeColor="text1"/>
          <w:sz w:val="24"/>
          <w:szCs w:val="24"/>
          <w:lang w:val="en-GB"/>
        </w:rPr>
        <w:t>, 2017).</w:t>
      </w:r>
    </w:p>
    <w:p w14:paraId="3CDB874E" w14:textId="4CB1CAE2"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Furthermore, common assault is usually handled by the Local Court. Nevertheless, either the prosecution or the defence may choose to have the case heard in District Court. In case the case is tried in Local Court, the maximum sentence is two years in prison and/or twenty penalty units. In New South Wales, common assault entails a maximum sentence of two years in prison and/or fifty penalty units fine (</w:t>
      </w:r>
      <w:proofErr w:type="spellStart"/>
      <w:r w:rsidRPr="003B60B0">
        <w:rPr>
          <w:rFonts w:ascii="Times New Roman" w:eastAsia="Times New Roman" w:hAnsi="Times New Roman" w:cs="Times New Roman"/>
          <w:color w:val="000000" w:themeColor="text1"/>
          <w:sz w:val="24"/>
          <w:szCs w:val="24"/>
          <w:lang w:val="en-GB"/>
        </w:rPr>
        <w:t>Dhami</w:t>
      </w:r>
      <w:proofErr w:type="spellEnd"/>
      <w:r w:rsidRPr="003B60B0">
        <w:rPr>
          <w:rFonts w:ascii="Times New Roman" w:eastAsia="Times New Roman" w:hAnsi="Times New Roman" w:cs="Times New Roman"/>
          <w:color w:val="000000" w:themeColor="text1"/>
          <w:sz w:val="24"/>
          <w:szCs w:val="24"/>
          <w:lang w:val="en-GB"/>
        </w:rPr>
        <w:t xml:space="preserve"> et al 2020). </w:t>
      </w:r>
    </w:p>
    <w:p w14:paraId="36E1CDCC" w14:textId="0BB3F45F"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The weight of evidence presented in opposition of the client:</w:t>
      </w:r>
    </w:p>
    <w:p w14:paraId="30EF6CD2" w14:textId="563F8E7F"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Witnesses are not considered as evidence; however, whatever a witness tells, may be considered evidence. Witness is someone who has observed or possesses information concerning an issue or event on which a court is deliberating (Roberts et al, 2020). It is stated that PC Jenkins saw Miss Jones and Miss Davis fighting and that when he took preceded to arrest Miss Jones on accounts of assault after hearing both sides. This makes Pc Jones as a witness and him being a police officer, he may present a strong statement in reference to law against Miss Jones. </w:t>
      </w:r>
    </w:p>
    <w:p w14:paraId="0FD6512E" w14:textId="7BAFC904"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Also, the fact that Miss Jones had previously been convicted of robbery crime, which is almost similar to theft crime, and arrested for several years, presents a strong record of evidence against her. This demonstrates that she is capable of having committed the theft crime since she has done it before and found guilty for it.</w:t>
      </w:r>
    </w:p>
    <w:p w14:paraId="0AA4FFB2" w14:textId="797DA29D"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The fact that Miss Jones is unemployed and only volunteers at a church, meaning she has no income, and she resides at a rough neighbourhood having been exposed to crime life at an early age presents a will, intent and capability of her to commit the crime of theft. The handbag stolen is noted to be worth a lot of money (£5000) and considering her financial status, it gives her the motives to steal the bag to the extent that she engaged in a fight just to keep it. In addition to the fact that she was exposed to crime life at a young age, it makes her capable of committing the crime of theft to survive. </w:t>
      </w:r>
    </w:p>
    <w:p w14:paraId="77B09876" w14:textId="3F27A417"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Miss Davies' claims' strength, and its effects on Miss Jones' case:</w:t>
      </w:r>
    </w:p>
    <w:p w14:paraId="0E493FE2" w14:textId="32062CEB"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Miss Davie’s claims that Miss Davis also comes from a rough neighbourhood and hence she is not capable of affording the Gucci handbag. This claim is strong since it gives Miss Davis a motive to falsefully claim that the bag was hers in order to the bag and cater for her needs given her background. This could have an effect on Miss Jones’ case since section 2 of the TA 1968 states that acquiring someone else’s property is not deceitful if the individual doing it trust that they are unable to find the individual whom the property belongs to (Li and Ho, 2019). Therefore, if it is proven that its true Miss Davis cannot afford the bag and hence not hers, Miss Jones’ could be declared innocent since she took the bag with no trace of the owner. </w:t>
      </w:r>
    </w:p>
    <w:p w14:paraId="484D4436" w14:textId="083F4773"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Benefits and drawbacks of client keeping quiet during police interview:</w:t>
      </w:r>
    </w:p>
    <w:p w14:paraId="51237E7E" w14:textId="556503DB" w:rsidR="0B2E0C44" w:rsidRPr="003B60B0" w:rsidRDefault="0B2E0C44" w:rsidP="003B60B0">
      <w:pPr>
        <w:spacing w:line="360" w:lineRule="auto"/>
        <w:rPr>
          <w:rFonts w:ascii="Times New Roman" w:eastAsia="Times New Roman" w:hAnsi="Times New Roman" w:cs="Times New Roman"/>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It is advantageous to advise a client to remain silent during a police interview because whenever police questions a person concerning a crime, their first automatic response may be to adequately explain the event. Besides, they may believe they are assisting the police by providing a thorough report. The problem is that this rarely work out because the further they talk, the more likely it is that they will raise police suspicion. Additionally, talking with police could be stressful, prompting individuals to utter and act in a manner they normally not as a result of being scared. Stressing do not imply they are guilty, however the fear of being wrongfully charged with a crime can cause some people to exaggerate. As a result, if they are intimidated, the best thing they can do is remain silent (</w:t>
      </w:r>
      <w:proofErr w:type="spellStart"/>
      <w:r w:rsidRPr="003B60B0">
        <w:rPr>
          <w:rFonts w:ascii="Times New Roman" w:eastAsia="Times New Roman" w:hAnsi="Times New Roman" w:cs="Times New Roman"/>
          <w:color w:val="000000" w:themeColor="text1"/>
          <w:sz w:val="24"/>
          <w:szCs w:val="24"/>
          <w:lang w:val="en-GB"/>
        </w:rPr>
        <w:t>Kutnjak</w:t>
      </w:r>
      <w:proofErr w:type="spellEnd"/>
      <w:r w:rsidRPr="003B60B0">
        <w:rPr>
          <w:rFonts w:ascii="Times New Roman" w:eastAsia="Times New Roman" w:hAnsi="Times New Roman" w:cs="Times New Roman"/>
          <w:color w:val="000000" w:themeColor="text1"/>
          <w:sz w:val="24"/>
          <w:szCs w:val="24"/>
          <w:lang w:val="en-GB"/>
        </w:rPr>
        <w:t xml:space="preserve"> </w:t>
      </w:r>
      <w:proofErr w:type="spellStart"/>
      <w:r w:rsidRPr="003B60B0">
        <w:rPr>
          <w:rFonts w:ascii="Times New Roman" w:eastAsia="Times New Roman" w:hAnsi="Times New Roman" w:cs="Times New Roman"/>
          <w:color w:val="000000" w:themeColor="text1"/>
          <w:sz w:val="24"/>
          <w:szCs w:val="24"/>
          <w:lang w:val="en-GB"/>
        </w:rPr>
        <w:t>Ivković</w:t>
      </w:r>
      <w:proofErr w:type="spellEnd"/>
      <w:r w:rsidRPr="003B60B0">
        <w:rPr>
          <w:rFonts w:ascii="Times New Roman" w:eastAsia="Times New Roman" w:hAnsi="Times New Roman" w:cs="Times New Roman"/>
          <w:color w:val="000000" w:themeColor="text1"/>
          <w:sz w:val="24"/>
          <w:szCs w:val="24"/>
          <w:lang w:val="en-GB"/>
        </w:rPr>
        <w:t xml:space="preserve">, </w:t>
      </w:r>
      <w:proofErr w:type="spellStart"/>
      <w:r w:rsidRPr="003B60B0">
        <w:rPr>
          <w:rFonts w:ascii="Times New Roman" w:eastAsia="Times New Roman" w:hAnsi="Times New Roman" w:cs="Times New Roman"/>
          <w:color w:val="000000" w:themeColor="text1"/>
          <w:sz w:val="24"/>
          <w:szCs w:val="24"/>
          <w:lang w:val="en-GB"/>
        </w:rPr>
        <w:t>Haberfeld</w:t>
      </w:r>
      <w:proofErr w:type="spellEnd"/>
      <w:r w:rsidRPr="003B60B0">
        <w:rPr>
          <w:rFonts w:ascii="Times New Roman" w:eastAsia="Times New Roman" w:hAnsi="Times New Roman" w:cs="Times New Roman"/>
          <w:color w:val="000000" w:themeColor="text1"/>
          <w:sz w:val="24"/>
          <w:szCs w:val="24"/>
          <w:lang w:val="en-GB"/>
        </w:rPr>
        <w:t xml:space="preserve"> and Peacock, 2018). However, the accused person's version could be more easily acknowledged by the court since they disclosed to the police whatever they were aware of during arrest and prior to seeing statements of the witnesses. Failure to respond to a question is also an offense at times.</w:t>
      </w:r>
    </w:p>
    <w:p w14:paraId="46BC21C1" w14:textId="51F83008"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Variables court will consider during trial of Miss Jones' case:</w:t>
      </w:r>
    </w:p>
    <w:p w14:paraId="06B29D6B" w14:textId="5D9FB511" w:rsidR="0B2E0C44" w:rsidRPr="003B60B0" w:rsidRDefault="0B2E0C44" w:rsidP="003B60B0">
      <w:pPr>
        <w:spacing w:line="360" w:lineRule="auto"/>
        <w:rPr>
          <w:rFonts w:ascii="Times New Roman" w:eastAsia="Times New Roman" w:hAnsi="Times New Roman" w:cs="Times New Roman"/>
          <w:b/>
          <w:bCs/>
          <w:color w:val="000000" w:themeColor="text1"/>
          <w:sz w:val="24"/>
          <w:szCs w:val="24"/>
          <w:lang w:val="en-GB"/>
        </w:rPr>
      </w:pPr>
      <w:r w:rsidRPr="003B60B0">
        <w:rPr>
          <w:rFonts w:ascii="Times New Roman" w:eastAsia="Times New Roman" w:hAnsi="Times New Roman" w:cs="Times New Roman"/>
          <w:color w:val="000000" w:themeColor="text1"/>
          <w:sz w:val="24"/>
          <w:szCs w:val="24"/>
          <w:lang w:val="en-GB"/>
        </w:rPr>
        <w:t xml:space="preserve">Trial will be allocated after the accused (Miss Jones) has served a defence to a claim made against her. Court generally allocates cases based on the value of the claim, though under Civil Procedure Rules, the court must also consider other factors such as: the oral evidence quantity; whether the crime occurred and the accused was present at the scene of the crime; the relevance of the claim to others; whether the case actually has an impact and is not just a waste of time; the case complexity; so as to know which court the case should be handled in and the measures to be taken; in this case, its theft and assault. Theft is handled mostly in a crown court. The court will also consider the number of involved parties, as well as their circumstances and perspectives. </w:t>
      </w:r>
    </w:p>
    <w:p w14:paraId="7284CF94" w14:textId="771B626B" w:rsidR="0B2E0C44" w:rsidRPr="003B60B0" w:rsidRDefault="0B2E0C44" w:rsidP="003B60B0">
      <w:pPr>
        <w:spacing w:line="360" w:lineRule="auto"/>
        <w:rPr>
          <w:rFonts w:ascii="Times New Roman" w:hAnsi="Times New Roman" w:cs="Times New Roman"/>
          <w:sz w:val="24"/>
          <w:szCs w:val="24"/>
        </w:rPr>
      </w:pPr>
      <w:r w:rsidRPr="003B60B0">
        <w:rPr>
          <w:rFonts w:ascii="Times New Roman" w:hAnsi="Times New Roman" w:cs="Times New Roman"/>
          <w:sz w:val="24"/>
          <w:szCs w:val="24"/>
        </w:rPr>
        <w:br w:type="page"/>
      </w:r>
    </w:p>
    <w:p w14:paraId="79B64D99" w14:textId="491E8639" w:rsidR="0B2E0C44" w:rsidRPr="009A1EAF" w:rsidRDefault="0B2E0C44" w:rsidP="009A1EAF">
      <w:pPr>
        <w:pStyle w:val="Heading1"/>
        <w:spacing w:line="240" w:lineRule="auto"/>
        <w:rPr>
          <w:rFonts w:ascii="Times New Roman" w:eastAsia="Times New Roman" w:hAnsi="Times New Roman" w:cs="Times New Roman"/>
          <w:b/>
          <w:bCs/>
          <w:color w:val="auto"/>
          <w:sz w:val="24"/>
          <w:szCs w:val="24"/>
          <w:lang w:val="en-GB"/>
        </w:rPr>
      </w:pPr>
      <w:r w:rsidRPr="009A1EAF">
        <w:rPr>
          <w:rFonts w:ascii="Times New Roman" w:eastAsia="Times New Roman" w:hAnsi="Times New Roman" w:cs="Times New Roman"/>
          <w:b/>
          <w:bCs/>
          <w:color w:val="auto"/>
          <w:sz w:val="24"/>
          <w:szCs w:val="24"/>
          <w:lang w:val="en-GB"/>
        </w:rPr>
        <w:t>References</w:t>
      </w:r>
    </w:p>
    <w:p w14:paraId="6024BFE5" w14:textId="16C49144" w:rsidR="0B2E0C44" w:rsidRPr="003B60B0" w:rsidRDefault="0B2E0C44" w:rsidP="003B60B0">
      <w:pPr>
        <w:spacing w:line="360" w:lineRule="auto"/>
        <w:ind w:left="720" w:hanging="720"/>
        <w:rPr>
          <w:rFonts w:ascii="Times New Roman" w:eastAsia="Times New Roman" w:hAnsi="Times New Roman" w:cs="Times New Roman"/>
          <w:color w:val="000000" w:themeColor="text1"/>
          <w:sz w:val="24"/>
          <w:szCs w:val="24"/>
        </w:rPr>
      </w:pPr>
      <w:r w:rsidRPr="003B60B0">
        <w:rPr>
          <w:rFonts w:ascii="Times New Roman" w:eastAsia="Times New Roman" w:hAnsi="Times New Roman" w:cs="Times New Roman"/>
          <w:color w:val="000000" w:themeColor="text1"/>
          <w:sz w:val="24"/>
          <w:szCs w:val="24"/>
          <w:lang w:val="en-GB"/>
        </w:rPr>
        <w:t>Advanced Criminal Litigation in Practice 2010 The City Law School 9</w:t>
      </w:r>
      <w:r w:rsidRPr="003B60B0">
        <w:rPr>
          <w:rFonts w:ascii="Times New Roman" w:eastAsia="Times New Roman" w:hAnsi="Times New Roman" w:cs="Times New Roman"/>
          <w:color w:val="000000" w:themeColor="text1"/>
          <w:sz w:val="24"/>
          <w:szCs w:val="24"/>
          <w:vertAlign w:val="superscript"/>
          <w:lang w:val="en-GB"/>
        </w:rPr>
        <w:t>th</w:t>
      </w:r>
      <w:r w:rsidRPr="003B60B0">
        <w:rPr>
          <w:rFonts w:ascii="Times New Roman" w:eastAsia="Times New Roman" w:hAnsi="Times New Roman" w:cs="Times New Roman"/>
          <w:color w:val="000000" w:themeColor="text1"/>
          <w:sz w:val="24"/>
          <w:szCs w:val="24"/>
          <w:lang w:val="en-GB"/>
        </w:rPr>
        <w:t xml:space="preserve"> Ed OUP </w:t>
      </w:r>
      <w:r w:rsidRPr="003B60B0">
        <w:rPr>
          <w:rFonts w:ascii="Times New Roman" w:eastAsia="Times New Roman" w:hAnsi="Times New Roman" w:cs="Times New Roman"/>
          <w:color w:val="000000" w:themeColor="text1"/>
          <w:sz w:val="24"/>
          <w:szCs w:val="24"/>
        </w:rPr>
        <w:t xml:space="preserve"> </w:t>
      </w:r>
    </w:p>
    <w:p w14:paraId="7FB4C8CC" w14:textId="6AB655E4"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r w:rsidRPr="003B60B0">
        <w:rPr>
          <w:rFonts w:ascii="Times New Roman" w:eastAsia="Times New Roman" w:hAnsi="Times New Roman" w:cs="Times New Roman"/>
          <w:color w:val="222222"/>
          <w:sz w:val="24"/>
          <w:szCs w:val="24"/>
        </w:rPr>
        <w:t xml:space="preserve">Ashworth, A. and </w:t>
      </w:r>
      <w:proofErr w:type="spellStart"/>
      <w:r w:rsidRPr="003B60B0">
        <w:rPr>
          <w:rFonts w:ascii="Times New Roman" w:eastAsia="Times New Roman" w:hAnsi="Times New Roman" w:cs="Times New Roman"/>
          <w:color w:val="222222"/>
          <w:sz w:val="24"/>
          <w:szCs w:val="24"/>
        </w:rPr>
        <w:t>Wasik</w:t>
      </w:r>
      <w:proofErr w:type="spellEnd"/>
      <w:r w:rsidRPr="003B60B0">
        <w:rPr>
          <w:rFonts w:ascii="Times New Roman" w:eastAsia="Times New Roman" w:hAnsi="Times New Roman" w:cs="Times New Roman"/>
          <w:color w:val="222222"/>
          <w:sz w:val="24"/>
          <w:szCs w:val="24"/>
        </w:rPr>
        <w:t xml:space="preserve">, M., 2017. Sentencing the Multiple Offender. </w:t>
      </w:r>
      <w:r w:rsidRPr="003B60B0">
        <w:rPr>
          <w:rFonts w:ascii="Times New Roman" w:eastAsia="Times New Roman" w:hAnsi="Times New Roman" w:cs="Times New Roman"/>
          <w:i/>
          <w:iCs/>
          <w:sz w:val="24"/>
          <w:szCs w:val="24"/>
          <w:lang w:val="en-GB"/>
        </w:rPr>
        <w:t>Sentencing Multiple Crimes</w:t>
      </w:r>
      <w:r w:rsidRPr="003B60B0">
        <w:rPr>
          <w:rFonts w:ascii="Times New Roman" w:eastAsia="Times New Roman" w:hAnsi="Times New Roman" w:cs="Times New Roman"/>
          <w:sz w:val="24"/>
          <w:szCs w:val="24"/>
          <w:lang w:val="en-GB"/>
        </w:rPr>
        <w:t>, p.211.</w:t>
      </w:r>
    </w:p>
    <w:p w14:paraId="7679EF3B" w14:textId="76BD51CF" w:rsidR="0B2E0C44" w:rsidRPr="003B60B0" w:rsidRDefault="0B2E0C44" w:rsidP="003B60B0">
      <w:pPr>
        <w:spacing w:line="360" w:lineRule="auto"/>
        <w:ind w:left="720" w:hanging="720"/>
        <w:rPr>
          <w:rFonts w:ascii="Times New Roman" w:eastAsia="Times New Roman" w:hAnsi="Times New Roman" w:cs="Times New Roman"/>
          <w:color w:val="000000" w:themeColor="text1"/>
          <w:sz w:val="24"/>
          <w:szCs w:val="24"/>
        </w:rPr>
      </w:pPr>
      <w:r w:rsidRPr="003B60B0">
        <w:rPr>
          <w:rFonts w:ascii="Times New Roman" w:eastAsia="Times New Roman" w:hAnsi="Times New Roman" w:cs="Times New Roman"/>
          <w:color w:val="000000" w:themeColor="text1"/>
          <w:sz w:val="24"/>
          <w:szCs w:val="24"/>
          <w:lang w:val="en-GB"/>
        </w:rPr>
        <w:t>Criminal Litigation and Sentencing 2018 29</w:t>
      </w:r>
      <w:r w:rsidRPr="003B60B0">
        <w:rPr>
          <w:rFonts w:ascii="Times New Roman" w:eastAsia="Times New Roman" w:hAnsi="Times New Roman" w:cs="Times New Roman"/>
          <w:color w:val="000000" w:themeColor="text1"/>
          <w:sz w:val="24"/>
          <w:szCs w:val="24"/>
          <w:vertAlign w:val="superscript"/>
          <w:lang w:val="en-GB"/>
        </w:rPr>
        <w:t>th</w:t>
      </w:r>
      <w:r w:rsidRPr="003B60B0">
        <w:rPr>
          <w:rFonts w:ascii="Times New Roman" w:eastAsia="Times New Roman" w:hAnsi="Times New Roman" w:cs="Times New Roman"/>
          <w:color w:val="000000" w:themeColor="text1"/>
          <w:sz w:val="24"/>
          <w:szCs w:val="24"/>
          <w:lang w:val="en-GB"/>
        </w:rPr>
        <w:t xml:space="preserve"> Ed The City Law school OUP </w:t>
      </w:r>
      <w:r w:rsidRPr="003B60B0">
        <w:rPr>
          <w:rFonts w:ascii="Times New Roman" w:eastAsia="Times New Roman" w:hAnsi="Times New Roman" w:cs="Times New Roman"/>
          <w:color w:val="000000" w:themeColor="text1"/>
          <w:sz w:val="24"/>
          <w:szCs w:val="24"/>
        </w:rPr>
        <w:t xml:space="preserve"> </w:t>
      </w:r>
    </w:p>
    <w:p w14:paraId="465E2EEF" w14:textId="0D1FB2BE" w:rsidR="0B2E0C44" w:rsidRPr="003B60B0" w:rsidRDefault="0B2E0C44" w:rsidP="003B60B0">
      <w:pPr>
        <w:spacing w:line="360" w:lineRule="auto"/>
        <w:ind w:left="720" w:hanging="720"/>
        <w:rPr>
          <w:rFonts w:ascii="Times New Roman" w:eastAsia="Times New Roman" w:hAnsi="Times New Roman" w:cs="Times New Roman"/>
          <w:color w:val="000000" w:themeColor="text1"/>
          <w:sz w:val="24"/>
          <w:szCs w:val="24"/>
        </w:rPr>
      </w:pPr>
      <w:r w:rsidRPr="003B60B0">
        <w:rPr>
          <w:rFonts w:ascii="Times New Roman" w:eastAsia="Times New Roman" w:hAnsi="Times New Roman" w:cs="Times New Roman"/>
          <w:color w:val="000000" w:themeColor="text1"/>
          <w:sz w:val="24"/>
          <w:szCs w:val="24"/>
          <w:lang w:val="en-GB"/>
        </w:rPr>
        <w:t>Criminal Litigation 2018-2019 2018 M. Hannibal and L. Mountford 14</w:t>
      </w:r>
      <w:r w:rsidRPr="003B60B0">
        <w:rPr>
          <w:rFonts w:ascii="Times New Roman" w:eastAsia="Times New Roman" w:hAnsi="Times New Roman" w:cs="Times New Roman"/>
          <w:color w:val="000000" w:themeColor="text1"/>
          <w:sz w:val="24"/>
          <w:szCs w:val="24"/>
          <w:vertAlign w:val="superscript"/>
          <w:lang w:val="en-GB"/>
        </w:rPr>
        <w:t>th</w:t>
      </w:r>
      <w:r w:rsidRPr="003B60B0">
        <w:rPr>
          <w:rFonts w:ascii="Times New Roman" w:eastAsia="Times New Roman" w:hAnsi="Times New Roman" w:cs="Times New Roman"/>
          <w:color w:val="000000" w:themeColor="text1"/>
          <w:sz w:val="24"/>
          <w:szCs w:val="24"/>
          <w:lang w:val="en-GB"/>
        </w:rPr>
        <w:t xml:space="preserve"> Ed OUP </w:t>
      </w:r>
      <w:r w:rsidRPr="003B60B0">
        <w:rPr>
          <w:rFonts w:ascii="Times New Roman" w:eastAsia="Times New Roman" w:hAnsi="Times New Roman" w:cs="Times New Roman"/>
          <w:color w:val="000000" w:themeColor="text1"/>
          <w:sz w:val="24"/>
          <w:szCs w:val="24"/>
        </w:rPr>
        <w:t xml:space="preserve"> </w:t>
      </w:r>
    </w:p>
    <w:p w14:paraId="7041AE5C" w14:textId="5157636F"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proofErr w:type="spellStart"/>
      <w:r w:rsidRPr="003B60B0">
        <w:rPr>
          <w:rFonts w:ascii="Times New Roman" w:eastAsia="Times New Roman" w:hAnsi="Times New Roman" w:cs="Times New Roman"/>
          <w:color w:val="222222"/>
          <w:sz w:val="24"/>
          <w:szCs w:val="24"/>
        </w:rPr>
        <w:t>Dhami</w:t>
      </w:r>
      <w:proofErr w:type="spellEnd"/>
      <w:r w:rsidRPr="003B60B0">
        <w:rPr>
          <w:rFonts w:ascii="Times New Roman" w:eastAsia="Times New Roman" w:hAnsi="Times New Roman" w:cs="Times New Roman"/>
          <w:color w:val="222222"/>
          <w:sz w:val="24"/>
          <w:szCs w:val="24"/>
        </w:rPr>
        <w:t xml:space="preserve">, M.K., Belton, I.K., </w:t>
      </w:r>
      <w:proofErr w:type="spellStart"/>
      <w:r w:rsidRPr="003B60B0">
        <w:rPr>
          <w:rFonts w:ascii="Times New Roman" w:eastAsia="Times New Roman" w:hAnsi="Times New Roman" w:cs="Times New Roman"/>
          <w:color w:val="222222"/>
          <w:sz w:val="24"/>
          <w:szCs w:val="24"/>
        </w:rPr>
        <w:t>Merrall</w:t>
      </w:r>
      <w:proofErr w:type="spellEnd"/>
      <w:r w:rsidRPr="003B60B0">
        <w:rPr>
          <w:rFonts w:ascii="Times New Roman" w:eastAsia="Times New Roman" w:hAnsi="Times New Roman" w:cs="Times New Roman"/>
          <w:color w:val="222222"/>
          <w:sz w:val="24"/>
          <w:szCs w:val="24"/>
        </w:rPr>
        <w:t xml:space="preserve">, E., McGrath, A. and Bird, S.M., 2020. Criminal sentencing by preferred numbers. </w:t>
      </w:r>
      <w:r w:rsidRPr="003B60B0">
        <w:rPr>
          <w:rFonts w:ascii="Times New Roman" w:eastAsia="Times New Roman" w:hAnsi="Times New Roman" w:cs="Times New Roman"/>
          <w:i/>
          <w:iCs/>
          <w:sz w:val="24"/>
          <w:szCs w:val="24"/>
          <w:lang w:val="en-GB"/>
        </w:rPr>
        <w:t>Journal of Empirical Legal Studies</w:t>
      </w:r>
      <w:r w:rsidRPr="003B60B0">
        <w:rPr>
          <w:rFonts w:ascii="Times New Roman" w:eastAsia="Times New Roman" w:hAnsi="Times New Roman" w:cs="Times New Roman"/>
          <w:sz w:val="24"/>
          <w:szCs w:val="24"/>
          <w:lang w:val="en-GB"/>
        </w:rPr>
        <w:t xml:space="preserve">, </w:t>
      </w:r>
      <w:r w:rsidRPr="003B60B0">
        <w:rPr>
          <w:rFonts w:ascii="Times New Roman" w:eastAsia="Times New Roman" w:hAnsi="Times New Roman" w:cs="Times New Roman"/>
          <w:i/>
          <w:iCs/>
          <w:sz w:val="24"/>
          <w:szCs w:val="24"/>
          <w:lang w:val="en-GB"/>
        </w:rPr>
        <w:t>17</w:t>
      </w:r>
      <w:r w:rsidRPr="003B60B0">
        <w:rPr>
          <w:rFonts w:ascii="Times New Roman" w:eastAsia="Times New Roman" w:hAnsi="Times New Roman" w:cs="Times New Roman"/>
          <w:sz w:val="24"/>
          <w:szCs w:val="24"/>
          <w:lang w:val="en-GB"/>
        </w:rPr>
        <w:t>(1), pp.139-163.</w:t>
      </w:r>
    </w:p>
    <w:p w14:paraId="381D80D0" w14:textId="77854C4E"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proofErr w:type="spellStart"/>
      <w:r w:rsidRPr="003B60B0">
        <w:rPr>
          <w:rFonts w:ascii="Times New Roman" w:eastAsia="Times New Roman" w:hAnsi="Times New Roman" w:cs="Times New Roman"/>
          <w:color w:val="222222"/>
          <w:sz w:val="24"/>
          <w:szCs w:val="24"/>
        </w:rPr>
        <w:t>Kutnjak</w:t>
      </w:r>
      <w:proofErr w:type="spellEnd"/>
      <w:r w:rsidRPr="003B60B0">
        <w:rPr>
          <w:rFonts w:ascii="Times New Roman" w:eastAsia="Times New Roman" w:hAnsi="Times New Roman" w:cs="Times New Roman"/>
          <w:color w:val="222222"/>
          <w:sz w:val="24"/>
          <w:szCs w:val="24"/>
        </w:rPr>
        <w:t xml:space="preserve"> </w:t>
      </w:r>
      <w:proofErr w:type="spellStart"/>
      <w:r w:rsidRPr="003B60B0">
        <w:rPr>
          <w:rFonts w:ascii="Times New Roman" w:eastAsia="Times New Roman" w:hAnsi="Times New Roman" w:cs="Times New Roman"/>
          <w:color w:val="222222"/>
          <w:sz w:val="24"/>
          <w:szCs w:val="24"/>
        </w:rPr>
        <w:t>Ivković</w:t>
      </w:r>
      <w:proofErr w:type="spellEnd"/>
      <w:r w:rsidRPr="003B60B0">
        <w:rPr>
          <w:rFonts w:ascii="Times New Roman" w:eastAsia="Times New Roman" w:hAnsi="Times New Roman" w:cs="Times New Roman"/>
          <w:color w:val="222222"/>
          <w:sz w:val="24"/>
          <w:szCs w:val="24"/>
        </w:rPr>
        <w:t xml:space="preserve">, S., </w:t>
      </w:r>
      <w:proofErr w:type="spellStart"/>
      <w:r w:rsidRPr="003B60B0">
        <w:rPr>
          <w:rFonts w:ascii="Times New Roman" w:eastAsia="Times New Roman" w:hAnsi="Times New Roman" w:cs="Times New Roman"/>
          <w:color w:val="222222"/>
          <w:sz w:val="24"/>
          <w:szCs w:val="24"/>
        </w:rPr>
        <w:t>Haberfeld</w:t>
      </w:r>
      <w:proofErr w:type="spellEnd"/>
      <w:r w:rsidRPr="003B60B0">
        <w:rPr>
          <w:rFonts w:ascii="Times New Roman" w:eastAsia="Times New Roman" w:hAnsi="Times New Roman" w:cs="Times New Roman"/>
          <w:color w:val="222222"/>
          <w:sz w:val="24"/>
          <w:szCs w:val="24"/>
        </w:rPr>
        <w:t xml:space="preserve">, M. and Peacock, R., 2018. Decoding the code of silence. </w:t>
      </w:r>
      <w:r w:rsidRPr="003B60B0">
        <w:rPr>
          <w:rFonts w:ascii="Times New Roman" w:eastAsia="Times New Roman" w:hAnsi="Times New Roman" w:cs="Times New Roman"/>
          <w:i/>
          <w:iCs/>
          <w:sz w:val="24"/>
          <w:szCs w:val="24"/>
          <w:lang w:val="en-GB"/>
        </w:rPr>
        <w:t>Criminal justice policy review</w:t>
      </w:r>
      <w:r w:rsidRPr="003B60B0">
        <w:rPr>
          <w:rFonts w:ascii="Times New Roman" w:eastAsia="Times New Roman" w:hAnsi="Times New Roman" w:cs="Times New Roman"/>
          <w:sz w:val="24"/>
          <w:szCs w:val="24"/>
          <w:lang w:val="en-GB"/>
        </w:rPr>
        <w:t xml:space="preserve">, </w:t>
      </w:r>
      <w:r w:rsidRPr="003B60B0">
        <w:rPr>
          <w:rFonts w:ascii="Times New Roman" w:eastAsia="Times New Roman" w:hAnsi="Times New Roman" w:cs="Times New Roman"/>
          <w:i/>
          <w:iCs/>
          <w:sz w:val="24"/>
          <w:szCs w:val="24"/>
          <w:lang w:val="en-GB"/>
        </w:rPr>
        <w:t>29</w:t>
      </w:r>
      <w:r w:rsidRPr="003B60B0">
        <w:rPr>
          <w:rFonts w:ascii="Times New Roman" w:eastAsia="Times New Roman" w:hAnsi="Times New Roman" w:cs="Times New Roman"/>
          <w:sz w:val="24"/>
          <w:szCs w:val="24"/>
          <w:lang w:val="en-GB"/>
        </w:rPr>
        <w:t>(2), pp.172-189.</w:t>
      </w:r>
    </w:p>
    <w:p w14:paraId="387C86C3" w14:textId="72CA608B"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r w:rsidRPr="003B60B0">
        <w:rPr>
          <w:rFonts w:ascii="Times New Roman" w:eastAsia="Times New Roman" w:hAnsi="Times New Roman" w:cs="Times New Roman"/>
          <w:color w:val="222222"/>
          <w:sz w:val="24"/>
          <w:szCs w:val="24"/>
        </w:rPr>
        <w:t xml:space="preserve">Koo, T., 2021. Different Strokes for Different Folks: Examining the Differing Approaches to the Offence of Theft in the United Kingdom and Singapore. </w:t>
      </w:r>
      <w:r w:rsidRPr="003B60B0">
        <w:rPr>
          <w:rFonts w:ascii="Times New Roman" w:eastAsia="Times New Roman" w:hAnsi="Times New Roman" w:cs="Times New Roman"/>
          <w:i/>
          <w:iCs/>
          <w:sz w:val="24"/>
          <w:szCs w:val="24"/>
          <w:lang w:val="en-GB"/>
        </w:rPr>
        <w:t>Sing. Comp. L. Rev.</w:t>
      </w:r>
      <w:r w:rsidRPr="003B60B0">
        <w:rPr>
          <w:rFonts w:ascii="Times New Roman" w:eastAsia="Times New Roman" w:hAnsi="Times New Roman" w:cs="Times New Roman"/>
          <w:sz w:val="24"/>
          <w:szCs w:val="24"/>
          <w:lang w:val="en-GB"/>
        </w:rPr>
        <w:t>, p.112.</w:t>
      </w:r>
    </w:p>
    <w:p w14:paraId="76ABCD50" w14:textId="63E43376"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r w:rsidRPr="003B60B0">
        <w:rPr>
          <w:rFonts w:ascii="Times New Roman" w:eastAsia="Times New Roman" w:hAnsi="Times New Roman" w:cs="Times New Roman"/>
          <w:color w:val="222222"/>
          <w:sz w:val="24"/>
          <w:szCs w:val="24"/>
        </w:rPr>
        <w:t xml:space="preserve">Levin, B., 2019. </w:t>
      </w:r>
      <w:proofErr w:type="spellStart"/>
      <w:r w:rsidRPr="003B60B0">
        <w:rPr>
          <w:rFonts w:ascii="Times New Roman" w:eastAsia="Times New Roman" w:hAnsi="Times New Roman" w:cs="Times New Roman"/>
          <w:color w:val="222222"/>
          <w:sz w:val="24"/>
          <w:szCs w:val="24"/>
        </w:rPr>
        <w:t>Mens</w:t>
      </w:r>
      <w:proofErr w:type="spellEnd"/>
      <w:r w:rsidRPr="003B60B0">
        <w:rPr>
          <w:rFonts w:ascii="Times New Roman" w:eastAsia="Times New Roman" w:hAnsi="Times New Roman" w:cs="Times New Roman"/>
          <w:color w:val="222222"/>
          <w:sz w:val="24"/>
          <w:szCs w:val="24"/>
        </w:rPr>
        <w:t xml:space="preserve"> rea reform and its discontents. </w:t>
      </w:r>
      <w:r w:rsidRPr="003B60B0">
        <w:rPr>
          <w:rFonts w:ascii="Times New Roman" w:eastAsia="Times New Roman" w:hAnsi="Times New Roman" w:cs="Times New Roman"/>
          <w:i/>
          <w:iCs/>
          <w:sz w:val="24"/>
          <w:szCs w:val="24"/>
          <w:lang w:val="en-GB"/>
        </w:rPr>
        <w:t>J. Crim. L. &amp; Criminology</w:t>
      </w:r>
      <w:r w:rsidRPr="003B60B0">
        <w:rPr>
          <w:rFonts w:ascii="Times New Roman" w:eastAsia="Times New Roman" w:hAnsi="Times New Roman" w:cs="Times New Roman"/>
          <w:sz w:val="24"/>
          <w:szCs w:val="24"/>
          <w:lang w:val="en-GB"/>
        </w:rPr>
        <w:t xml:space="preserve">, </w:t>
      </w:r>
      <w:r w:rsidRPr="003B60B0">
        <w:rPr>
          <w:rFonts w:ascii="Times New Roman" w:eastAsia="Times New Roman" w:hAnsi="Times New Roman" w:cs="Times New Roman"/>
          <w:i/>
          <w:iCs/>
          <w:sz w:val="24"/>
          <w:szCs w:val="24"/>
          <w:lang w:val="en-GB"/>
        </w:rPr>
        <w:t>109</w:t>
      </w:r>
      <w:r w:rsidRPr="003B60B0">
        <w:rPr>
          <w:rFonts w:ascii="Times New Roman" w:eastAsia="Times New Roman" w:hAnsi="Times New Roman" w:cs="Times New Roman"/>
          <w:sz w:val="24"/>
          <w:szCs w:val="24"/>
          <w:lang w:val="en-GB"/>
        </w:rPr>
        <w:t>, p.491.</w:t>
      </w:r>
    </w:p>
    <w:p w14:paraId="402B498B" w14:textId="2D7CDB04"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r w:rsidRPr="003B60B0">
        <w:rPr>
          <w:rFonts w:ascii="Times New Roman" w:eastAsia="Times New Roman" w:hAnsi="Times New Roman" w:cs="Times New Roman"/>
          <w:color w:val="222222"/>
          <w:sz w:val="24"/>
          <w:szCs w:val="24"/>
        </w:rPr>
        <w:t xml:space="preserve">Li, M. and Ho, E., 2019. Uprooting the Invasive Ivey: Reversing the Effect of Ivey v Genting Casinos Ltd on the Definition of Dishonest Appropriation in the English Law of Theft. </w:t>
      </w:r>
      <w:r w:rsidRPr="003B60B0">
        <w:rPr>
          <w:rFonts w:ascii="Times New Roman" w:eastAsia="Times New Roman" w:hAnsi="Times New Roman" w:cs="Times New Roman"/>
          <w:i/>
          <w:iCs/>
          <w:sz w:val="24"/>
          <w:szCs w:val="24"/>
          <w:lang w:val="en-GB"/>
        </w:rPr>
        <w:t>Trinity CL Rev.</w:t>
      </w:r>
      <w:r w:rsidRPr="003B60B0">
        <w:rPr>
          <w:rFonts w:ascii="Times New Roman" w:eastAsia="Times New Roman" w:hAnsi="Times New Roman" w:cs="Times New Roman"/>
          <w:sz w:val="24"/>
          <w:szCs w:val="24"/>
          <w:lang w:val="en-GB"/>
        </w:rPr>
        <w:t xml:space="preserve">, </w:t>
      </w:r>
      <w:r w:rsidRPr="003B60B0">
        <w:rPr>
          <w:rFonts w:ascii="Times New Roman" w:eastAsia="Times New Roman" w:hAnsi="Times New Roman" w:cs="Times New Roman"/>
          <w:i/>
          <w:iCs/>
          <w:sz w:val="24"/>
          <w:szCs w:val="24"/>
          <w:lang w:val="en-GB"/>
        </w:rPr>
        <w:t>22</w:t>
      </w:r>
      <w:r w:rsidRPr="003B60B0">
        <w:rPr>
          <w:rFonts w:ascii="Times New Roman" w:eastAsia="Times New Roman" w:hAnsi="Times New Roman" w:cs="Times New Roman"/>
          <w:sz w:val="24"/>
          <w:szCs w:val="24"/>
          <w:lang w:val="en-GB"/>
        </w:rPr>
        <w:t>, p.189.</w:t>
      </w:r>
    </w:p>
    <w:p w14:paraId="665805DF" w14:textId="3F393C19" w:rsidR="0B2E0C44" w:rsidRPr="003B60B0" w:rsidRDefault="0B2E0C44" w:rsidP="003B60B0">
      <w:pPr>
        <w:spacing w:line="360" w:lineRule="auto"/>
        <w:ind w:left="720" w:hanging="720"/>
        <w:rPr>
          <w:rFonts w:ascii="Times New Roman" w:eastAsia="Times New Roman" w:hAnsi="Times New Roman" w:cs="Times New Roman"/>
          <w:sz w:val="24"/>
          <w:szCs w:val="24"/>
          <w:lang w:val="en-GB"/>
        </w:rPr>
      </w:pPr>
      <w:r w:rsidRPr="003B60B0">
        <w:rPr>
          <w:rFonts w:ascii="Times New Roman" w:eastAsia="Times New Roman" w:hAnsi="Times New Roman" w:cs="Times New Roman"/>
          <w:color w:val="222222"/>
          <w:sz w:val="24"/>
          <w:szCs w:val="24"/>
        </w:rPr>
        <w:t xml:space="preserve">Roberts, J.J., </w:t>
      </w:r>
      <w:proofErr w:type="spellStart"/>
      <w:r w:rsidRPr="003B60B0">
        <w:rPr>
          <w:rFonts w:ascii="Times New Roman" w:eastAsia="Times New Roman" w:hAnsi="Times New Roman" w:cs="Times New Roman"/>
          <w:color w:val="222222"/>
          <w:sz w:val="24"/>
          <w:szCs w:val="24"/>
        </w:rPr>
        <w:t>Lightbody</w:t>
      </w:r>
      <w:proofErr w:type="spellEnd"/>
      <w:r w:rsidRPr="003B60B0">
        <w:rPr>
          <w:rFonts w:ascii="Times New Roman" w:eastAsia="Times New Roman" w:hAnsi="Times New Roman" w:cs="Times New Roman"/>
          <w:color w:val="222222"/>
          <w:sz w:val="24"/>
          <w:szCs w:val="24"/>
        </w:rPr>
        <w:t xml:space="preserve">, R., Low, R. and </w:t>
      </w:r>
      <w:proofErr w:type="spellStart"/>
      <w:r w:rsidRPr="003B60B0">
        <w:rPr>
          <w:rFonts w:ascii="Times New Roman" w:eastAsia="Times New Roman" w:hAnsi="Times New Roman" w:cs="Times New Roman"/>
          <w:color w:val="222222"/>
          <w:sz w:val="24"/>
          <w:szCs w:val="24"/>
        </w:rPr>
        <w:t>Elstub</w:t>
      </w:r>
      <w:proofErr w:type="spellEnd"/>
      <w:r w:rsidRPr="003B60B0">
        <w:rPr>
          <w:rFonts w:ascii="Times New Roman" w:eastAsia="Times New Roman" w:hAnsi="Times New Roman" w:cs="Times New Roman"/>
          <w:color w:val="222222"/>
          <w:sz w:val="24"/>
          <w:szCs w:val="24"/>
        </w:rPr>
        <w:t xml:space="preserve">, S., 2020. Experts and evidence in deliberation: </w:t>
      </w:r>
      <w:proofErr w:type="spellStart"/>
      <w:r w:rsidRPr="003B60B0">
        <w:rPr>
          <w:rFonts w:ascii="Times New Roman" w:eastAsia="Times New Roman" w:hAnsi="Times New Roman" w:cs="Times New Roman"/>
          <w:color w:val="222222"/>
          <w:sz w:val="24"/>
          <w:szCs w:val="24"/>
        </w:rPr>
        <w:t>scrutinising</w:t>
      </w:r>
      <w:proofErr w:type="spellEnd"/>
      <w:r w:rsidRPr="003B60B0">
        <w:rPr>
          <w:rFonts w:ascii="Times New Roman" w:eastAsia="Times New Roman" w:hAnsi="Times New Roman" w:cs="Times New Roman"/>
          <w:color w:val="222222"/>
          <w:sz w:val="24"/>
          <w:szCs w:val="24"/>
        </w:rPr>
        <w:t xml:space="preserve"> the role of witnesses and evidence in mini-publics, a case study. </w:t>
      </w:r>
      <w:r w:rsidRPr="003B60B0">
        <w:rPr>
          <w:rFonts w:ascii="Times New Roman" w:eastAsia="Times New Roman" w:hAnsi="Times New Roman" w:cs="Times New Roman"/>
          <w:i/>
          <w:iCs/>
          <w:sz w:val="24"/>
          <w:szCs w:val="24"/>
          <w:lang w:val="en-GB"/>
        </w:rPr>
        <w:t>Policy Sciences</w:t>
      </w:r>
      <w:r w:rsidRPr="003B60B0">
        <w:rPr>
          <w:rFonts w:ascii="Times New Roman" w:eastAsia="Times New Roman" w:hAnsi="Times New Roman" w:cs="Times New Roman"/>
          <w:sz w:val="24"/>
          <w:szCs w:val="24"/>
          <w:lang w:val="en-GB"/>
        </w:rPr>
        <w:t xml:space="preserve">, </w:t>
      </w:r>
      <w:r w:rsidRPr="003B60B0">
        <w:rPr>
          <w:rFonts w:ascii="Times New Roman" w:eastAsia="Times New Roman" w:hAnsi="Times New Roman" w:cs="Times New Roman"/>
          <w:i/>
          <w:iCs/>
          <w:sz w:val="24"/>
          <w:szCs w:val="24"/>
          <w:lang w:val="en-GB"/>
        </w:rPr>
        <w:t>53</w:t>
      </w:r>
      <w:r w:rsidRPr="003B60B0">
        <w:rPr>
          <w:rFonts w:ascii="Times New Roman" w:eastAsia="Times New Roman" w:hAnsi="Times New Roman" w:cs="Times New Roman"/>
          <w:sz w:val="24"/>
          <w:szCs w:val="24"/>
          <w:lang w:val="en-GB"/>
        </w:rPr>
        <w:t>(1), pp.3-32.</w:t>
      </w:r>
    </w:p>
    <w:p w14:paraId="032E4122" w14:textId="4887E897" w:rsidR="0B2E0C44" w:rsidRPr="003B60B0" w:rsidRDefault="0B2E0C44" w:rsidP="003B60B0">
      <w:pPr>
        <w:spacing w:line="360" w:lineRule="auto"/>
        <w:ind w:left="720" w:hanging="720"/>
        <w:rPr>
          <w:rFonts w:ascii="Times New Roman" w:eastAsia="Times New Roman" w:hAnsi="Times New Roman" w:cs="Times New Roman"/>
          <w:sz w:val="24"/>
          <w:szCs w:val="24"/>
        </w:rPr>
      </w:pPr>
      <w:r w:rsidRPr="003B60B0">
        <w:rPr>
          <w:rFonts w:ascii="Times New Roman" w:eastAsia="Times New Roman" w:hAnsi="Times New Roman" w:cs="Times New Roman"/>
          <w:sz w:val="24"/>
          <w:szCs w:val="24"/>
        </w:rPr>
        <w:t xml:space="preserve">Titchener, N., 2019. What is Aggravated Assault &amp; Varying Degrees of Assault in the UK. </w:t>
      </w:r>
      <w:proofErr w:type="spellStart"/>
      <w:r w:rsidRPr="003B60B0">
        <w:rPr>
          <w:rFonts w:ascii="Times New Roman" w:eastAsia="Times New Roman" w:hAnsi="Times New Roman" w:cs="Times New Roman"/>
          <w:sz w:val="24"/>
          <w:szCs w:val="24"/>
        </w:rPr>
        <w:t>Lawtons</w:t>
      </w:r>
      <w:proofErr w:type="spellEnd"/>
      <w:r w:rsidRPr="003B60B0">
        <w:rPr>
          <w:rFonts w:ascii="Times New Roman" w:eastAsia="Times New Roman" w:hAnsi="Times New Roman" w:cs="Times New Roman"/>
          <w:sz w:val="24"/>
          <w:szCs w:val="24"/>
        </w:rPr>
        <w:t xml:space="preserve"> Solicitors. </w:t>
      </w:r>
    </w:p>
    <w:p w14:paraId="230381D5" w14:textId="374AD806" w:rsidR="0B2E0C44" w:rsidRPr="003B60B0" w:rsidRDefault="0B2E0C44" w:rsidP="003B60B0">
      <w:pPr>
        <w:spacing w:line="360" w:lineRule="auto"/>
        <w:rPr>
          <w:rFonts w:ascii="Times New Roman" w:eastAsia="Calibri" w:hAnsi="Times New Roman" w:cs="Times New Roman"/>
          <w:sz w:val="24"/>
          <w:szCs w:val="24"/>
          <w:lang w:val="en-GB"/>
        </w:rPr>
      </w:pPr>
    </w:p>
    <w:p w14:paraId="231132F5" w14:textId="6F7AB7C0" w:rsidR="0B2E0C44" w:rsidRPr="003B60B0" w:rsidRDefault="0B2E0C44" w:rsidP="003B60B0">
      <w:pPr>
        <w:spacing w:line="360" w:lineRule="auto"/>
        <w:rPr>
          <w:rFonts w:ascii="Times New Roman" w:eastAsia="Times New Roman" w:hAnsi="Times New Roman" w:cs="Times New Roman"/>
          <w:b/>
          <w:bCs/>
          <w:color w:val="000000" w:themeColor="text1"/>
          <w:sz w:val="24"/>
          <w:szCs w:val="24"/>
          <w:lang w:val="en-GB"/>
        </w:rPr>
      </w:pPr>
    </w:p>
    <w:p w14:paraId="5D7B9CA6" w14:textId="4670AA45" w:rsidR="0B2E0C44" w:rsidRPr="003B60B0" w:rsidRDefault="0B2E0C44" w:rsidP="003B60B0">
      <w:pPr>
        <w:spacing w:line="360" w:lineRule="auto"/>
        <w:rPr>
          <w:rFonts w:ascii="Times New Roman" w:eastAsia="Times New Roman" w:hAnsi="Times New Roman" w:cs="Times New Roman"/>
          <w:b/>
          <w:bCs/>
          <w:color w:val="000000" w:themeColor="text1"/>
          <w:sz w:val="24"/>
          <w:szCs w:val="24"/>
          <w:lang w:val="en-GB"/>
        </w:rPr>
      </w:pPr>
    </w:p>
    <w:sectPr w:rsidR="0B2E0C44" w:rsidRPr="003B60B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FEAE5" w14:textId="77777777" w:rsidR="00E12DC4" w:rsidRDefault="00E12DC4" w:rsidP="003B60B0">
      <w:pPr>
        <w:spacing w:after="0" w:line="240" w:lineRule="auto"/>
      </w:pPr>
      <w:r>
        <w:separator/>
      </w:r>
    </w:p>
  </w:endnote>
  <w:endnote w:type="continuationSeparator" w:id="0">
    <w:p w14:paraId="1D45FD23" w14:textId="77777777" w:rsidR="00E12DC4" w:rsidRDefault="00E12DC4" w:rsidP="003B6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0410F" w14:textId="77777777" w:rsidR="009A1EAF" w:rsidRDefault="009A1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29005"/>
      <w:docPartObj>
        <w:docPartGallery w:val="Page Numbers (Bottom of Page)"/>
        <w:docPartUnique/>
      </w:docPartObj>
    </w:sdtPr>
    <w:sdtEndPr>
      <w:rPr>
        <w:rFonts w:ascii="Times New Roman" w:hAnsi="Times New Roman" w:cs="Times New Roman"/>
        <w:noProof/>
        <w:sz w:val="24"/>
        <w:szCs w:val="24"/>
      </w:rPr>
    </w:sdtEndPr>
    <w:sdtContent>
      <w:p w14:paraId="04329E7B" w14:textId="6F83D685" w:rsidR="003B60B0" w:rsidRPr="009A1EAF" w:rsidRDefault="003B60B0">
        <w:pPr>
          <w:pStyle w:val="Footer"/>
          <w:jc w:val="center"/>
          <w:rPr>
            <w:rFonts w:ascii="Times New Roman" w:hAnsi="Times New Roman" w:cs="Times New Roman"/>
            <w:sz w:val="24"/>
            <w:szCs w:val="24"/>
          </w:rPr>
        </w:pPr>
        <w:r w:rsidRPr="009A1EAF">
          <w:rPr>
            <w:rFonts w:ascii="Times New Roman" w:hAnsi="Times New Roman" w:cs="Times New Roman"/>
            <w:sz w:val="24"/>
            <w:szCs w:val="24"/>
          </w:rPr>
          <w:fldChar w:fldCharType="begin"/>
        </w:r>
        <w:r w:rsidRPr="009A1EAF">
          <w:rPr>
            <w:rFonts w:ascii="Times New Roman" w:hAnsi="Times New Roman" w:cs="Times New Roman"/>
            <w:sz w:val="24"/>
            <w:szCs w:val="24"/>
          </w:rPr>
          <w:instrText xml:space="preserve"> PAGE   \* MERGEFORMAT </w:instrText>
        </w:r>
        <w:r w:rsidRPr="009A1EAF">
          <w:rPr>
            <w:rFonts w:ascii="Times New Roman" w:hAnsi="Times New Roman" w:cs="Times New Roman"/>
            <w:sz w:val="24"/>
            <w:szCs w:val="24"/>
          </w:rPr>
          <w:fldChar w:fldCharType="separate"/>
        </w:r>
        <w:r w:rsidRPr="009A1EAF">
          <w:rPr>
            <w:rFonts w:ascii="Times New Roman" w:hAnsi="Times New Roman" w:cs="Times New Roman"/>
            <w:noProof/>
            <w:sz w:val="24"/>
            <w:szCs w:val="24"/>
          </w:rPr>
          <w:t>2</w:t>
        </w:r>
        <w:r w:rsidRPr="009A1EAF">
          <w:rPr>
            <w:rFonts w:ascii="Times New Roman" w:hAnsi="Times New Roman" w:cs="Times New Roman"/>
            <w:noProof/>
            <w:sz w:val="24"/>
            <w:szCs w:val="24"/>
          </w:rPr>
          <w:fldChar w:fldCharType="end"/>
        </w:r>
      </w:p>
    </w:sdtContent>
  </w:sdt>
  <w:p w14:paraId="270E8379" w14:textId="77777777" w:rsidR="003B60B0" w:rsidRDefault="003B60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3DCAF" w14:textId="77777777" w:rsidR="009A1EAF" w:rsidRDefault="009A1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2631E" w14:textId="77777777" w:rsidR="00E12DC4" w:rsidRDefault="00E12DC4" w:rsidP="003B60B0">
      <w:pPr>
        <w:spacing w:after="0" w:line="240" w:lineRule="auto"/>
      </w:pPr>
      <w:r>
        <w:separator/>
      </w:r>
    </w:p>
  </w:footnote>
  <w:footnote w:type="continuationSeparator" w:id="0">
    <w:p w14:paraId="686E50CB" w14:textId="77777777" w:rsidR="00E12DC4" w:rsidRDefault="00E12DC4" w:rsidP="003B6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642BE" w14:textId="77777777" w:rsidR="009A1EAF" w:rsidRDefault="009A1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537FD" w14:textId="77777777" w:rsidR="009A1EAF" w:rsidRDefault="009A1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41B4E" w14:textId="77777777" w:rsidR="009A1EAF" w:rsidRDefault="009A1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357AC"/>
    <w:multiLevelType w:val="hybridMultilevel"/>
    <w:tmpl w:val="0278FA86"/>
    <w:lvl w:ilvl="0" w:tplc="91CCEB74">
      <w:start w:val="1"/>
      <w:numFmt w:val="bullet"/>
      <w:lvlText w:val=""/>
      <w:lvlJc w:val="left"/>
      <w:pPr>
        <w:ind w:left="720" w:hanging="360"/>
      </w:pPr>
      <w:rPr>
        <w:rFonts w:ascii="Symbol" w:hAnsi="Symbol" w:hint="default"/>
      </w:rPr>
    </w:lvl>
    <w:lvl w:ilvl="1" w:tplc="50A07316">
      <w:start w:val="1"/>
      <w:numFmt w:val="bullet"/>
      <w:lvlText w:val="o"/>
      <w:lvlJc w:val="left"/>
      <w:pPr>
        <w:ind w:left="1440" w:hanging="360"/>
      </w:pPr>
      <w:rPr>
        <w:rFonts w:ascii="Courier New" w:hAnsi="Courier New" w:hint="default"/>
      </w:rPr>
    </w:lvl>
    <w:lvl w:ilvl="2" w:tplc="946A37D2">
      <w:start w:val="1"/>
      <w:numFmt w:val="bullet"/>
      <w:lvlText w:val=""/>
      <w:lvlJc w:val="left"/>
      <w:pPr>
        <w:ind w:left="2160" w:hanging="360"/>
      </w:pPr>
      <w:rPr>
        <w:rFonts w:ascii="Wingdings" w:hAnsi="Wingdings" w:hint="default"/>
      </w:rPr>
    </w:lvl>
    <w:lvl w:ilvl="3" w:tplc="C5666F16">
      <w:start w:val="1"/>
      <w:numFmt w:val="bullet"/>
      <w:lvlText w:val=""/>
      <w:lvlJc w:val="left"/>
      <w:pPr>
        <w:ind w:left="2880" w:hanging="360"/>
      </w:pPr>
      <w:rPr>
        <w:rFonts w:ascii="Symbol" w:hAnsi="Symbol" w:hint="default"/>
      </w:rPr>
    </w:lvl>
    <w:lvl w:ilvl="4" w:tplc="07A833A8">
      <w:start w:val="1"/>
      <w:numFmt w:val="bullet"/>
      <w:lvlText w:val="o"/>
      <w:lvlJc w:val="left"/>
      <w:pPr>
        <w:ind w:left="3600" w:hanging="360"/>
      </w:pPr>
      <w:rPr>
        <w:rFonts w:ascii="Courier New" w:hAnsi="Courier New" w:hint="default"/>
      </w:rPr>
    </w:lvl>
    <w:lvl w:ilvl="5" w:tplc="395030FE">
      <w:start w:val="1"/>
      <w:numFmt w:val="bullet"/>
      <w:lvlText w:val=""/>
      <w:lvlJc w:val="left"/>
      <w:pPr>
        <w:ind w:left="4320" w:hanging="360"/>
      </w:pPr>
      <w:rPr>
        <w:rFonts w:ascii="Wingdings" w:hAnsi="Wingdings" w:hint="default"/>
      </w:rPr>
    </w:lvl>
    <w:lvl w:ilvl="6" w:tplc="D40ED6E2">
      <w:start w:val="1"/>
      <w:numFmt w:val="bullet"/>
      <w:lvlText w:val=""/>
      <w:lvlJc w:val="left"/>
      <w:pPr>
        <w:ind w:left="5040" w:hanging="360"/>
      </w:pPr>
      <w:rPr>
        <w:rFonts w:ascii="Symbol" w:hAnsi="Symbol" w:hint="default"/>
      </w:rPr>
    </w:lvl>
    <w:lvl w:ilvl="7" w:tplc="5614B036">
      <w:start w:val="1"/>
      <w:numFmt w:val="bullet"/>
      <w:lvlText w:val="o"/>
      <w:lvlJc w:val="left"/>
      <w:pPr>
        <w:ind w:left="5760" w:hanging="360"/>
      </w:pPr>
      <w:rPr>
        <w:rFonts w:ascii="Courier New" w:hAnsi="Courier New" w:hint="default"/>
      </w:rPr>
    </w:lvl>
    <w:lvl w:ilvl="8" w:tplc="A2D6848A">
      <w:start w:val="1"/>
      <w:numFmt w:val="bullet"/>
      <w:lvlText w:val=""/>
      <w:lvlJc w:val="left"/>
      <w:pPr>
        <w:ind w:left="6480" w:hanging="360"/>
      </w:pPr>
      <w:rPr>
        <w:rFonts w:ascii="Wingdings" w:hAnsi="Wingdings" w:hint="default"/>
      </w:rPr>
    </w:lvl>
  </w:abstractNum>
  <w:num w:numId="1" w16cid:durableId="1546330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5E4070"/>
    <w:rsid w:val="000A1C77"/>
    <w:rsid w:val="003B60B0"/>
    <w:rsid w:val="005A00C9"/>
    <w:rsid w:val="006F7A7D"/>
    <w:rsid w:val="009A1EAF"/>
    <w:rsid w:val="00B86ADE"/>
    <w:rsid w:val="00D933E6"/>
    <w:rsid w:val="00E12DC4"/>
    <w:rsid w:val="00EF0956"/>
    <w:rsid w:val="0B2E0C44"/>
    <w:rsid w:val="645E4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E4070"/>
  <w15:chartTrackingRefBased/>
  <w15:docId w15:val="{182E0798-0065-4AFE-8515-6D6DF6B4A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E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E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3B6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0B0"/>
  </w:style>
  <w:style w:type="paragraph" w:styleId="Footer">
    <w:name w:val="footer"/>
    <w:basedOn w:val="Normal"/>
    <w:link w:val="FooterChar"/>
    <w:uiPriority w:val="99"/>
    <w:unhideWhenUsed/>
    <w:rsid w:val="003B6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0B0"/>
  </w:style>
  <w:style w:type="character" w:customStyle="1" w:styleId="Heading1Char">
    <w:name w:val="Heading 1 Char"/>
    <w:basedOn w:val="DefaultParagraphFont"/>
    <w:link w:val="Heading1"/>
    <w:uiPriority w:val="9"/>
    <w:rsid w:val="009A1E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EA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F7A7D"/>
    <w:rPr>
      <w:color w:val="0563C1" w:themeColor="hyperlink"/>
      <w:u w:val="single"/>
    </w:rPr>
  </w:style>
  <w:style w:type="character" w:styleId="UnresolvedMention">
    <w:name w:val="Unresolved Mention"/>
    <w:basedOn w:val="DefaultParagraphFont"/>
    <w:uiPriority w:val="99"/>
    <w:semiHidden/>
    <w:unhideWhenUsed/>
    <w:rsid w:val="006F7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1713</Words>
  <Characters>9768</Characters>
  <Application>Microsoft Office Word</Application>
  <DocSecurity>0</DocSecurity>
  <Lines>81</Lines>
  <Paragraphs>22</Paragraphs>
  <ScaleCrop>false</ScaleCrop>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Monika Pawelec</cp:lastModifiedBy>
  <cp:revision>2</cp:revision>
  <dcterms:created xsi:type="dcterms:W3CDTF">2022-11-08T17:50:00Z</dcterms:created>
  <dcterms:modified xsi:type="dcterms:W3CDTF">2022-11-08T17:50:00Z</dcterms:modified>
</cp:coreProperties>
</file>