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AB086D" w14:textId="77777777" w:rsidR="00FE5956" w:rsidRDefault="00FE5956" w:rsidP="00FE449C">
      <w:pPr>
        <w:jc w:val="center"/>
        <w:rPr>
          <w:color w:val="000000" w:themeColor="text1"/>
        </w:rPr>
      </w:pPr>
    </w:p>
    <w:p w14:paraId="2EE30778" w14:textId="5A046BDE" w:rsidR="00C90C98" w:rsidRPr="005D07E6" w:rsidRDefault="00C26E0D" w:rsidP="00FE449C">
      <w:pPr>
        <w:jc w:val="center"/>
        <w:rPr>
          <w:color w:val="000000" w:themeColor="text1"/>
        </w:rPr>
      </w:pPr>
      <w:r>
        <w:rPr>
          <w:color w:val="000000" w:themeColor="text1"/>
        </w:rPr>
        <w:t>Assessment</w:t>
      </w:r>
      <w:r w:rsidR="00C14800">
        <w:rPr>
          <w:color w:val="000000" w:themeColor="text1"/>
        </w:rPr>
        <w:t xml:space="preserve"> 1</w:t>
      </w:r>
    </w:p>
    <w:p w14:paraId="56A2629B" w14:textId="249F4C11" w:rsidR="00FE449C" w:rsidRPr="005D07E6" w:rsidRDefault="00C26E0D" w:rsidP="00FE449C">
      <w:pPr>
        <w:jc w:val="center"/>
        <w:rPr>
          <w:color w:val="000000" w:themeColor="text1"/>
        </w:rPr>
      </w:pPr>
      <w:proofErr w:type="spellStart"/>
      <w:r>
        <w:rPr>
          <w:color w:val="000000" w:themeColor="text1"/>
        </w:rPr>
        <w:t>Financal</w:t>
      </w:r>
      <w:proofErr w:type="spellEnd"/>
      <w:r>
        <w:rPr>
          <w:color w:val="000000" w:themeColor="text1"/>
        </w:rPr>
        <w:t xml:space="preserve"> Anal</w:t>
      </w:r>
      <w:r w:rsidR="000F795F">
        <w:rPr>
          <w:color w:val="000000" w:themeColor="text1"/>
        </w:rPr>
        <w:t>yses of ASDA</w:t>
      </w:r>
    </w:p>
    <w:p w14:paraId="2EADB03F" w14:textId="77777777" w:rsidR="00FE449C" w:rsidRPr="005D07E6" w:rsidRDefault="00FE449C" w:rsidP="00FE449C">
      <w:pPr>
        <w:jc w:val="center"/>
        <w:rPr>
          <w:color w:val="000000" w:themeColor="text1"/>
        </w:rPr>
      </w:pPr>
    </w:p>
    <w:p w14:paraId="584F35DB" w14:textId="77777777" w:rsidR="00FE449C" w:rsidRPr="005D07E6" w:rsidRDefault="00FE449C" w:rsidP="00FE449C">
      <w:pPr>
        <w:jc w:val="center"/>
        <w:rPr>
          <w:color w:val="000000" w:themeColor="text1"/>
        </w:rPr>
      </w:pPr>
      <w:bookmarkStart w:id="0" w:name="_GoBack"/>
      <w:bookmarkEnd w:id="0"/>
    </w:p>
    <w:p w14:paraId="71D1EBA5" w14:textId="77777777" w:rsidR="00FE449C" w:rsidRPr="005D07E6" w:rsidRDefault="00FE449C" w:rsidP="00FE449C">
      <w:pPr>
        <w:jc w:val="center"/>
        <w:rPr>
          <w:color w:val="000000" w:themeColor="text1"/>
        </w:rPr>
      </w:pPr>
    </w:p>
    <w:p w14:paraId="1D4A1806" w14:textId="77777777" w:rsidR="00FE449C" w:rsidRPr="005D07E6" w:rsidRDefault="00FE449C" w:rsidP="005D07E6">
      <w:pPr>
        <w:rPr>
          <w:color w:val="000000" w:themeColor="text1"/>
        </w:rPr>
      </w:pPr>
    </w:p>
    <w:p w14:paraId="3E88540E" w14:textId="77777777" w:rsidR="00FE449C" w:rsidRPr="005D07E6" w:rsidRDefault="00FE449C" w:rsidP="00FE449C">
      <w:pPr>
        <w:jc w:val="center"/>
        <w:rPr>
          <w:color w:val="000000" w:themeColor="text1"/>
        </w:rPr>
      </w:pPr>
    </w:p>
    <w:p w14:paraId="0F0D6791" w14:textId="77777777" w:rsidR="00FE449C" w:rsidRPr="005D07E6" w:rsidRDefault="00FE449C" w:rsidP="00FE449C">
      <w:pPr>
        <w:pStyle w:val="Default"/>
        <w:rPr>
          <w:color w:val="000000" w:themeColor="text1"/>
          <w:sz w:val="10"/>
        </w:rPr>
      </w:pPr>
    </w:p>
    <w:p w14:paraId="104AEE49" w14:textId="77777777" w:rsidR="00FE449C" w:rsidRPr="005D07E6" w:rsidRDefault="00FE449C" w:rsidP="00FE449C">
      <w:pPr>
        <w:jc w:val="center"/>
        <w:rPr>
          <w:b/>
          <w:bCs/>
          <w:color w:val="000000" w:themeColor="text1"/>
          <w:sz w:val="34"/>
          <w:szCs w:val="28"/>
        </w:rPr>
      </w:pPr>
      <w:r w:rsidRPr="005D07E6">
        <w:rPr>
          <w:color w:val="000000" w:themeColor="text1"/>
          <w:sz w:val="34"/>
        </w:rPr>
        <w:t xml:space="preserve"> </w:t>
      </w:r>
      <w:r w:rsidRPr="005D07E6">
        <w:rPr>
          <w:b/>
          <w:bCs/>
          <w:color w:val="000000" w:themeColor="text1"/>
          <w:sz w:val="34"/>
          <w:szCs w:val="28"/>
        </w:rPr>
        <w:t>MODULE CODE/ COD Y MODIWL: LCMB7002</w:t>
      </w:r>
    </w:p>
    <w:p w14:paraId="25A41A5F" w14:textId="77777777" w:rsidR="00FE449C" w:rsidRPr="005D07E6" w:rsidRDefault="00FE449C" w:rsidP="00FE449C">
      <w:pPr>
        <w:jc w:val="center"/>
        <w:rPr>
          <w:b/>
          <w:color w:val="000000" w:themeColor="text1"/>
          <w:sz w:val="34"/>
        </w:rPr>
      </w:pPr>
      <w:r w:rsidRPr="005D07E6">
        <w:rPr>
          <w:b/>
          <w:color w:val="000000" w:themeColor="text1"/>
          <w:sz w:val="34"/>
        </w:rPr>
        <w:t>Assignment Title: Financial Management</w:t>
      </w:r>
    </w:p>
    <w:p w14:paraId="23947CAA" w14:textId="77777777" w:rsidR="00FE449C" w:rsidRPr="005D07E6" w:rsidRDefault="00FE449C" w:rsidP="00FE449C">
      <w:pPr>
        <w:jc w:val="center"/>
        <w:rPr>
          <w:b/>
          <w:color w:val="000000" w:themeColor="text1"/>
          <w:sz w:val="34"/>
        </w:rPr>
      </w:pPr>
    </w:p>
    <w:p w14:paraId="127F4A8C" w14:textId="77777777" w:rsidR="00FE449C" w:rsidRPr="005D07E6" w:rsidRDefault="00FE449C" w:rsidP="00FE449C">
      <w:pPr>
        <w:jc w:val="center"/>
        <w:rPr>
          <w:b/>
          <w:color w:val="000000" w:themeColor="text1"/>
          <w:sz w:val="34"/>
        </w:rPr>
      </w:pPr>
    </w:p>
    <w:p w14:paraId="385B8698" w14:textId="77777777" w:rsidR="00FE449C" w:rsidRPr="005D07E6" w:rsidRDefault="00FE449C" w:rsidP="00FE449C">
      <w:pPr>
        <w:jc w:val="center"/>
        <w:rPr>
          <w:b/>
          <w:color w:val="000000" w:themeColor="text1"/>
          <w:sz w:val="48"/>
        </w:rPr>
      </w:pPr>
    </w:p>
    <w:p w14:paraId="2A4755BA" w14:textId="77777777" w:rsidR="00FE449C" w:rsidRPr="005D07E6" w:rsidRDefault="00FE449C" w:rsidP="00FE449C">
      <w:pPr>
        <w:jc w:val="center"/>
        <w:rPr>
          <w:b/>
          <w:color w:val="000000" w:themeColor="text1"/>
          <w:sz w:val="48"/>
        </w:rPr>
      </w:pPr>
    </w:p>
    <w:p w14:paraId="22E0BE35" w14:textId="77777777" w:rsidR="003A602E" w:rsidRDefault="003A602E" w:rsidP="005D07E6">
      <w:pPr>
        <w:spacing w:line="259" w:lineRule="auto"/>
        <w:jc w:val="left"/>
        <w:rPr>
          <w:b/>
          <w:color w:val="000000" w:themeColor="text1"/>
          <w:sz w:val="48"/>
        </w:rPr>
      </w:pPr>
    </w:p>
    <w:p w14:paraId="172B1207" w14:textId="77777777" w:rsidR="003A602E" w:rsidRDefault="003A602E" w:rsidP="005D07E6">
      <w:pPr>
        <w:spacing w:line="259" w:lineRule="auto"/>
        <w:jc w:val="left"/>
        <w:rPr>
          <w:b/>
          <w:color w:val="000000" w:themeColor="text1"/>
          <w:sz w:val="48"/>
        </w:rPr>
      </w:pPr>
    </w:p>
    <w:p w14:paraId="644CE78F" w14:textId="77777777" w:rsidR="003A602E" w:rsidRDefault="003A602E" w:rsidP="005D07E6">
      <w:pPr>
        <w:spacing w:line="259" w:lineRule="auto"/>
        <w:jc w:val="left"/>
        <w:rPr>
          <w:b/>
          <w:color w:val="000000" w:themeColor="text1"/>
          <w:sz w:val="48"/>
        </w:rPr>
      </w:pPr>
    </w:p>
    <w:p w14:paraId="721A273E" w14:textId="77777777" w:rsidR="003A602E" w:rsidRDefault="003A602E" w:rsidP="005D07E6">
      <w:pPr>
        <w:spacing w:line="259" w:lineRule="auto"/>
        <w:jc w:val="left"/>
        <w:rPr>
          <w:b/>
          <w:color w:val="000000" w:themeColor="text1"/>
          <w:sz w:val="48"/>
        </w:rPr>
      </w:pPr>
    </w:p>
    <w:p w14:paraId="3F68F421" w14:textId="6A854751" w:rsidR="003A602E" w:rsidRDefault="000F795F" w:rsidP="005D07E6">
      <w:pPr>
        <w:spacing w:line="259" w:lineRule="auto"/>
        <w:jc w:val="left"/>
        <w:rPr>
          <w:b/>
          <w:color w:val="000000" w:themeColor="text1"/>
          <w:sz w:val="48"/>
        </w:rPr>
      </w:pPr>
      <w:r>
        <w:rPr>
          <w:b/>
          <w:color w:val="000000" w:themeColor="text1"/>
          <w:sz w:val="48"/>
        </w:rPr>
        <w:t xml:space="preserve">                                           </w:t>
      </w:r>
      <w:r w:rsidR="00A57C4D">
        <w:rPr>
          <w:b/>
          <w:color w:val="000000" w:themeColor="text1"/>
          <w:sz w:val="48"/>
        </w:rPr>
        <w:t xml:space="preserve">Lecture: </w:t>
      </w:r>
      <w:proofErr w:type="spellStart"/>
      <w:r w:rsidR="00176FA8">
        <w:rPr>
          <w:b/>
          <w:color w:val="000000" w:themeColor="text1"/>
          <w:sz w:val="48"/>
        </w:rPr>
        <w:t>Gia</w:t>
      </w:r>
      <w:proofErr w:type="spellEnd"/>
      <w:r w:rsidR="00176FA8">
        <w:rPr>
          <w:b/>
          <w:color w:val="000000" w:themeColor="text1"/>
          <w:sz w:val="48"/>
        </w:rPr>
        <w:t xml:space="preserve"> Miao</w:t>
      </w:r>
    </w:p>
    <w:p w14:paraId="2F0349E6" w14:textId="1FECC9BF" w:rsidR="003A602E" w:rsidRDefault="007332EE" w:rsidP="003A602E">
      <w:pPr>
        <w:rPr>
          <w:color w:val="000000" w:themeColor="text1"/>
        </w:rPr>
      </w:pPr>
      <w:r>
        <w:rPr>
          <w:color w:val="000000" w:themeColor="text1"/>
        </w:rPr>
        <w:t xml:space="preserve">                                                                               Angel </w:t>
      </w:r>
      <w:proofErr w:type="spellStart"/>
      <w:r>
        <w:rPr>
          <w:color w:val="000000" w:themeColor="text1"/>
        </w:rPr>
        <w:t>Gruychev</w:t>
      </w:r>
      <w:proofErr w:type="spellEnd"/>
      <w:r>
        <w:rPr>
          <w:color w:val="000000" w:themeColor="text1"/>
        </w:rPr>
        <w:t xml:space="preserve"> </w:t>
      </w:r>
      <w:r w:rsidR="00FE5956">
        <w:rPr>
          <w:color w:val="000000" w:themeColor="text1"/>
        </w:rPr>
        <w:t>1806939)</w:t>
      </w:r>
    </w:p>
    <w:p w14:paraId="2C36CEE7" w14:textId="77777777" w:rsidR="003A602E" w:rsidRDefault="003A602E" w:rsidP="003A602E">
      <w:pPr>
        <w:pStyle w:val="Heading2"/>
      </w:pPr>
      <w:bookmarkStart w:id="1" w:name="_Toc7831802"/>
      <w:r>
        <w:lastRenderedPageBreak/>
        <w:t>Acknowledgement</w:t>
      </w:r>
      <w:bookmarkEnd w:id="1"/>
    </w:p>
    <w:p w14:paraId="4DAC3F4C" w14:textId="77777777" w:rsidR="003A602E" w:rsidRDefault="003A602E" w:rsidP="003A602E">
      <w:r>
        <w:t>First of all I would like to show my gratitude to the manager of ASDA Group Ltd. for providing me important guidance regarding the financial information of the company. I would like to acknowledge my colleagues and team-mates who helped me understand the financial condition and operational activities of the business.</w:t>
      </w:r>
    </w:p>
    <w:p w14:paraId="0DB0989D" w14:textId="62C39A4F" w:rsidR="00FE449C" w:rsidRPr="005D07E6" w:rsidRDefault="005D07E6" w:rsidP="005D07E6">
      <w:pPr>
        <w:spacing w:line="259" w:lineRule="auto"/>
        <w:jc w:val="left"/>
        <w:rPr>
          <w:b/>
          <w:color w:val="000000" w:themeColor="text1"/>
          <w:sz w:val="48"/>
        </w:rPr>
      </w:pPr>
      <w:r w:rsidRPr="005D07E6">
        <w:rPr>
          <w:b/>
          <w:color w:val="000000" w:themeColor="text1"/>
          <w:sz w:val="48"/>
        </w:rPr>
        <w:br w:type="page"/>
      </w:r>
    </w:p>
    <w:sdt>
      <w:sdtPr>
        <w:rPr>
          <w:rFonts w:asciiTheme="minorHAnsi" w:eastAsiaTheme="minorHAnsi" w:hAnsiTheme="minorHAnsi" w:cstheme="minorBidi"/>
          <w:b w:val="0"/>
          <w:color w:val="000000" w:themeColor="text1"/>
          <w:sz w:val="22"/>
          <w:szCs w:val="22"/>
          <w:lang w:val="en-GB"/>
        </w:rPr>
        <w:id w:val="1242991930"/>
        <w:docPartObj>
          <w:docPartGallery w:val="Table of Contents"/>
          <w:docPartUnique/>
        </w:docPartObj>
      </w:sdtPr>
      <w:sdtEndPr>
        <w:rPr>
          <w:rFonts w:ascii="Times New Roman" w:hAnsi="Times New Roman"/>
          <w:bCs/>
          <w:noProof/>
          <w:sz w:val="24"/>
        </w:rPr>
      </w:sdtEndPr>
      <w:sdtContent>
        <w:p w14:paraId="4ADB82EB" w14:textId="77777777" w:rsidR="00FE449C" w:rsidRPr="005D07E6" w:rsidRDefault="00FE449C">
          <w:pPr>
            <w:pStyle w:val="TOCHeading"/>
            <w:rPr>
              <w:color w:val="000000" w:themeColor="text1"/>
            </w:rPr>
          </w:pPr>
          <w:r w:rsidRPr="005D07E6">
            <w:rPr>
              <w:color w:val="000000" w:themeColor="text1"/>
            </w:rPr>
            <w:t>Contents</w:t>
          </w:r>
        </w:p>
        <w:p w14:paraId="623A60F0" w14:textId="77777777" w:rsidR="0084301C" w:rsidRDefault="00FE449C">
          <w:pPr>
            <w:pStyle w:val="TOC1"/>
            <w:tabs>
              <w:tab w:val="right" w:leader="dot" w:pos="9016"/>
            </w:tabs>
            <w:rPr>
              <w:rFonts w:asciiTheme="minorHAnsi" w:eastAsiaTheme="minorEastAsia" w:hAnsiTheme="minorHAnsi"/>
              <w:noProof/>
              <w:sz w:val="22"/>
              <w:lang w:val="en-US"/>
            </w:rPr>
          </w:pPr>
          <w:r w:rsidRPr="005D07E6">
            <w:rPr>
              <w:b/>
              <w:bCs/>
              <w:noProof/>
              <w:color w:val="000000" w:themeColor="text1"/>
            </w:rPr>
            <w:fldChar w:fldCharType="begin"/>
          </w:r>
          <w:r w:rsidRPr="005D07E6">
            <w:rPr>
              <w:b/>
              <w:bCs/>
              <w:noProof/>
              <w:color w:val="000000" w:themeColor="text1"/>
            </w:rPr>
            <w:instrText xml:space="preserve"> TOC \o "1-3" \h \z \u </w:instrText>
          </w:r>
          <w:r w:rsidRPr="005D07E6">
            <w:rPr>
              <w:b/>
              <w:bCs/>
              <w:noProof/>
              <w:color w:val="000000" w:themeColor="text1"/>
            </w:rPr>
            <w:fldChar w:fldCharType="separate"/>
          </w:r>
          <w:hyperlink w:anchor="_Toc7831801" w:history="1">
            <w:r w:rsidR="0084301C" w:rsidRPr="00215878">
              <w:rPr>
                <w:rStyle w:val="Hyperlink"/>
                <w:noProof/>
              </w:rPr>
              <w:t>Introduction</w:t>
            </w:r>
            <w:r w:rsidR="0084301C">
              <w:rPr>
                <w:noProof/>
                <w:webHidden/>
              </w:rPr>
              <w:tab/>
            </w:r>
            <w:r w:rsidR="0084301C">
              <w:rPr>
                <w:noProof/>
                <w:webHidden/>
              </w:rPr>
              <w:fldChar w:fldCharType="begin"/>
            </w:r>
            <w:r w:rsidR="0084301C">
              <w:rPr>
                <w:noProof/>
                <w:webHidden/>
              </w:rPr>
              <w:instrText xml:space="preserve"> PAGEREF _Toc7831801 \h </w:instrText>
            </w:r>
            <w:r w:rsidR="0084301C">
              <w:rPr>
                <w:noProof/>
                <w:webHidden/>
              </w:rPr>
            </w:r>
            <w:r w:rsidR="0084301C">
              <w:rPr>
                <w:noProof/>
                <w:webHidden/>
              </w:rPr>
              <w:fldChar w:fldCharType="separate"/>
            </w:r>
            <w:r w:rsidR="0084301C">
              <w:rPr>
                <w:noProof/>
                <w:webHidden/>
              </w:rPr>
              <w:t>4</w:t>
            </w:r>
            <w:r w:rsidR="0084301C">
              <w:rPr>
                <w:noProof/>
                <w:webHidden/>
              </w:rPr>
              <w:fldChar w:fldCharType="end"/>
            </w:r>
          </w:hyperlink>
        </w:p>
        <w:p w14:paraId="74A5C2C8" w14:textId="77777777" w:rsidR="0084301C" w:rsidRDefault="00A54457">
          <w:pPr>
            <w:pStyle w:val="TOC2"/>
            <w:tabs>
              <w:tab w:val="right" w:leader="dot" w:pos="9016"/>
            </w:tabs>
            <w:rPr>
              <w:rFonts w:asciiTheme="minorHAnsi" w:eastAsiaTheme="minorEastAsia" w:hAnsiTheme="minorHAnsi"/>
              <w:noProof/>
              <w:sz w:val="22"/>
              <w:lang w:val="en-US"/>
            </w:rPr>
          </w:pPr>
          <w:hyperlink w:anchor="_Toc7831802" w:history="1">
            <w:r w:rsidR="0084301C" w:rsidRPr="00215878">
              <w:rPr>
                <w:rStyle w:val="Hyperlink"/>
                <w:noProof/>
              </w:rPr>
              <w:t>Acknowledgement</w:t>
            </w:r>
            <w:r w:rsidR="0084301C">
              <w:rPr>
                <w:noProof/>
                <w:webHidden/>
              </w:rPr>
              <w:tab/>
            </w:r>
            <w:r w:rsidR="0084301C">
              <w:rPr>
                <w:noProof/>
                <w:webHidden/>
              </w:rPr>
              <w:fldChar w:fldCharType="begin"/>
            </w:r>
            <w:r w:rsidR="0084301C">
              <w:rPr>
                <w:noProof/>
                <w:webHidden/>
              </w:rPr>
              <w:instrText xml:space="preserve"> PAGEREF _Toc7831802 \h </w:instrText>
            </w:r>
            <w:r w:rsidR="0084301C">
              <w:rPr>
                <w:noProof/>
                <w:webHidden/>
              </w:rPr>
            </w:r>
            <w:r w:rsidR="0084301C">
              <w:rPr>
                <w:noProof/>
                <w:webHidden/>
              </w:rPr>
              <w:fldChar w:fldCharType="separate"/>
            </w:r>
            <w:r w:rsidR="0084301C">
              <w:rPr>
                <w:noProof/>
                <w:webHidden/>
              </w:rPr>
              <w:t>4</w:t>
            </w:r>
            <w:r w:rsidR="0084301C">
              <w:rPr>
                <w:noProof/>
                <w:webHidden/>
              </w:rPr>
              <w:fldChar w:fldCharType="end"/>
            </w:r>
          </w:hyperlink>
        </w:p>
        <w:p w14:paraId="162E6C91" w14:textId="77777777" w:rsidR="0084301C" w:rsidRDefault="00A54457">
          <w:pPr>
            <w:pStyle w:val="TOC2"/>
            <w:tabs>
              <w:tab w:val="right" w:leader="dot" w:pos="9016"/>
            </w:tabs>
            <w:rPr>
              <w:rFonts w:asciiTheme="minorHAnsi" w:eastAsiaTheme="minorEastAsia" w:hAnsiTheme="minorHAnsi"/>
              <w:noProof/>
              <w:sz w:val="22"/>
              <w:lang w:val="en-US"/>
            </w:rPr>
          </w:pPr>
          <w:hyperlink w:anchor="_Toc7831803" w:history="1">
            <w:r w:rsidR="0084301C" w:rsidRPr="00215878">
              <w:rPr>
                <w:rStyle w:val="Hyperlink"/>
                <w:noProof/>
              </w:rPr>
              <w:t>Limitation of the Study</w:t>
            </w:r>
            <w:r w:rsidR="0084301C">
              <w:rPr>
                <w:noProof/>
                <w:webHidden/>
              </w:rPr>
              <w:tab/>
            </w:r>
            <w:r w:rsidR="0084301C">
              <w:rPr>
                <w:noProof/>
                <w:webHidden/>
              </w:rPr>
              <w:fldChar w:fldCharType="begin"/>
            </w:r>
            <w:r w:rsidR="0084301C">
              <w:rPr>
                <w:noProof/>
                <w:webHidden/>
              </w:rPr>
              <w:instrText xml:space="preserve"> PAGEREF _Toc7831803 \h </w:instrText>
            </w:r>
            <w:r w:rsidR="0084301C">
              <w:rPr>
                <w:noProof/>
                <w:webHidden/>
              </w:rPr>
            </w:r>
            <w:r w:rsidR="0084301C">
              <w:rPr>
                <w:noProof/>
                <w:webHidden/>
              </w:rPr>
              <w:fldChar w:fldCharType="separate"/>
            </w:r>
            <w:r w:rsidR="0084301C">
              <w:rPr>
                <w:noProof/>
                <w:webHidden/>
              </w:rPr>
              <w:t>4</w:t>
            </w:r>
            <w:r w:rsidR="0084301C">
              <w:rPr>
                <w:noProof/>
                <w:webHidden/>
              </w:rPr>
              <w:fldChar w:fldCharType="end"/>
            </w:r>
          </w:hyperlink>
        </w:p>
        <w:p w14:paraId="0E07BE89" w14:textId="77777777" w:rsidR="0084301C" w:rsidRDefault="00A54457">
          <w:pPr>
            <w:pStyle w:val="TOC1"/>
            <w:tabs>
              <w:tab w:val="right" w:leader="dot" w:pos="9016"/>
            </w:tabs>
            <w:rPr>
              <w:rFonts w:asciiTheme="minorHAnsi" w:eastAsiaTheme="minorEastAsia" w:hAnsiTheme="minorHAnsi"/>
              <w:noProof/>
              <w:sz w:val="22"/>
              <w:lang w:val="en-US"/>
            </w:rPr>
          </w:pPr>
          <w:hyperlink w:anchor="_Toc7831804" w:history="1">
            <w:r w:rsidR="0084301C" w:rsidRPr="00215878">
              <w:rPr>
                <w:rStyle w:val="Hyperlink"/>
                <w:noProof/>
              </w:rPr>
              <w:t>Part A</w:t>
            </w:r>
            <w:r w:rsidR="0084301C" w:rsidRPr="00215878">
              <w:rPr>
                <w:rStyle w:val="Hyperlink"/>
                <w:bCs/>
                <w:noProof/>
              </w:rPr>
              <w:t xml:space="preserve">: </w:t>
            </w:r>
            <w:r w:rsidR="0084301C" w:rsidRPr="00215878">
              <w:rPr>
                <w:rStyle w:val="Hyperlink"/>
                <w:noProof/>
              </w:rPr>
              <w:t>A brief history of ASDA Group Ltd.</w:t>
            </w:r>
            <w:r w:rsidR="0084301C">
              <w:rPr>
                <w:noProof/>
                <w:webHidden/>
              </w:rPr>
              <w:tab/>
            </w:r>
            <w:r w:rsidR="0084301C">
              <w:rPr>
                <w:noProof/>
                <w:webHidden/>
              </w:rPr>
              <w:fldChar w:fldCharType="begin"/>
            </w:r>
            <w:r w:rsidR="0084301C">
              <w:rPr>
                <w:noProof/>
                <w:webHidden/>
              </w:rPr>
              <w:instrText xml:space="preserve"> PAGEREF _Toc7831804 \h </w:instrText>
            </w:r>
            <w:r w:rsidR="0084301C">
              <w:rPr>
                <w:noProof/>
                <w:webHidden/>
              </w:rPr>
            </w:r>
            <w:r w:rsidR="0084301C">
              <w:rPr>
                <w:noProof/>
                <w:webHidden/>
              </w:rPr>
              <w:fldChar w:fldCharType="separate"/>
            </w:r>
            <w:r w:rsidR="0084301C">
              <w:rPr>
                <w:noProof/>
                <w:webHidden/>
              </w:rPr>
              <w:t>5</w:t>
            </w:r>
            <w:r w:rsidR="0084301C">
              <w:rPr>
                <w:noProof/>
                <w:webHidden/>
              </w:rPr>
              <w:fldChar w:fldCharType="end"/>
            </w:r>
          </w:hyperlink>
        </w:p>
        <w:p w14:paraId="5A2548A9" w14:textId="77777777" w:rsidR="0084301C" w:rsidRDefault="00A54457">
          <w:pPr>
            <w:pStyle w:val="TOC1"/>
            <w:tabs>
              <w:tab w:val="right" w:leader="dot" w:pos="9016"/>
            </w:tabs>
            <w:rPr>
              <w:rFonts w:asciiTheme="minorHAnsi" w:eastAsiaTheme="minorEastAsia" w:hAnsiTheme="minorHAnsi"/>
              <w:noProof/>
              <w:sz w:val="22"/>
              <w:lang w:val="en-US"/>
            </w:rPr>
          </w:pPr>
          <w:hyperlink w:anchor="_Toc7831805" w:history="1">
            <w:r w:rsidR="0084301C" w:rsidRPr="00215878">
              <w:rPr>
                <w:rStyle w:val="Hyperlink"/>
                <w:noProof/>
              </w:rPr>
              <w:t>Part B: A critical review of the Asda Group Ltd.’s financial performances</w:t>
            </w:r>
            <w:r w:rsidR="0084301C">
              <w:rPr>
                <w:noProof/>
                <w:webHidden/>
              </w:rPr>
              <w:tab/>
            </w:r>
            <w:r w:rsidR="0084301C">
              <w:rPr>
                <w:noProof/>
                <w:webHidden/>
              </w:rPr>
              <w:fldChar w:fldCharType="begin"/>
            </w:r>
            <w:r w:rsidR="0084301C">
              <w:rPr>
                <w:noProof/>
                <w:webHidden/>
              </w:rPr>
              <w:instrText xml:space="preserve"> PAGEREF _Toc7831805 \h </w:instrText>
            </w:r>
            <w:r w:rsidR="0084301C">
              <w:rPr>
                <w:noProof/>
                <w:webHidden/>
              </w:rPr>
            </w:r>
            <w:r w:rsidR="0084301C">
              <w:rPr>
                <w:noProof/>
                <w:webHidden/>
              </w:rPr>
              <w:fldChar w:fldCharType="separate"/>
            </w:r>
            <w:r w:rsidR="0084301C">
              <w:rPr>
                <w:noProof/>
                <w:webHidden/>
              </w:rPr>
              <w:t>6</w:t>
            </w:r>
            <w:r w:rsidR="0084301C">
              <w:rPr>
                <w:noProof/>
                <w:webHidden/>
              </w:rPr>
              <w:fldChar w:fldCharType="end"/>
            </w:r>
          </w:hyperlink>
        </w:p>
        <w:p w14:paraId="636172C1" w14:textId="77777777" w:rsidR="0084301C" w:rsidRDefault="00A54457">
          <w:pPr>
            <w:pStyle w:val="TOC1"/>
            <w:tabs>
              <w:tab w:val="right" w:leader="dot" w:pos="9016"/>
            </w:tabs>
            <w:rPr>
              <w:rFonts w:asciiTheme="minorHAnsi" w:eastAsiaTheme="minorEastAsia" w:hAnsiTheme="minorHAnsi"/>
              <w:noProof/>
              <w:sz w:val="22"/>
              <w:lang w:val="en-US"/>
            </w:rPr>
          </w:pPr>
          <w:hyperlink w:anchor="_Toc7831806" w:history="1">
            <w:r w:rsidR="0084301C" w:rsidRPr="00215878">
              <w:rPr>
                <w:rStyle w:val="Hyperlink"/>
                <w:noProof/>
              </w:rPr>
              <w:t>Part C: Carry out investment appraisal techniques to evaluate the following two projects</w:t>
            </w:r>
            <w:r w:rsidR="0084301C">
              <w:rPr>
                <w:noProof/>
                <w:webHidden/>
              </w:rPr>
              <w:tab/>
            </w:r>
            <w:r w:rsidR="0084301C">
              <w:rPr>
                <w:noProof/>
                <w:webHidden/>
              </w:rPr>
              <w:fldChar w:fldCharType="begin"/>
            </w:r>
            <w:r w:rsidR="0084301C">
              <w:rPr>
                <w:noProof/>
                <w:webHidden/>
              </w:rPr>
              <w:instrText xml:space="preserve"> PAGEREF _Toc7831806 \h </w:instrText>
            </w:r>
            <w:r w:rsidR="0084301C">
              <w:rPr>
                <w:noProof/>
                <w:webHidden/>
              </w:rPr>
            </w:r>
            <w:r w:rsidR="0084301C">
              <w:rPr>
                <w:noProof/>
                <w:webHidden/>
              </w:rPr>
              <w:fldChar w:fldCharType="separate"/>
            </w:r>
            <w:r w:rsidR="0084301C">
              <w:rPr>
                <w:noProof/>
                <w:webHidden/>
              </w:rPr>
              <w:t>20</w:t>
            </w:r>
            <w:r w:rsidR="0084301C">
              <w:rPr>
                <w:noProof/>
                <w:webHidden/>
              </w:rPr>
              <w:fldChar w:fldCharType="end"/>
            </w:r>
          </w:hyperlink>
        </w:p>
        <w:p w14:paraId="2C7C3D84" w14:textId="77777777" w:rsidR="0084301C" w:rsidRDefault="00A54457">
          <w:pPr>
            <w:pStyle w:val="TOC1"/>
            <w:tabs>
              <w:tab w:val="right" w:leader="dot" w:pos="9016"/>
            </w:tabs>
            <w:rPr>
              <w:rFonts w:asciiTheme="minorHAnsi" w:eastAsiaTheme="minorEastAsia" w:hAnsiTheme="minorHAnsi"/>
              <w:noProof/>
              <w:sz w:val="22"/>
              <w:lang w:val="en-US"/>
            </w:rPr>
          </w:pPr>
          <w:hyperlink w:anchor="_Toc7831807" w:history="1">
            <w:r w:rsidR="0084301C" w:rsidRPr="00215878">
              <w:rPr>
                <w:rStyle w:val="Hyperlink"/>
                <w:noProof/>
              </w:rPr>
              <w:t>2. Critically discuss the advantages and shortcomings of the PBP, IRR and NPV techniques as ways of evaluating capital projects</w:t>
            </w:r>
            <w:r w:rsidR="0084301C">
              <w:rPr>
                <w:noProof/>
                <w:webHidden/>
              </w:rPr>
              <w:tab/>
            </w:r>
            <w:r w:rsidR="0084301C">
              <w:rPr>
                <w:noProof/>
                <w:webHidden/>
              </w:rPr>
              <w:fldChar w:fldCharType="begin"/>
            </w:r>
            <w:r w:rsidR="0084301C">
              <w:rPr>
                <w:noProof/>
                <w:webHidden/>
              </w:rPr>
              <w:instrText xml:space="preserve"> PAGEREF _Toc7831807 \h </w:instrText>
            </w:r>
            <w:r w:rsidR="0084301C">
              <w:rPr>
                <w:noProof/>
                <w:webHidden/>
              </w:rPr>
            </w:r>
            <w:r w:rsidR="0084301C">
              <w:rPr>
                <w:noProof/>
                <w:webHidden/>
              </w:rPr>
              <w:fldChar w:fldCharType="separate"/>
            </w:r>
            <w:r w:rsidR="0084301C">
              <w:rPr>
                <w:noProof/>
                <w:webHidden/>
              </w:rPr>
              <w:t>31</w:t>
            </w:r>
            <w:r w:rsidR="0084301C">
              <w:rPr>
                <w:noProof/>
                <w:webHidden/>
              </w:rPr>
              <w:fldChar w:fldCharType="end"/>
            </w:r>
          </w:hyperlink>
        </w:p>
        <w:p w14:paraId="3550BDE8" w14:textId="77777777" w:rsidR="0084301C" w:rsidRDefault="00A54457">
          <w:pPr>
            <w:pStyle w:val="TOC2"/>
            <w:tabs>
              <w:tab w:val="right" w:leader="dot" w:pos="9016"/>
            </w:tabs>
            <w:rPr>
              <w:rFonts w:asciiTheme="minorHAnsi" w:eastAsiaTheme="minorEastAsia" w:hAnsiTheme="minorHAnsi"/>
              <w:noProof/>
              <w:sz w:val="22"/>
              <w:lang w:val="en-US"/>
            </w:rPr>
          </w:pPr>
          <w:hyperlink w:anchor="_Toc7831808" w:history="1">
            <w:r w:rsidR="0084301C" w:rsidRPr="00215878">
              <w:rPr>
                <w:rStyle w:val="Hyperlink"/>
                <w:noProof/>
              </w:rPr>
              <w:t>Non-financial factors:</w:t>
            </w:r>
            <w:r w:rsidR="0084301C">
              <w:rPr>
                <w:noProof/>
                <w:webHidden/>
              </w:rPr>
              <w:tab/>
            </w:r>
            <w:r w:rsidR="0084301C">
              <w:rPr>
                <w:noProof/>
                <w:webHidden/>
              </w:rPr>
              <w:fldChar w:fldCharType="begin"/>
            </w:r>
            <w:r w:rsidR="0084301C">
              <w:rPr>
                <w:noProof/>
                <w:webHidden/>
              </w:rPr>
              <w:instrText xml:space="preserve"> PAGEREF _Toc7831808 \h </w:instrText>
            </w:r>
            <w:r w:rsidR="0084301C">
              <w:rPr>
                <w:noProof/>
                <w:webHidden/>
              </w:rPr>
            </w:r>
            <w:r w:rsidR="0084301C">
              <w:rPr>
                <w:noProof/>
                <w:webHidden/>
              </w:rPr>
              <w:fldChar w:fldCharType="separate"/>
            </w:r>
            <w:r w:rsidR="0084301C">
              <w:rPr>
                <w:noProof/>
                <w:webHidden/>
              </w:rPr>
              <w:t>35</w:t>
            </w:r>
            <w:r w:rsidR="0084301C">
              <w:rPr>
                <w:noProof/>
                <w:webHidden/>
              </w:rPr>
              <w:fldChar w:fldCharType="end"/>
            </w:r>
          </w:hyperlink>
        </w:p>
        <w:p w14:paraId="759235A9" w14:textId="77777777" w:rsidR="0084301C" w:rsidRDefault="00A54457">
          <w:pPr>
            <w:pStyle w:val="TOC1"/>
            <w:tabs>
              <w:tab w:val="right" w:leader="dot" w:pos="9016"/>
            </w:tabs>
            <w:rPr>
              <w:rFonts w:asciiTheme="minorHAnsi" w:eastAsiaTheme="minorEastAsia" w:hAnsiTheme="minorHAnsi"/>
              <w:noProof/>
              <w:sz w:val="22"/>
              <w:lang w:val="en-US"/>
            </w:rPr>
          </w:pPr>
          <w:hyperlink w:anchor="_Toc7831809" w:history="1">
            <w:r w:rsidR="0084301C" w:rsidRPr="00215878">
              <w:rPr>
                <w:rStyle w:val="Hyperlink"/>
                <w:rFonts w:eastAsia="Times New Roman"/>
                <w:noProof/>
              </w:rPr>
              <w:t>References</w:t>
            </w:r>
            <w:r w:rsidR="0084301C">
              <w:rPr>
                <w:noProof/>
                <w:webHidden/>
              </w:rPr>
              <w:tab/>
            </w:r>
            <w:r w:rsidR="0084301C">
              <w:rPr>
                <w:noProof/>
                <w:webHidden/>
              </w:rPr>
              <w:fldChar w:fldCharType="begin"/>
            </w:r>
            <w:r w:rsidR="0084301C">
              <w:rPr>
                <w:noProof/>
                <w:webHidden/>
              </w:rPr>
              <w:instrText xml:space="preserve"> PAGEREF _Toc7831809 \h </w:instrText>
            </w:r>
            <w:r w:rsidR="0084301C">
              <w:rPr>
                <w:noProof/>
                <w:webHidden/>
              </w:rPr>
            </w:r>
            <w:r w:rsidR="0084301C">
              <w:rPr>
                <w:noProof/>
                <w:webHidden/>
              </w:rPr>
              <w:fldChar w:fldCharType="separate"/>
            </w:r>
            <w:r w:rsidR="0084301C">
              <w:rPr>
                <w:noProof/>
                <w:webHidden/>
              </w:rPr>
              <w:t>36</w:t>
            </w:r>
            <w:r w:rsidR="0084301C">
              <w:rPr>
                <w:noProof/>
                <w:webHidden/>
              </w:rPr>
              <w:fldChar w:fldCharType="end"/>
            </w:r>
          </w:hyperlink>
        </w:p>
        <w:p w14:paraId="05218012" w14:textId="77777777" w:rsidR="00FE449C" w:rsidRPr="005D07E6" w:rsidRDefault="00FE449C">
          <w:pPr>
            <w:rPr>
              <w:color w:val="000000" w:themeColor="text1"/>
            </w:rPr>
          </w:pPr>
          <w:r w:rsidRPr="005D07E6">
            <w:rPr>
              <w:b/>
              <w:bCs/>
              <w:noProof/>
              <w:color w:val="000000" w:themeColor="text1"/>
            </w:rPr>
            <w:fldChar w:fldCharType="end"/>
          </w:r>
        </w:p>
      </w:sdtContent>
    </w:sdt>
    <w:p w14:paraId="713AE6C3" w14:textId="77777777" w:rsidR="00FE449C" w:rsidRPr="005D07E6" w:rsidRDefault="00FE449C" w:rsidP="00FE449C">
      <w:pPr>
        <w:jc w:val="center"/>
        <w:rPr>
          <w:b/>
          <w:color w:val="000000" w:themeColor="text1"/>
          <w:sz w:val="48"/>
        </w:rPr>
      </w:pPr>
    </w:p>
    <w:p w14:paraId="7BB3B7D4" w14:textId="77777777" w:rsidR="00FE449C" w:rsidRPr="005D07E6" w:rsidRDefault="00FE449C" w:rsidP="00FE449C">
      <w:pPr>
        <w:jc w:val="center"/>
        <w:rPr>
          <w:b/>
          <w:color w:val="000000" w:themeColor="text1"/>
          <w:sz w:val="48"/>
        </w:rPr>
      </w:pPr>
    </w:p>
    <w:p w14:paraId="38A03CEC" w14:textId="77777777" w:rsidR="00FE449C" w:rsidRPr="005D07E6" w:rsidRDefault="00FE449C" w:rsidP="00FE449C">
      <w:pPr>
        <w:jc w:val="center"/>
        <w:rPr>
          <w:b/>
          <w:color w:val="000000" w:themeColor="text1"/>
          <w:sz w:val="48"/>
        </w:rPr>
      </w:pPr>
    </w:p>
    <w:p w14:paraId="764DFBC7" w14:textId="77777777" w:rsidR="00FE449C" w:rsidRPr="005D07E6" w:rsidRDefault="00FE449C" w:rsidP="00FE449C">
      <w:pPr>
        <w:jc w:val="center"/>
        <w:rPr>
          <w:b/>
          <w:color w:val="000000" w:themeColor="text1"/>
          <w:sz w:val="48"/>
        </w:rPr>
      </w:pPr>
    </w:p>
    <w:p w14:paraId="28C0FD87" w14:textId="77777777" w:rsidR="00FE449C" w:rsidRPr="005D07E6" w:rsidRDefault="00FE449C" w:rsidP="00FE449C">
      <w:pPr>
        <w:jc w:val="center"/>
        <w:rPr>
          <w:b/>
          <w:color w:val="000000" w:themeColor="text1"/>
          <w:sz w:val="48"/>
        </w:rPr>
      </w:pPr>
    </w:p>
    <w:p w14:paraId="0ECADDD1" w14:textId="77777777" w:rsidR="00FE449C" w:rsidRPr="005D07E6" w:rsidRDefault="00FE449C" w:rsidP="00FE449C">
      <w:pPr>
        <w:jc w:val="center"/>
        <w:rPr>
          <w:b/>
          <w:color w:val="000000" w:themeColor="text1"/>
          <w:sz w:val="48"/>
        </w:rPr>
      </w:pPr>
    </w:p>
    <w:p w14:paraId="17AC5021" w14:textId="77777777" w:rsidR="00FE449C" w:rsidRPr="005D07E6" w:rsidRDefault="00FE449C" w:rsidP="00FE449C">
      <w:pPr>
        <w:jc w:val="center"/>
        <w:rPr>
          <w:b/>
          <w:color w:val="000000" w:themeColor="text1"/>
          <w:sz w:val="48"/>
        </w:rPr>
      </w:pPr>
    </w:p>
    <w:p w14:paraId="488AB41D" w14:textId="77777777" w:rsidR="005D07E6" w:rsidRDefault="005D07E6">
      <w:pPr>
        <w:spacing w:line="259" w:lineRule="auto"/>
        <w:jc w:val="left"/>
        <w:rPr>
          <w:rFonts w:eastAsiaTheme="majorEastAsia" w:cstheme="majorBidi"/>
          <w:b/>
          <w:color w:val="000000" w:themeColor="text1"/>
          <w:sz w:val="36"/>
          <w:szCs w:val="32"/>
        </w:rPr>
      </w:pPr>
    </w:p>
    <w:p w14:paraId="0C2CAA3C" w14:textId="77777777" w:rsidR="00FE449C" w:rsidRPr="005D07E6" w:rsidRDefault="00FE449C" w:rsidP="005D07E6">
      <w:pPr>
        <w:pStyle w:val="Heading1"/>
        <w:jc w:val="left"/>
        <w:rPr>
          <w:b w:val="0"/>
          <w:color w:val="000000" w:themeColor="text1"/>
          <w:sz w:val="36"/>
        </w:rPr>
      </w:pPr>
      <w:bookmarkStart w:id="2" w:name="_Toc7831801"/>
      <w:r w:rsidRPr="005D07E6">
        <w:rPr>
          <w:color w:val="000000" w:themeColor="text1"/>
          <w:sz w:val="36"/>
        </w:rPr>
        <w:lastRenderedPageBreak/>
        <w:t>Introduction</w:t>
      </w:r>
      <w:bookmarkEnd w:id="2"/>
    </w:p>
    <w:p w14:paraId="288B7047" w14:textId="77777777" w:rsidR="00FE449C" w:rsidRPr="005D07E6" w:rsidRDefault="00FE449C" w:rsidP="00FE449C">
      <w:pPr>
        <w:rPr>
          <w:color w:val="000000" w:themeColor="text1"/>
        </w:rPr>
      </w:pPr>
      <w:r w:rsidRPr="005D07E6">
        <w:rPr>
          <w:color w:val="000000" w:themeColor="text1"/>
        </w:rPr>
        <w:t xml:space="preserve">Financial Management refers to the planning, organizing, directing and controlling the financial and investment activities of a business enterprise. </w:t>
      </w:r>
    </w:p>
    <w:p w14:paraId="1EB6A08E" w14:textId="0ED1EAAB" w:rsidR="006E6F20" w:rsidRPr="003A602E" w:rsidRDefault="00FE449C" w:rsidP="00B62C42">
      <w:pPr>
        <w:rPr>
          <w:color w:val="000000" w:themeColor="text1"/>
        </w:rPr>
      </w:pPr>
      <w:r w:rsidRPr="005D07E6">
        <w:rPr>
          <w:color w:val="000000" w:themeColor="text1"/>
        </w:rPr>
        <w:t>This Report contains various aspects of financial management. This report illustrates the analysis, interpretation and critical assessment of the financial position of a business, incorporating conclusions / recommendations and advice to managers / directors. This report also describes the various capital investment techniques used in the assessment of capital budgeting decisions.</w:t>
      </w:r>
    </w:p>
    <w:p w14:paraId="5F3A23E7" w14:textId="77777777" w:rsidR="00B62C42" w:rsidRPr="00B62C42" w:rsidRDefault="00B62C42" w:rsidP="00B62C42">
      <w:pPr>
        <w:pStyle w:val="Heading2"/>
      </w:pPr>
      <w:bookmarkStart w:id="3" w:name="_Toc7831803"/>
      <w:r>
        <w:t>Limitation of the Study</w:t>
      </w:r>
      <w:bookmarkEnd w:id="3"/>
    </w:p>
    <w:p w14:paraId="54803739" w14:textId="77777777" w:rsidR="00FE449C" w:rsidRPr="005D07E6" w:rsidRDefault="006E6F20" w:rsidP="00FE449C">
      <w:pPr>
        <w:rPr>
          <w:color w:val="000000" w:themeColor="text1"/>
        </w:rPr>
      </w:pPr>
      <w:r>
        <w:rPr>
          <w:color w:val="000000" w:themeColor="text1"/>
        </w:rPr>
        <w:t xml:space="preserve">While conducting the study, it has been identified that ASDA group ltd. has not provided the financial information of 2018 yet as they used to publish their financial data of the last year after the mid of the current year. For this reason, it was not possible to compare the financial data of ASDA group Ltd with the Tesco for the recent year 2018.  </w:t>
      </w:r>
    </w:p>
    <w:p w14:paraId="55D36B89" w14:textId="77777777" w:rsidR="00FE449C" w:rsidRPr="005D07E6" w:rsidRDefault="00FE449C" w:rsidP="00FE449C">
      <w:pPr>
        <w:rPr>
          <w:color w:val="000000" w:themeColor="text1"/>
        </w:rPr>
      </w:pPr>
    </w:p>
    <w:p w14:paraId="2AD13AD7" w14:textId="77777777" w:rsidR="00FE449C" w:rsidRPr="005D07E6" w:rsidRDefault="00FE449C" w:rsidP="00FE449C">
      <w:pPr>
        <w:rPr>
          <w:color w:val="000000" w:themeColor="text1"/>
        </w:rPr>
      </w:pPr>
    </w:p>
    <w:p w14:paraId="37CB1C4D" w14:textId="77777777" w:rsidR="00FE449C" w:rsidRPr="005D07E6" w:rsidRDefault="00FE449C" w:rsidP="00FE449C">
      <w:pPr>
        <w:rPr>
          <w:color w:val="000000" w:themeColor="text1"/>
        </w:rPr>
      </w:pPr>
    </w:p>
    <w:p w14:paraId="060999C8" w14:textId="77777777" w:rsidR="00FE449C" w:rsidRPr="005D07E6" w:rsidRDefault="00FE449C" w:rsidP="00FE449C">
      <w:pPr>
        <w:rPr>
          <w:color w:val="000000" w:themeColor="text1"/>
        </w:rPr>
      </w:pPr>
    </w:p>
    <w:p w14:paraId="395D3F09" w14:textId="77777777" w:rsidR="00FE449C" w:rsidRPr="005D07E6" w:rsidRDefault="00FE449C" w:rsidP="00FE449C">
      <w:pPr>
        <w:rPr>
          <w:color w:val="000000" w:themeColor="text1"/>
        </w:rPr>
      </w:pPr>
    </w:p>
    <w:p w14:paraId="49480AA5" w14:textId="77777777" w:rsidR="00FE449C" w:rsidRPr="005D07E6" w:rsidRDefault="00FE449C" w:rsidP="00FE449C">
      <w:pPr>
        <w:rPr>
          <w:color w:val="000000" w:themeColor="text1"/>
        </w:rPr>
      </w:pPr>
    </w:p>
    <w:p w14:paraId="6BCD35A1" w14:textId="6405161B" w:rsidR="00FE449C" w:rsidRDefault="00FE449C" w:rsidP="00FE449C">
      <w:pPr>
        <w:rPr>
          <w:color w:val="000000" w:themeColor="text1"/>
        </w:rPr>
      </w:pPr>
    </w:p>
    <w:p w14:paraId="322DFF4C" w14:textId="29A7D942" w:rsidR="003A602E" w:rsidRDefault="003A602E" w:rsidP="00FE449C">
      <w:pPr>
        <w:rPr>
          <w:color w:val="000000" w:themeColor="text1"/>
        </w:rPr>
      </w:pPr>
    </w:p>
    <w:p w14:paraId="274679DE" w14:textId="55BDF8AA" w:rsidR="003A602E" w:rsidRDefault="003A602E" w:rsidP="00FE449C">
      <w:pPr>
        <w:rPr>
          <w:color w:val="000000" w:themeColor="text1"/>
        </w:rPr>
      </w:pPr>
    </w:p>
    <w:p w14:paraId="73F96261" w14:textId="41400E29" w:rsidR="003A602E" w:rsidRDefault="003A602E" w:rsidP="00FE449C">
      <w:pPr>
        <w:rPr>
          <w:color w:val="000000" w:themeColor="text1"/>
        </w:rPr>
      </w:pPr>
    </w:p>
    <w:p w14:paraId="516C1C86" w14:textId="77777777" w:rsidR="003A602E" w:rsidRPr="005D07E6" w:rsidRDefault="003A602E" w:rsidP="00FE449C">
      <w:pPr>
        <w:rPr>
          <w:color w:val="000000" w:themeColor="text1"/>
        </w:rPr>
      </w:pPr>
    </w:p>
    <w:p w14:paraId="3A8F4B96" w14:textId="77777777" w:rsidR="00FE449C" w:rsidRPr="005D07E6" w:rsidRDefault="00FE449C" w:rsidP="005D07E6">
      <w:pPr>
        <w:spacing w:line="259" w:lineRule="auto"/>
        <w:jc w:val="left"/>
        <w:rPr>
          <w:color w:val="000000" w:themeColor="text1"/>
        </w:rPr>
      </w:pPr>
    </w:p>
    <w:p w14:paraId="26539B20" w14:textId="77777777" w:rsidR="00FE449C" w:rsidRPr="005D07E6" w:rsidRDefault="00FE449C" w:rsidP="006E6F20">
      <w:pPr>
        <w:pStyle w:val="Heading1"/>
        <w:rPr>
          <w:b w:val="0"/>
          <w:color w:val="000000" w:themeColor="text1"/>
          <w:sz w:val="36"/>
        </w:rPr>
      </w:pPr>
      <w:bookmarkStart w:id="4" w:name="_Toc7831804"/>
      <w:r w:rsidRPr="005D07E6">
        <w:rPr>
          <w:color w:val="000000" w:themeColor="text1"/>
          <w:sz w:val="36"/>
        </w:rPr>
        <w:t>Part A</w:t>
      </w:r>
      <w:r w:rsidRPr="005D07E6">
        <w:rPr>
          <w:bCs/>
          <w:color w:val="000000" w:themeColor="text1"/>
          <w:sz w:val="36"/>
        </w:rPr>
        <w:t xml:space="preserve">: </w:t>
      </w:r>
      <w:r w:rsidRPr="005D07E6">
        <w:rPr>
          <w:color w:val="000000" w:themeColor="text1"/>
          <w:sz w:val="36"/>
        </w:rPr>
        <w:t>A brief history of ASDA Group Ltd.</w:t>
      </w:r>
      <w:bookmarkEnd w:id="4"/>
    </w:p>
    <w:p w14:paraId="7072E819" w14:textId="77777777" w:rsidR="0024215A" w:rsidRPr="005D07E6" w:rsidRDefault="0024215A" w:rsidP="0024215A">
      <w:pPr>
        <w:rPr>
          <w:color w:val="000000" w:themeColor="text1"/>
          <w:lang w:eastAsia="en-GB"/>
        </w:rPr>
      </w:pPr>
      <w:r w:rsidRPr="005D07E6">
        <w:rPr>
          <w:color w:val="000000" w:themeColor="text1"/>
          <w:lang w:eastAsia="en-GB"/>
        </w:rPr>
        <w:t xml:space="preserve">ASDA Group Ltd. operates as one of the largest food retailers in the United Kingdom. The company's stores sell a wide variety of merchandise including food and apparel, along with </w:t>
      </w:r>
      <w:r w:rsidRPr="005D07E6">
        <w:rPr>
          <w:color w:val="000000" w:themeColor="text1"/>
          <w:lang w:eastAsia="en-GB"/>
        </w:rPr>
        <w:lastRenderedPageBreak/>
        <w:t xml:space="preserve">housewares, music, videos, and books. </w:t>
      </w:r>
      <w:r w:rsidR="00EF6F57" w:rsidRPr="005D07E6">
        <w:rPr>
          <w:color w:val="000000" w:themeColor="text1"/>
          <w:lang w:eastAsia="en-GB"/>
        </w:rPr>
        <w:t>ASDA</w:t>
      </w:r>
      <w:r w:rsidRPr="005D07E6">
        <w:rPr>
          <w:color w:val="000000" w:themeColor="text1"/>
          <w:lang w:eastAsia="en-GB"/>
        </w:rPr>
        <w:t xml:space="preserve"> has approximately 631 retail units in its arsenal. The size of each superstore is averaging nearly 42,000 square feet with some as large as100,000 square feet. The company, once known as a dairy conglomerate, was acquired by Wal-Mart Stores Inc. in 1999. Under its new parent's guidance, </w:t>
      </w:r>
      <w:r w:rsidR="00EF6F57" w:rsidRPr="005D07E6">
        <w:rPr>
          <w:color w:val="000000" w:themeColor="text1"/>
          <w:lang w:eastAsia="en-GB"/>
        </w:rPr>
        <w:t>ASDA</w:t>
      </w:r>
      <w:r w:rsidRPr="005D07E6">
        <w:rPr>
          <w:color w:val="000000" w:themeColor="text1"/>
          <w:lang w:eastAsia="en-GB"/>
        </w:rPr>
        <w:t xml:space="preserve"> has been adding pharmacies, opticians, jewellery, and photo departments to its stores.</w:t>
      </w:r>
    </w:p>
    <w:p w14:paraId="033F003F" w14:textId="77777777" w:rsidR="0024215A" w:rsidRPr="005D07E6" w:rsidRDefault="00EF6F57" w:rsidP="0024215A">
      <w:pPr>
        <w:rPr>
          <w:rFonts w:cs="DejaVuSans"/>
          <w:color w:val="000000" w:themeColor="text1"/>
          <w:szCs w:val="18"/>
        </w:rPr>
      </w:pPr>
      <w:r w:rsidRPr="005D07E6">
        <w:rPr>
          <w:color w:val="000000" w:themeColor="text1"/>
        </w:rPr>
        <w:t>ASDA</w:t>
      </w:r>
      <w:r w:rsidR="0024215A" w:rsidRPr="005D07E6">
        <w:rPr>
          <w:color w:val="000000" w:themeColor="text1"/>
        </w:rPr>
        <w:t xml:space="preserve"> typically follows Nickel-and-dime business model. This model states that customers are very much price sensitive and price should be as low as possible. The mission of the </w:t>
      </w:r>
      <w:r w:rsidRPr="005D07E6">
        <w:rPr>
          <w:color w:val="000000" w:themeColor="text1"/>
        </w:rPr>
        <w:t>Asda</w:t>
      </w:r>
      <w:r w:rsidR="0024215A" w:rsidRPr="005D07E6">
        <w:rPr>
          <w:color w:val="000000" w:themeColor="text1"/>
        </w:rPr>
        <w:t xml:space="preserve"> is </w:t>
      </w:r>
      <w:r w:rsidR="0024215A" w:rsidRPr="005D07E6">
        <w:rPr>
          <w:rStyle w:val="ilfuvd"/>
          <w:color w:val="000000" w:themeColor="text1"/>
        </w:rPr>
        <w:t>'to be Britain's best-</w:t>
      </w:r>
      <w:r w:rsidR="0024215A" w:rsidRPr="005D07E6">
        <w:rPr>
          <w:rStyle w:val="ilfuvd"/>
          <w:bCs/>
          <w:color w:val="000000" w:themeColor="text1"/>
        </w:rPr>
        <w:t>value</w:t>
      </w:r>
      <w:r w:rsidR="0024215A" w:rsidRPr="005D07E6">
        <w:rPr>
          <w:rStyle w:val="ilfuvd"/>
          <w:color w:val="000000" w:themeColor="text1"/>
        </w:rPr>
        <w:t xml:space="preserve"> retailer exceeding customer needs always'. To become the best value retailer, company mainly uses lower pricing strategy such as Price Back Strategy in which </w:t>
      </w:r>
      <w:r w:rsidRPr="005D07E6">
        <w:rPr>
          <w:rStyle w:val="ilfuvd"/>
          <w:color w:val="000000" w:themeColor="text1"/>
        </w:rPr>
        <w:t>ASDA</w:t>
      </w:r>
      <w:r w:rsidR="0024215A" w:rsidRPr="005D07E6">
        <w:rPr>
          <w:rStyle w:val="ilfuvd"/>
          <w:color w:val="000000" w:themeColor="text1"/>
        </w:rPr>
        <w:t xml:space="preserve"> promises to </w:t>
      </w:r>
      <w:r w:rsidR="0024215A" w:rsidRPr="005D07E6">
        <w:rPr>
          <w:color w:val="000000" w:themeColor="text1"/>
          <w:szCs w:val="23"/>
        </w:rPr>
        <w:t xml:space="preserve">charge 10% less money for its products than the competitors and it will pay the difference if </w:t>
      </w:r>
      <w:r w:rsidRPr="005D07E6">
        <w:rPr>
          <w:color w:val="000000" w:themeColor="text1"/>
          <w:szCs w:val="23"/>
        </w:rPr>
        <w:t>ASDA</w:t>
      </w:r>
      <w:r w:rsidR="0024215A" w:rsidRPr="005D07E6">
        <w:rPr>
          <w:color w:val="000000" w:themeColor="text1"/>
          <w:szCs w:val="23"/>
        </w:rPr>
        <w:t xml:space="preserve"> is not charging less than the competitors. To support the lower pricing strategy, </w:t>
      </w:r>
      <w:r w:rsidRPr="005D07E6">
        <w:rPr>
          <w:color w:val="000000" w:themeColor="text1"/>
          <w:szCs w:val="23"/>
        </w:rPr>
        <w:t>ASDA</w:t>
      </w:r>
      <w:r w:rsidR="0024215A" w:rsidRPr="005D07E6">
        <w:rPr>
          <w:color w:val="000000" w:themeColor="text1"/>
          <w:szCs w:val="23"/>
        </w:rPr>
        <w:t xml:space="preserve"> has invested more than 1 billion pound sterling in recent years. This strategy has fired backed in recent years with the advent of </w:t>
      </w:r>
      <w:r w:rsidR="0024215A" w:rsidRPr="005D07E6">
        <w:rPr>
          <w:color w:val="000000" w:themeColor="text1"/>
        </w:rPr>
        <w:t xml:space="preserve">German discount supermarkets </w:t>
      </w:r>
      <w:r w:rsidR="0024215A" w:rsidRPr="005D07E6">
        <w:rPr>
          <w:rFonts w:cs="DejaVuSans"/>
          <w:color w:val="000000" w:themeColor="text1"/>
          <w:szCs w:val="18"/>
        </w:rPr>
        <w:t xml:space="preserve">Aldi and Lidl as </w:t>
      </w:r>
      <w:r w:rsidRPr="005D07E6">
        <w:rPr>
          <w:rFonts w:cs="DejaVuSans"/>
          <w:color w:val="000000" w:themeColor="text1"/>
          <w:szCs w:val="18"/>
        </w:rPr>
        <w:t>ASDA</w:t>
      </w:r>
      <w:r w:rsidR="0024215A" w:rsidRPr="005D07E6">
        <w:rPr>
          <w:rFonts w:cs="DejaVuSans"/>
          <w:color w:val="000000" w:themeColor="text1"/>
          <w:szCs w:val="18"/>
        </w:rPr>
        <w:t xml:space="preserve"> has continuously losing market share and sales revenue has declined in the recent years especially in 2016 and 2017 as the company has experienced sales revenue in 11 consecutive month and has experienced the worst sales decline in its 69 years of existence. </w:t>
      </w:r>
    </w:p>
    <w:p w14:paraId="22F9196D" w14:textId="77777777" w:rsidR="0024215A" w:rsidRPr="005D07E6" w:rsidRDefault="00EF6F57" w:rsidP="0024215A">
      <w:pPr>
        <w:rPr>
          <w:rFonts w:cs="DejaVuSans"/>
          <w:color w:val="000000" w:themeColor="text1"/>
          <w:szCs w:val="18"/>
        </w:rPr>
      </w:pPr>
      <w:r w:rsidRPr="005D07E6">
        <w:rPr>
          <w:rFonts w:cs="DejaVuSans"/>
          <w:color w:val="000000" w:themeColor="text1"/>
          <w:szCs w:val="18"/>
        </w:rPr>
        <w:t>ASDA</w:t>
      </w:r>
      <w:r w:rsidR="0024215A" w:rsidRPr="005D07E6">
        <w:rPr>
          <w:rFonts w:cs="DejaVuSans"/>
          <w:color w:val="000000" w:themeColor="text1"/>
          <w:szCs w:val="18"/>
        </w:rPr>
        <w:t xml:space="preserve"> has in total 633 retail units in which 339 are </w:t>
      </w:r>
      <w:r w:rsidRPr="005D07E6">
        <w:rPr>
          <w:rFonts w:cs="DejaVuSans"/>
          <w:color w:val="000000" w:themeColor="text1"/>
          <w:szCs w:val="18"/>
        </w:rPr>
        <w:t>ASDA</w:t>
      </w:r>
      <w:r w:rsidR="0024215A" w:rsidRPr="005D07E6">
        <w:rPr>
          <w:rFonts w:cs="DejaVuSans"/>
          <w:color w:val="000000" w:themeColor="text1"/>
          <w:szCs w:val="18"/>
        </w:rPr>
        <w:t xml:space="preserve"> superstores, 206 </w:t>
      </w:r>
      <w:r w:rsidRPr="005D07E6">
        <w:rPr>
          <w:rFonts w:cs="DejaVuSans"/>
          <w:color w:val="000000" w:themeColor="text1"/>
          <w:szCs w:val="18"/>
        </w:rPr>
        <w:t>ASDA</w:t>
      </w:r>
      <w:r w:rsidR="0024215A" w:rsidRPr="005D07E6">
        <w:rPr>
          <w:rFonts w:cs="DejaVuSans"/>
          <w:color w:val="000000" w:themeColor="text1"/>
          <w:szCs w:val="18"/>
        </w:rPr>
        <w:t xml:space="preserve"> supermarkets, 33 </w:t>
      </w:r>
      <w:r w:rsidRPr="005D07E6">
        <w:rPr>
          <w:rFonts w:cs="DejaVuSans"/>
          <w:color w:val="000000" w:themeColor="text1"/>
          <w:szCs w:val="18"/>
        </w:rPr>
        <w:t>ASDA</w:t>
      </w:r>
      <w:r w:rsidR="0024215A" w:rsidRPr="005D07E6">
        <w:rPr>
          <w:rFonts w:cs="DejaVuSans"/>
          <w:color w:val="000000" w:themeColor="text1"/>
          <w:szCs w:val="18"/>
        </w:rPr>
        <w:t xml:space="preserve"> living, 32 </w:t>
      </w:r>
      <w:r w:rsidRPr="005D07E6">
        <w:rPr>
          <w:rFonts w:cs="DejaVuSans"/>
          <w:color w:val="000000" w:themeColor="text1"/>
          <w:szCs w:val="18"/>
        </w:rPr>
        <w:t>ASDA</w:t>
      </w:r>
      <w:r w:rsidR="0024215A" w:rsidRPr="005D07E6">
        <w:rPr>
          <w:rFonts w:cs="DejaVuSans"/>
          <w:color w:val="000000" w:themeColor="text1"/>
          <w:szCs w:val="18"/>
        </w:rPr>
        <w:t xml:space="preserve"> supercentres and 21 </w:t>
      </w:r>
      <w:r w:rsidRPr="005D07E6">
        <w:rPr>
          <w:rFonts w:cs="DejaVuSans"/>
          <w:color w:val="000000" w:themeColor="text1"/>
          <w:szCs w:val="18"/>
        </w:rPr>
        <w:t>ASDA</w:t>
      </w:r>
      <w:r w:rsidR="0024215A" w:rsidRPr="005D07E6">
        <w:rPr>
          <w:rFonts w:cs="DejaVuSans"/>
          <w:color w:val="000000" w:themeColor="text1"/>
          <w:szCs w:val="18"/>
        </w:rPr>
        <w:t xml:space="preserve"> petrol fuelling station. This suggest that </w:t>
      </w:r>
      <w:r w:rsidRPr="005D07E6">
        <w:rPr>
          <w:rFonts w:cs="DejaVuSans"/>
          <w:color w:val="000000" w:themeColor="text1"/>
          <w:szCs w:val="18"/>
        </w:rPr>
        <w:t>ASDA</w:t>
      </w:r>
      <w:r w:rsidR="0024215A" w:rsidRPr="005D07E6">
        <w:rPr>
          <w:rFonts w:cs="DejaVuSans"/>
          <w:color w:val="000000" w:themeColor="text1"/>
          <w:szCs w:val="18"/>
        </w:rPr>
        <w:t xml:space="preserve"> has followed related diversification to compete with its rivals.</w:t>
      </w:r>
    </w:p>
    <w:p w14:paraId="49512857" w14:textId="77777777" w:rsidR="0024215A" w:rsidRPr="005D07E6" w:rsidRDefault="0024215A" w:rsidP="0024215A">
      <w:pPr>
        <w:rPr>
          <w:rFonts w:cs="DejaVuSans"/>
          <w:color w:val="000000" w:themeColor="text1"/>
          <w:szCs w:val="18"/>
        </w:rPr>
      </w:pPr>
      <w:r w:rsidRPr="005D07E6">
        <w:rPr>
          <w:rFonts w:cs="DejaVuSans"/>
          <w:color w:val="000000" w:themeColor="text1"/>
          <w:szCs w:val="18"/>
        </w:rPr>
        <w:t xml:space="preserve">The main competitors for </w:t>
      </w:r>
      <w:r w:rsidR="00EF6F57" w:rsidRPr="005D07E6">
        <w:rPr>
          <w:rFonts w:cs="DejaVuSans"/>
          <w:color w:val="000000" w:themeColor="text1"/>
          <w:szCs w:val="18"/>
        </w:rPr>
        <w:t>ASDA</w:t>
      </w:r>
      <w:r w:rsidRPr="005D07E6">
        <w:rPr>
          <w:rFonts w:cs="DejaVuSans"/>
          <w:color w:val="000000" w:themeColor="text1"/>
          <w:szCs w:val="18"/>
        </w:rPr>
        <w:t xml:space="preserve"> are Tesco, Sainsbury, Morrisons, Aldi and Lidl. Tesco has the largest market share in UK grocery supermarket with 27.8%. </w:t>
      </w:r>
      <w:r w:rsidR="00EF6F57" w:rsidRPr="005D07E6">
        <w:rPr>
          <w:rFonts w:cs="DejaVuSans"/>
          <w:color w:val="000000" w:themeColor="text1"/>
          <w:szCs w:val="18"/>
        </w:rPr>
        <w:t>ASDA</w:t>
      </w:r>
      <w:r w:rsidRPr="005D07E6">
        <w:rPr>
          <w:rFonts w:cs="DejaVuSans"/>
          <w:color w:val="000000" w:themeColor="text1"/>
          <w:szCs w:val="18"/>
        </w:rPr>
        <w:t xml:space="preserve"> comes in second with 15.8% market share. The main rival for </w:t>
      </w:r>
      <w:r w:rsidR="00EF6F57" w:rsidRPr="005D07E6">
        <w:rPr>
          <w:rFonts w:cs="DejaVuSans"/>
          <w:color w:val="000000" w:themeColor="text1"/>
          <w:szCs w:val="18"/>
        </w:rPr>
        <w:t>ASDA</w:t>
      </w:r>
      <w:r w:rsidRPr="005D07E6">
        <w:rPr>
          <w:rFonts w:cs="DejaVuSans"/>
          <w:color w:val="000000" w:themeColor="text1"/>
          <w:szCs w:val="18"/>
        </w:rPr>
        <w:t xml:space="preserve"> is the Aldi. The continuous growth of Aldi and Lidl in market share has severely affected the business of </w:t>
      </w:r>
      <w:r w:rsidR="00EF6F57" w:rsidRPr="005D07E6">
        <w:rPr>
          <w:rFonts w:cs="DejaVuSans"/>
          <w:color w:val="000000" w:themeColor="text1"/>
          <w:szCs w:val="18"/>
        </w:rPr>
        <w:t>ASDA</w:t>
      </w:r>
      <w:r w:rsidRPr="005D07E6">
        <w:rPr>
          <w:rFonts w:cs="DejaVuSans"/>
          <w:color w:val="000000" w:themeColor="text1"/>
          <w:szCs w:val="18"/>
        </w:rPr>
        <w:t>.</w:t>
      </w:r>
    </w:p>
    <w:p w14:paraId="498575DC" w14:textId="77777777" w:rsidR="0024215A" w:rsidRPr="005D07E6" w:rsidRDefault="0024215A" w:rsidP="005D07E6">
      <w:pPr>
        <w:rPr>
          <w:color w:val="000000" w:themeColor="text1"/>
        </w:rPr>
      </w:pPr>
      <w:r w:rsidRPr="005D07E6">
        <w:rPr>
          <w:color w:val="000000" w:themeColor="text1"/>
        </w:rPr>
        <w:t xml:space="preserve">Both </w:t>
      </w:r>
      <w:r w:rsidR="00EF6F57" w:rsidRPr="005D07E6">
        <w:rPr>
          <w:color w:val="000000" w:themeColor="text1"/>
        </w:rPr>
        <w:t>ASDA</w:t>
      </w:r>
      <w:r w:rsidRPr="005D07E6">
        <w:rPr>
          <w:color w:val="000000" w:themeColor="text1"/>
        </w:rPr>
        <w:t xml:space="preserve"> and Sainsbury has lost significant market share to its competitors especially with the advent of German discount supermarkets Aldi and Lidl. To compete with them, </w:t>
      </w:r>
      <w:r w:rsidR="00EF6F57" w:rsidRPr="005D07E6">
        <w:rPr>
          <w:color w:val="000000" w:themeColor="text1"/>
        </w:rPr>
        <w:t>ASDA</w:t>
      </w:r>
      <w:r w:rsidRPr="005D07E6">
        <w:rPr>
          <w:color w:val="000000" w:themeColor="text1"/>
        </w:rPr>
        <w:t xml:space="preserve"> and Sainsbury announced a merger in 2018 in a deal worth £7bn pound sterling. The merger was blocked by the Competition and Markets Authority (CMA) of United Kingdom as the deal will result in a Pooled Negotiating Power for both firms as the newly merged firm will be larger than Tesco and it will be able to raise the prices of products</w:t>
      </w:r>
      <w:r w:rsidR="005D07E6">
        <w:rPr>
          <w:color w:val="000000" w:themeColor="text1"/>
        </w:rPr>
        <w:t xml:space="preserve"> </w:t>
      </w:r>
      <w:r w:rsidR="005D07E6" w:rsidRPr="005D07E6">
        <w:rPr>
          <w:color w:val="000000" w:themeColor="text1"/>
        </w:rPr>
        <w:t>(Livingstone and Grossman, 2009)</w:t>
      </w:r>
      <w:r w:rsidRPr="005D07E6">
        <w:rPr>
          <w:color w:val="000000" w:themeColor="text1"/>
        </w:rPr>
        <w:t>.</w:t>
      </w:r>
    </w:p>
    <w:p w14:paraId="2007541D" w14:textId="77777777" w:rsidR="0024215A" w:rsidRPr="005D07E6" w:rsidRDefault="0024215A" w:rsidP="0024215A">
      <w:pPr>
        <w:pStyle w:val="Heading1"/>
        <w:jc w:val="center"/>
        <w:rPr>
          <w:b w:val="0"/>
          <w:color w:val="000000" w:themeColor="text1"/>
          <w:sz w:val="36"/>
        </w:rPr>
      </w:pPr>
      <w:bookmarkStart w:id="5" w:name="_Toc7831805"/>
      <w:r w:rsidRPr="005D07E6">
        <w:rPr>
          <w:color w:val="000000" w:themeColor="text1"/>
          <w:sz w:val="36"/>
        </w:rPr>
        <w:t xml:space="preserve">Part B: A critical review of the </w:t>
      </w:r>
      <w:r w:rsidR="00EF6F57" w:rsidRPr="005D07E6">
        <w:rPr>
          <w:color w:val="000000" w:themeColor="text1"/>
          <w:sz w:val="36"/>
        </w:rPr>
        <w:t>Asda</w:t>
      </w:r>
      <w:r w:rsidRPr="005D07E6">
        <w:rPr>
          <w:color w:val="000000" w:themeColor="text1"/>
          <w:sz w:val="36"/>
        </w:rPr>
        <w:t xml:space="preserve"> Group Ltd.’s financial performances</w:t>
      </w:r>
      <w:bookmarkEnd w:id="5"/>
    </w:p>
    <w:p w14:paraId="5432922F" w14:textId="77777777" w:rsidR="0024215A" w:rsidRPr="005D07E6" w:rsidRDefault="0024215A" w:rsidP="0024215A">
      <w:pPr>
        <w:rPr>
          <w:color w:val="000000" w:themeColor="text1"/>
        </w:rPr>
      </w:pPr>
    </w:p>
    <w:p w14:paraId="331EF103" w14:textId="77777777" w:rsidR="0024215A" w:rsidRPr="005D07E6" w:rsidRDefault="0024215A" w:rsidP="0024215A">
      <w:pPr>
        <w:rPr>
          <w:color w:val="000000" w:themeColor="text1"/>
        </w:rPr>
      </w:pPr>
      <w:r w:rsidRPr="005D07E6">
        <w:rPr>
          <w:color w:val="000000" w:themeColor="text1"/>
        </w:rPr>
        <w:lastRenderedPageBreak/>
        <w:t>Financial statement analysis refers to the practice of using the historical accounting data reported in the financial statements in order to evaluate the financial performance and financial position of an organization which facilitates the investment, financing and operation investment decision of the management and helps the stakeholders to analyse the financial soundness and operating efficiency of the organization</w:t>
      </w:r>
      <w:r w:rsidR="005D07E6">
        <w:rPr>
          <w:color w:val="000000" w:themeColor="text1"/>
        </w:rPr>
        <w:t xml:space="preserve"> </w:t>
      </w:r>
      <w:r w:rsidR="005D07E6" w:rsidRPr="005D07E6">
        <w:rPr>
          <w:color w:val="000000" w:themeColor="text1"/>
        </w:rPr>
        <w:t>(Pandey, 2015)</w:t>
      </w:r>
      <w:r w:rsidRPr="005D07E6">
        <w:rPr>
          <w:color w:val="000000" w:themeColor="text1"/>
        </w:rPr>
        <w:t>.</w:t>
      </w:r>
    </w:p>
    <w:p w14:paraId="4510D50F" w14:textId="77777777" w:rsidR="0024215A" w:rsidRPr="005D07E6" w:rsidRDefault="0024215A" w:rsidP="0024215A">
      <w:pPr>
        <w:rPr>
          <w:color w:val="000000" w:themeColor="text1"/>
        </w:rPr>
      </w:pPr>
      <w:r w:rsidRPr="005D07E6">
        <w:rPr>
          <w:color w:val="000000" w:themeColor="text1"/>
        </w:rPr>
        <w:t>Financial ratio analysis is a quantitative method of financial statement analysis which discloses the financial strength and weakness of an organization. There are five aspects of ratio analysis. These are</w:t>
      </w:r>
    </w:p>
    <w:p w14:paraId="31CA798A" w14:textId="77777777" w:rsidR="0024215A" w:rsidRPr="005D07E6" w:rsidRDefault="0024215A" w:rsidP="0024215A">
      <w:pPr>
        <w:pStyle w:val="ListParagraph"/>
        <w:numPr>
          <w:ilvl w:val="0"/>
          <w:numId w:val="1"/>
        </w:numPr>
        <w:rPr>
          <w:color w:val="000000" w:themeColor="text1"/>
        </w:rPr>
      </w:pPr>
      <w:r w:rsidRPr="005D07E6">
        <w:rPr>
          <w:color w:val="000000" w:themeColor="text1"/>
        </w:rPr>
        <w:t>Liquidity ratios</w:t>
      </w:r>
    </w:p>
    <w:p w14:paraId="3FA57BD9" w14:textId="77777777" w:rsidR="0024215A" w:rsidRPr="005D07E6" w:rsidRDefault="0024215A" w:rsidP="0024215A">
      <w:pPr>
        <w:pStyle w:val="ListParagraph"/>
        <w:numPr>
          <w:ilvl w:val="0"/>
          <w:numId w:val="1"/>
        </w:numPr>
        <w:rPr>
          <w:color w:val="000000" w:themeColor="text1"/>
        </w:rPr>
      </w:pPr>
      <w:r w:rsidRPr="005D07E6">
        <w:rPr>
          <w:color w:val="000000" w:themeColor="text1"/>
        </w:rPr>
        <w:t>Profitability ratios</w:t>
      </w:r>
    </w:p>
    <w:p w14:paraId="4A8D1012" w14:textId="77777777" w:rsidR="0024215A" w:rsidRPr="005D07E6" w:rsidRDefault="0024215A" w:rsidP="0024215A">
      <w:pPr>
        <w:pStyle w:val="ListParagraph"/>
        <w:numPr>
          <w:ilvl w:val="0"/>
          <w:numId w:val="1"/>
        </w:numPr>
        <w:rPr>
          <w:color w:val="000000" w:themeColor="text1"/>
        </w:rPr>
      </w:pPr>
      <w:r w:rsidRPr="005D07E6">
        <w:rPr>
          <w:color w:val="000000" w:themeColor="text1"/>
        </w:rPr>
        <w:t>Efficiency ratios</w:t>
      </w:r>
    </w:p>
    <w:p w14:paraId="20AE4D05" w14:textId="77777777" w:rsidR="0024215A" w:rsidRPr="005D07E6" w:rsidRDefault="0024215A" w:rsidP="0024215A">
      <w:pPr>
        <w:pStyle w:val="ListParagraph"/>
        <w:numPr>
          <w:ilvl w:val="0"/>
          <w:numId w:val="1"/>
        </w:numPr>
        <w:rPr>
          <w:color w:val="000000" w:themeColor="text1"/>
        </w:rPr>
      </w:pPr>
      <w:r w:rsidRPr="005D07E6">
        <w:rPr>
          <w:color w:val="000000" w:themeColor="text1"/>
        </w:rPr>
        <w:t>Financing ratios</w:t>
      </w:r>
    </w:p>
    <w:p w14:paraId="59CD816C" w14:textId="77777777" w:rsidR="0024215A" w:rsidRPr="005D07E6" w:rsidRDefault="0024215A" w:rsidP="0024215A">
      <w:pPr>
        <w:pStyle w:val="ListParagraph"/>
        <w:numPr>
          <w:ilvl w:val="0"/>
          <w:numId w:val="1"/>
        </w:numPr>
        <w:rPr>
          <w:color w:val="000000" w:themeColor="text1"/>
        </w:rPr>
      </w:pPr>
      <w:r w:rsidRPr="005D07E6">
        <w:rPr>
          <w:color w:val="000000" w:themeColor="text1"/>
        </w:rPr>
        <w:t>Investors ratios</w:t>
      </w:r>
    </w:p>
    <w:p w14:paraId="3BEAE673" w14:textId="77777777" w:rsidR="0024215A" w:rsidRPr="005D07E6" w:rsidRDefault="0024215A" w:rsidP="0024215A">
      <w:pPr>
        <w:rPr>
          <w:color w:val="000000" w:themeColor="text1"/>
        </w:rPr>
      </w:pPr>
      <w:r w:rsidRPr="005D07E6">
        <w:rPr>
          <w:color w:val="000000" w:themeColor="text1"/>
        </w:rPr>
        <w:t xml:space="preserve">Time series analysis will be used to evaluate the five aspects of ratio analysis of </w:t>
      </w:r>
      <w:r w:rsidR="00EF6F57" w:rsidRPr="005D07E6">
        <w:rPr>
          <w:color w:val="000000" w:themeColor="text1"/>
        </w:rPr>
        <w:t>ASDA</w:t>
      </w:r>
      <w:r w:rsidRPr="005D07E6">
        <w:rPr>
          <w:color w:val="000000" w:themeColor="text1"/>
        </w:rPr>
        <w:t xml:space="preserve"> in order to perform intracompany financial performance comparison of </w:t>
      </w:r>
      <w:r w:rsidR="00EF6F57" w:rsidRPr="005D07E6">
        <w:rPr>
          <w:color w:val="000000" w:themeColor="text1"/>
        </w:rPr>
        <w:t>ASDA</w:t>
      </w:r>
      <w:r w:rsidRPr="005D07E6">
        <w:rPr>
          <w:color w:val="000000" w:themeColor="text1"/>
        </w:rPr>
        <w:t xml:space="preserve"> based on the historical accounting data reported in the financial statements from 2013 to 2017 published by </w:t>
      </w:r>
      <w:r w:rsidR="00EF6F57" w:rsidRPr="005D07E6">
        <w:rPr>
          <w:color w:val="000000" w:themeColor="text1"/>
        </w:rPr>
        <w:t>ASDA</w:t>
      </w:r>
      <w:r w:rsidRPr="005D07E6">
        <w:rPr>
          <w:color w:val="000000" w:themeColor="text1"/>
        </w:rPr>
        <w:t xml:space="preserve">. Cross sectional analysis will be used to compare the financial ratios of </w:t>
      </w:r>
      <w:r w:rsidR="00EF6F57" w:rsidRPr="005D07E6">
        <w:rPr>
          <w:color w:val="000000" w:themeColor="text1"/>
        </w:rPr>
        <w:t>ASDA</w:t>
      </w:r>
      <w:r w:rsidRPr="005D07E6">
        <w:rPr>
          <w:color w:val="000000" w:themeColor="text1"/>
        </w:rPr>
        <w:t xml:space="preserve"> with those of TESCO to perform intercompany financial performance comparison based on the historical accounting data reported in the financial statement in 2017 published by </w:t>
      </w:r>
      <w:r w:rsidR="00EF6F57" w:rsidRPr="005D07E6">
        <w:rPr>
          <w:color w:val="000000" w:themeColor="text1"/>
        </w:rPr>
        <w:t>ASDA</w:t>
      </w:r>
      <w:r w:rsidRPr="005D07E6">
        <w:rPr>
          <w:color w:val="000000" w:themeColor="text1"/>
        </w:rPr>
        <w:t xml:space="preserve"> and TESCO.</w:t>
      </w:r>
    </w:p>
    <w:p w14:paraId="3D9797EE" w14:textId="77777777" w:rsidR="005D07E6" w:rsidRDefault="005D07E6">
      <w:pPr>
        <w:spacing w:line="259" w:lineRule="auto"/>
        <w:jc w:val="left"/>
        <w:rPr>
          <w:b/>
          <w:color w:val="000000" w:themeColor="text1"/>
          <w:sz w:val="28"/>
        </w:rPr>
      </w:pPr>
      <w:r>
        <w:rPr>
          <w:b/>
          <w:color w:val="000000" w:themeColor="text1"/>
          <w:sz w:val="28"/>
        </w:rPr>
        <w:br w:type="page"/>
      </w:r>
    </w:p>
    <w:p w14:paraId="7BAC4A3E" w14:textId="77777777" w:rsidR="0024215A" w:rsidRPr="005D07E6" w:rsidRDefault="0024215A" w:rsidP="0024215A">
      <w:pPr>
        <w:rPr>
          <w:b/>
          <w:color w:val="000000" w:themeColor="text1"/>
          <w:sz w:val="28"/>
        </w:rPr>
      </w:pPr>
      <w:r w:rsidRPr="005D07E6">
        <w:rPr>
          <w:b/>
          <w:color w:val="000000" w:themeColor="text1"/>
          <w:sz w:val="28"/>
        </w:rPr>
        <w:lastRenderedPageBreak/>
        <w:t>Liquidity Ratios:</w:t>
      </w:r>
    </w:p>
    <w:p w14:paraId="1BA922FD" w14:textId="77777777" w:rsidR="0024215A" w:rsidRPr="005D07E6" w:rsidRDefault="0024215A" w:rsidP="0024215A">
      <w:pPr>
        <w:rPr>
          <w:color w:val="000000" w:themeColor="text1"/>
        </w:rPr>
      </w:pPr>
      <w:r w:rsidRPr="005D07E6">
        <w:rPr>
          <w:color w:val="000000" w:themeColor="text1"/>
        </w:rPr>
        <w:t>Liquidity ratios measure the ability of the firm to generate sufficient cash to meet the short term obligations of that firm when they becomes due. These ratios measures the immediate liquidity of the firm</w:t>
      </w:r>
      <w:r w:rsidR="005D07E6">
        <w:rPr>
          <w:color w:val="000000" w:themeColor="text1"/>
        </w:rPr>
        <w:t xml:space="preserve"> </w:t>
      </w:r>
      <w:r w:rsidR="005D07E6" w:rsidRPr="005D07E6">
        <w:rPr>
          <w:color w:val="000000" w:themeColor="text1"/>
        </w:rPr>
        <w:t>(Financial Accountability &amp; Management, 2018)</w:t>
      </w:r>
      <w:r w:rsidRPr="005D07E6">
        <w:rPr>
          <w:color w:val="000000" w:themeColor="text1"/>
        </w:rPr>
        <w:t xml:space="preserve">. </w:t>
      </w:r>
    </w:p>
    <w:p w14:paraId="42AFFE21" w14:textId="77777777" w:rsidR="0024215A" w:rsidRPr="005D07E6" w:rsidRDefault="0024215A" w:rsidP="0024215A">
      <w:pPr>
        <w:rPr>
          <w:color w:val="000000" w:themeColor="text1"/>
        </w:rPr>
      </w:pPr>
      <w:r w:rsidRPr="005D07E6">
        <w:rPr>
          <w:color w:val="000000" w:themeColor="text1"/>
        </w:rPr>
        <w:t xml:space="preserve">The liquidity ratios for </w:t>
      </w:r>
      <w:r w:rsidR="00EF6F57" w:rsidRPr="005D07E6">
        <w:rPr>
          <w:color w:val="000000" w:themeColor="text1"/>
        </w:rPr>
        <w:t>ASDA</w:t>
      </w:r>
      <w:r w:rsidRPr="005D07E6">
        <w:rPr>
          <w:color w:val="000000" w:themeColor="text1"/>
        </w:rPr>
        <w:t xml:space="preserve"> are shown below</w:t>
      </w:r>
    </w:p>
    <w:tbl>
      <w:tblPr>
        <w:tblStyle w:val="TableGrid"/>
        <w:tblW w:w="9415" w:type="dxa"/>
        <w:tblLook w:val="04A0" w:firstRow="1" w:lastRow="0" w:firstColumn="1" w:lastColumn="0" w:noHBand="0" w:noVBand="1"/>
      </w:tblPr>
      <w:tblGrid>
        <w:gridCol w:w="2269"/>
        <w:gridCol w:w="1462"/>
        <w:gridCol w:w="1461"/>
        <w:gridCol w:w="1299"/>
        <w:gridCol w:w="1462"/>
        <w:gridCol w:w="1462"/>
      </w:tblGrid>
      <w:tr w:rsidR="005D07E6" w:rsidRPr="005D07E6" w14:paraId="165AA7FA" w14:textId="77777777" w:rsidTr="00DD3F9E">
        <w:trPr>
          <w:trHeight w:val="753"/>
        </w:trPr>
        <w:tc>
          <w:tcPr>
            <w:tcW w:w="2269" w:type="dxa"/>
          </w:tcPr>
          <w:p w14:paraId="74B516FF" w14:textId="77777777" w:rsidR="0024215A" w:rsidRPr="005D07E6" w:rsidRDefault="0024215A" w:rsidP="0024215A">
            <w:pPr>
              <w:jc w:val="center"/>
              <w:rPr>
                <w:b/>
                <w:color w:val="000000" w:themeColor="text1"/>
              </w:rPr>
            </w:pPr>
            <w:r w:rsidRPr="005D07E6">
              <w:rPr>
                <w:b/>
                <w:color w:val="000000" w:themeColor="text1"/>
              </w:rPr>
              <w:t>Liquidity Ratios</w:t>
            </w:r>
          </w:p>
        </w:tc>
        <w:tc>
          <w:tcPr>
            <w:tcW w:w="1462" w:type="dxa"/>
          </w:tcPr>
          <w:p w14:paraId="62401AC3" w14:textId="77777777" w:rsidR="0024215A" w:rsidRPr="005D07E6" w:rsidRDefault="0024215A" w:rsidP="0024215A">
            <w:pPr>
              <w:jc w:val="center"/>
              <w:rPr>
                <w:b/>
                <w:color w:val="000000" w:themeColor="text1"/>
              </w:rPr>
            </w:pPr>
            <w:r w:rsidRPr="005D07E6">
              <w:rPr>
                <w:b/>
                <w:color w:val="000000" w:themeColor="text1"/>
              </w:rPr>
              <w:t>2013</w:t>
            </w:r>
          </w:p>
        </w:tc>
        <w:tc>
          <w:tcPr>
            <w:tcW w:w="1461" w:type="dxa"/>
          </w:tcPr>
          <w:p w14:paraId="504F9ADB" w14:textId="77777777" w:rsidR="0024215A" w:rsidRPr="005D07E6" w:rsidRDefault="0024215A" w:rsidP="0024215A">
            <w:pPr>
              <w:jc w:val="center"/>
              <w:rPr>
                <w:b/>
                <w:color w:val="000000" w:themeColor="text1"/>
              </w:rPr>
            </w:pPr>
            <w:r w:rsidRPr="005D07E6">
              <w:rPr>
                <w:b/>
                <w:color w:val="000000" w:themeColor="text1"/>
              </w:rPr>
              <w:t>2014</w:t>
            </w:r>
          </w:p>
        </w:tc>
        <w:tc>
          <w:tcPr>
            <w:tcW w:w="1299" w:type="dxa"/>
          </w:tcPr>
          <w:p w14:paraId="18F4B29B" w14:textId="77777777" w:rsidR="0024215A" w:rsidRPr="005D07E6" w:rsidRDefault="0024215A" w:rsidP="0024215A">
            <w:pPr>
              <w:jc w:val="center"/>
              <w:rPr>
                <w:b/>
                <w:color w:val="000000" w:themeColor="text1"/>
              </w:rPr>
            </w:pPr>
            <w:r w:rsidRPr="005D07E6">
              <w:rPr>
                <w:b/>
                <w:color w:val="000000" w:themeColor="text1"/>
              </w:rPr>
              <w:t>2015</w:t>
            </w:r>
          </w:p>
        </w:tc>
        <w:tc>
          <w:tcPr>
            <w:tcW w:w="1462" w:type="dxa"/>
          </w:tcPr>
          <w:p w14:paraId="7E749F20" w14:textId="77777777" w:rsidR="0024215A" w:rsidRPr="005D07E6" w:rsidRDefault="0024215A" w:rsidP="0024215A">
            <w:pPr>
              <w:jc w:val="center"/>
              <w:rPr>
                <w:b/>
                <w:color w:val="000000" w:themeColor="text1"/>
              </w:rPr>
            </w:pPr>
            <w:r w:rsidRPr="005D07E6">
              <w:rPr>
                <w:b/>
                <w:color w:val="000000" w:themeColor="text1"/>
              </w:rPr>
              <w:t>2016</w:t>
            </w:r>
          </w:p>
        </w:tc>
        <w:tc>
          <w:tcPr>
            <w:tcW w:w="1462" w:type="dxa"/>
          </w:tcPr>
          <w:p w14:paraId="5B097F04" w14:textId="77777777" w:rsidR="0024215A" w:rsidRPr="005D07E6" w:rsidRDefault="0024215A" w:rsidP="0024215A">
            <w:pPr>
              <w:jc w:val="center"/>
              <w:rPr>
                <w:b/>
                <w:color w:val="000000" w:themeColor="text1"/>
              </w:rPr>
            </w:pPr>
            <w:r w:rsidRPr="005D07E6">
              <w:rPr>
                <w:b/>
                <w:color w:val="000000" w:themeColor="text1"/>
              </w:rPr>
              <w:t>2017</w:t>
            </w:r>
          </w:p>
        </w:tc>
      </w:tr>
      <w:tr w:rsidR="005D07E6" w:rsidRPr="005D07E6" w14:paraId="6CF97A4C" w14:textId="77777777" w:rsidTr="00DD3F9E">
        <w:trPr>
          <w:trHeight w:val="712"/>
        </w:trPr>
        <w:tc>
          <w:tcPr>
            <w:tcW w:w="2269" w:type="dxa"/>
          </w:tcPr>
          <w:p w14:paraId="2EEAEE66" w14:textId="77777777" w:rsidR="0024215A" w:rsidRPr="005D07E6" w:rsidRDefault="0024215A" w:rsidP="0024215A">
            <w:pPr>
              <w:jc w:val="center"/>
              <w:rPr>
                <w:b/>
                <w:color w:val="000000" w:themeColor="text1"/>
              </w:rPr>
            </w:pPr>
            <w:r w:rsidRPr="005D07E6">
              <w:rPr>
                <w:b/>
                <w:color w:val="000000" w:themeColor="text1"/>
              </w:rPr>
              <w:t>Current Ratio</w:t>
            </w:r>
          </w:p>
        </w:tc>
        <w:tc>
          <w:tcPr>
            <w:tcW w:w="1462" w:type="dxa"/>
          </w:tcPr>
          <w:p w14:paraId="05C88AF6" w14:textId="77777777" w:rsidR="0024215A" w:rsidRPr="005D07E6" w:rsidRDefault="0024215A" w:rsidP="0024215A">
            <w:pPr>
              <w:jc w:val="center"/>
              <w:rPr>
                <w:b/>
                <w:color w:val="000000" w:themeColor="text1"/>
              </w:rPr>
            </w:pPr>
            <w:r w:rsidRPr="005D07E6">
              <w:rPr>
                <w:b/>
                <w:color w:val="000000" w:themeColor="text1"/>
              </w:rPr>
              <w:t>0.71</w:t>
            </w:r>
          </w:p>
        </w:tc>
        <w:tc>
          <w:tcPr>
            <w:tcW w:w="1461" w:type="dxa"/>
          </w:tcPr>
          <w:p w14:paraId="7987B2EA" w14:textId="77777777" w:rsidR="0024215A" w:rsidRPr="005D07E6" w:rsidRDefault="0024215A" w:rsidP="0024215A">
            <w:pPr>
              <w:jc w:val="center"/>
              <w:rPr>
                <w:b/>
                <w:color w:val="000000" w:themeColor="text1"/>
              </w:rPr>
            </w:pPr>
            <w:r w:rsidRPr="005D07E6">
              <w:rPr>
                <w:b/>
                <w:color w:val="000000" w:themeColor="text1"/>
              </w:rPr>
              <w:t>0.78</w:t>
            </w:r>
          </w:p>
        </w:tc>
        <w:tc>
          <w:tcPr>
            <w:tcW w:w="1299" w:type="dxa"/>
          </w:tcPr>
          <w:p w14:paraId="65E7BA02" w14:textId="77777777" w:rsidR="0024215A" w:rsidRPr="005D07E6" w:rsidRDefault="0024215A" w:rsidP="0024215A">
            <w:pPr>
              <w:jc w:val="center"/>
              <w:rPr>
                <w:b/>
                <w:color w:val="000000" w:themeColor="text1"/>
              </w:rPr>
            </w:pPr>
            <w:r w:rsidRPr="005D07E6">
              <w:rPr>
                <w:b/>
                <w:color w:val="000000" w:themeColor="text1"/>
              </w:rPr>
              <w:t>0.88</w:t>
            </w:r>
          </w:p>
        </w:tc>
        <w:tc>
          <w:tcPr>
            <w:tcW w:w="1462" w:type="dxa"/>
          </w:tcPr>
          <w:p w14:paraId="05D7DA70" w14:textId="77777777" w:rsidR="0024215A" w:rsidRPr="005D07E6" w:rsidRDefault="0024215A" w:rsidP="0024215A">
            <w:pPr>
              <w:jc w:val="center"/>
              <w:rPr>
                <w:b/>
                <w:color w:val="000000" w:themeColor="text1"/>
              </w:rPr>
            </w:pPr>
            <w:r w:rsidRPr="005D07E6">
              <w:rPr>
                <w:b/>
                <w:color w:val="000000" w:themeColor="text1"/>
              </w:rPr>
              <w:t>0.93</w:t>
            </w:r>
          </w:p>
        </w:tc>
        <w:tc>
          <w:tcPr>
            <w:tcW w:w="1462" w:type="dxa"/>
          </w:tcPr>
          <w:p w14:paraId="44E3A9E4" w14:textId="77777777" w:rsidR="0024215A" w:rsidRPr="005D07E6" w:rsidRDefault="0024215A" w:rsidP="0024215A">
            <w:pPr>
              <w:jc w:val="center"/>
              <w:rPr>
                <w:b/>
                <w:color w:val="000000" w:themeColor="text1"/>
              </w:rPr>
            </w:pPr>
            <w:r w:rsidRPr="005D07E6">
              <w:rPr>
                <w:b/>
                <w:color w:val="000000" w:themeColor="text1"/>
              </w:rPr>
              <w:t>1.03</w:t>
            </w:r>
          </w:p>
        </w:tc>
      </w:tr>
      <w:tr w:rsidR="0024215A" w:rsidRPr="005D07E6" w14:paraId="12199271" w14:textId="77777777" w:rsidTr="00DD3F9E">
        <w:trPr>
          <w:trHeight w:val="712"/>
        </w:trPr>
        <w:tc>
          <w:tcPr>
            <w:tcW w:w="2269" w:type="dxa"/>
          </w:tcPr>
          <w:p w14:paraId="39D5BA15" w14:textId="77777777" w:rsidR="0024215A" w:rsidRPr="005D07E6" w:rsidRDefault="0024215A" w:rsidP="0024215A">
            <w:pPr>
              <w:jc w:val="center"/>
              <w:rPr>
                <w:b/>
                <w:color w:val="000000" w:themeColor="text1"/>
              </w:rPr>
            </w:pPr>
            <w:r w:rsidRPr="005D07E6">
              <w:rPr>
                <w:b/>
                <w:color w:val="000000" w:themeColor="text1"/>
              </w:rPr>
              <w:t>Acid Test Ratio</w:t>
            </w:r>
          </w:p>
        </w:tc>
        <w:tc>
          <w:tcPr>
            <w:tcW w:w="1462" w:type="dxa"/>
          </w:tcPr>
          <w:p w14:paraId="575096DD" w14:textId="77777777" w:rsidR="0024215A" w:rsidRPr="005D07E6" w:rsidRDefault="0024215A" w:rsidP="0024215A">
            <w:pPr>
              <w:jc w:val="center"/>
              <w:rPr>
                <w:b/>
                <w:color w:val="000000" w:themeColor="text1"/>
              </w:rPr>
            </w:pPr>
            <w:r w:rsidRPr="005D07E6">
              <w:rPr>
                <w:b/>
                <w:color w:val="000000" w:themeColor="text1"/>
              </w:rPr>
              <w:t>0.53</w:t>
            </w:r>
          </w:p>
        </w:tc>
        <w:tc>
          <w:tcPr>
            <w:tcW w:w="1461" w:type="dxa"/>
          </w:tcPr>
          <w:p w14:paraId="49B870F4" w14:textId="77777777" w:rsidR="0024215A" w:rsidRPr="005D07E6" w:rsidRDefault="0024215A" w:rsidP="0024215A">
            <w:pPr>
              <w:jc w:val="center"/>
              <w:rPr>
                <w:b/>
                <w:color w:val="000000" w:themeColor="text1"/>
              </w:rPr>
            </w:pPr>
            <w:r w:rsidRPr="005D07E6">
              <w:rPr>
                <w:b/>
                <w:color w:val="000000" w:themeColor="text1"/>
              </w:rPr>
              <w:t>0.6</w:t>
            </w:r>
          </w:p>
        </w:tc>
        <w:tc>
          <w:tcPr>
            <w:tcW w:w="1299" w:type="dxa"/>
          </w:tcPr>
          <w:p w14:paraId="43D22438" w14:textId="77777777" w:rsidR="0024215A" w:rsidRPr="005D07E6" w:rsidRDefault="0024215A" w:rsidP="0024215A">
            <w:pPr>
              <w:jc w:val="center"/>
              <w:rPr>
                <w:b/>
                <w:color w:val="000000" w:themeColor="text1"/>
              </w:rPr>
            </w:pPr>
            <w:r w:rsidRPr="005D07E6">
              <w:rPr>
                <w:b/>
                <w:color w:val="000000" w:themeColor="text1"/>
              </w:rPr>
              <w:t>0.71</w:t>
            </w:r>
          </w:p>
        </w:tc>
        <w:tc>
          <w:tcPr>
            <w:tcW w:w="1462" w:type="dxa"/>
          </w:tcPr>
          <w:p w14:paraId="6FC4618A" w14:textId="77777777" w:rsidR="0024215A" w:rsidRPr="005D07E6" w:rsidRDefault="0024215A" w:rsidP="0024215A">
            <w:pPr>
              <w:jc w:val="center"/>
              <w:rPr>
                <w:b/>
                <w:color w:val="000000" w:themeColor="text1"/>
              </w:rPr>
            </w:pPr>
            <w:r w:rsidRPr="005D07E6">
              <w:rPr>
                <w:b/>
                <w:color w:val="000000" w:themeColor="text1"/>
              </w:rPr>
              <w:t>0.76</w:t>
            </w:r>
          </w:p>
        </w:tc>
        <w:tc>
          <w:tcPr>
            <w:tcW w:w="1462" w:type="dxa"/>
          </w:tcPr>
          <w:p w14:paraId="5BDEEC3C" w14:textId="77777777" w:rsidR="0024215A" w:rsidRPr="005D07E6" w:rsidRDefault="0024215A" w:rsidP="0024215A">
            <w:pPr>
              <w:jc w:val="center"/>
              <w:rPr>
                <w:b/>
                <w:color w:val="000000" w:themeColor="text1"/>
              </w:rPr>
            </w:pPr>
            <w:r w:rsidRPr="005D07E6">
              <w:rPr>
                <w:b/>
                <w:color w:val="000000" w:themeColor="text1"/>
              </w:rPr>
              <w:t>0.86</w:t>
            </w:r>
          </w:p>
        </w:tc>
      </w:tr>
    </w:tbl>
    <w:p w14:paraId="7A13A7F4" w14:textId="77777777" w:rsidR="0024215A" w:rsidRPr="005D07E6" w:rsidRDefault="0024215A" w:rsidP="0024215A">
      <w:pPr>
        <w:rPr>
          <w:color w:val="000000" w:themeColor="text1"/>
        </w:rPr>
      </w:pPr>
    </w:p>
    <w:p w14:paraId="5F1F309A" w14:textId="77777777" w:rsidR="0024215A" w:rsidRPr="005D07E6" w:rsidRDefault="0024215A" w:rsidP="005D07E6">
      <w:pPr>
        <w:jc w:val="center"/>
        <w:rPr>
          <w:color w:val="000000" w:themeColor="text1"/>
        </w:rPr>
      </w:pPr>
      <w:r w:rsidRPr="005D07E6">
        <w:rPr>
          <w:noProof/>
          <w:color w:val="000000" w:themeColor="text1"/>
          <w:lang w:val="en-US"/>
        </w:rPr>
        <w:drawing>
          <wp:inline distT="0" distB="0" distL="0" distR="0" wp14:anchorId="48EE54EF" wp14:editId="7A3D2538">
            <wp:extent cx="5486400" cy="32004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A98729D" w14:textId="77777777" w:rsidR="0024215A" w:rsidRPr="005D07E6" w:rsidRDefault="0024215A" w:rsidP="0024215A">
      <w:pPr>
        <w:rPr>
          <w:color w:val="000000" w:themeColor="text1"/>
        </w:rPr>
      </w:pPr>
      <w:r w:rsidRPr="005D07E6">
        <w:rPr>
          <w:color w:val="000000" w:themeColor="text1"/>
        </w:rPr>
        <w:t xml:space="preserve">The Current ratio of </w:t>
      </w:r>
      <w:r w:rsidR="00EF6F57" w:rsidRPr="005D07E6">
        <w:rPr>
          <w:color w:val="000000" w:themeColor="text1"/>
        </w:rPr>
        <w:t>ASDA</w:t>
      </w:r>
      <w:r w:rsidRPr="005D07E6">
        <w:rPr>
          <w:color w:val="000000" w:themeColor="text1"/>
        </w:rPr>
        <w:t xml:space="preserve"> is showing an upward trend from 2013 to 2017 but it is quite lower than the norm 2:1. The average current ratio during these five periods is 0.86 which implies that </w:t>
      </w:r>
      <w:r w:rsidR="00EF6F57" w:rsidRPr="005D07E6">
        <w:rPr>
          <w:color w:val="000000" w:themeColor="text1"/>
        </w:rPr>
        <w:t>ASDA</w:t>
      </w:r>
      <w:r w:rsidRPr="005D07E6">
        <w:rPr>
          <w:color w:val="000000" w:themeColor="text1"/>
        </w:rPr>
        <w:t xml:space="preserve"> has on average 0.86 pound sterling worth of current asset to pay 1 pound sterling debt. So the company had negative working capital from 2013 to 2016 as the current ratio was less than 1 which implies that the company had more current liabilities than the current asset. It is also indicating that the company is implementing an aggressive working capital policy in managing its current asset and current liabilities. it is not bad for </w:t>
      </w:r>
      <w:r w:rsidR="00EF6F57" w:rsidRPr="005D07E6">
        <w:rPr>
          <w:color w:val="000000" w:themeColor="text1"/>
        </w:rPr>
        <w:t>ASDA</w:t>
      </w:r>
      <w:r w:rsidRPr="005D07E6">
        <w:rPr>
          <w:color w:val="000000" w:themeColor="text1"/>
        </w:rPr>
        <w:t xml:space="preserve"> as substantial portion of current liability is consists of loans borrowed from its parent company Walmart </w:t>
      </w:r>
      <w:r w:rsidR="00616123" w:rsidRPr="005D07E6">
        <w:rPr>
          <w:color w:val="000000" w:themeColor="text1"/>
        </w:rPr>
        <w:t>Inc.</w:t>
      </w:r>
      <w:r w:rsidRPr="005D07E6">
        <w:rPr>
          <w:color w:val="000000" w:themeColor="text1"/>
        </w:rPr>
        <w:t xml:space="preserve"> and </w:t>
      </w:r>
      <w:r w:rsidRPr="005D07E6">
        <w:rPr>
          <w:color w:val="000000" w:themeColor="text1"/>
        </w:rPr>
        <w:lastRenderedPageBreak/>
        <w:t xml:space="preserve">from the subsidiaries of Walmart </w:t>
      </w:r>
      <w:r w:rsidR="00616123" w:rsidRPr="005D07E6">
        <w:rPr>
          <w:color w:val="000000" w:themeColor="text1"/>
        </w:rPr>
        <w:t>Inc.</w:t>
      </w:r>
      <w:r w:rsidRPr="005D07E6">
        <w:rPr>
          <w:color w:val="000000" w:themeColor="text1"/>
        </w:rPr>
        <w:t xml:space="preserve"> at an interest rate of 6% and the stock days is less than the creditor days which implies that </w:t>
      </w:r>
      <w:r w:rsidR="00EF6F57" w:rsidRPr="005D07E6">
        <w:rPr>
          <w:color w:val="000000" w:themeColor="text1"/>
        </w:rPr>
        <w:t>ASDA</w:t>
      </w:r>
      <w:r w:rsidRPr="005D07E6">
        <w:rPr>
          <w:color w:val="000000" w:themeColor="text1"/>
        </w:rPr>
        <w:t xml:space="preserve"> is converting inventory into cash much more rapidly than the accounts payable become due</w:t>
      </w:r>
      <w:r w:rsidR="005D07E6">
        <w:rPr>
          <w:color w:val="000000" w:themeColor="text1"/>
        </w:rPr>
        <w:t xml:space="preserve"> </w:t>
      </w:r>
      <w:r w:rsidR="005D07E6" w:rsidRPr="005D07E6">
        <w:rPr>
          <w:color w:val="000000" w:themeColor="text1"/>
        </w:rPr>
        <w:t>(Balmer, 2006)</w:t>
      </w:r>
      <w:r w:rsidRPr="005D07E6">
        <w:rPr>
          <w:color w:val="000000" w:themeColor="text1"/>
        </w:rPr>
        <w:t>.  The upward trend of current ratio also indicates that the company is growing into its full capacity despite the declining sales in these five years.</w:t>
      </w:r>
    </w:p>
    <w:p w14:paraId="5571D5BD" w14:textId="77777777" w:rsidR="0024215A" w:rsidRPr="005D07E6" w:rsidRDefault="0024215A" w:rsidP="0024215A">
      <w:pPr>
        <w:rPr>
          <w:color w:val="000000" w:themeColor="text1"/>
        </w:rPr>
      </w:pPr>
      <w:r w:rsidRPr="005D07E6">
        <w:rPr>
          <w:color w:val="000000" w:themeColor="text1"/>
        </w:rPr>
        <w:t xml:space="preserve">The acid test ratio is also showing an upward trend from 2013 to 2017 but it is less than the standard norm 1.1. The average acid test ratio during these periods was 0.69 which implies that </w:t>
      </w:r>
      <w:r w:rsidR="00EF6F57" w:rsidRPr="005D07E6">
        <w:rPr>
          <w:color w:val="000000" w:themeColor="text1"/>
        </w:rPr>
        <w:t>ASDA</w:t>
      </w:r>
      <w:r w:rsidRPr="005D07E6">
        <w:rPr>
          <w:color w:val="000000" w:themeColor="text1"/>
        </w:rPr>
        <w:t xml:space="preserve"> has on average 0.69 pound sterling worth of quick current asset in the form cash &amp; marketable securities and accounts receivable to pay 1 pound sterling worth of short term debt. The analysis also reveals that most of the investment of current asset is not current tied in inventories. This lower is acid test ratio for ASDA is justified for </w:t>
      </w:r>
      <w:r w:rsidR="00EF6F57" w:rsidRPr="005D07E6">
        <w:rPr>
          <w:color w:val="000000" w:themeColor="text1"/>
        </w:rPr>
        <w:t>ASDA</w:t>
      </w:r>
      <w:r w:rsidRPr="005D07E6">
        <w:rPr>
          <w:color w:val="000000" w:themeColor="text1"/>
        </w:rPr>
        <w:t xml:space="preserve"> as the debtor days of </w:t>
      </w:r>
      <w:r w:rsidR="00EF6F57" w:rsidRPr="005D07E6">
        <w:rPr>
          <w:color w:val="000000" w:themeColor="text1"/>
        </w:rPr>
        <w:t>ASDA</w:t>
      </w:r>
      <w:r w:rsidRPr="005D07E6">
        <w:rPr>
          <w:color w:val="000000" w:themeColor="text1"/>
        </w:rPr>
        <w:t xml:space="preserve"> is less than the creditor days of </w:t>
      </w:r>
      <w:r w:rsidR="00EF6F57" w:rsidRPr="005D07E6">
        <w:rPr>
          <w:color w:val="000000" w:themeColor="text1"/>
        </w:rPr>
        <w:t>ASDA</w:t>
      </w:r>
      <w:r w:rsidRPr="005D07E6">
        <w:rPr>
          <w:color w:val="000000" w:themeColor="text1"/>
        </w:rPr>
        <w:t xml:space="preserve"> from 2013 to 2017. </w:t>
      </w:r>
      <w:r w:rsidR="00EF6F57" w:rsidRPr="005D07E6">
        <w:rPr>
          <w:color w:val="000000" w:themeColor="text1"/>
        </w:rPr>
        <w:t>ASDA</w:t>
      </w:r>
      <w:r w:rsidRPr="005D07E6">
        <w:rPr>
          <w:color w:val="000000" w:themeColor="text1"/>
        </w:rPr>
        <w:t xml:space="preserve"> took on average 47 days to collect cash from customer and the intracompany receivables and took on average 65 days to pay the suppliers and intracompany trade payables</w:t>
      </w:r>
      <w:r w:rsidR="005D07E6">
        <w:rPr>
          <w:color w:val="000000" w:themeColor="text1"/>
        </w:rPr>
        <w:t xml:space="preserve"> </w:t>
      </w:r>
      <w:r w:rsidR="005D07E6" w:rsidRPr="005D07E6">
        <w:rPr>
          <w:color w:val="000000" w:themeColor="text1"/>
        </w:rPr>
        <w:t>(</w:t>
      </w:r>
      <w:proofErr w:type="spellStart"/>
      <w:r w:rsidR="005D07E6" w:rsidRPr="005D07E6">
        <w:rPr>
          <w:color w:val="000000" w:themeColor="text1"/>
        </w:rPr>
        <w:t>Lagoarde-Segot</w:t>
      </w:r>
      <w:proofErr w:type="spellEnd"/>
      <w:r w:rsidR="005D07E6" w:rsidRPr="005D07E6">
        <w:rPr>
          <w:color w:val="000000" w:themeColor="text1"/>
        </w:rPr>
        <w:t>, 2019)</w:t>
      </w:r>
      <w:r w:rsidRPr="005D07E6">
        <w:rPr>
          <w:color w:val="000000" w:themeColor="text1"/>
        </w:rPr>
        <w:t xml:space="preserve">. </w:t>
      </w:r>
    </w:p>
    <w:p w14:paraId="0B21924C" w14:textId="77777777" w:rsidR="0024215A" w:rsidRPr="005D07E6" w:rsidRDefault="0024215A" w:rsidP="0024215A">
      <w:pPr>
        <w:rPr>
          <w:color w:val="000000" w:themeColor="text1"/>
        </w:rPr>
      </w:pPr>
    </w:p>
    <w:p w14:paraId="21F630E6" w14:textId="77777777" w:rsidR="0024215A" w:rsidRPr="005D07E6" w:rsidRDefault="0024215A" w:rsidP="0024215A">
      <w:pPr>
        <w:rPr>
          <w:b/>
          <w:color w:val="000000" w:themeColor="text1"/>
        </w:rPr>
      </w:pPr>
      <w:r w:rsidRPr="005D07E6">
        <w:rPr>
          <w:b/>
          <w:color w:val="000000" w:themeColor="text1"/>
        </w:rPr>
        <w:t xml:space="preserve">The comparison of liquidity ratios for </w:t>
      </w:r>
      <w:r w:rsidR="00EF6F57" w:rsidRPr="005D07E6">
        <w:rPr>
          <w:b/>
          <w:color w:val="000000" w:themeColor="text1"/>
        </w:rPr>
        <w:t>ASDA</w:t>
      </w:r>
      <w:r w:rsidRPr="005D07E6">
        <w:rPr>
          <w:b/>
          <w:color w:val="000000" w:themeColor="text1"/>
        </w:rPr>
        <w:t xml:space="preserve"> and Tesco in 2017 is shown below</w:t>
      </w:r>
    </w:p>
    <w:tbl>
      <w:tblPr>
        <w:tblStyle w:val="TableGrid"/>
        <w:tblW w:w="8960" w:type="dxa"/>
        <w:tblLook w:val="04A0" w:firstRow="1" w:lastRow="0" w:firstColumn="1" w:lastColumn="0" w:noHBand="0" w:noVBand="1"/>
      </w:tblPr>
      <w:tblGrid>
        <w:gridCol w:w="2809"/>
        <w:gridCol w:w="3237"/>
        <w:gridCol w:w="2914"/>
      </w:tblGrid>
      <w:tr w:rsidR="005D07E6" w:rsidRPr="005D07E6" w14:paraId="15E6AE85" w14:textId="77777777" w:rsidTr="00616123">
        <w:trPr>
          <w:trHeight w:val="573"/>
        </w:trPr>
        <w:tc>
          <w:tcPr>
            <w:tcW w:w="2809" w:type="dxa"/>
          </w:tcPr>
          <w:p w14:paraId="7CBE9F5F" w14:textId="77777777" w:rsidR="0024215A" w:rsidRPr="005D07E6" w:rsidRDefault="0024215A" w:rsidP="0024215A">
            <w:pPr>
              <w:rPr>
                <w:b/>
                <w:color w:val="000000" w:themeColor="text1"/>
              </w:rPr>
            </w:pPr>
            <w:r w:rsidRPr="005D07E6">
              <w:rPr>
                <w:b/>
                <w:color w:val="000000" w:themeColor="text1"/>
              </w:rPr>
              <w:t>Liquidity Ratios</w:t>
            </w:r>
          </w:p>
        </w:tc>
        <w:tc>
          <w:tcPr>
            <w:tcW w:w="3237" w:type="dxa"/>
          </w:tcPr>
          <w:p w14:paraId="37F50C14" w14:textId="77777777" w:rsidR="0024215A" w:rsidRPr="005D07E6" w:rsidRDefault="00EF6F57" w:rsidP="0024215A">
            <w:pPr>
              <w:rPr>
                <w:b/>
                <w:color w:val="000000" w:themeColor="text1"/>
              </w:rPr>
            </w:pPr>
            <w:r w:rsidRPr="005D07E6">
              <w:rPr>
                <w:b/>
                <w:color w:val="000000" w:themeColor="text1"/>
              </w:rPr>
              <w:t>ASDA</w:t>
            </w:r>
          </w:p>
        </w:tc>
        <w:tc>
          <w:tcPr>
            <w:tcW w:w="2914" w:type="dxa"/>
          </w:tcPr>
          <w:p w14:paraId="4EDD2BD0" w14:textId="77777777" w:rsidR="0024215A" w:rsidRPr="005D07E6" w:rsidRDefault="0024215A" w:rsidP="0024215A">
            <w:pPr>
              <w:rPr>
                <w:b/>
                <w:color w:val="000000" w:themeColor="text1"/>
              </w:rPr>
            </w:pPr>
            <w:r w:rsidRPr="005D07E6">
              <w:rPr>
                <w:b/>
                <w:color w:val="000000" w:themeColor="text1"/>
              </w:rPr>
              <w:t>Tesco</w:t>
            </w:r>
          </w:p>
        </w:tc>
      </w:tr>
      <w:tr w:rsidR="005D07E6" w:rsidRPr="005D07E6" w14:paraId="34F78A9A" w14:textId="77777777" w:rsidTr="00616123">
        <w:trPr>
          <w:trHeight w:val="542"/>
        </w:trPr>
        <w:tc>
          <w:tcPr>
            <w:tcW w:w="2809" w:type="dxa"/>
          </w:tcPr>
          <w:p w14:paraId="4DC1E3A1" w14:textId="77777777" w:rsidR="0024215A" w:rsidRPr="005D07E6" w:rsidRDefault="0024215A" w:rsidP="0024215A">
            <w:pPr>
              <w:rPr>
                <w:b/>
                <w:color w:val="000000" w:themeColor="text1"/>
              </w:rPr>
            </w:pPr>
          </w:p>
        </w:tc>
        <w:tc>
          <w:tcPr>
            <w:tcW w:w="3237" w:type="dxa"/>
          </w:tcPr>
          <w:p w14:paraId="224683FD" w14:textId="77777777" w:rsidR="0024215A" w:rsidRPr="005D07E6" w:rsidRDefault="0024215A" w:rsidP="0024215A">
            <w:pPr>
              <w:rPr>
                <w:b/>
                <w:color w:val="000000" w:themeColor="text1"/>
              </w:rPr>
            </w:pPr>
            <w:r w:rsidRPr="005D07E6">
              <w:rPr>
                <w:b/>
                <w:color w:val="000000" w:themeColor="text1"/>
              </w:rPr>
              <w:t>2017</w:t>
            </w:r>
          </w:p>
        </w:tc>
        <w:tc>
          <w:tcPr>
            <w:tcW w:w="2914" w:type="dxa"/>
          </w:tcPr>
          <w:p w14:paraId="064234FD" w14:textId="77777777" w:rsidR="0024215A" w:rsidRPr="005D07E6" w:rsidRDefault="0024215A" w:rsidP="0024215A">
            <w:pPr>
              <w:rPr>
                <w:b/>
                <w:color w:val="000000" w:themeColor="text1"/>
              </w:rPr>
            </w:pPr>
            <w:r w:rsidRPr="005D07E6">
              <w:rPr>
                <w:b/>
                <w:color w:val="000000" w:themeColor="text1"/>
              </w:rPr>
              <w:t>2017</w:t>
            </w:r>
          </w:p>
        </w:tc>
      </w:tr>
      <w:tr w:rsidR="005D07E6" w:rsidRPr="005D07E6" w14:paraId="489B3FE9" w14:textId="77777777" w:rsidTr="00616123">
        <w:trPr>
          <w:trHeight w:val="542"/>
        </w:trPr>
        <w:tc>
          <w:tcPr>
            <w:tcW w:w="2809" w:type="dxa"/>
          </w:tcPr>
          <w:p w14:paraId="178D14BB" w14:textId="77777777" w:rsidR="0024215A" w:rsidRPr="005D07E6" w:rsidRDefault="0024215A" w:rsidP="0024215A">
            <w:pPr>
              <w:rPr>
                <w:b/>
                <w:color w:val="000000" w:themeColor="text1"/>
              </w:rPr>
            </w:pPr>
            <w:r w:rsidRPr="005D07E6">
              <w:rPr>
                <w:b/>
                <w:color w:val="000000" w:themeColor="text1"/>
              </w:rPr>
              <w:t>Current Ratio</w:t>
            </w:r>
          </w:p>
        </w:tc>
        <w:tc>
          <w:tcPr>
            <w:tcW w:w="3237" w:type="dxa"/>
          </w:tcPr>
          <w:p w14:paraId="1A611B29" w14:textId="77777777" w:rsidR="0024215A" w:rsidRPr="005D07E6" w:rsidRDefault="0024215A" w:rsidP="0024215A">
            <w:pPr>
              <w:rPr>
                <w:b/>
                <w:color w:val="000000" w:themeColor="text1"/>
              </w:rPr>
            </w:pPr>
            <w:r w:rsidRPr="005D07E6">
              <w:rPr>
                <w:b/>
                <w:color w:val="000000" w:themeColor="text1"/>
              </w:rPr>
              <w:t>1.03</w:t>
            </w:r>
          </w:p>
        </w:tc>
        <w:tc>
          <w:tcPr>
            <w:tcW w:w="2914" w:type="dxa"/>
          </w:tcPr>
          <w:p w14:paraId="1A5BA37A" w14:textId="77777777" w:rsidR="0024215A" w:rsidRPr="005D07E6" w:rsidRDefault="0024215A" w:rsidP="0024215A">
            <w:pPr>
              <w:rPr>
                <w:b/>
                <w:color w:val="000000" w:themeColor="text1"/>
              </w:rPr>
            </w:pPr>
            <w:r w:rsidRPr="005D07E6">
              <w:rPr>
                <w:b/>
                <w:color w:val="000000" w:themeColor="text1"/>
              </w:rPr>
              <w:t>0.78</w:t>
            </w:r>
          </w:p>
        </w:tc>
      </w:tr>
      <w:tr w:rsidR="0024215A" w:rsidRPr="005D07E6" w14:paraId="3FEC14D2" w14:textId="77777777" w:rsidTr="00616123">
        <w:trPr>
          <w:trHeight w:val="542"/>
        </w:trPr>
        <w:tc>
          <w:tcPr>
            <w:tcW w:w="2809" w:type="dxa"/>
          </w:tcPr>
          <w:p w14:paraId="06EF9727" w14:textId="77777777" w:rsidR="0024215A" w:rsidRPr="005D07E6" w:rsidRDefault="0024215A" w:rsidP="0024215A">
            <w:pPr>
              <w:rPr>
                <w:b/>
                <w:color w:val="000000" w:themeColor="text1"/>
              </w:rPr>
            </w:pPr>
            <w:r w:rsidRPr="005D07E6">
              <w:rPr>
                <w:b/>
                <w:color w:val="000000" w:themeColor="text1"/>
              </w:rPr>
              <w:t>Acid Test Ratio</w:t>
            </w:r>
          </w:p>
        </w:tc>
        <w:tc>
          <w:tcPr>
            <w:tcW w:w="3237" w:type="dxa"/>
          </w:tcPr>
          <w:p w14:paraId="30866DEA" w14:textId="77777777" w:rsidR="0024215A" w:rsidRPr="005D07E6" w:rsidRDefault="0024215A" w:rsidP="0024215A">
            <w:pPr>
              <w:rPr>
                <w:b/>
                <w:color w:val="000000" w:themeColor="text1"/>
              </w:rPr>
            </w:pPr>
            <w:r w:rsidRPr="005D07E6">
              <w:rPr>
                <w:b/>
                <w:color w:val="000000" w:themeColor="text1"/>
              </w:rPr>
              <w:t>0.86</w:t>
            </w:r>
          </w:p>
        </w:tc>
        <w:tc>
          <w:tcPr>
            <w:tcW w:w="2914" w:type="dxa"/>
          </w:tcPr>
          <w:p w14:paraId="30336D12" w14:textId="77777777" w:rsidR="0024215A" w:rsidRPr="005D07E6" w:rsidRDefault="0024215A" w:rsidP="0024215A">
            <w:pPr>
              <w:rPr>
                <w:b/>
                <w:color w:val="000000" w:themeColor="text1"/>
              </w:rPr>
            </w:pPr>
            <w:r w:rsidRPr="005D07E6">
              <w:rPr>
                <w:b/>
                <w:color w:val="000000" w:themeColor="text1"/>
              </w:rPr>
              <w:t>0.63</w:t>
            </w:r>
          </w:p>
        </w:tc>
      </w:tr>
    </w:tbl>
    <w:p w14:paraId="5EE7887D" w14:textId="77777777" w:rsidR="0024215A" w:rsidRPr="005D07E6" w:rsidRDefault="0024215A" w:rsidP="0024215A">
      <w:pPr>
        <w:rPr>
          <w:color w:val="000000" w:themeColor="text1"/>
        </w:rPr>
      </w:pPr>
    </w:p>
    <w:p w14:paraId="736C1932" w14:textId="77777777" w:rsidR="00616123" w:rsidRPr="005D07E6" w:rsidRDefault="00616123" w:rsidP="0024215A">
      <w:pPr>
        <w:rPr>
          <w:color w:val="000000" w:themeColor="text1"/>
        </w:rPr>
      </w:pPr>
      <w:r w:rsidRPr="005D07E6">
        <w:rPr>
          <w:noProof/>
          <w:color w:val="000000" w:themeColor="text1"/>
          <w:lang w:val="en-US"/>
        </w:rPr>
        <w:lastRenderedPageBreak/>
        <w:drawing>
          <wp:inline distT="0" distB="0" distL="0" distR="0" wp14:anchorId="3B8F3485" wp14:editId="7FDEA51C">
            <wp:extent cx="5486400" cy="32004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50F81B0" w14:textId="77777777" w:rsidR="0024215A" w:rsidRPr="005D07E6" w:rsidRDefault="0024215A" w:rsidP="0024215A">
      <w:pPr>
        <w:rPr>
          <w:color w:val="000000" w:themeColor="text1"/>
        </w:rPr>
      </w:pPr>
      <w:r w:rsidRPr="005D07E6">
        <w:rPr>
          <w:color w:val="000000" w:themeColor="text1"/>
        </w:rPr>
        <w:t xml:space="preserve">The above figure shows that </w:t>
      </w:r>
      <w:r w:rsidR="00EF6F57" w:rsidRPr="005D07E6">
        <w:rPr>
          <w:color w:val="000000" w:themeColor="text1"/>
        </w:rPr>
        <w:t>ASDA</w:t>
      </w:r>
      <w:r w:rsidRPr="005D07E6">
        <w:rPr>
          <w:color w:val="000000" w:themeColor="text1"/>
        </w:rPr>
        <w:t xml:space="preserve"> is more capable </w:t>
      </w:r>
      <w:r w:rsidR="00616123" w:rsidRPr="005D07E6">
        <w:rPr>
          <w:color w:val="000000" w:themeColor="text1"/>
        </w:rPr>
        <w:t>of generating sufficient</w:t>
      </w:r>
      <w:r w:rsidRPr="005D07E6">
        <w:rPr>
          <w:color w:val="000000" w:themeColor="text1"/>
        </w:rPr>
        <w:t xml:space="preserve"> cash to meet the short term obligations when they becomes due than Tesco. This cross sectional analysis reveals that Tesco will suffer more difficulty than </w:t>
      </w:r>
      <w:r w:rsidR="00EF6F57" w:rsidRPr="005D07E6">
        <w:rPr>
          <w:color w:val="000000" w:themeColor="text1"/>
        </w:rPr>
        <w:t>ASDA</w:t>
      </w:r>
      <w:r w:rsidRPr="005D07E6">
        <w:rPr>
          <w:color w:val="000000" w:themeColor="text1"/>
        </w:rPr>
        <w:t xml:space="preserve"> to pay the short term obligations. This analysis also reveals that Tesco is practicing aggressive working capital strategy more than </w:t>
      </w:r>
      <w:r w:rsidR="00EF6F57" w:rsidRPr="005D07E6">
        <w:rPr>
          <w:color w:val="000000" w:themeColor="text1"/>
        </w:rPr>
        <w:t>ASDA</w:t>
      </w:r>
      <w:r w:rsidRPr="005D07E6">
        <w:rPr>
          <w:color w:val="000000" w:themeColor="text1"/>
        </w:rPr>
        <w:t xml:space="preserve">. </w:t>
      </w:r>
    </w:p>
    <w:p w14:paraId="0EEEED6B" w14:textId="77777777" w:rsidR="00616123" w:rsidRPr="005D07E6" w:rsidRDefault="00616123" w:rsidP="00616123">
      <w:pPr>
        <w:rPr>
          <w:b/>
          <w:color w:val="000000" w:themeColor="text1"/>
          <w:sz w:val="28"/>
        </w:rPr>
      </w:pPr>
      <w:r w:rsidRPr="005D07E6">
        <w:rPr>
          <w:b/>
          <w:color w:val="000000" w:themeColor="text1"/>
          <w:sz w:val="28"/>
        </w:rPr>
        <w:t>Profitability Ratios:</w:t>
      </w:r>
    </w:p>
    <w:p w14:paraId="7F16E959" w14:textId="77777777" w:rsidR="00616123" w:rsidRPr="005D07E6" w:rsidRDefault="00616123" w:rsidP="00616123">
      <w:pPr>
        <w:rPr>
          <w:color w:val="000000" w:themeColor="text1"/>
        </w:rPr>
      </w:pPr>
      <w:r w:rsidRPr="005D07E6">
        <w:rPr>
          <w:color w:val="000000" w:themeColor="text1"/>
        </w:rPr>
        <w:t>Profitability ratios measure the ability of a firm to generate profit against all the expenses that are incurred to generate that profit in a specific time period.</w:t>
      </w:r>
    </w:p>
    <w:p w14:paraId="2D03067A" w14:textId="77777777" w:rsidR="00616123" w:rsidRPr="005D07E6" w:rsidRDefault="00616123" w:rsidP="0024215A">
      <w:pPr>
        <w:rPr>
          <w:color w:val="000000" w:themeColor="text1"/>
        </w:rPr>
      </w:pPr>
      <w:r w:rsidRPr="005D07E6">
        <w:rPr>
          <w:color w:val="000000" w:themeColor="text1"/>
        </w:rPr>
        <w:t xml:space="preserve">The profitability ratios of </w:t>
      </w:r>
      <w:r w:rsidR="00EF6F57" w:rsidRPr="005D07E6">
        <w:rPr>
          <w:color w:val="000000" w:themeColor="text1"/>
        </w:rPr>
        <w:t>ASDA</w:t>
      </w:r>
      <w:r w:rsidRPr="005D07E6">
        <w:rPr>
          <w:color w:val="000000" w:themeColor="text1"/>
        </w:rPr>
        <w:t xml:space="preserve"> are shown below</w:t>
      </w:r>
    </w:p>
    <w:tbl>
      <w:tblPr>
        <w:tblStyle w:val="TableGrid"/>
        <w:tblW w:w="9088" w:type="dxa"/>
        <w:tblLook w:val="04A0" w:firstRow="1" w:lastRow="0" w:firstColumn="1" w:lastColumn="0" w:noHBand="0" w:noVBand="1"/>
      </w:tblPr>
      <w:tblGrid>
        <w:gridCol w:w="2547"/>
        <w:gridCol w:w="1276"/>
        <w:gridCol w:w="1417"/>
        <w:gridCol w:w="1276"/>
        <w:gridCol w:w="1276"/>
        <w:gridCol w:w="1296"/>
      </w:tblGrid>
      <w:tr w:rsidR="005D07E6" w:rsidRPr="005D07E6" w14:paraId="76565570" w14:textId="77777777" w:rsidTr="00DD3F9E">
        <w:trPr>
          <w:trHeight w:val="800"/>
        </w:trPr>
        <w:tc>
          <w:tcPr>
            <w:tcW w:w="2547" w:type="dxa"/>
          </w:tcPr>
          <w:p w14:paraId="681C35A2" w14:textId="77777777" w:rsidR="00616123" w:rsidRPr="005D07E6" w:rsidRDefault="00616123" w:rsidP="00DD3F9E">
            <w:pPr>
              <w:jc w:val="center"/>
              <w:rPr>
                <w:b/>
                <w:color w:val="000000" w:themeColor="text1"/>
              </w:rPr>
            </w:pPr>
            <w:r w:rsidRPr="005D07E6">
              <w:rPr>
                <w:b/>
                <w:color w:val="000000" w:themeColor="text1"/>
              </w:rPr>
              <w:t>Profitability Ratios</w:t>
            </w:r>
          </w:p>
        </w:tc>
        <w:tc>
          <w:tcPr>
            <w:tcW w:w="1276" w:type="dxa"/>
          </w:tcPr>
          <w:p w14:paraId="1D42745A" w14:textId="77777777" w:rsidR="00616123" w:rsidRPr="005D07E6" w:rsidRDefault="00616123" w:rsidP="00DD3F9E">
            <w:pPr>
              <w:jc w:val="center"/>
              <w:rPr>
                <w:b/>
                <w:color w:val="000000" w:themeColor="text1"/>
              </w:rPr>
            </w:pPr>
            <w:r w:rsidRPr="005D07E6">
              <w:rPr>
                <w:b/>
                <w:color w:val="000000" w:themeColor="text1"/>
              </w:rPr>
              <w:t>2013</w:t>
            </w:r>
          </w:p>
        </w:tc>
        <w:tc>
          <w:tcPr>
            <w:tcW w:w="1417" w:type="dxa"/>
          </w:tcPr>
          <w:p w14:paraId="197654C6" w14:textId="77777777" w:rsidR="00616123" w:rsidRPr="005D07E6" w:rsidRDefault="00616123" w:rsidP="00DD3F9E">
            <w:pPr>
              <w:jc w:val="center"/>
              <w:rPr>
                <w:b/>
                <w:color w:val="000000" w:themeColor="text1"/>
              </w:rPr>
            </w:pPr>
            <w:r w:rsidRPr="005D07E6">
              <w:rPr>
                <w:b/>
                <w:color w:val="000000" w:themeColor="text1"/>
              </w:rPr>
              <w:t>2014</w:t>
            </w:r>
          </w:p>
        </w:tc>
        <w:tc>
          <w:tcPr>
            <w:tcW w:w="1276" w:type="dxa"/>
          </w:tcPr>
          <w:p w14:paraId="6B9EEC9F" w14:textId="77777777" w:rsidR="00616123" w:rsidRPr="005D07E6" w:rsidRDefault="00616123" w:rsidP="00DD3F9E">
            <w:pPr>
              <w:jc w:val="center"/>
              <w:rPr>
                <w:b/>
                <w:color w:val="000000" w:themeColor="text1"/>
              </w:rPr>
            </w:pPr>
            <w:r w:rsidRPr="005D07E6">
              <w:rPr>
                <w:b/>
                <w:color w:val="000000" w:themeColor="text1"/>
              </w:rPr>
              <w:t>2015</w:t>
            </w:r>
          </w:p>
        </w:tc>
        <w:tc>
          <w:tcPr>
            <w:tcW w:w="1276" w:type="dxa"/>
          </w:tcPr>
          <w:p w14:paraId="4AE86E8C" w14:textId="77777777" w:rsidR="00616123" w:rsidRPr="005D07E6" w:rsidRDefault="00616123" w:rsidP="00DD3F9E">
            <w:pPr>
              <w:jc w:val="center"/>
              <w:rPr>
                <w:b/>
                <w:color w:val="000000" w:themeColor="text1"/>
              </w:rPr>
            </w:pPr>
            <w:r w:rsidRPr="005D07E6">
              <w:rPr>
                <w:b/>
                <w:color w:val="000000" w:themeColor="text1"/>
              </w:rPr>
              <w:t>2016</w:t>
            </w:r>
          </w:p>
        </w:tc>
        <w:tc>
          <w:tcPr>
            <w:tcW w:w="1296" w:type="dxa"/>
          </w:tcPr>
          <w:p w14:paraId="51E5C228" w14:textId="77777777" w:rsidR="00616123" w:rsidRPr="005D07E6" w:rsidRDefault="00616123" w:rsidP="00DD3F9E">
            <w:pPr>
              <w:jc w:val="center"/>
              <w:rPr>
                <w:b/>
                <w:color w:val="000000" w:themeColor="text1"/>
              </w:rPr>
            </w:pPr>
            <w:r w:rsidRPr="005D07E6">
              <w:rPr>
                <w:b/>
                <w:color w:val="000000" w:themeColor="text1"/>
              </w:rPr>
              <w:t>2017</w:t>
            </w:r>
          </w:p>
        </w:tc>
      </w:tr>
      <w:tr w:rsidR="005D07E6" w:rsidRPr="005D07E6" w14:paraId="5BB83F3F" w14:textId="77777777" w:rsidTr="00DD3F9E">
        <w:trPr>
          <w:trHeight w:val="756"/>
        </w:trPr>
        <w:tc>
          <w:tcPr>
            <w:tcW w:w="2547" w:type="dxa"/>
          </w:tcPr>
          <w:p w14:paraId="6918B2E1" w14:textId="77777777" w:rsidR="00616123" w:rsidRPr="005D07E6" w:rsidRDefault="00616123" w:rsidP="00DD3F9E">
            <w:pPr>
              <w:jc w:val="center"/>
              <w:rPr>
                <w:b/>
                <w:color w:val="000000" w:themeColor="text1"/>
              </w:rPr>
            </w:pPr>
            <w:r w:rsidRPr="005D07E6">
              <w:rPr>
                <w:b/>
                <w:color w:val="000000" w:themeColor="text1"/>
              </w:rPr>
              <w:t>Operating Profit Margin</w:t>
            </w:r>
          </w:p>
        </w:tc>
        <w:tc>
          <w:tcPr>
            <w:tcW w:w="1276" w:type="dxa"/>
          </w:tcPr>
          <w:p w14:paraId="7393520E" w14:textId="77777777" w:rsidR="00616123" w:rsidRPr="005D07E6" w:rsidRDefault="00616123" w:rsidP="00DD3F9E">
            <w:pPr>
              <w:jc w:val="center"/>
              <w:rPr>
                <w:b/>
                <w:color w:val="000000" w:themeColor="text1"/>
              </w:rPr>
            </w:pPr>
            <w:r w:rsidRPr="005D07E6">
              <w:rPr>
                <w:b/>
                <w:color w:val="000000" w:themeColor="text1"/>
              </w:rPr>
              <w:t>4.26%</w:t>
            </w:r>
          </w:p>
        </w:tc>
        <w:tc>
          <w:tcPr>
            <w:tcW w:w="1417" w:type="dxa"/>
          </w:tcPr>
          <w:p w14:paraId="75BFC7A3" w14:textId="77777777" w:rsidR="00616123" w:rsidRPr="005D07E6" w:rsidRDefault="00616123" w:rsidP="00DD3F9E">
            <w:pPr>
              <w:jc w:val="center"/>
              <w:rPr>
                <w:b/>
                <w:color w:val="000000" w:themeColor="text1"/>
              </w:rPr>
            </w:pPr>
            <w:r w:rsidRPr="005D07E6">
              <w:rPr>
                <w:b/>
                <w:color w:val="000000" w:themeColor="text1"/>
              </w:rPr>
              <w:t>4.36%</w:t>
            </w:r>
          </w:p>
        </w:tc>
        <w:tc>
          <w:tcPr>
            <w:tcW w:w="1276" w:type="dxa"/>
          </w:tcPr>
          <w:p w14:paraId="595AAF6D" w14:textId="77777777" w:rsidR="00616123" w:rsidRPr="005D07E6" w:rsidRDefault="00616123" w:rsidP="00DD3F9E">
            <w:pPr>
              <w:jc w:val="center"/>
              <w:rPr>
                <w:b/>
                <w:color w:val="000000" w:themeColor="text1"/>
              </w:rPr>
            </w:pPr>
            <w:r w:rsidRPr="005D07E6">
              <w:rPr>
                <w:b/>
                <w:color w:val="000000" w:themeColor="text1"/>
              </w:rPr>
              <w:t>4.67%</w:t>
            </w:r>
          </w:p>
        </w:tc>
        <w:tc>
          <w:tcPr>
            <w:tcW w:w="1276" w:type="dxa"/>
          </w:tcPr>
          <w:p w14:paraId="0708C224" w14:textId="77777777" w:rsidR="00616123" w:rsidRPr="005D07E6" w:rsidRDefault="00616123" w:rsidP="00DD3F9E">
            <w:pPr>
              <w:jc w:val="center"/>
              <w:rPr>
                <w:b/>
                <w:color w:val="000000" w:themeColor="text1"/>
              </w:rPr>
            </w:pPr>
            <w:r w:rsidRPr="005D07E6">
              <w:rPr>
                <w:b/>
                <w:color w:val="000000" w:themeColor="text1"/>
              </w:rPr>
              <w:t>3.90%</w:t>
            </w:r>
          </w:p>
        </w:tc>
        <w:tc>
          <w:tcPr>
            <w:tcW w:w="1296" w:type="dxa"/>
          </w:tcPr>
          <w:p w14:paraId="760C94E0" w14:textId="77777777" w:rsidR="00616123" w:rsidRPr="005D07E6" w:rsidRDefault="00616123" w:rsidP="00DD3F9E">
            <w:pPr>
              <w:jc w:val="center"/>
              <w:rPr>
                <w:b/>
                <w:color w:val="000000" w:themeColor="text1"/>
              </w:rPr>
            </w:pPr>
            <w:r w:rsidRPr="005D07E6">
              <w:rPr>
                <w:b/>
                <w:color w:val="000000" w:themeColor="text1"/>
              </w:rPr>
              <w:t>3.31%</w:t>
            </w:r>
          </w:p>
        </w:tc>
      </w:tr>
      <w:tr w:rsidR="005D07E6" w:rsidRPr="005D07E6" w14:paraId="5B4D539D" w14:textId="77777777" w:rsidTr="00DD3F9E">
        <w:trPr>
          <w:trHeight w:val="800"/>
        </w:trPr>
        <w:tc>
          <w:tcPr>
            <w:tcW w:w="2547" w:type="dxa"/>
          </w:tcPr>
          <w:p w14:paraId="465F470D" w14:textId="77777777" w:rsidR="00616123" w:rsidRPr="005D07E6" w:rsidRDefault="00616123" w:rsidP="00DD3F9E">
            <w:pPr>
              <w:jc w:val="center"/>
              <w:rPr>
                <w:b/>
                <w:color w:val="000000" w:themeColor="text1"/>
              </w:rPr>
            </w:pPr>
            <w:r w:rsidRPr="005D07E6">
              <w:rPr>
                <w:b/>
                <w:color w:val="000000" w:themeColor="text1"/>
              </w:rPr>
              <w:t>Net Profit Margin</w:t>
            </w:r>
          </w:p>
        </w:tc>
        <w:tc>
          <w:tcPr>
            <w:tcW w:w="1276" w:type="dxa"/>
          </w:tcPr>
          <w:p w14:paraId="50359E88" w14:textId="77777777" w:rsidR="00616123" w:rsidRPr="005D07E6" w:rsidRDefault="00616123" w:rsidP="00DD3F9E">
            <w:pPr>
              <w:jc w:val="center"/>
              <w:rPr>
                <w:b/>
                <w:color w:val="000000" w:themeColor="text1"/>
              </w:rPr>
            </w:pPr>
            <w:r w:rsidRPr="005D07E6">
              <w:rPr>
                <w:b/>
                <w:color w:val="000000" w:themeColor="text1"/>
              </w:rPr>
              <w:t>3.27%</w:t>
            </w:r>
          </w:p>
        </w:tc>
        <w:tc>
          <w:tcPr>
            <w:tcW w:w="1417" w:type="dxa"/>
          </w:tcPr>
          <w:p w14:paraId="340F94F5" w14:textId="77777777" w:rsidR="00616123" w:rsidRPr="005D07E6" w:rsidRDefault="00616123" w:rsidP="00DD3F9E">
            <w:pPr>
              <w:jc w:val="center"/>
              <w:rPr>
                <w:b/>
                <w:color w:val="000000" w:themeColor="text1"/>
              </w:rPr>
            </w:pPr>
            <w:r w:rsidRPr="005D07E6">
              <w:rPr>
                <w:b/>
                <w:color w:val="000000" w:themeColor="text1"/>
              </w:rPr>
              <w:t>3.36%</w:t>
            </w:r>
          </w:p>
        </w:tc>
        <w:tc>
          <w:tcPr>
            <w:tcW w:w="1276" w:type="dxa"/>
          </w:tcPr>
          <w:p w14:paraId="54D254C4" w14:textId="77777777" w:rsidR="00616123" w:rsidRPr="005D07E6" w:rsidRDefault="00616123" w:rsidP="00DD3F9E">
            <w:pPr>
              <w:jc w:val="center"/>
              <w:rPr>
                <w:b/>
                <w:color w:val="000000" w:themeColor="text1"/>
              </w:rPr>
            </w:pPr>
            <w:r w:rsidRPr="005D07E6">
              <w:rPr>
                <w:b/>
                <w:color w:val="000000" w:themeColor="text1"/>
              </w:rPr>
              <w:t>3.67%</w:t>
            </w:r>
          </w:p>
        </w:tc>
        <w:tc>
          <w:tcPr>
            <w:tcW w:w="1276" w:type="dxa"/>
          </w:tcPr>
          <w:p w14:paraId="240AD446" w14:textId="77777777" w:rsidR="00616123" w:rsidRPr="005D07E6" w:rsidRDefault="00616123" w:rsidP="00DD3F9E">
            <w:pPr>
              <w:jc w:val="center"/>
              <w:rPr>
                <w:b/>
                <w:color w:val="000000" w:themeColor="text1"/>
              </w:rPr>
            </w:pPr>
            <w:r w:rsidRPr="005D07E6">
              <w:rPr>
                <w:b/>
                <w:color w:val="000000" w:themeColor="text1"/>
              </w:rPr>
              <w:t>3.03%</w:t>
            </w:r>
          </w:p>
        </w:tc>
        <w:tc>
          <w:tcPr>
            <w:tcW w:w="1296" w:type="dxa"/>
          </w:tcPr>
          <w:p w14:paraId="4E7E3894" w14:textId="77777777" w:rsidR="00616123" w:rsidRPr="005D07E6" w:rsidRDefault="00616123" w:rsidP="00DD3F9E">
            <w:pPr>
              <w:jc w:val="center"/>
              <w:rPr>
                <w:b/>
                <w:color w:val="000000" w:themeColor="text1"/>
              </w:rPr>
            </w:pPr>
            <w:r w:rsidRPr="005D07E6">
              <w:rPr>
                <w:b/>
                <w:color w:val="000000" w:themeColor="text1"/>
              </w:rPr>
              <w:t>3%</w:t>
            </w:r>
          </w:p>
        </w:tc>
      </w:tr>
      <w:tr w:rsidR="005D07E6" w:rsidRPr="005D07E6" w14:paraId="6E83862A" w14:textId="77777777" w:rsidTr="00DD3F9E">
        <w:trPr>
          <w:trHeight w:val="756"/>
        </w:trPr>
        <w:tc>
          <w:tcPr>
            <w:tcW w:w="2547" w:type="dxa"/>
          </w:tcPr>
          <w:p w14:paraId="408DA3AC" w14:textId="77777777" w:rsidR="00616123" w:rsidRPr="005D07E6" w:rsidRDefault="00616123" w:rsidP="00DD3F9E">
            <w:pPr>
              <w:jc w:val="center"/>
              <w:rPr>
                <w:b/>
                <w:color w:val="000000" w:themeColor="text1"/>
              </w:rPr>
            </w:pPr>
            <w:r w:rsidRPr="005D07E6">
              <w:rPr>
                <w:b/>
                <w:color w:val="000000" w:themeColor="text1"/>
              </w:rPr>
              <w:t>Return on Asset</w:t>
            </w:r>
          </w:p>
        </w:tc>
        <w:tc>
          <w:tcPr>
            <w:tcW w:w="1276" w:type="dxa"/>
          </w:tcPr>
          <w:p w14:paraId="14CCDE12" w14:textId="77777777" w:rsidR="00616123" w:rsidRPr="005D07E6" w:rsidRDefault="00616123" w:rsidP="00DD3F9E">
            <w:pPr>
              <w:jc w:val="center"/>
              <w:rPr>
                <w:b/>
                <w:color w:val="000000" w:themeColor="text1"/>
              </w:rPr>
            </w:pPr>
            <w:r w:rsidRPr="005D07E6">
              <w:rPr>
                <w:b/>
                <w:color w:val="000000" w:themeColor="text1"/>
              </w:rPr>
              <w:t>5.59%</w:t>
            </w:r>
          </w:p>
        </w:tc>
        <w:tc>
          <w:tcPr>
            <w:tcW w:w="1417" w:type="dxa"/>
          </w:tcPr>
          <w:p w14:paraId="12701130" w14:textId="77777777" w:rsidR="00616123" w:rsidRPr="005D07E6" w:rsidRDefault="00616123" w:rsidP="00DD3F9E">
            <w:pPr>
              <w:jc w:val="center"/>
              <w:rPr>
                <w:b/>
                <w:color w:val="000000" w:themeColor="text1"/>
              </w:rPr>
            </w:pPr>
            <w:r w:rsidRPr="005D07E6">
              <w:rPr>
                <w:b/>
                <w:color w:val="000000" w:themeColor="text1"/>
              </w:rPr>
              <w:t>5.27%</w:t>
            </w:r>
          </w:p>
        </w:tc>
        <w:tc>
          <w:tcPr>
            <w:tcW w:w="1276" w:type="dxa"/>
          </w:tcPr>
          <w:p w14:paraId="70501E33" w14:textId="77777777" w:rsidR="00616123" w:rsidRPr="005D07E6" w:rsidRDefault="00616123" w:rsidP="00DD3F9E">
            <w:pPr>
              <w:jc w:val="center"/>
              <w:rPr>
                <w:b/>
                <w:color w:val="000000" w:themeColor="text1"/>
              </w:rPr>
            </w:pPr>
            <w:r w:rsidRPr="005D07E6">
              <w:rPr>
                <w:b/>
                <w:color w:val="000000" w:themeColor="text1"/>
              </w:rPr>
              <w:t>5.27%</w:t>
            </w:r>
          </w:p>
        </w:tc>
        <w:tc>
          <w:tcPr>
            <w:tcW w:w="1276" w:type="dxa"/>
          </w:tcPr>
          <w:p w14:paraId="4CA37A78" w14:textId="77777777" w:rsidR="00616123" w:rsidRPr="005D07E6" w:rsidRDefault="00616123" w:rsidP="00DD3F9E">
            <w:pPr>
              <w:jc w:val="center"/>
              <w:rPr>
                <w:b/>
                <w:color w:val="000000" w:themeColor="text1"/>
              </w:rPr>
            </w:pPr>
            <w:r w:rsidRPr="005D07E6">
              <w:rPr>
                <w:b/>
                <w:color w:val="000000" w:themeColor="text1"/>
              </w:rPr>
              <w:t>4.16%</w:t>
            </w:r>
          </w:p>
        </w:tc>
        <w:tc>
          <w:tcPr>
            <w:tcW w:w="1296" w:type="dxa"/>
          </w:tcPr>
          <w:p w14:paraId="369E35D2" w14:textId="77777777" w:rsidR="00616123" w:rsidRPr="005D07E6" w:rsidRDefault="00616123" w:rsidP="00DD3F9E">
            <w:pPr>
              <w:jc w:val="center"/>
              <w:rPr>
                <w:b/>
                <w:color w:val="000000" w:themeColor="text1"/>
              </w:rPr>
            </w:pPr>
            <w:r w:rsidRPr="005D07E6">
              <w:rPr>
                <w:b/>
                <w:color w:val="000000" w:themeColor="text1"/>
              </w:rPr>
              <w:t>4.05%</w:t>
            </w:r>
          </w:p>
        </w:tc>
      </w:tr>
      <w:tr w:rsidR="00616123" w:rsidRPr="005D07E6" w14:paraId="1CB49950" w14:textId="77777777" w:rsidTr="00DD3F9E">
        <w:trPr>
          <w:trHeight w:val="800"/>
        </w:trPr>
        <w:tc>
          <w:tcPr>
            <w:tcW w:w="2547" w:type="dxa"/>
          </w:tcPr>
          <w:p w14:paraId="46BEE109" w14:textId="77777777" w:rsidR="00616123" w:rsidRPr="005D07E6" w:rsidRDefault="00616123" w:rsidP="00DD3F9E">
            <w:pPr>
              <w:jc w:val="center"/>
              <w:rPr>
                <w:b/>
                <w:color w:val="000000" w:themeColor="text1"/>
              </w:rPr>
            </w:pPr>
            <w:r w:rsidRPr="005D07E6">
              <w:rPr>
                <w:b/>
                <w:color w:val="000000" w:themeColor="text1"/>
              </w:rPr>
              <w:t>Return on Capital Employed</w:t>
            </w:r>
          </w:p>
        </w:tc>
        <w:tc>
          <w:tcPr>
            <w:tcW w:w="1276" w:type="dxa"/>
          </w:tcPr>
          <w:p w14:paraId="23CBDFC7" w14:textId="77777777" w:rsidR="00616123" w:rsidRPr="005D07E6" w:rsidRDefault="00616123" w:rsidP="00DD3F9E">
            <w:pPr>
              <w:jc w:val="center"/>
              <w:rPr>
                <w:b/>
                <w:color w:val="000000" w:themeColor="text1"/>
              </w:rPr>
            </w:pPr>
            <w:r w:rsidRPr="005D07E6">
              <w:rPr>
                <w:b/>
                <w:color w:val="000000" w:themeColor="text1"/>
              </w:rPr>
              <w:t>12.06%</w:t>
            </w:r>
          </w:p>
        </w:tc>
        <w:tc>
          <w:tcPr>
            <w:tcW w:w="1417" w:type="dxa"/>
          </w:tcPr>
          <w:p w14:paraId="5F549009" w14:textId="77777777" w:rsidR="00616123" w:rsidRPr="005D07E6" w:rsidRDefault="00616123" w:rsidP="00DD3F9E">
            <w:pPr>
              <w:jc w:val="center"/>
              <w:rPr>
                <w:b/>
                <w:color w:val="000000" w:themeColor="text1"/>
              </w:rPr>
            </w:pPr>
            <w:r w:rsidRPr="005D07E6">
              <w:rPr>
                <w:b/>
                <w:color w:val="000000" w:themeColor="text1"/>
              </w:rPr>
              <w:t>11.07%</w:t>
            </w:r>
          </w:p>
        </w:tc>
        <w:tc>
          <w:tcPr>
            <w:tcW w:w="1276" w:type="dxa"/>
          </w:tcPr>
          <w:p w14:paraId="4A2692B1" w14:textId="77777777" w:rsidR="00616123" w:rsidRPr="005D07E6" w:rsidRDefault="00616123" w:rsidP="00DD3F9E">
            <w:pPr>
              <w:jc w:val="center"/>
              <w:rPr>
                <w:b/>
                <w:color w:val="000000" w:themeColor="text1"/>
              </w:rPr>
            </w:pPr>
            <w:r w:rsidRPr="005D07E6">
              <w:rPr>
                <w:b/>
                <w:color w:val="000000" w:themeColor="text1"/>
              </w:rPr>
              <w:t>10.74%</w:t>
            </w:r>
          </w:p>
        </w:tc>
        <w:tc>
          <w:tcPr>
            <w:tcW w:w="1276" w:type="dxa"/>
          </w:tcPr>
          <w:p w14:paraId="44D67FF2" w14:textId="77777777" w:rsidR="00616123" w:rsidRPr="005D07E6" w:rsidRDefault="00616123" w:rsidP="00DD3F9E">
            <w:pPr>
              <w:jc w:val="center"/>
              <w:rPr>
                <w:b/>
                <w:color w:val="000000" w:themeColor="text1"/>
              </w:rPr>
            </w:pPr>
            <w:r w:rsidRPr="005D07E6">
              <w:rPr>
                <w:b/>
                <w:color w:val="000000" w:themeColor="text1"/>
              </w:rPr>
              <w:t>8.49%</w:t>
            </w:r>
          </w:p>
        </w:tc>
        <w:tc>
          <w:tcPr>
            <w:tcW w:w="1296" w:type="dxa"/>
          </w:tcPr>
          <w:p w14:paraId="73F7331D" w14:textId="77777777" w:rsidR="00616123" w:rsidRPr="005D07E6" w:rsidRDefault="00616123" w:rsidP="00DD3F9E">
            <w:pPr>
              <w:jc w:val="center"/>
              <w:rPr>
                <w:b/>
                <w:color w:val="000000" w:themeColor="text1"/>
              </w:rPr>
            </w:pPr>
            <w:r w:rsidRPr="005D07E6">
              <w:rPr>
                <w:b/>
                <w:color w:val="000000" w:themeColor="text1"/>
              </w:rPr>
              <w:t>7.12%</w:t>
            </w:r>
          </w:p>
          <w:p w14:paraId="6D70D552" w14:textId="77777777" w:rsidR="00616123" w:rsidRPr="005D07E6" w:rsidRDefault="00616123" w:rsidP="00DD3F9E">
            <w:pPr>
              <w:jc w:val="center"/>
              <w:rPr>
                <w:b/>
                <w:color w:val="000000" w:themeColor="text1"/>
              </w:rPr>
            </w:pPr>
          </w:p>
        </w:tc>
      </w:tr>
    </w:tbl>
    <w:p w14:paraId="576A428A" w14:textId="77777777" w:rsidR="00616123" w:rsidRPr="005D07E6" w:rsidRDefault="00616123" w:rsidP="00616123">
      <w:pPr>
        <w:rPr>
          <w:b/>
          <w:color w:val="000000" w:themeColor="text1"/>
        </w:rPr>
      </w:pPr>
    </w:p>
    <w:p w14:paraId="228795FB" w14:textId="77777777" w:rsidR="00616123" w:rsidRPr="005D07E6" w:rsidRDefault="00616123" w:rsidP="00616123">
      <w:pPr>
        <w:rPr>
          <w:b/>
          <w:color w:val="000000" w:themeColor="text1"/>
        </w:rPr>
      </w:pPr>
      <w:r w:rsidRPr="005D07E6">
        <w:rPr>
          <w:b/>
          <w:noProof/>
          <w:color w:val="000000" w:themeColor="text1"/>
          <w:lang w:val="en-US"/>
        </w:rPr>
        <w:lastRenderedPageBreak/>
        <w:drawing>
          <wp:inline distT="0" distB="0" distL="0" distR="0" wp14:anchorId="5A30D3DA" wp14:editId="1E3C2B70">
            <wp:extent cx="5924550" cy="32004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6917C99" w14:textId="77777777" w:rsidR="00616123" w:rsidRPr="005D07E6" w:rsidRDefault="00616123" w:rsidP="00616123">
      <w:pPr>
        <w:rPr>
          <w:color w:val="000000" w:themeColor="text1"/>
        </w:rPr>
      </w:pPr>
    </w:p>
    <w:p w14:paraId="5665DF2F" w14:textId="77777777" w:rsidR="00616123" w:rsidRPr="005D07E6" w:rsidRDefault="00616123" w:rsidP="005D07E6">
      <w:pPr>
        <w:rPr>
          <w:rFonts w:cs="DejaVuSans"/>
          <w:szCs w:val="18"/>
        </w:rPr>
      </w:pPr>
      <w:r w:rsidRPr="005D07E6">
        <w:t xml:space="preserve">The Operating profit margin of </w:t>
      </w:r>
      <w:r w:rsidR="00EF6F57" w:rsidRPr="005D07E6">
        <w:t>ASDA</w:t>
      </w:r>
      <w:r w:rsidRPr="005D07E6">
        <w:t xml:space="preserve"> is showing a secular trend from 2013 to 2017 as the operating profit slightly increased from 2013 to 2015 but it starts to decline from 2016. The major reason for declining operating profit margin is declining sales revenue and increased operating cost.  In 2016, </w:t>
      </w:r>
      <w:r w:rsidR="00EF6F57" w:rsidRPr="005D07E6">
        <w:t>ASDA</w:t>
      </w:r>
      <w:r w:rsidRPr="005D07E6">
        <w:t xml:space="preserve"> has experienced 5.7% decline in sales revenue which has decreased the sales revenue from 22.3 billion pound sterling to 21.7 billion pound sterling. </w:t>
      </w:r>
      <w:r w:rsidRPr="005D07E6">
        <w:rPr>
          <w:rFonts w:cs="DejaVuSans"/>
          <w:szCs w:val="18"/>
        </w:rPr>
        <w:t xml:space="preserve">The number of shoppers heading to </w:t>
      </w:r>
      <w:r w:rsidR="00EF6F57" w:rsidRPr="005D07E6">
        <w:rPr>
          <w:rFonts w:cs="DejaVuSans"/>
          <w:szCs w:val="18"/>
        </w:rPr>
        <w:t>Asda</w:t>
      </w:r>
      <w:r w:rsidRPr="005D07E6">
        <w:rPr>
          <w:rFonts w:cs="DejaVuSans"/>
          <w:szCs w:val="18"/>
        </w:rPr>
        <w:t xml:space="preserve"> stores fell 2% during the period and the average amount spent by customers also dropped by 0.8% in 2016.</w:t>
      </w:r>
      <w:r w:rsidRPr="005D07E6">
        <w:t xml:space="preserve"> There are several reasons for sales decline in 2016. The first one is the advent of German discount supermarkets </w:t>
      </w:r>
      <w:r w:rsidRPr="005D07E6">
        <w:rPr>
          <w:rFonts w:cs="DejaVuSans"/>
          <w:szCs w:val="18"/>
        </w:rPr>
        <w:t xml:space="preserve">Aldi and Lidl which has affected the market share of all super giant super markets. These discount markets are gaining the market share more rapidly than the </w:t>
      </w:r>
      <w:r w:rsidR="00EF6F57" w:rsidRPr="005D07E6">
        <w:rPr>
          <w:rFonts w:cs="DejaVuSans"/>
          <w:szCs w:val="18"/>
        </w:rPr>
        <w:t>ASDA</w:t>
      </w:r>
      <w:r w:rsidRPr="005D07E6">
        <w:rPr>
          <w:rFonts w:cs="DejaVuSans"/>
          <w:szCs w:val="18"/>
        </w:rPr>
        <w:t xml:space="preserve">. The second reason for declining sales is the ASDA’s lower pricing strategy such as Price Back Strategy. This strategy has made it easy for the </w:t>
      </w:r>
      <w:r w:rsidRPr="005D07E6">
        <w:t xml:space="preserve">German discount supermarkets </w:t>
      </w:r>
      <w:r w:rsidRPr="005D07E6">
        <w:rPr>
          <w:rFonts w:cs="DejaVuSans"/>
          <w:szCs w:val="18"/>
        </w:rPr>
        <w:t xml:space="preserve">Aldi and Lidl to steal the market share of ASDA as the Aldi and Lidl are better products and customer service than the ASDA at a lower price. The third reason is the investment of 1 billion pound sterling under the ‘Project Renewal’ to support its lower pricing strategy to compete with its rivals especially the </w:t>
      </w:r>
      <w:r w:rsidRPr="005D07E6">
        <w:t xml:space="preserve">German discount supermarkets </w:t>
      </w:r>
      <w:r w:rsidRPr="005D07E6">
        <w:rPr>
          <w:rFonts w:cs="DejaVuSans"/>
          <w:szCs w:val="18"/>
        </w:rPr>
        <w:t xml:space="preserve">Aldi and Lidl. The last reason is the increase in operating cost especially the payroll cost and the director’s remuneration which has affected the operating profit. For this reason, ASDA suffered the worst sales decline in its 67 years of operation in 2016. The decline in sales continued in 2017 for the first two quarters but ASDA has seen its sales revenue increased in last two quarters by 0.5% in 2018. Despite the increase in sales, the firm has experienced 0.69% </w:t>
      </w:r>
      <w:r w:rsidRPr="005D07E6">
        <w:rPr>
          <w:rFonts w:cs="DejaVuSans"/>
          <w:szCs w:val="18"/>
        </w:rPr>
        <w:lastRenderedPageBreak/>
        <w:t>decrease in operating profit margin in 2018 as the growth rate in operating cost was higher than the growth rate of sales revenue.</w:t>
      </w:r>
    </w:p>
    <w:p w14:paraId="1D2FF39B" w14:textId="77777777" w:rsidR="00616123" w:rsidRPr="005D07E6" w:rsidRDefault="00616123" w:rsidP="00616123">
      <w:pPr>
        <w:autoSpaceDE w:val="0"/>
        <w:autoSpaceDN w:val="0"/>
        <w:adjustRightInd w:val="0"/>
        <w:spacing w:after="0" w:line="240" w:lineRule="auto"/>
        <w:rPr>
          <w:rFonts w:cs="DejaVuSans"/>
          <w:color w:val="000000" w:themeColor="text1"/>
          <w:szCs w:val="18"/>
        </w:rPr>
      </w:pPr>
    </w:p>
    <w:p w14:paraId="53A13981" w14:textId="77777777" w:rsidR="00616123" w:rsidRPr="005D07E6" w:rsidRDefault="00616123" w:rsidP="005D07E6">
      <w:r w:rsidRPr="005D07E6">
        <w:t>The net profit margin of ASDA is showing a secular from 2013 to 2017 as the net profit margin slightly increased from 2013 to 2015 but it starts to decline from 2016. The main reason for decline in net profit margin from 2016 is the decrease in sales revenue and the increasing operating cost. Though the sales revenue is increased by 0.5% in 2017 and 55% decrease in finance cost, the net profit margin was declined by 0.03% which demonstrates that ASDA does not have sufficient control over its increasing operating expenses.</w:t>
      </w:r>
    </w:p>
    <w:p w14:paraId="6B27EC8B" w14:textId="77777777" w:rsidR="00616123" w:rsidRPr="005D07E6" w:rsidRDefault="00616123" w:rsidP="00616123">
      <w:pPr>
        <w:autoSpaceDE w:val="0"/>
        <w:autoSpaceDN w:val="0"/>
        <w:adjustRightInd w:val="0"/>
        <w:spacing w:after="0" w:line="240" w:lineRule="auto"/>
        <w:rPr>
          <w:rFonts w:cs="DejaVuSans"/>
          <w:color w:val="000000" w:themeColor="text1"/>
          <w:szCs w:val="18"/>
        </w:rPr>
      </w:pPr>
    </w:p>
    <w:p w14:paraId="75AA72CD" w14:textId="77777777" w:rsidR="00616123" w:rsidRPr="005D07E6" w:rsidRDefault="00616123" w:rsidP="005D07E6">
      <w:r w:rsidRPr="005D07E6">
        <w:t xml:space="preserve">The </w:t>
      </w:r>
      <w:r w:rsidR="00EF6F57" w:rsidRPr="005D07E6">
        <w:t>Return on Asset</w:t>
      </w:r>
      <w:r w:rsidRPr="005D07E6">
        <w:t xml:space="preserve"> of </w:t>
      </w:r>
      <w:r w:rsidR="00EF6F57" w:rsidRPr="005D07E6">
        <w:t>Asda</w:t>
      </w:r>
      <w:r w:rsidRPr="005D07E6">
        <w:t xml:space="preserve"> is showing declining trend from 2013 to 2017. The declining trend implies that </w:t>
      </w:r>
      <w:r w:rsidR="00EF6F57" w:rsidRPr="005D07E6">
        <w:t>Asda</w:t>
      </w:r>
      <w:r w:rsidRPr="005D07E6">
        <w:t xml:space="preserve"> is not efficiently using its assets to generate revenue. The reasons for declining </w:t>
      </w:r>
      <w:r w:rsidR="00EF6F57" w:rsidRPr="005D07E6">
        <w:t>Return on Asset</w:t>
      </w:r>
      <w:r w:rsidRPr="005D07E6">
        <w:t xml:space="preserve"> is the increased investment in low interest earning intercompany receivables, the increasing operating cost and the sales decline in these periods. There has been continuous increase in the investment in low interest earning intracompany receivables in these periods and the operating cost has increased in these years. As a result, </w:t>
      </w:r>
      <w:r w:rsidR="00EF6F57" w:rsidRPr="005D07E6">
        <w:t>ASDA</w:t>
      </w:r>
      <w:r w:rsidRPr="005D07E6">
        <w:t xml:space="preserve"> is not able to increase its </w:t>
      </w:r>
      <w:r w:rsidR="00EF6F57" w:rsidRPr="005D07E6">
        <w:t>Return on Asset</w:t>
      </w:r>
      <w:r w:rsidRPr="005D07E6">
        <w:t xml:space="preserve"> even though the sales revenue was increased in 2015 and 2017. The decline in sales revenue in 2014 and 2016 was the result of declining </w:t>
      </w:r>
      <w:proofErr w:type="spellStart"/>
      <w:r w:rsidR="00EF6F57" w:rsidRPr="005D07E6">
        <w:t>Retun</w:t>
      </w:r>
      <w:proofErr w:type="spellEnd"/>
      <w:r w:rsidR="00EF6F57" w:rsidRPr="005D07E6">
        <w:t xml:space="preserve"> on Asset</w:t>
      </w:r>
      <w:r w:rsidRPr="005D07E6">
        <w:t xml:space="preserve"> in these periods. </w:t>
      </w:r>
    </w:p>
    <w:p w14:paraId="2703084D" w14:textId="77777777" w:rsidR="00616123" w:rsidRPr="005D07E6" w:rsidRDefault="00616123" w:rsidP="00616123">
      <w:pPr>
        <w:autoSpaceDE w:val="0"/>
        <w:autoSpaceDN w:val="0"/>
        <w:adjustRightInd w:val="0"/>
        <w:spacing w:after="0" w:line="240" w:lineRule="auto"/>
        <w:rPr>
          <w:rFonts w:cs="DejaVuSans"/>
          <w:color w:val="000000" w:themeColor="text1"/>
          <w:szCs w:val="18"/>
        </w:rPr>
      </w:pPr>
    </w:p>
    <w:p w14:paraId="3A62461E" w14:textId="77777777" w:rsidR="00616123" w:rsidRPr="005D07E6" w:rsidRDefault="00616123" w:rsidP="005D07E6">
      <w:r w:rsidRPr="005D07E6">
        <w:t xml:space="preserve">The </w:t>
      </w:r>
      <w:r w:rsidR="00EF6F57" w:rsidRPr="005D07E6">
        <w:t>Return on Capital Employed</w:t>
      </w:r>
      <w:r w:rsidRPr="005D07E6">
        <w:t xml:space="preserve"> is showing a downward trend from 2013 to 2017. T</w:t>
      </w:r>
      <w:r w:rsidR="00EF6F57" w:rsidRPr="005D07E6">
        <w:t>he downward trend implies that A</w:t>
      </w:r>
      <w:r w:rsidRPr="005D07E6">
        <w:t>sda is not effectively using its capital to generate sufficient revenue and produce cash flows which will contribute to the shareholders wealth</w:t>
      </w:r>
      <w:r w:rsidR="005D07E6">
        <w:t xml:space="preserve"> </w:t>
      </w:r>
      <w:r w:rsidR="005D07E6" w:rsidRPr="005D07E6">
        <w:t>(Pandey, 2015)</w:t>
      </w:r>
      <w:r w:rsidRPr="005D07E6">
        <w:t>.</w:t>
      </w:r>
    </w:p>
    <w:p w14:paraId="6728C610" w14:textId="77777777" w:rsidR="00616123" w:rsidRPr="005D07E6" w:rsidRDefault="00616123" w:rsidP="00616123">
      <w:pPr>
        <w:autoSpaceDE w:val="0"/>
        <w:autoSpaceDN w:val="0"/>
        <w:adjustRightInd w:val="0"/>
        <w:spacing w:after="0" w:line="240" w:lineRule="auto"/>
        <w:rPr>
          <w:rFonts w:cs="DejaVuSans"/>
          <w:color w:val="000000" w:themeColor="text1"/>
          <w:szCs w:val="18"/>
        </w:rPr>
      </w:pPr>
    </w:p>
    <w:p w14:paraId="22433380" w14:textId="77777777" w:rsidR="005D07E6" w:rsidRDefault="005D07E6">
      <w:pPr>
        <w:spacing w:line="259" w:lineRule="auto"/>
        <w:jc w:val="left"/>
      </w:pPr>
      <w:r>
        <w:br w:type="page"/>
      </w:r>
    </w:p>
    <w:p w14:paraId="071B6742" w14:textId="77777777" w:rsidR="00616123" w:rsidRPr="005D07E6" w:rsidRDefault="00616123" w:rsidP="005D07E6">
      <w:r w:rsidRPr="005D07E6">
        <w:lastRenderedPageBreak/>
        <w:t>The comparison of profitability ratios of ASDA and Tesco in 2017 are described below</w:t>
      </w:r>
    </w:p>
    <w:p w14:paraId="4154F378" w14:textId="77777777" w:rsidR="00616123" w:rsidRPr="005D07E6" w:rsidRDefault="00616123" w:rsidP="00616123">
      <w:pPr>
        <w:autoSpaceDE w:val="0"/>
        <w:autoSpaceDN w:val="0"/>
        <w:adjustRightInd w:val="0"/>
        <w:spacing w:after="0" w:line="240" w:lineRule="auto"/>
        <w:rPr>
          <w:rFonts w:ascii="DejaVuSans" w:hAnsi="DejaVuSans" w:cs="DejaVuSans"/>
          <w:color w:val="000000" w:themeColor="text1"/>
          <w:sz w:val="18"/>
          <w:szCs w:val="18"/>
        </w:rPr>
      </w:pPr>
    </w:p>
    <w:tbl>
      <w:tblPr>
        <w:tblStyle w:val="TableGrid"/>
        <w:tblW w:w="9011" w:type="dxa"/>
        <w:tblLook w:val="04A0" w:firstRow="1" w:lastRow="0" w:firstColumn="1" w:lastColumn="0" w:noHBand="0" w:noVBand="1"/>
      </w:tblPr>
      <w:tblGrid>
        <w:gridCol w:w="2825"/>
        <w:gridCol w:w="3255"/>
        <w:gridCol w:w="2931"/>
      </w:tblGrid>
      <w:tr w:rsidR="005D07E6" w:rsidRPr="005D07E6" w14:paraId="65929978" w14:textId="77777777" w:rsidTr="00DD3F9E">
        <w:trPr>
          <w:trHeight w:val="583"/>
        </w:trPr>
        <w:tc>
          <w:tcPr>
            <w:tcW w:w="2825" w:type="dxa"/>
          </w:tcPr>
          <w:p w14:paraId="730D07AD" w14:textId="77777777" w:rsidR="00616123" w:rsidRPr="005D07E6" w:rsidRDefault="00616123" w:rsidP="00DD3F9E">
            <w:pPr>
              <w:jc w:val="center"/>
              <w:rPr>
                <w:b/>
                <w:color w:val="000000" w:themeColor="text1"/>
              </w:rPr>
            </w:pPr>
            <w:r w:rsidRPr="005D07E6">
              <w:rPr>
                <w:b/>
                <w:color w:val="000000" w:themeColor="text1"/>
              </w:rPr>
              <w:t>Profitability Ratios</w:t>
            </w:r>
          </w:p>
        </w:tc>
        <w:tc>
          <w:tcPr>
            <w:tcW w:w="3255" w:type="dxa"/>
          </w:tcPr>
          <w:p w14:paraId="55EC63D1" w14:textId="77777777" w:rsidR="00616123" w:rsidRPr="005D07E6" w:rsidRDefault="00616123" w:rsidP="00DD3F9E">
            <w:pPr>
              <w:jc w:val="center"/>
              <w:rPr>
                <w:b/>
                <w:color w:val="000000" w:themeColor="text1"/>
              </w:rPr>
            </w:pPr>
            <w:r w:rsidRPr="005D07E6">
              <w:rPr>
                <w:b/>
                <w:color w:val="000000" w:themeColor="text1"/>
              </w:rPr>
              <w:t>ASDA</w:t>
            </w:r>
          </w:p>
        </w:tc>
        <w:tc>
          <w:tcPr>
            <w:tcW w:w="2931" w:type="dxa"/>
          </w:tcPr>
          <w:p w14:paraId="68BE3F63" w14:textId="77777777" w:rsidR="00616123" w:rsidRPr="005D07E6" w:rsidRDefault="00616123" w:rsidP="00DD3F9E">
            <w:pPr>
              <w:jc w:val="center"/>
              <w:rPr>
                <w:b/>
                <w:color w:val="000000" w:themeColor="text1"/>
              </w:rPr>
            </w:pPr>
            <w:r w:rsidRPr="005D07E6">
              <w:rPr>
                <w:b/>
                <w:color w:val="000000" w:themeColor="text1"/>
              </w:rPr>
              <w:t>Tesco</w:t>
            </w:r>
          </w:p>
        </w:tc>
      </w:tr>
      <w:tr w:rsidR="005D07E6" w:rsidRPr="005D07E6" w14:paraId="64B9EAB7" w14:textId="77777777" w:rsidTr="00DD3F9E">
        <w:trPr>
          <w:trHeight w:val="550"/>
        </w:trPr>
        <w:tc>
          <w:tcPr>
            <w:tcW w:w="2825" w:type="dxa"/>
          </w:tcPr>
          <w:p w14:paraId="44168EFF" w14:textId="77777777" w:rsidR="00616123" w:rsidRPr="005D07E6" w:rsidRDefault="00616123" w:rsidP="00DD3F9E">
            <w:pPr>
              <w:jc w:val="center"/>
              <w:rPr>
                <w:b/>
                <w:color w:val="000000" w:themeColor="text1"/>
              </w:rPr>
            </w:pPr>
          </w:p>
        </w:tc>
        <w:tc>
          <w:tcPr>
            <w:tcW w:w="3255" w:type="dxa"/>
          </w:tcPr>
          <w:p w14:paraId="3078B6E3" w14:textId="77777777" w:rsidR="00616123" w:rsidRPr="005D07E6" w:rsidRDefault="00616123" w:rsidP="00DD3F9E">
            <w:pPr>
              <w:jc w:val="center"/>
              <w:rPr>
                <w:b/>
                <w:color w:val="000000" w:themeColor="text1"/>
              </w:rPr>
            </w:pPr>
            <w:r w:rsidRPr="005D07E6">
              <w:rPr>
                <w:b/>
                <w:color w:val="000000" w:themeColor="text1"/>
              </w:rPr>
              <w:t>2017</w:t>
            </w:r>
          </w:p>
        </w:tc>
        <w:tc>
          <w:tcPr>
            <w:tcW w:w="2931" w:type="dxa"/>
          </w:tcPr>
          <w:p w14:paraId="220CEBAC" w14:textId="77777777" w:rsidR="00616123" w:rsidRPr="005D07E6" w:rsidRDefault="00616123" w:rsidP="00DD3F9E">
            <w:pPr>
              <w:jc w:val="center"/>
              <w:rPr>
                <w:b/>
                <w:color w:val="000000" w:themeColor="text1"/>
              </w:rPr>
            </w:pPr>
            <w:r w:rsidRPr="005D07E6">
              <w:rPr>
                <w:b/>
                <w:color w:val="000000" w:themeColor="text1"/>
              </w:rPr>
              <w:t>2017</w:t>
            </w:r>
          </w:p>
        </w:tc>
      </w:tr>
      <w:tr w:rsidR="005D07E6" w:rsidRPr="005D07E6" w14:paraId="6F00CBFC" w14:textId="77777777" w:rsidTr="00DD3F9E">
        <w:trPr>
          <w:trHeight w:val="550"/>
        </w:trPr>
        <w:tc>
          <w:tcPr>
            <w:tcW w:w="2825" w:type="dxa"/>
          </w:tcPr>
          <w:p w14:paraId="4B6E6863" w14:textId="77777777" w:rsidR="00616123" w:rsidRPr="005D07E6" w:rsidRDefault="00616123" w:rsidP="00DD3F9E">
            <w:pPr>
              <w:jc w:val="center"/>
              <w:rPr>
                <w:b/>
                <w:color w:val="000000" w:themeColor="text1"/>
              </w:rPr>
            </w:pPr>
            <w:r w:rsidRPr="005D07E6">
              <w:rPr>
                <w:b/>
                <w:color w:val="000000" w:themeColor="text1"/>
              </w:rPr>
              <w:t xml:space="preserve"> Operating Profit Margin</w:t>
            </w:r>
          </w:p>
        </w:tc>
        <w:tc>
          <w:tcPr>
            <w:tcW w:w="3255" w:type="dxa"/>
          </w:tcPr>
          <w:p w14:paraId="65A78C1C" w14:textId="77777777" w:rsidR="00616123" w:rsidRPr="005D07E6" w:rsidRDefault="00616123" w:rsidP="00DD3F9E">
            <w:pPr>
              <w:jc w:val="center"/>
              <w:rPr>
                <w:b/>
                <w:color w:val="000000" w:themeColor="text1"/>
              </w:rPr>
            </w:pPr>
            <w:r w:rsidRPr="005D07E6">
              <w:rPr>
                <w:b/>
                <w:color w:val="000000" w:themeColor="text1"/>
              </w:rPr>
              <w:t>3.31%</w:t>
            </w:r>
          </w:p>
        </w:tc>
        <w:tc>
          <w:tcPr>
            <w:tcW w:w="2931" w:type="dxa"/>
          </w:tcPr>
          <w:p w14:paraId="67B6E875" w14:textId="77777777" w:rsidR="00616123" w:rsidRPr="005D07E6" w:rsidRDefault="00616123" w:rsidP="00DD3F9E">
            <w:pPr>
              <w:jc w:val="center"/>
              <w:rPr>
                <w:b/>
                <w:color w:val="000000" w:themeColor="text1"/>
              </w:rPr>
            </w:pPr>
            <w:r w:rsidRPr="005D07E6">
              <w:rPr>
                <w:b/>
                <w:color w:val="000000" w:themeColor="text1"/>
              </w:rPr>
              <w:t>2.29%</w:t>
            </w:r>
          </w:p>
        </w:tc>
      </w:tr>
      <w:tr w:rsidR="005D07E6" w:rsidRPr="005D07E6" w14:paraId="49C8EF1C" w14:textId="77777777" w:rsidTr="00DD3F9E">
        <w:trPr>
          <w:trHeight w:val="550"/>
        </w:trPr>
        <w:tc>
          <w:tcPr>
            <w:tcW w:w="2825" w:type="dxa"/>
          </w:tcPr>
          <w:p w14:paraId="0C9E6994" w14:textId="77777777" w:rsidR="00616123" w:rsidRPr="005D07E6" w:rsidRDefault="00616123" w:rsidP="00DD3F9E">
            <w:pPr>
              <w:jc w:val="center"/>
              <w:rPr>
                <w:b/>
                <w:color w:val="000000" w:themeColor="text1"/>
              </w:rPr>
            </w:pPr>
            <w:r w:rsidRPr="005D07E6">
              <w:rPr>
                <w:b/>
                <w:color w:val="000000" w:themeColor="text1"/>
              </w:rPr>
              <w:t>Net Profit Margin</w:t>
            </w:r>
          </w:p>
        </w:tc>
        <w:tc>
          <w:tcPr>
            <w:tcW w:w="3255" w:type="dxa"/>
          </w:tcPr>
          <w:p w14:paraId="3444FCF4" w14:textId="77777777" w:rsidR="00616123" w:rsidRPr="005D07E6" w:rsidRDefault="00616123" w:rsidP="00DD3F9E">
            <w:pPr>
              <w:jc w:val="center"/>
              <w:rPr>
                <w:b/>
                <w:color w:val="000000" w:themeColor="text1"/>
              </w:rPr>
            </w:pPr>
            <w:r w:rsidRPr="005D07E6">
              <w:rPr>
                <w:b/>
                <w:color w:val="000000" w:themeColor="text1"/>
              </w:rPr>
              <w:t>3%</w:t>
            </w:r>
          </w:p>
        </w:tc>
        <w:tc>
          <w:tcPr>
            <w:tcW w:w="2931" w:type="dxa"/>
          </w:tcPr>
          <w:p w14:paraId="55A8DA3B" w14:textId="77777777" w:rsidR="00616123" w:rsidRPr="005D07E6" w:rsidRDefault="00616123" w:rsidP="00DD3F9E">
            <w:pPr>
              <w:jc w:val="center"/>
              <w:rPr>
                <w:b/>
                <w:color w:val="000000" w:themeColor="text1"/>
              </w:rPr>
            </w:pPr>
            <w:r w:rsidRPr="005D07E6">
              <w:rPr>
                <w:b/>
                <w:color w:val="000000" w:themeColor="text1"/>
              </w:rPr>
              <w:t>0.97%</w:t>
            </w:r>
          </w:p>
        </w:tc>
      </w:tr>
      <w:tr w:rsidR="005D07E6" w:rsidRPr="005D07E6" w14:paraId="63CBF125" w14:textId="77777777" w:rsidTr="00DD3F9E">
        <w:trPr>
          <w:trHeight w:val="550"/>
        </w:trPr>
        <w:tc>
          <w:tcPr>
            <w:tcW w:w="2825" w:type="dxa"/>
          </w:tcPr>
          <w:p w14:paraId="3C89F1AB" w14:textId="77777777" w:rsidR="00616123" w:rsidRPr="005D07E6" w:rsidRDefault="00616123" w:rsidP="00DD3F9E">
            <w:pPr>
              <w:jc w:val="center"/>
              <w:rPr>
                <w:b/>
                <w:color w:val="000000" w:themeColor="text1"/>
              </w:rPr>
            </w:pPr>
            <w:r w:rsidRPr="005D07E6">
              <w:rPr>
                <w:b/>
                <w:color w:val="000000" w:themeColor="text1"/>
              </w:rPr>
              <w:t>Return on Asset</w:t>
            </w:r>
          </w:p>
        </w:tc>
        <w:tc>
          <w:tcPr>
            <w:tcW w:w="3255" w:type="dxa"/>
          </w:tcPr>
          <w:p w14:paraId="13090790" w14:textId="77777777" w:rsidR="00616123" w:rsidRPr="005D07E6" w:rsidRDefault="00616123" w:rsidP="00DD3F9E">
            <w:pPr>
              <w:jc w:val="center"/>
              <w:rPr>
                <w:b/>
                <w:color w:val="000000" w:themeColor="text1"/>
              </w:rPr>
            </w:pPr>
            <w:r w:rsidRPr="005D07E6">
              <w:rPr>
                <w:b/>
                <w:color w:val="000000" w:themeColor="text1"/>
              </w:rPr>
              <w:t>4.05%</w:t>
            </w:r>
          </w:p>
        </w:tc>
        <w:tc>
          <w:tcPr>
            <w:tcW w:w="2931" w:type="dxa"/>
          </w:tcPr>
          <w:p w14:paraId="5C73DC01" w14:textId="77777777" w:rsidR="00616123" w:rsidRPr="005D07E6" w:rsidRDefault="00616123" w:rsidP="00DD3F9E">
            <w:pPr>
              <w:jc w:val="center"/>
              <w:rPr>
                <w:b/>
                <w:color w:val="000000" w:themeColor="text1"/>
              </w:rPr>
            </w:pPr>
            <w:r w:rsidRPr="005D07E6">
              <w:rPr>
                <w:b/>
                <w:color w:val="000000" w:themeColor="text1"/>
              </w:rPr>
              <w:t>1.2%</w:t>
            </w:r>
          </w:p>
        </w:tc>
      </w:tr>
      <w:tr w:rsidR="00616123" w:rsidRPr="005D07E6" w14:paraId="6C56D0B6" w14:textId="77777777" w:rsidTr="00DD3F9E">
        <w:trPr>
          <w:trHeight w:val="550"/>
        </w:trPr>
        <w:tc>
          <w:tcPr>
            <w:tcW w:w="2825" w:type="dxa"/>
          </w:tcPr>
          <w:p w14:paraId="21EF1007" w14:textId="77777777" w:rsidR="00616123" w:rsidRPr="005D07E6" w:rsidRDefault="00616123" w:rsidP="00DD3F9E">
            <w:pPr>
              <w:jc w:val="center"/>
              <w:rPr>
                <w:b/>
                <w:color w:val="000000" w:themeColor="text1"/>
              </w:rPr>
            </w:pPr>
            <w:r w:rsidRPr="005D07E6">
              <w:rPr>
                <w:b/>
                <w:color w:val="000000" w:themeColor="text1"/>
              </w:rPr>
              <w:t>Return On capital Employed</w:t>
            </w:r>
          </w:p>
        </w:tc>
        <w:tc>
          <w:tcPr>
            <w:tcW w:w="3255" w:type="dxa"/>
          </w:tcPr>
          <w:p w14:paraId="6B46B27C" w14:textId="77777777" w:rsidR="00616123" w:rsidRPr="005D07E6" w:rsidRDefault="00616123" w:rsidP="00DD3F9E">
            <w:pPr>
              <w:jc w:val="center"/>
              <w:rPr>
                <w:b/>
                <w:color w:val="000000" w:themeColor="text1"/>
              </w:rPr>
            </w:pPr>
            <w:r w:rsidRPr="005D07E6">
              <w:rPr>
                <w:b/>
                <w:color w:val="000000" w:themeColor="text1"/>
              </w:rPr>
              <w:t>7.12%</w:t>
            </w:r>
          </w:p>
          <w:p w14:paraId="123A2600" w14:textId="77777777" w:rsidR="00616123" w:rsidRPr="005D07E6" w:rsidRDefault="00616123" w:rsidP="00DD3F9E">
            <w:pPr>
              <w:jc w:val="center"/>
              <w:rPr>
                <w:b/>
                <w:color w:val="000000" w:themeColor="text1"/>
              </w:rPr>
            </w:pPr>
          </w:p>
        </w:tc>
        <w:tc>
          <w:tcPr>
            <w:tcW w:w="2931" w:type="dxa"/>
          </w:tcPr>
          <w:p w14:paraId="5BD097A7" w14:textId="77777777" w:rsidR="00616123" w:rsidRPr="005D07E6" w:rsidRDefault="00616123" w:rsidP="00DD3F9E">
            <w:pPr>
              <w:jc w:val="center"/>
              <w:rPr>
                <w:b/>
                <w:color w:val="000000" w:themeColor="text1"/>
              </w:rPr>
            </w:pPr>
            <w:r w:rsidRPr="005D07E6">
              <w:rPr>
                <w:b/>
                <w:color w:val="000000" w:themeColor="text1"/>
              </w:rPr>
              <w:t>2.77%</w:t>
            </w:r>
          </w:p>
        </w:tc>
      </w:tr>
    </w:tbl>
    <w:p w14:paraId="5991B74C" w14:textId="77777777" w:rsidR="00616123" w:rsidRPr="005D07E6" w:rsidRDefault="00616123" w:rsidP="00616123">
      <w:pPr>
        <w:autoSpaceDE w:val="0"/>
        <w:autoSpaceDN w:val="0"/>
        <w:adjustRightInd w:val="0"/>
        <w:spacing w:after="0" w:line="240" w:lineRule="auto"/>
        <w:rPr>
          <w:rFonts w:ascii="DejaVuSans" w:hAnsi="DejaVuSans" w:cs="DejaVuSans"/>
          <w:color w:val="000000" w:themeColor="text1"/>
          <w:sz w:val="18"/>
          <w:szCs w:val="18"/>
        </w:rPr>
      </w:pPr>
    </w:p>
    <w:p w14:paraId="4631CF14" w14:textId="77777777" w:rsidR="00616123" w:rsidRPr="005D07E6" w:rsidRDefault="00616123" w:rsidP="00616123">
      <w:pPr>
        <w:autoSpaceDE w:val="0"/>
        <w:autoSpaceDN w:val="0"/>
        <w:adjustRightInd w:val="0"/>
        <w:spacing w:after="0" w:line="240" w:lineRule="auto"/>
        <w:rPr>
          <w:rFonts w:ascii="DejaVuSans" w:hAnsi="DejaVuSans" w:cs="DejaVuSans"/>
          <w:color w:val="000000" w:themeColor="text1"/>
          <w:sz w:val="18"/>
          <w:szCs w:val="18"/>
        </w:rPr>
      </w:pPr>
    </w:p>
    <w:p w14:paraId="7FE1FE64" w14:textId="77777777" w:rsidR="00616123" w:rsidRPr="005D07E6" w:rsidRDefault="00616123" w:rsidP="00616123">
      <w:pPr>
        <w:autoSpaceDE w:val="0"/>
        <w:autoSpaceDN w:val="0"/>
        <w:adjustRightInd w:val="0"/>
        <w:spacing w:after="0" w:line="240" w:lineRule="auto"/>
        <w:rPr>
          <w:rFonts w:ascii="DejaVuSans" w:hAnsi="DejaVuSans" w:cs="DejaVuSans"/>
          <w:color w:val="000000" w:themeColor="text1"/>
          <w:sz w:val="18"/>
          <w:szCs w:val="18"/>
        </w:rPr>
      </w:pPr>
    </w:p>
    <w:p w14:paraId="1BE93126" w14:textId="77777777" w:rsidR="00616123" w:rsidRPr="005D07E6" w:rsidRDefault="00616123" w:rsidP="00616123">
      <w:pPr>
        <w:autoSpaceDE w:val="0"/>
        <w:autoSpaceDN w:val="0"/>
        <w:adjustRightInd w:val="0"/>
        <w:spacing w:after="0" w:line="240" w:lineRule="auto"/>
        <w:rPr>
          <w:rFonts w:ascii="DejaVuSans" w:hAnsi="DejaVuSans" w:cs="DejaVuSans"/>
          <w:color w:val="000000" w:themeColor="text1"/>
          <w:sz w:val="18"/>
          <w:szCs w:val="18"/>
        </w:rPr>
      </w:pPr>
    </w:p>
    <w:p w14:paraId="5C0F4B28" w14:textId="77777777" w:rsidR="00616123" w:rsidRPr="005D07E6" w:rsidRDefault="00616123" w:rsidP="00616123">
      <w:pPr>
        <w:autoSpaceDE w:val="0"/>
        <w:autoSpaceDN w:val="0"/>
        <w:adjustRightInd w:val="0"/>
        <w:spacing w:after="0" w:line="240" w:lineRule="auto"/>
        <w:rPr>
          <w:rFonts w:ascii="DejaVuSans" w:hAnsi="DejaVuSans" w:cs="DejaVuSans"/>
          <w:color w:val="000000" w:themeColor="text1"/>
          <w:sz w:val="18"/>
          <w:szCs w:val="18"/>
        </w:rPr>
      </w:pPr>
    </w:p>
    <w:p w14:paraId="51C31AE4" w14:textId="77777777" w:rsidR="00616123" w:rsidRPr="005D07E6" w:rsidRDefault="00616123" w:rsidP="005D07E6">
      <w:pPr>
        <w:autoSpaceDE w:val="0"/>
        <w:autoSpaceDN w:val="0"/>
        <w:adjustRightInd w:val="0"/>
        <w:spacing w:after="0" w:line="240" w:lineRule="auto"/>
        <w:jc w:val="center"/>
        <w:rPr>
          <w:rFonts w:ascii="DejaVuSans" w:hAnsi="DejaVuSans" w:cs="DejaVuSans"/>
          <w:color w:val="000000" w:themeColor="text1"/>
          <w:sz w:val="18"/>
          <w:szCs w:val="18"/>
        </w:rPr>
      </w:pPr>
      <w:r w:rsidRPr="005D07E6">
        <w:rPr>
          <w:rFonts w:ascii="DejaVuSans" w:hAnsi="DejaVuSans" w:cs="DejaVuSans"/>
          <w:noProof/>
          <w:color w:val="000000" w:themeColor="text1"/>
          <w:sz w:val="18"/>
          <w:szCs w:val="18"/>
          <w:lang w:val="en-US"/>
        </w:rPr>
        <w:drawing>
          <wp:inline distT="0" distB="0" distL="0" distR="0" wp14:anchorId="1B71185D" wp14:editId="5CC05E8E">
            <wp:extent cx="5486400" cy="32004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4EB831B" w14:textId="77777777" w:rsidR="00E75A5E" w:rsidRPr="005D07E6" w:rsidRDefault="00E75A5E" w:rsidP="00616123">
      <w:pPr>
        <w:autoSpaceDE w:val="0"/>
        <w:autoSpaceDN w:val="0"/>
        <w:adjustRightInd w:val="0"/>
        <w:spacing w:after="0" w:line="240" w:lineRule="auto"/>
        <w:rPr>
          <w:rFonts w:ascii="DejaVuSans" w:hAnsi="DejaVuSans" w:cs="DejaVuSans"/>
          <w:color w:val="000000" w:themeColor="text1"/>
          <w:sz w:val="18"/>
          <w:szCs w:val="18"/>
        </w:rPr>
      </w:pPr>
    </w:p>
    <w:p w14:paraId="1A117A54" w14:textId="77777777" w:rsidR="00616123" w:rsidRPr="005D07E6" w:rsidRDefault="00616123" w:rsidP="005D07E6">
      <w:r w:rsidRPr="005D07E6">
        <w:t xml:space="preserve">The profitability ratios of </w:t>
      </w:r>
      <w:r w:rsidR="001D3095" w:rsidRPr="005D07E6">
        <w:t>Asda</w:t>
      </w:r>
      <w:r w:rsidRPr="005D07E6">
        <w:t xml:space="preserve"> is looking more attractive than those of Tesco as the Operating Profit </w:t>
      </w:r>
      <w:r w:rsidR="00E75A5E" w:rsidRPr="005D07E6">
        <w:t>Margin, Net</w:t>
      </w:r>
      <w:r w:rsidRPr="005D07E6">
        <w:t xml:space="preserve"> Profit Margin, Return on Asset and Return On capital Employed of </w:t>
      </w:r>
      <w:r w:rsidR="001D3095" w:rsidRPr="005D07E6">
        <w:t xml:space="preserve">ASDA </w:t>
      </w:r>
      <w:r w:rsidRPr="005D07E6">
        <w:t>was higher than those of Tesco</w:t>
      </w:r>
      <w:r w:rsidR="005D07E6">
        <w:t xml:space="preserve"> </w:t>
      </w:r>
      <w:r w:rsidR="005D07E6" w:rsidRPr="005D07E6">
        <w:t>(Balmer, 2006)</w:t>
      </w:r>
      <w:r w:rsidRPr="005D07E6">
        <w:t xml:space="preserve">. The operating profit margin was higher for </w:t>
      </w:r>
      <w:r w:rsidR="001D3095" w:rsidRPr="005D07E6">
        <w:t>ASDA</w:t>
      </w:r>
      <w:r w:rsidRPr="005D07E6">
        <w:t xml:space="preserve"> in 2017 as </w:t>
      </w:r>
      <w:r w:rsidR="001D3095" w:rsidRPr="005D07E6">
        <w:t>ASDA</w:t>
      </w:r>
      <w:r w:rsidRPr="005D07E6">
        <w:t xml:space="preserve"> has incurred 97% administrative expenses to generate sales revenue compared to the Tesco’s 98% operating expense to generate revenue. The net profit margin for </w:t>
      </w:r>
      <w:r w:rsidR="001D3095" w:rsidRPr="005D07E6">
        <w:t>ASDA</w:t>
      </w:r>
      <w:r w:rsidRPr="005D07E6">
        <w:t xml:space="preserve"> was higher than that of Tesco because of the lower finance cost incurred by </w:t>
      </w:r>
      <w:r w:rsidR="001D3095" w:rsidRPr="005D07E6">
        <w:t>ASDA</w:t>
      </w:r>
      <w:r w:rsidRPr="005D07E6">
        <w:t xml:space="preserve"> </w:t>
      </w:r>
      <w:r w:rsidR="00E75A5E" w:rsidRPr="005D07E6">
        <w:t>compared</w:t>
      </w:r>
      <w:r w:rsidRPr="005D07E6">
        <w:t xml:space="preserve"> to the finance cost of Tesco. The income statement published by both company in 2017 reveals that </w:t>
      </w:r>
      <w:r w:rsidR="001D3095" w:rsidRPr="005D07E6">
        <w:t>ASDA</w:t>
      </w:r>
      <w:r w:rsidRPr="005D07E6">
        <w:t xml:space="preserve"> has incurred 36.3 million pound sterling finance cost compared to the </w:t>
      </w:r>
      <w:r w:rsidRPr="005D07E6">
        <w:lastRenderedPageBreak/>
        <w:t xml:space="preserve">630 million pound sterling finance cost of Tesco. The lower net profit margin of Tesco has contributed to the lower Return on Asset and Return on Capital Employed. This indicates that </w:t>
      </w:r>
      <w:r w:rsidR="001D3095" w:rsidRPr="005D07E6">
        <w:t>ASDA</w:t>
      </w:r>
      <w:r w:rsidRPr="005D07E6">
        <w:t xml:space="preserve"> is more efficiently using its assets and capital to generate revenue, to produce </w:t>
      </w:r>
      <w:r w:rsidR="00E75A5E" w:rsidRPr="005D07E6">
        <w:t>cash flows</w:t>
      </w:r>
      <w:r w:rsidRPr="005D07E6">
        <w:t xml:space="preserve"> for the stockholders than Tesco despite the fact that the Return on Asset and the Return on Capital Employed of </w:t>
      </w:r>
      <w:r w:rsidR="001D3095" w:rsidRPr="005D07E6">
        <w:t>ASDA</w:t>
      </w:r>
      <w:r w:rsidRPr="005D07E6">
        <w:t xml:space="preserve"> </w:t>
      </w:r>
      <w:r w:rsidR="00E75A5E" w:rsidRPr="005D07E6">
        <w:t>severely</w:t>
      </w:r>
      <w:r w:rsidRPr="005D07E6">
        <w:t xml:space="preserve"> declined from 2013 to 2017.</w:t>
      </w:r>
    </w:p>
    <w:p w14:paraId="2B8EA1FD" w14:textId="77777777" w:rsidR="00616123" w:rsidRPr="005D07E6" w:rsidRDefault="00616123" w:rsidP="00616123">
      <w:pPr>
        <w:autoSpaceDE w:val="0"/>
        <w:autoSpaceDN w:val="0"/>
        <w:adjustRightInd w:val="0"/>
        <w:spacing w:after="0" w:line="240" w:lineRule="auto"/>
        <w:rPr>
          <w:rFonts w:cs="DejaVuSans"/>
          <w:color w:val="000000" w:themeColor="text1"/>
          <w:szCs w:val="18"/>
        </w:rPr>
      </w:pPr>
    </w:p>
    <w:p w14:paraId="19E9269A" w14:textId="77777777" w:rsidR="00E75A5E" w:rsidRPr="005D07E6" w:rsidRDefault="00E75A5E" w:rsidP="00616123">
      <w:pPr>
        <w:autoSpaceDE w:val="0"/>
        <w:autoSpaceDN w:val="0"/>
        <w:adjustRightInd w:val="0"/>
        <w:spacing w:after="0" w:line="240" w:lineRule="auto"/>
        <w:rPr>
          <w:rFonts w:cs="DejaVuSans"/>
          <w:color w:val="000000" w:themeColor="text1"/>
          <w:szCs w:val="18"/>
        </w:rPr>
      </w:pPr>
    </w:p>
    <w:p w14:paraId="207AA48F" w14:textId="77777777" w:rsidR="00E75A5E" w:rsidRPr="005D07E6" w:rsidRDefault="00E75A5E" w:rsidP="00E75A5E">
      <w:pPr>
        <w:rPr>
          <w:b/>
          <w:color w:val="000000" w:themeColor="text1"/>
          <w:sz w:val="28"/>
        </w:rPr>
      </w:pPr>
      <w:r w:rsidRPr="005D07E6">
        <w:rPr>
          <w:b/>
          <w:color w:val="000000" w:themeColor="text1"/>
          <w:sz w:val="28"/>
        </w:rPr>
        <w:t>Efficiency Ratios</w:t>
      </w:r>
    </w:p>
    <w:p w14:paraId="1C07C7C9" w14:textId="77777777" w:rsidR="00E75A5E" w:rsidRPr="005D07E6" w:rsidRDefault="00E75A5E" w:rsidP="00E75A5E">
      <w:pPr>
        <w:autoSpaceDE w:val="0"/>
        <w:autoSpaceDN w:val="0"/>
        <w:adjustRightInd w:val="0"/>
        <w:spacing w:after="0" w:line="240" w:lineRule="auto"/>
        <w:rPr>
          <w:color w:val="000000" w:themeColor="text1"/>
        </w:rPr>
      </w:pPr>
      <w:r w:rsidRPr="005D07E6">
        <w:rPr>
          <w:color w:val="000000" w:themeColor="text1"/>
        </w:rPr>
        <w:t>Efficiency ratio measures how efficiently the firm is using its assets to generate sales revenue.</w:t>
      </w:r>
    </w:p>
    <w:p w14:paraId="71882895" w14:textId="77777777" w:rsidR="00E75A5E" w:rsidRPr="005D07E6" w:rsidRDefault="00E75A5E" w:rsidP="00E75A5E">
      <w:pPr>
        <w:autoSpaceDE w:val="0"/>
        <w:autoSpaceDN w:val="0"/>
        <w:adjustRightInd w:val="0"/>
        <w:spacing w:after="0" w:line="240" w:lineRule="auto"/>
        <w:rPr>
          <w:color w:val="000000" w:themeColor="text1"/>
        </w:rPr>
      </w:pPr>
    </w:p>
    <w:p w14:paraId="0F89CFAC" w14:textId="77777777" w:rsidR="00E75A5E" w:rsidRPr="005D07E6" w:rsidRDefault="00E75A5E" w:rsidP="00E75A5E">
      <w:pPr>
        <w:autoSpaceDE w:val="0"/>
        <w:autoSpaceDN w:val="0"/>
        <w:adjustRightInd w:val="0"/>
        <w:spacing w:after="0" w:line="240" w:lineRule="auto"/>
        <w:rPr>
          <w:color w:val="000000" w:themeColor="text1"/>
        </w:rPr>
      </w:pPr>
      <w:r w:rsidRPr="005D07E6">
        <w:rPr>
          <w:color w:val="000000" w:themeColor="text1"/>
        </w:rPr>
        <w:t>The efficiency ratios for ASDA are shown below:</w:t>
      </w:r>
    </w:p>
    <w:tbl>
      <w:tblPr>
        <w:tblStyle w:val="TableGrid"/>
        <w:tblW w:w="9134" w:type="dxa"/>
        <w:tblLook w:val="04A0" w:firstRow="1" w:lastRow="0" w:firstColumn="1" w:lastColumn="0" w:noHBand="0" w:noVBand="1"/>
      </w:tblPr>
      <w:tblGrid>
        <w:gridCol w:w="2547"/>
        <w:gridCol w:w="1417"/>
        <w:gridCol w:w="1276"/>
        <w:gridCol w:w="1276"/>
        <w:gridCol w:w="1417"/>
        <w:gridCol w:w="1201"/>
      </w:tblGrid>
      <w:tr w:rsidR="005D07E6" w:rsidRPr="005D07E6" w14:paraId="5B8DD3AE" w14:textId="77777777" w:rsidTr="00DD3F9E">
        <w:trPr>
          <w:trHeight w:val="576"/>
        </w:trPr>
        <w:tc>
          <w:tcPr>
            <w:tcW w:w="2547" w:type="dxa"/>
          </w:tcPr>
          <w:p w14:paraId="34F0B08F"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Efficiency Ratios</w:t>
            </w:r>
          </w:p>
        </w:tc>
        <w:tc>
          <w:tcPr>
            <w:tcW w:w="1417" w:type="dxa"/>
          </w:tcPr>
          <w:p w14:paraId="10B224D6"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2013</w:t>
            </w:r>
          </w:p>
        </w:tc>
        <w:tc>
          <w:tcPr>
            <w:tcW w:w="1276" w:type="dxa"/>
          </w:tcPr>
          <w:p w14:paraId="1D3BD2C7"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2014</w:t>
            </w:r>
          </w:p>
        </w:tc>
        <w:tc>
          <w:tcPr>
            <w:tcW w:w="1276" w:type="dxa"/>
          </w:tcPr>
          <w:p w14:paraId="1B11D624"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2015</w:t>
            </w:r>
          </w:p>
        </w:tc>
        <w:tc>
          <w:tcPr>
            <w:tcW w:w="1417" w:type="dxa"/>
          </w:tcPr>
          <w:p w14:paraId="1650DF40"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2016</w:t>
            </w:r>
          </w:p>
        </w:tc>
        <w:tc>
          <w:tcPr>
            <w:tcW w:w="1201" w:type="dxa"/>
          </w:tcPr>
          <w:p w14:paraId="37914842"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2017</w:t>
            </w:r>
          </w:p>
        </w:tc>
      </w:tr>
      <w:tr w:rsidR="005D07E6" w:rsidRPr="005D07E6" w14:paraId="19D1C667" w14:textId="77777777" w:rsidTr="00DD3F9E">
        <w:trPr>
          <w:trHeight w:val="544"/>
        </w:trPr>
        <w:tc>
          <w:tcPr>
            <w:tcW w:w="2547" w:type="dxa"/>
          </w:tcPr>
          <w:p w14:paraId="6AFEB3E4"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Stock Days</w:t>
            </w:r>
          </w:p>
        </w:tc>
        <w:tc>
          <w:tcPr>
            <w:tcW w:w="1417" w:type="dxa"/>
          </w:tcPr>
          <w:p w14:paraId="4848316E"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24</w:t>
            </w:r>
          </w:p>
        </w:tc>
        <w:tc>
          <w:tcPr>
            <w:tcW w:w="1276" w:type="dxa"/>
          </w:tcPr>
          <w:p w14:paraId="149D2FB1"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24</w:t>
            </w:r>
          </w:p>
        </w:tc>
        <w:tc>
          <w:tcPr>
            <w:tcW w:w="1276" w:type="dxa"/>
          </w:tcPr>
          <w:p w14:paraId="6D3B4DE6"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26</w:t>
            </w:r>
          </w:p>
        </w:tc>
        <w:tc>
          <w:tcPr>
            <w:tcW w:w="1417" w:type="dxa"/>
          </w:tcPr>
          <w:p w14:paraId="17285E07"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26</w:t>
            </w:r>
          </w:p>
        </w:tc>
        <w:tc>
          <w:tcPr>
            <w:tcW w:w="1201" w:type="dxa"/>
          </w:tcPr>
          <w:p w14:paraId="02ABF48F"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25</w:t>
            </w:r>
          </w:p>
        </w:tc>
      </w:tr>
      <w:tr w:rsidR="005D07E6" w:rsidRPr="005D07E6" w14:paraId="6A154FE5" w14:textId="77777777" w:rsidTr="00DD3F9E">
        <w:trPr>
          <w:trHeight w:val="576"/>
        </w:trPr>
        <w:tc>
          <w:tcPr>
            <w:tcW w:w="2547" w:type="dxa"/>
          </w:tcPr>
          <w:p w14:paraId="1FB51698"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Debtor Days</w:t>
            </w:r>
          </w:p>
        </w:tc>
        <w:tc>
          <w:tcPr>
            <w:tcW w:w="1417" w:type="dxa"/>
          </w:tcPr>
          <w:p w14:paraId="0130800B"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37</w:t>
            </w:r>
          </w:p>
        </w:tc>
        <w:tc>
          <w:tcPr>
            <w:tcW w:w="1276" w:type="dxa"/>
          </w:tcPr>
          <w:p w14:paraId="3CACC9AA"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43</w:t>
            </w:r>
          </w:p>
        </w:tc>
        <w:tc>
          <w:tcPr>
            <w:tcW w:w="1276" w:type="dxa"/>
          </w:tcPr>
          <w:p w14:paraId="4BC143EB"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49</w:t>
            </w:r>
          </w:p>
        </w:tc>
        <w:tc>
          <w:tcPr>
            <w:tcW w:w="1417" w:type="dxa"/>
          </w:tcPr>
          <w:p w14:paraId="50576669"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51</w:t>
            </w:r>
          </w:p>
        </w:tc>
        <w:tc>
          <w:tcPr>
            <w:tcW w:w="1201" w:type="dxa"/>
          </w:tcPr>
          <w:p w14:paraId="4400B465"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55</w:t>
            </w:r>
          </w:p>
        </w:tc>
      </w:tr>
      <w:tr w:rsidR="00E75A5E" w:rsidRPr="005D07E6" w14:paraId="217BBC0A" w14:textId="77777777" w:rsidTr="00DD3F9E">
        <w:trPr>
          <w:trHeight w:val="544"/>
        </w:trPr>
        <w:tc>
          <w:tcPr>
            <w:tcW w:w="2547" w:type="dxa"/>
          </w:tcPr>
          <w:p w14:paraId="4EA6EFCA"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Creditor Days</w:t>
            </w:r>
          </w:p>
        </w:tc>
        <w:tc>
          <w:tcPr>
            <w:tcW w:w="1417" w:type="dxa"/>
          </w:tcPr>
          <w:p w14:paraId="7549EBED"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50</w:t>
            </w:r>
          </w:p>
        </w:tc>
        <w:tc>
          <w:tcPr>
            <w:tcW w:w="1276" w:type="dxa"/>
          </w:tcPr>
          <w:p w14:paraId="2FECD13E"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58</w:t>
            </w:r>
          </w:p>
        </w:tc>
        <w:tc>
          <w:tcPr>
            <w:tcW w:w="1276" w:type="dxa"/>
          </w:tcPr>
          <w:p w14:paraId="2B2411F7"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67</w:t>
            </w:r>
          </w:p>
        </w:tc>
        <w:tc>
          <w:tcPr>
            <w:tcW w:w="1417" w:type="dxa"/>
          </w:tcPr>
          <w:p w14:paraId="21D1ED6D"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71</w:t>
            </w:r>
          </w:p>
        </w:tc>
        <w:tc>
          <w:tcPr>
            <w:tcW w:w="1201" w:type="dxa"/>
          </w:tcPr>
          <w:p w14:paraId="0D8E2706"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75</w:t>
            </w:r>
          </w:p>
        </w:tc>
      </w:tr>
    </w:tbl>
    <w:p w14:paraId="22E9A194" w14:textId="77777777" w:rsidR="00E75A5E" w:rsidRPr="005D07E6" w:rsidRDefault="00E75A5E" w:rsidP="00E75A5E">
      <w:pPr>
        <w:autoSpaceDE w:val="0"/>
        <w:autoSpaceDN w:val="0"/>
        <w:adjustRightInd w:val="0"/>
        <w:spacing w:after="0" w:line="240" w:lineRule="auto"/>
        <w:jc w:val="center"/>
        <w:rPr>
          <w:color w:val="000000" w:themeColor="text1"/>
        </w:rPr>
      </w:pPr>
    </w:p>
    <w:p w14:paraId="77E86B5A" w14:textId="77777777" w:rsidR="00E75A5E" w:rsidRPr="005D07E6" w:rsidRDefault="00E75A5E" w:rsidP="00E75A5E">
      <w:pPr>
        <w:autoSpaceDE w:val="0"/>
        <w:autoSpaceDN w:val="0"/>
        <w:adjustRightInd w:val="0"/>
        <w:spacing w:after="0" w:line="240" w:lineRule="auto"/>
        <w:jc w:val="center"/>
        <w:rPr>
          <w:color w:val="000000" w:themeColor="text1"/>
        </w:rPr>
      </w:pPr>
    </w:p>
    <w:p w14:paraId="2A6B4B91" w14:textId="77777777" w:rsidR="00E75A5E" w:rsidRPr="005D07E6" w:rsidRDefault="00E75A5E" w:rsidP="00E75A5E">
      <w:pPr>
        <w:autoSpaceDE w:val="0"/>
        <w:autoSpaceDN w:val="0"/>
        <w:adjustRightInd w:val="0"/>
        <w:spacing w:after="0" w:line="240" w:lineRule="auto"/>
        <w:jc w:val="center"/>
        <w:rPr>
          <w:color w:val="000000" w:themeColor="text1"/>
        </w:rPr>
      </w:pPr>
    </w:p>
    <w:p w14:paraId="713EB47E" w14:textId="77777777" w:rsidR="00E75A5E" w:rsidRPr="005D07E6" w:rsidRDefault="00E75A5E" w:rsidP="005D07E6">
      <w:r w:rsidRPr="005D07E6">
        <w:t xml:space="preserve">The stock days for Asda shows a secular trend from 2013 to 2017 as the stock days increased in 215 and decreased in 2017. The average stock days for </w:t>
      </w:r>
      <w:r w:rsidR="001D3095" w:rsidRPr="005D07E6">
        <w:t>ASDA</w:t>
      </w:r>
      <w:r w:rsidRPr="005D07E6">
        <w:t xml:space="preserve"> from 2013 to 2017 was 25 days which implies that ASDA took 25 days to sell its inventory and convert the investment of inventory into cash. The most important thing here is that the stock days was quite stable and low during these periods. The low stock days means that ASDA has an efficient inventory management system and the products were sold quickly thus resulting in a higher inventory turnover. This low stock days also im</w:t>
      </w:r>
      <w:r w:rsidR="001D3095" w:rsidRPr="005D07E6">
        <w:t>plies that the inventory of ASDA</w:t>
      </w:r>
      <w:r w:rsidRPr="005D07E6">
        <w:t xml:space="preserve"> is not consists of obsolete assets and the inventory is highly liquid. The decrease in stock days in 2017 implies that the portion of total investment for current asset in inventory has decreased in 2017.</w:t>
      </w:r>
    </w:p>
    <w:p w14:paraId="0D9F362B" w14:textId="77777777" w:rsidR="00E75A5E" w:rsidRPr="005D07E6" w:rsidRDefault="00E75A5E" w:rsidP="005D07E6">
      <w:r w:rsidRPr="005D07E6">
        <w:t xml:space="preserve">The debtor days of ASDA shows an upward trend from 2013 to 2017. The average debtor days </w:t>
      </w:r>
      <w:proofErr w:type="spellStart"/>
      <w:r w:rsidRPr="005D07E6">
        <w:t>for</w:t>
      </w:r>
      <w:r w:rsidR="001D3095" w:rsidRPr="005D07E6">
        <w:t>ASDA</w:t>
      </w:r>
      <w:proofErr w:type="spellEnd"/>
      <w:r w:rsidRPr="005D07E6">
        <w:t xml:space="preserve"> during these periods were 47 days which implies that it took </w:t>
      </w:r>
      <w:r w:rsidR="001D3095" w:rsidRPr="005D07E6">
        <w:t>ASDA</w:t>
      </w:r>
      <w:r w:rsidRPr="005D07E6">
        <w:t xml:space="preserve"> ion average 47 days in these periods to collect money from debtors which is more than the avera</w:t>
      </w:r>
      <w:r w:rsidR="001D3095" w:rsidRPr="005D07E6">
        <w:t>ge terms of 30 days offered by ASDA</w:t>
      </w:r>
      <w:r w:rsidRPr="005D07E6">
        <w:t xml:space="preserve">. This implies that the quality of debtors of is decreasing which increases the risk </w:t>
      </w:r>
      <w:r w:rsidR="001D3095" w:rsidRPr="005D07E6">
        <w:t>of default from debtors and ASDA</w:t>
      </w:r>
      <w:r w:rsidRPr="005D07E6">
        <w:t xml:space="preserve"> may have to </w:t>
      </w:r>
      <w:r w:rsidRPr="005D07E6">
        <w:rPr>
          <w:rStyle w:val="hscoswrapper"/>
          <w:color w:val="000000" w:themeColor="text1"/>
        </w:rPr>
        <w:t>use more credit upfront to pay the expenses</w:t>
      </w:r>
      <w:r w:rsidR="00E8622E">
        <w:rPr>
          <w:rStyle w:val="hscoswrapper"/>
          <w:color w:val="000000" w:themeColor="text1"/>
        </w:rPr>
        <w:t xml:space="preserve"> </w:t>
      </w:r>
      <w:r w:rsidR="00E8622E" w:rsidRPr="00E8622E">
        <w:rPr>
          <w:rStyle w:val="hscoswrapper"/>
          <w:color w:val="000000" w:themeColor="text1"/>
        </w:rPr>
        <w:t>(Pandey, 2015)</w:t>
      </w:r>
      <w:r w:rsidRPr="005D07E6">
        <w:t xml:space="preserve">. The increasing debtor days also indicates that account receivable management or credit is not efficient and effective as it has taken for the company </w:t>
      </w:r>
      <w:r w:rsidRPr="005D07E6">
        <w:lastRenderedPageBreak/>
        <w:t>on average 17 days more to collect money from debtors than the standard sales term established by ASDA</w:t>
      </w:r>
      <w:r w:rsidR="005D07E6">
        <w:t xml:space="preserve"> </w:t>
      </w:r>
      <w:r w:rsidR="005D07E6" w:rsidRPr="005D07E6">
        <w:t>(</w:t>
      </w:r>
      <w:proofErr w:type="spellStart"/>
      <w:r w:rsidR="005D07E6" w:rsidRPr="005D07E6">
        <w:t>Lagoarde-Segot</w:t>
      </w:r>
      <w:proofErr w:type="spellEnd"/>
      <w:r w:rsidR="005D07E6" w:rsidRPr="005D07E6">
        <w:t>, 2019)</w:t>
      </w:r>
      <w:r w:rsidRPr="005D07E6">
        <w:t>.</w:t>
      </w:r>
    </w:p>
    <w:p w14:paraId="2FEDD4C8" w14:textId="77777777" w:rsidR="00E75A5E" w:rsidRPr="005D07E6" w:rsidRDefault="001D3095" w:rsidP="00E75A5E">
      <w:pPr>
        <w:rPr>
          <w:color w:val="000000" w:themeColor="text1"/>
        </w:rPr>
      </w:pPr>
      <w:r w:rsidRPr="005D07E6">
        <w:rPr>
          <w:color w:val="000000" w:themeColor="text1"/>
        </w:rPr>
        <w:t>The creditor days of ASDA</w:t>
      </w:r>
      <w:r w:rsidR="00E75A5E" w:rsidRPr="005D07E6">
        <w:rPr>
          <w:color w:val="000000" w:themeColor="text1"/>
        </w:rPr>
        <w:t xml:space="preserve"> shows an upward trend from 2013 to 2017. Th</w:t>
      </w:r>
      <w:r w:rsidRPr="005D07E6">
        <w:rPr>
          <w:color w:val="000000" w:themeColor="text1"/>
        </w:rPr>
        <w:t>e average creditor days for ASDA</w:t>
      </w:r>
      <w:r w:rsidR="00E75A5E" w:rsidRPr="005D07E6">
        <w:rPr>
          <w:color w:val="000000" w:themeColor="text1"/>
        </w:rPr>
        <w:t xml:space="preserve"> in these periods were 65 days</w:t>
      </w:r>
      <w:r w:rsidRPr="005D07E6">
        <w:rPr>
          <w:color w:val="000000" w:themeColor="text1"/>
        </w:rPr>
        <w:t xml:space="preserve"> which implies that it took ASDA</w:t>
      </w:r>
      <w:r w:rsidR="00E75A5E" w:rsidRPr="005D07E6">
        <w:rPr>
          <w:color w:val="000000" w:themeColor="text1"/>
        </w:rPr>
        <w:t xml:space="preserve"> 65 days to pay the bills of suppliers and other vendors. The increasing credit days implies that either Asda is using the cash for short term activities or it is struggling to find cash to pay the suppliers. The increasing creditor days has deteriorated the relationship between ASDA and its suppliers ASDA was voted the worst major supermarket chain in 2017 by 1200 suppliers. </w:t>
      </w:r>
    </w:p>
    <w:p w14:paraId="5208C93B" w14:textId="77777777" w:rsidR="00E75A5E" w:rsidRPr="005D07E6" w:rsidRDefault="00E75A5E" w:rsidP="00E75A5E">
      <w:pPr>
        <w:rPr>
          <w:color w:val="000000" w:themeColor="text1"/>
        </w:rPr>
      </w:pPr>
    </w:p>
    <w:p w14:paraId="361CCEB3" w14:textId="77777777" w:rsidR="00E75A5E" w:rsidRPr="005D07E6" w:rsidRDefault="00E75A5E" w:rsidP="00E75A5E">
      <w:pPr>
        <w:rPr>
          <w:color w:val="000000" w:themeColor="text1"/>
        </w:rPr>
      </w:pPr>
      <w:r w:rsidRPr="005D07E6">
        <w:rPr>
          <w:color w:val="000000" w:themeColor="text1"/>
        </w:rPr>
        <w:t>The comparison of efficiency ratios of ASDA and Tesco is shown below</w:t>
      </w:r>
    </w:p>
    <w:tbl>
      <w:tblPr>
        <w:tblStyle w:val="TableGrid"/>
        <w:tblW w:w="8885" w:type="dxa"/>
        <w:tblLook w:val="04A0" w:firstRow="1" w:lastRow="0" w:firstColumn="1" w:lastColumn="0" w:noHBand="0" w:noVBand="1"/>
      </w:tblPr>
      <w:tblGrid>
        <w:gridCol w:w="2785"/>
        <w:gridCol w:w="3210"/>
        <w:gridCol w:w="2890"/>
      </w:tblGrid>
      <w:tr w:rsidR="005D07E6" w:rsidRPr="005D07E6" w14:paraId="47AD8A24" w14:textId="77777777" w:rsidTr="00E75A5E">
        <w:trPr>
          <w:trHeight w:val="587"/>
        </w:trPr>
        <w:tc>
          <w:tcPr>
            <w:tcW w:w="2785" w:type="dxa"/>
          </w:tcPr>
          <w:p w14:paraId="0A3282F2" w14:textId="77777777" w:rsidR="00E75A5E" w:rsidRPr="005D07E6" w:rsidRDefault="00E75A5E" w:rsidP="00DD3F9E">
            <w:pPr>
              <w:jc w:val="center"/>
              <w:rPr>
                <w:b/>
                <w:color w:val="000000" w:themeColor="text1"/>
              </w:rPr>
            </w:pPr>
            <w:r w:rsidRPr="005D07E6">
              <w:rPr>
                <w:b/>
                <w:color w:val="000000" w:themeColor="text1"/>
              </w:rPr>
              <w:t>Efficiency Ratios</w:t>
            </w:r>
          </w:p>
        </w:tc>
        <w:tc>
          <w:tcPr>
            <w:tcW w:w="3210" w:type="dxa"/>
          </w:tcPr>
          <w:p w14:paraId="4ED63031" w14:textId="77777777" w:rsidR="00E75A5E" w:rsidRPr="005D07E6" w:rsidRDefault="00E75A5E" w:rsidP="00DD3F9E">
            <w:pPr>
              <w:jc w:val="center"/>
              <w:rPr>
                <w:b/>
                <w:color w:val="000000" w:themeColor="text1"/>
              </w:rPr>
            </w:pPr>
            <w:r w:rsidRPr="005D07E6">
              <w:rPr>
                <w:b/>
                <w:color w:val="000000" w:themeColor="text1"/>
              </w:rPr>
              <w:t>ASDA</w:t>
            </w:r>
          </w:p>
        </w:tc>
        <w:tc>
          <w:tcPr>
            <w:tcW w:w="2890" w:type="dxa"/>
          </w:tcPr>
          <w:p w14:paraId="0A039D13" w14:textId="77777777" w:rsidR="00E75A5E" w:rsidRPr="005D07E6" w:rsidRDefault="00E75A5E" w:rsidP="00DD3F9E">
            <w:pPr>
              <w:jc w:val="center"/>
              <w:rPr>
                <w:b/>
                <w:color w:val="000000" w:themeColor="text1"/>
              </w:rPr>
            </w:pPr>
            <w:r w:rsidRPr="005D07E6">
              <w:rPr>
                <w:b/>
                <w:color w:val="000000" w:themeColor="text1"/>
              </w:rPr>
              <w:t>Tesco</w:t>
            </w:r>
          </w:p>
        </w:tc>
      </w:tr>
      <w:tr w:rsidR="005D07E6" w:rsidRPr="005D07E6" w14:paraId="0E8718B1" w14:textId="77777777" w:rsidTr="00E75A5E">
        <w:trPr>
          <w:trHeight w:val="554"/>
        </w:trPr>
        <w:tc>
          <w:tcPr>
            <w:tcW w:w="2785" w:type="dxa"/>
          </w:tcPr>
          <w:p w14:paraId="67994F4F" w14:textId="77777777" w:rsidR="00E75A5E" w:rsidRPr="005D07E6" w:rsidRDefault="00E75A5E" w:rsidP="00DD3F9E">
            <w:pPr>
              <w:jc w:val="center"/>
              <w:rPr>
                <w:b/>
                <w:color w:val="000000" w:themeColor="text1"/>
              </w:rPr>
            </w:pPr>
          </w:p>
        </w:tc>
        <w:tc>
          <w:tcPr>
            <w:tcW w:w="3210" w:type="dxa"/>
          </w:tcPr>
          <w:p w14:paraId="7F84676E" w14:textId="77777777" w:rsidR="00E75A5E" w:rsidRPr="005D07E6" w:rsidRDefault="00E75A5E" w:rsidP="00DD3F9E">
            <w:pPr>
              <w:jc w:val="center"/>
              <w:rPr>
                <w:b/>
                <w:color w:val="000000" w:themeColor="text1"/>
              </w:rPr>
            </w:pPr>
            <w:r w:rsidRPr="005D07E6">
              <w:rPr>
                <w:b/>
                <w:color w:val="000000" w:themeColor="text1"/>
              </w:rPr>
              <w:t>2017</w:t>
            </w:r>
          </w:p>
        </w:tc>
        <w:tc>
          <w:tcPr>
            <w:tcW w:w="2890" w:type="dxa"/>
          </w:tcPr>
          <w:p w14:paraId="1580F015" w14:textId="77777777" w:rsidR="00E75A5E" w:rsidRPr="005D07E6" w:rsidRDefault="00E75A5E" w:rsidP="00DD3F9E">
            <w:pPr>
              <w:jc w:val="center"/>
              <w:rPr>
                <w:b/>
                <w:color w:val="000000" w:themeColor="text1"/>
              </w:rPr>
            </w:pPr>
            <w:r w:rsidRPr="005D07E6">
              <w:rPr>
                <w:b/>
                <w:color w:val="000000" w:themeColor="text1"/>
              </w:rPr>
              <w:t>2017</w:t>
            </w:r>
          </w:p>
        </w:tc>
      </w:tr>
      <w:tr w:rsidR="005D07E6" w:rsidRPr="005D07E6" w14:paraId="6CCE775C" w14:textId="77777777" w:rsidTr="00E75A5E">
        <w:trPr>
          <w:trHeight w:val="554"/>
        </w:trPr>
        <w:tc>
          <w:tcPr>
            <w:tcW w:w="2785" w:type="dxa"/>
          </w:tcPr>
          <w:p w14:paraId="6FCB0794" w14:textId="77777777" w:rsidR="00E75A5E" w:rsidRPr="005D07E6" w:rsidRDefault="00E75A5E" w:rsidP="00DD3F9E">
            <w:pPr>
              <w:jc w:val="center"/>
              <w:rPr>
                <w:b/>
                <w:color w:val="000000" w:themeColor="text1"/>
              </w:rPr>
            </w:pPr>
            <w:r w:rsidRPr="005D07E6">
              <w:rPr>
                <w:b/>
                <w:color w:val="000000" w:themeColor="text1"/>
              </w:rPr>
              <w:t>Stock Days</w:t>
            </w:r>
          </w:p>
        </w:tc>
        <w:tc>
          <w:tcPr>
            <w:tcW w:w="3210" w:type="dxa"/>
          </w:tcPr>
          <w:p w14:paraId="5AEEAB54"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25 days</w:t>
            </w:r>
          </w:p>
        </w:tc>
        <w:tc>
          <w:tcPr>
            <w:tcW w:w="2890" w:type="dxa"/>
          </w:tcPr>
          <w:p w14:paraId="112FAB62" w14:textId="77777777" w:rsidR="00E75A5E" w:rsidRPr="005D07E6" w:rsidRDefault="00E75A5E" w:rsidP="00DD3F9E">
            <w:pPr>
              <w:jc w:val="center"/>
              <w:rPr>
                <w:b/>
                <w:color w:val="000000" w:themeColor="text1"/>
              </w:rPr>
            </w:pPr>
            <w:r w:rsidRPr="005D07E6">
              <w:rPr>
                <w:b/>
                <w:color w:val="000000" w:themeColor="text1"/>
              </w:rPr>
              <w:t>16 days</w:t>
            </w:r>
          </w:p>
        </w:tc>
      </w:tr>
      <w:tr w:rsidR="005D07E6" w:rsidRPr="005D07E6" w14:paraId="7230A926" w14:textId="77777777" w:rsidTr="00E75A5E">
        <w:trPr>
          <w:trHeight w:val="554"/>
        </w:trPr>
        <w:tc>
          <w:tcPr>
            <w:tcW w:w="2785" w:type="dxa"/>
          </w:tcPr>
          <w:p w14:paraId="47C5FD6E" w14:textId="77777777" w:rsidR="00E75A5E" w:rsidRPr="005D07E6" w:rsidRDefault="00E75A5E" w:rsidP="00DD3F9E">
            <w:pPr>
              <w:jc w:val="center"/>
              <w:rPr>
                <w:b/>
                <w:color w:val="000000" w:themeColor="text1"/>
              </w:rPr>
            </w:pPr>
            <w:r w:rsidRPr="005D07E6">
              <w:rPr>
                <w:b/>
                <w:color w:val="000000" w:themeColor="text1"/>
              </w:rPr>
              <w:t>Debtor Days</w:t>
            </w:r>
          </w:p>
        </w:tc>
        <w:tc>
          <w:tcPr>
            <w:tcW w:w="3210" w:type="dxa"/>
          </w:tcPr>
          <w:p w14:paraId="11984C4A"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55 days</w:t>
            </w:r>
          </w:p>
        </w:tc>
        <w:tc>
          <w:tcPr>
            <w:tcW w:w="2890" w:type="dxa"/>
          </w:tcPr>
          <w:p w14:paraId="1AB378DE" w14:textId="77777777" w:rsidR="00E75A5E" w:rsidRPr="005D07E6" w:rsidRDefault="00E75A5E" w:rsidP="00DD3F9E">
            <w:pPr>
              <w:jc w:val="center"/>
              <w:rPr>
                <w:b/>
                <w:color w:val="000000" w:themeColor="text1"/>
              </w:rPr>
            </w:pPr>
            <w:r w:rsidRPr="005D07E6">
              <w:rPr>
                <w:b/>
                <w:color w:val="000000" w:themeColor="text1"/>
              </w:rPr>
              <w:t>10 days</w:t>
            </w:r>
          </w:p>
        </w:tc>
      </w:tr>
      <w:tr w:rsidR="00E75A5E" w:rsidRPr="005D07E6" w14:paraId="1DCFD612" w14:textId="77777777" w:rsidTr="00E75A5E">
        <w:trPr>
          <w:trHeight w:val="554"/>
        </w:trPr>
        <w:tc>
          <w:tcPr>
            <w:tcW w:w="2785" w:type="dxa"/>
          </w:tcPr>
          <w:p w14:paraId="4FD6021A" w14:textId="77777777" w:rsidR="00E75A5E" w:rsidRPr="005D07E6" w:rsidRDefault="00E75A5E" w:rsidP="00DD3F9E">
            <w:pPr>
              <w:jc w:val="center"/>
              <w:rPr>
                <w:b/>
                <w:color w:val="000000" w:themeColor="text1"/>
              </w:rPr>
            </w:pPr>
            <w:r w:rsidRPr="005D07E6">
              <w:rPr>
                <w:b/>
                <w:color w:val="000000" w:themeColor="text1"/>
              </w:rPr>
              <w:t>Creditor Days</w:t>
            </w:r>
          </w:p>
        </w:tc>
        <w:tc>
          <w:tcPr>
            <w:tcW w:w="3210" w:type="dxa"/>
          </w:tcPr>
          <w:p w14:paraId="601B7D7B" w14:textId="77777777" w:rsidR="00E75A5E" w:rsidRPr="005D07E6" w:rsidRDefault="00E75A5E" w:rsidP="00DD3F9E">
            <w:pPr>
              <w:autoSpaceDE w:val="0"/>
              <w:autoSpaceDN w:val="0"/>
              <w:adjustRightInd w:val="0"/>
              <w:jc w:val="center"/>
              <w:rPr>
                <w:b/>
                <w:color w:val="000000" w:themeColor="text1"/>
              </w:rPr>
            </w:pPr>
            <w:r w:rsidRPr="005D07E6">
              <w:rPr>
                <w:b/>
                <w:color w:val="000000" w:themeColor="text1"/>
              </w:rPr>
              <w:t xml:space="preserve">75 days </w:t>
            </w:r>
          </w:p>
        </w:tc>
        <w:tc>
          <w:tcPr>
            <w:tcW w:w="2890" w:type="dxa"/>
          </w:tcPr>
          <w:p w14:paraId="19A9AFF4" w14:textId="77777777" w:rsidR="00E75A5E" w:rsidRPr="005D07E6" w:rsidRDefault="00E75A5E" w:rsidP="00DD3F9E">
            <w:pPr>
              <w:jc w:val="center"/>
              <w:rPr>
                <w:b/>
                <w:color w:val="000000" w:themeColor="text1"/>
              </w:rPr>
            </w:pPr>
            <w:r w:rsidRPr="005D07E6">
              <w:rPr>
                <w:b/>
                <w:color w:val="000000" w:themeColor="text1"/>
              </w:rPr>
              <w:t>10 days</w:t>
            </w:r>
          </w:p>
        </w:tc>
      </w:tr>
    </w:tbl>
    <w:p w14:paraId="49542D61" w14:textId="77777777" w:rsidR="00E75A5E" w:rsidRPr="005D07E6" w:rsidRDefault="00E75A5E" w:rsidP="00E75A5E">
      <w:pPr>
        <w:rPr>
          <w:color w:val="000000" w:themeColor="text1"/>
        </w:rPr>
      </w:pPr>
    </w:p>
    <w:p w14:paraId="3D5DCEF6" w14:textId="77777777" w:rsidR="00E75A5E" w:rsidRPr="005D07E6" w:rsidRDefault="00E75A5E" w:rsidP="00E75A5E">
      <w:pPr>
        <w:rPr>
          <w:color w:val="000000" w:themeColor="text1"/>
        </w:rPr>
      </w:pPr>
    </w:p>
    <w:p w14:paraId="52D97C59" w14:textId="77777777" w:rsidR="00E75A5E" w:rsidRPr="005D07E6" w:rsidRDefault="00E75A5E" w:rsidP="00E75A5E">
      <w:pPr>
        <w:rPr>
          <w:color w:val="000000" w:themeColor="text1"/>
        </w:rPr>
      </w:pPr>
    </w:p>
    <w:p w14:paraId="7C843905" w14:textId="77777777" w:rsidR="00E75A5E" w:rsidRPr="005D07E6" w:rsidRDefault="00E75A5E" w:rsidP="00E75A5E">
      <w:pPr>
        <w:rPr>
          <w:color w:val="000000" w:themeColor="text1"/>
        </w:rPr>
      </w:pPr>
    </w:p>
    <w:p w14:paraId="778C7B16" w14:textId="77777777" w:rsidR="00E75A5E" w:rsidRPr="005D07E6" w:rsidRDefault="00E75A5E" w:rsidP="00E75A5E">
      <w:pPr>
        <w:rPr>
          <w:color w:val="000000" w:themeColor="text1"/>
        </w:rPr>
      </w:pPr>
    </w:p>
    <w:p w14:paraId="635AE803" w14:textId="77777777" w:rsidR="00E75A5E" w:rsidRPr="005D07E6" w:rsidRDefault="00E75A5E" w:rsidP="00E75A5E">
      <w:pPr>
        <w:rPr>
          <w:color w:val="000000" w:themeColor="text1"/>
        </w:rPr>
      </w:pPr>
    </w:p>
    <w:p w14:paraId="3183A005" w14:textId="77777777" w:rsidR="00E75A5E" w:rsidRPr="005D07E6" w:rsidRDefault="00E75A5E" w:rsidP="00E75A5E">
      <w:pPr>
        <w:rPr>
          <w:color w:val="000000" w:themeColor="text1"/>
        </w:rPr>
      </w:pPr>
      <w:r w:rsidRPr="005D07E6">
        <w:rPr>
          <w:noProof/>
          <w:color w:val="000000" w:themeColor="text1"/>
          <w:lang w:val="en-US"/>
        </w:rPr>
        <w:lastRenderedPageBreak/>
        <w:drawing>
          <wp:inline distT="0" distB="0" distL="0" distR="0" wp14:anchorId="5AF86552" wp14:editId="0653DEAC">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9EACFF" w14:textId="77777777" w:rsidR="00E75A5E" w:rsidRPr="005D07E6" w:rsidRDefault="00E75A5E" w:rsidP="005D07E6">
      <w:r w:rsidRPr="005D07E6">
        <w:t>The above comparison of Efficiency ratios of ASDA and Tesco reveals that Tesco is efficiently managing its assets to generate sales revenue. Stock days for Tesco (16 Days) is lower than the stock days of ASDA (25 days) which reveals that Tesco is selling its inventory more quickly to convert the inventory into cash than the</w:t>
      </w:r>
      <w:r w:rsidR="001D3095" w:rsidRPr="005D07E6">
        <w:t xml:space="preserve"> ASDA. It also implies that Tesco</w:t>
      </w:r>
      <w:r w:rsidRPr="005D07E6">
        <w:t xml:space="preserve"> is selling products more quickly than the ASDA and the market demand for merchandise inventory of Tesco is higher than the market demand for merchandise inventory of ASDA. The debtor days of </w:t>
      </w:r>
      <w:r w:rsidR="001D3095" w:rsidRPr="005D07E6">
        <w:t>Tesco (</w:t>
      </w:r>
      <w:r w:rsidRPr="005D07E6">
        <w:t xml:space="preserve">10 days) is less than the debtor days of ASDA (55 days). It implies that Tesco collect money more quickly from its customers more quickly than ASDA. This analysis also reveals that the account </w:t>
      </w:r>
      <w:r w:rsidR="001D3095" w:rsidRPr="005D07E6">
        <w:t>receivable</w:t>
      </w:r>
      <w:r w:rsidRPr="005D07E6">
        <w:t xml:space="preserve"> management of Tesco is more efficient as the credit terms offered by Tesco is 7 to 60 days but </w:t>
      </w:r>
      <w:r w:rsidR="001D3095" w:rsidRPr="005D07E6">
        <w:t>Tesco</w:t>
      </w:r>
      <w:r w:rsidRPr="005D07E6">
        <w:t xml:space="preserve"> collected the money within 10 days whereas ASDA offers a credit term of 30 days but collected the money in 55 days.</w:t>
      </w:r>
    </w:p>
    <w:p w14:paraId="5F5F698F" w14:textId="77777777" w:rsidR="00E75A5E" w:rsidRPr="005D07E6" w:rsidRDefault="00E75A5E" w:rsidP="00E75A5E">
      <w:pPr>
        <w:rPr>
          <w:color w:val="000000" w:themeColor="text1"/>
        </w:rPr>
      </w:pPr>
      <w:r w:rsidRPr="005D07E6">
        <w:rPr>
          <w:color w:val="000000" w:themeColor="text1"/>
        </w:rPr>
        <w:t xml:space="preserve">The creditor days for ASDA (75 days) is longer than the creditor days of Tesco (10 days) which means that ASDA is taking on average 65 days more to pay the suppliers in 2017. But this increased creditor days has backfired in 2017 for ASDA as ASDA was voted the worst major supermarket chain in 2017 by 1200 suppliers. </w:t>
      </w:r>
    </w:p>
    <w:p w14:paraId="6A617241" w14:textId="77777777" w:rsidR="00E75A5E" w:rsidRPr="005D07E6" w:rsidRDefault="00E75A5E" w:rsidP="00E75A5E">
      <w:pPr>
        <w:rPr>
          <w:color w:val="000000" w:themeColor="text1"/>
        </w:rPr>
      </w:pPr>
    </w:p>
    <w:p w14:paraId="3769299D" w14:textId="77777777" w:rsidR="005D07E6" w:rsidRDefault="005D07E6">
      <w:pPr>
        <w:spacing w:line="259" w:lineRule="auto"/>
        <w:jc w:val="left"/>
        <w:rPr>
          <w:rFonts w:cs="NewsGoth BT"/>
          <w:b/>
          <w:bCs/>
          <w:color w:val="000000" w:themeColor="text1"/>
          <w:sz w:val="28"/>
          <w:szCs w:val="16"/>
        </w:rPr>
      </w:pPr>
      <w:r>
        <w:rPr>
          <w:rFonts w:cs="NewsGoth BT"/>
          <w:b/>
          <w:bCs/>
          <w:color w:val="000000" w:themeColor="text1"/>
          <w:sz w:val="28"/>
          <w:szCs w:val="16"/>
        </w:rPr>
        <w:br w:type="page"/>
      </w:r>
    </w:p>
    <w:p w14:paraId="586E4B7E" w14:textId="77777777" w:rsidR="00E75A5E" w:rsidRPr="005D07E6" w:rsidRDefault="00681BAF" w:rsidP="00681BAF">
      <w:pPr>
        <w:rPr>
          <w:rFonts w:cs="NewsGoth BT"/>
          <w:b/>
          <w:bCs/>
          <w:color w:val="000000" w:themeColor="text1"/>
          <w:sz w:val="28"/>
          <w:szCs w:val="16"/>
        </w:rPr>
      </w:pPr>
      <w:r w:rsidRPr="005D07E6">
        <w:rPr>
          <w:rFonts w:cs="NewsGoth BT"/>
          <w:b/>
          <w:bCs/>
          <w:color w:val="000000" w:themeColor="text1"/>
          <w:sz w:val="28"/>
          <w:szCs w:val="16"/>
        </w:rPr>
        <w:lastRenderedPageBreak/>
        <w:t>FINANCING RATIO</w:t>
      </w:r>
    </w:p>
    <w:p w14:paraId="1A530A5A" w14:textId="77777777" w:rsidR="00681BAF" w:rsidRPr="005D07E6" w:rsidRDefault="00681BAF" w:rsidP="005D07E6">
      <w:r w:rsidRPr="005D07E6">
        <w:t xml:space="preserve">Financing Ratios measures the degree to which a firm uses debt capital in its capital structure and the ability of the firm to meet the debt obligations. </w:t>
      </w:r>
    </w:p>
    <w:p w14:paraId="7EC0CF8C" w14:textId="77777777" w:rsidR="00681BAF" w:rsidRPr="005D07E6" w:rsidRDefault="00681BAF" w:rsidP="005D07E6">
      <w:r w:rsidRPr="005D07E6">
        <w:t>The financing ratios of ASDA are shown below</w:t>
      </w:r>
    </w:p>
    <w:tbl>
      <w:tblPr>
        <w:tblStyle w:val="TableGrid"/>
        <w:tblW w:w="9058" w:type="dxa"/>
        <w:tblLook w:val="04A0" w:firstRow="1" w:lastRow="0" w:firstColumn="1" w:lastColumn="0" w:noHBand="0" w:noVBand="1"/>
      </w:tblPr>
      <w:tblGrid>
        <w:gridCol w:w="2689"/>
        <w:gridCol w:w="1134"/>
        <w:gridCol w:w="1275"/>
        <w:gridCol w:w="1418"/>
        <w:gridCol w:w="1417"/>
        <w:gridCol w:w="1125"/>
      </w:tblGrid>
      <w:tr w:rsidR="005D07E6" w:rsidRPr="005D07E6" w14:paraId="67DE9DB0" w14:textId="77777777" w:rsidTr="00DD3F9E">
        <w:trPr>
          <w:trHeight w:val="642"/>
        </w:trPr>
        <w:tc>
          <w:tcPr>
            <w:tcW w:w="2689" w:type="dxa"/>
          </w:tcPr>
          <w:p w14:paraId="45E7182F" w14:textId="77777777" w:rsidR="00681BAF" w:rsidRPr="005D07E6" w:rsidRDefault="00681BAF" w:rsidP="00DD3F9E">
            <w:pPr>
              <w:jc w:val="center"/>
              <w:rPr>
                <w:b/>
                <w:color w:val="000000" w:themeColor="text1"/>
              </w:rPr>
            </w:pPr>
            <w:r w:rsidRPr="005D07E6">
              <w:rPr>
                <w:b/>
                <w:color w:val="000000" w:themeColor="text1"/>
              </w:rPr>
              <w:t>Financing Ratios</w:t>
            </w:r>
          </w:p>
        </w:tc>
        <w:tc>
          <w:tcPr>
            <w:tcW w:w="1134" w:type="dxa"/>
          </w:tcPr>
          <w:p w14:paraId="4D979352" w14:textId="77777777" w:rsidR="00681BAF" w:rsidRPr="005D07E6" w:rsidRDefault="00681BAF" w:rsidP="00DD3F9E">
            <w:pPr>
              <w:jc w:val="center"/>
              <w:rPr>
                <w:b/>
                <w:color w:val="000000" w:themeColor="text1"/>
              </w:rPr>
            </w:pPr>
            <w:r w:rsidRPr="005D07E6">
              <w:rPr>
                <w:b/>
                <w:color w:val="000000" w:themeColor="text1"/>
              </w:rPr>
              <w:t>2013</w:t>
            </w:r>
          </w:p>
        </w:tc>
        <w:tc>
          <w:tcPr>
            <w:tcW w:w="1275" w:type="dxa"/>
          </w:tcPr>
          <w:p w14:paraId="4AFB9F3C" w14:textId="77777777" w:rsidR="00681BAF" w:rsidRPr="005D07E6" w:rsidRDefault="00681BAF" w:rsidP="00DD3F9E">
            <w:pPr>
              <w:jc w:val="center"/>
              <w:rPr>
                <w:b/>
                <w:color w:val="000000" w:themeColor="text1"/>
              </w:rPr>
            </w:pPr>
            <w:r w:rsidRPr="005D07E6">
              <w:rPr>
                <w:b/>
                <w:color w:val="000000" w:themeColor="text1"/>
              </w:rPr>
              <w:t>2014</w:t>
            </w:r>
          </w:p>
        </w:tc>
        <w:tc>
          <w:tcPr>
            <w:tcW w:w="1418" w:type="dxa"/>
          </w:tcPr>
          <w:p w14:paraId="32189099" w14:textId="77777777" w:rsidR="00681BAF" w:rsidRPr="005D07E6" w:rsidRDefault="00681BAF" w:rsidP="00DD3F9E">
            <w:pPr>
              <w:jc w:val="center"/>
              <w:rPr>
                <w:b/>
                <w:color w:val="000000" w:themeColor="text1"/>
              </w:rPr>
            </w:pPr>
            <w:r w:rsidRPr="005D07E6">
              <w:rPr>
                <w:b/>
                <w:color w:val="000000" w:themeColor="text1"/>
              </w:rPr>
              <w:t>2015</w:t>
            </w:r>
          </w:p>
        </w:tc>
        <w:tc>
          <w:tcPr>
            <w:tcW w:w="1417" w:type="dxa"/>
          </w:tcPr>
          <w:p w14:paraId="73700237" w14:textId="77777777" w:rsidR="00681BAF" w:rsidRPr="005D07E6" w:rsidRDefault="00681BAF" w:rsidP="00DD3F9E">
            <w:pPr>
              <w:jc w:val="center"/>
              <w:rPr>
                <w:b/>
                <w:color w:val="000000" w:themeColor="text1"/>
              </w:rPr>
            </w:pPr>
            <w:r w:rsidRPr="005D07E6">
              <w:rPr>
                <w:b/>
                <w:color w:val="000000" w:themeColor="text1"/>
              </w:rPr>
              <w:t>2016</w:t>
            </w:r>
          </w:p>
        </w:tc>
        <w:tc>
          <w:tcPr>
            <w:tcW w:w="1125" w:type="dxa"/>
          </w:tcPr>
          <w:p w14:paraId="2B11E082" w14:textId="77777777" w:rsidR="00681BAF" w:rsidRPr="005D07E6" w:rsidRDefault="00681BAF" w:rsidP="00DD3F9E">
            <w:pPr>
              <w:jc w:val="center"/>
              <w:rPr>
                <w:b/>
                <w:color w:val="000000" w:themeColor="text1"/>
              </w:rPr>
            </w:pPr>
            <w:r w:rsidRPr="005D07E6">
              <w:rPr>
                <w:b/>
                <w:color w:val="000000" w:themeColor="text1"/>
              </w:rPr>
              <w:t>2017</w:t>
            </w:r>
          </w:p>
        </w:tc>
      </w:tr>
      <w:tr w:rsidR="005D07E6" w:rsidRPr="005D07E6" w14:paraId="5F7A86CA" w14:textId="77777777" w:rsidTr="00DD3F9E">
        <w:trPr>
          <w:trHeight w:val="606"/>
        </w:trPr>
        <w:tc>
          <w:tcPr>
            <w:tcW w:w="2689" w:type="dxa"/>
          </w:tcPr>
          <w:p w14:paraId="62544732" w14:textId="77777777" w:rsidR="00681BAF" w:rsidRPr="005D07E6" w:rsidRDefault="00681BAF" w:rsidP="00DD3F9E">
            <w:pPr>
              <w:jc w:val="center"/>
              <w:rPr>
                <w:b/>
                <w:color w:val="000000" w:themeColor="text1"/>
              </w:rPr>
            </w:pPr>
            <w:r w:rsidRPr="005D07E6">
              <w:rPr>
                <w:b/>
                <w:color w:val="000000" w:themeColor="text1"/>
              </w:rPr>
              <w:t>Gearing Ratio</w:t>
            </w:r>
          </w:p>
        </w:tc>
        <w:tc>
          <w:tcPr>
            <w:tcW w:w="1134" w:type="dxa"/>
          </w:tcPr>
          <w:p w14:paraId="563C3655" w14:textId="77777777" w:rsidR="00681BAF" w:rsidRPr="005D07E6" w:rsidRDefault="00681BAF" w:rsidP="00DD3F9E">
            <w:pPr>
              <w:jc w:val="center"/>
              <w:rPr>
                <w:b/>
                <w:color w:val="000000" w:themeColor="text1"/>
              </w:rPr>
            </w:pPr>
            <w:r w:rsidRPr="005D07E6">
              <w:rPr>
                <w:b/>
                <w:color w:val="000000" w:themeColor="text1"/>
              </w:rPr>
              <w:t>.09</w:t>
            </w:r>
          </w:p>
        </w:tc>
        <w:tc>
          <w:tcPr>
            <w:tcW w:w="1275" w:type="dxa"/>
          </w:tcPr>
          <w:p w14:paraId="5EFD4DAB" w14:textId="77777777" w:rsidR="00681BAF" w:rsidRPr="005D07E6" w:rsidRDefault="00681BAF" w:rsidP="00DD3F9E">
            <w:pPr>
              <w:jc w:val="center"/>
              <w:rPr>
                <w:b/>
                <w:color w:val="000000" w:themeColor="text1"/>
              </w:rPr>
            </w:pPr>
            <w:r w:rsidRPr="005D07E6">
              <w:rPr>
                <w:b/>
                <w:color w:val="000000" w:themeColor="text1"/>
              </w:rPr>
              <w:t>0.12</w:t>
            </w:r>
          </w:p>
        </w:tc>
        <w:tc>
          <w:tcPr>
            <w:tcW w:w="1418" w:type="dxa"/>
          </w:tcPr>
          <w:p w14:paraId="36997D73" w14:textId="77777777" w:rsidR="00681BAF" w:rsidRPr="005D07E6" w:rsidRDefault="00681BAF" w:rsidP="00DD3F9E">
            <w:pPr>
              <w:jc w:val="center"/>
              <w:rPr>
                <w:b/>
                <w:color w:val="000000" w:themeColor="text1"/>
              </w:rPr>
            </w:pPr>
            <w:r w:rsidRPr="005D07E6">
              <w:rPr>
                <w:b/>
                <w:color w:val="000000" w:themeColor="text1"/>
              </w:rPr>
              <w:t>0.12</w:t>
            </w:r>
          </w:p>
        </w:tc>
        <w:tc>
          <w:tcPr>
            <w:tcW w:w="1417" w:type="dxa"/>
          </w:tcPr>
          <w:p w14:paraId="396E86EF" w14:textId="77777777" w:rsidR="00681BAF" w:rsidRPr="005D07E6" w:rsidRDefault="00681BAF" w:rsidP="00DD3F9E">
            <w:pPr>
              <w:jc w:val="center"/>
              <w:rPr>
                <w:b/>
                <w:color w:val="000000" w:themeColor="text1"/>
              </w:rPr>
            </w:pPr>
            <w:r w:rsidRPr="005D07E6">
              <w:rPr>
                <w:b/>
                <w:color w:val="000000" w:themeColor="text1"/>
              </w:rPr>
              <w:t>0.14</w:t>
            </w:r>
          </w:p>
        </w:tc>
        <w:tc>
          <w:tcPr>
            <w:tcW w:w="1125" w:type="dxa"/>
          </w:tcPr>
          <w:p w14:paraId="603B56B7" w14:textId="77777777" w:rsidR="00681BAF" w:rsidRPr="005D07E6" w:rsidRDefault="00681BAF" w:rsidP="00DD3F9E">
            <w:pPr>
              <w:jc w:val="center"/>
              <w:rPr>
                <w:b/>
                <w:color w:val="000000" w:themeColor="text1"/>
              </w:rPr>
            </w:pPr>
            <w:r w:rsidRPr="005D07E6">
              <w:rPr>
                <w:b/>
                <w:color w:val="000000" w:themeColor="text1"/>
              </w:rPr>
              <w:t>0.15</w:t>
            </w:r>
          </w:p>
        </w:tc>
      </w:tr>
      <w:tr w:rsidR="005D07E6" w:rsidRPr="005D07E6" w14:paraId="03194F56" w14:textId="77777777" w:rsidTr="00DD3F9E">
        <w:trPr>
          <w:trHeight w:val="606"/>
        </w:trPr>
        <w:tc>
          <w:tcPr>
            <w:tcW w:w="2689" w:type="dxa"/>
          </w:tcPr>
          <w:p w14:paraId="7A91EB31" w14:textId="77777777" w:rsidR="00681BAF" w:rsidRPr="005D07E6" w:rsidRDefault="00681BAF" w:rsidP="00DD3F9E">
            <w:pPr>
              <w:jc w:val="center"/>
              <w:rPr>
                <w:b/>
                <w:color w:val="000000" w:themeColor="text1"/>
              </w:rPr>
            </w:pPr>
            <w:r w:rsidRPr="005D07E6">
              <w:rPr>
                <w:b/>
                <w:color w:val="000000" w:themeColor="text1"/>
              </w:rPr>
              <w:t>Interest Coverage Ratio</w:t>
            </w:r>
          </w:p>
        </w:tc>
        <w:tc>
          <w:tcPr>
            <w:tcW w:w="1134" w:type="dxa"/>
          </w:tcPr>
          <w:p w14:paraId="4AF8A1A6" w14:textId="77777777" w:rsidR="00681BAF" w:rsidRPr="005D07E6" w:rsidRDefault="00681BAF" w:rsidP="00DD3F9E">
            <w:pPr>
              <w:jc w:val="center"/>
              <w:rPr>
                <w:b/>
                <w:color w:val="000000" w:themeColor="text1"/>
              </w:rPr>
            </w:pPr>
            <w:r w:rsidRPr="005D07E6">
              <w:rPr>
                <w:b/>
                <w:color w:val="000000" w:themeColor="text1"/>
              </w:rPr>
              <w:t>12</w:t>
            </w:r>
          </w:p>
        </w:tc>
        <w:tc>
          <w:tcPr>
            <w:tcW w:w="1275" w:type="dxa"/>
          </w:tcPr>
          <w:p w14:paraId="3F5E380B" w14:textId="77777777" w:rsidR="00681BAF" w:rsidRPr="005D07E6" w:rsidRDefault="00681BAF" w:rsidP="00DD3F9E">
            <w:pPr>
              <w:jc w:val="center"/>
              <w:rPr>
                <w:b/>
                <w:color w:val="000000" w:themeColor="text1"/>
              </w:rPr>
            </w:pPr>
            <w:r w:rsidRPr="005D07E6">
              <w:rPr>
                <w:b/>
                <w:color w:val="000000" w:themeColor="text1"/>
              </w:rPr>
              <w:t>10</w:t>
            </w:r>
          </w:p>
        </w:tc>
        <w:tc>
          <w:tcPr>
            <w:tcW w:w="1418" w:type="dxa"/>
          </w:tcPr>
          <w:p w14:paraId="1C98D690" w14:textId="77777777" w:rsidR="00681BAF" w:rsidRPr="005D07E6" w:rsidRDefault="00681BAF" w:rsidP="00DD3F9E">
            <w:pPr>
              <w:jc w:val="center"/>
              <w:rPr>
                <w:b/>
                <w:color w:val="000000" w:themeColor="text1"/>
              </w:rPr>
            </w:pPr>
            <w:r w:rsidRPr="005D07E6">
              <w:rPr>
                <w:b/>
                <w:color w:val="000000" w:themeColor="text1"/>
              </w:rPr>
              <w:t>13</w:t>
            </w:r>
          </w:p>
        </w:tc>
        <w:tc>
          <w:tcPr>
            <w:tcW w:w="1417" w:type="dxa"/>
          </w:tcPr>
          <w:p w14:paraId="2E6C209D" w14:textId="77777777" w:rsidR="00681BAF" w:rsidRPr="005D07E6" w:rsidRDefault="00681BAF" w:rsidP="00DD3F9E">
            <w:pPr>
              <w:jc w:val="center"/>
              <w:rPr>
                <w:b/>
                <w:color w:val="000000" w:themeColor="text1"/>
              </w:rPr>
            </w:pPr>
            <w:r w:rsidRPr="005D07E6">
              <w:rPr>
                <w:b/>
                <w:color w:val="000000" w:themeColor="text1"/>
              </w:rPr>
              <w:t>11</w:t>
            </w:r>
          </w:p>
        </w:tc>
        <w:tc>
          <w:tcPr>
            <w:tcW w:w="1125" w:type="dxa"/>
          </w:tcPr>
          <w:p w14:paraId="052BF9C3" w14:textId="77777777" w:rsidR="00681BAF" w:rsidRPr="005D07E6" w:rsidRDefault="00681BAF" w:rsidP="00DD3F9E">
            <w:pPr>
              <w:jc w:val="center"/>
              <w:rPr>
                <w:b/>
                <w:color w:val="000000" w:themeColor="text1"/>
              </w:rPr>
            </w:pPr>
            <w:r w:rsidRPr="005D07E6">
              <w:rPr>
                <w:b/>
                <w:color w:val="000000" w:themeColor="text1"/>
              </w:rPr>
              <w:t>18</w:t>
            </w:r>
          </w:p>
        </w:tc>
      </w:tr>
    </w:tbl>
    <w:p w14:paraId="7D055122" w14:textId="77777777" w:rsidR="00681BAF" w:rsidRPr="005D07E6" w:rsidRDefault="00681BAF" w:rsidP="00681BAF">
      <w:pPr>
        <w:autoSpaceDE w:val="0"/>
        <w:autoSpaceDN w:val="0"/>
        <w:adjustRightInd w:val="0"/>
        <w:spacing w:after="0" w:line="240" w:lineRule="auto"/>
        <w:rPr>
          <w:rFonts w:ascii="DejaVuSans" w:hAnsi="DejaVuSans" w:cs="DejaVuSans"/>
          <w:color w:val="000000" w:themeColor="text1"/>
          <w:sz w:val="18"/>
          <w:szCs w:val="18"/>
        </w:rPr>
      </w:pPr>
      <w:r w:rsidRPr="005D07E6">
        <w:rPr>
          <w:rFonts w:ascii="DejaVuSans" w:hAnsi="DejaVuSans" w:cs="DejaVuSans"/>
          <w:noProof/>
          <w:color w:val="000000" w:themeColor="text1"/>
          <w:sz w:val="18"/>
          <w:szCs w:val="18"/>
          <w:lang w:val="en-US"/>
        </w:rPr>
        <w:drawing>
          <wp:inline distT="0" distB="0" distL="0" distR="0" wp14:anchorId="5A9224D4" wp14:editId="339BC9A2">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0067CB7" w14:textId="77777777" w:rsidR="00681BAF" w:rsidRPr="005D07E6" w:rsidRDefault="00681BAF" w:rsidP="00681BAF">
      <w:pPr>
        <w:autoSpaceDE w:val="0"/>
        <w:autoSpaceDN w:val="0"/>
        <w:adjustRightInd w:val="0"/>
        <w:spacing w:after="0" w:line="240" w:lineRule="auto"/>
        <w:rPr>
          <w:rFonts w:cs="DejaVuSans"/>
          <w:color w:val="000000" w:themeColor="text1"/>
          <w:szCs w:val="18"/>
        </w:rPr>
      </w:pPr>
    </w:p>
    <w:p w14:paraId="23EB5086" w14:textId="77777777" w:rsidR="00681BAF" w:rsidRPr="005D07E6" w:rsidRDefault="00681BAF" w:rsidP="005D07E6">
      <w:pPr>
        <w:rPr>
          <w:rFonts w:cs="DejaVuSans"/>
          <w:szCs w:val="18"/>
        </w:rPr>
      </w:pPr>
      <w:r w:rsidRPr="005D07E6">
        <w:rPr>
          <w:rFonts w:cs="DejaVuSans"/>
          <w:szCs w:val="18"/>
        </w:rPr>
        <w:t>The gearing ra</w:t>
      </w:r>
      <w:r w:rsidR="001D3095" w:rsidRPr="005D07E6">
        <w:rPr>
          <w:rFonts w:cs="DejaVuSans"/>
          <w:szCs w:val="18"/>
        </w:rPr>
        <w:t>tio of ASDA</w:t>
      </w:r>
      <w:r w:rsidRPr="005D07E6">
        <w:rPr>
          <w:rFonts w:cs="DejaVuSans"/>
          <w:szCs w:val="18"/>
        </w:rPr>
        <w:t xml:space="preserve"> shows an increasing trend from 2013 to 2017. The long term </w:t>
      </w:r>
      <w:r w:rsidRPr="005D07E6">
        <w:t>liabilities of ASDA were on average 13% of shareholders' equity during these periods which is very lo</w:t>
      </w:r>
      <w:r w:rsidR="001D3095" w:rsidRPr="005D07E6">
        <w:t>w for ASDA. It implies that ASDA</w:t>
      </w:r>
      <w:r w:rsidRPr="005D07E6">
        <w:t xml:space="preserve"> is using more long term liability in its capital structure to support its long term growth. This low gearing also implies a strong position of the equity holders of the business and low financial risk which makes ASDA a financially stable business. </w:t>
      </w:r>
    </w:p>
    <w:p w14:paraId="157CE891" w14:textId="77777777" w:rsidR="00681BAF" w:rsidRPr="005D07E6" w:rsidRDefault="00681BAF" w:rsidP="00681BAF">
      <w:pPr>
        <w:autoSpaceDE w:val="0"/>
        <w:autoSpaceDN w:val="0"/>
        <w:adjustRightInd w:val="0"/>
        <w:spacing w:after="0" w:line="240" w:lineRule="auto"/>
        <w:rPr>
          <w:rFonts w:cs="DejaVuSans"/>
          <w:color w:val="000000" w:themeColor="text1"/>
          <w:szCs w:val="18"/>
        </w:rPr>
      </w:pPr>
      <w:r w:rsidRPr="005D07E6">
        <w:rPr>
          <w:rFonts w:cs="DejaVuSans"/>
          <w:color w:val="000000" w:themeColor="text1"/>
          <w:szCs w:val="18"/>
        </w:rPr>
        <w:t xml:space="preserve"> </w:t>
      </w:r>
    </w:p>
    <w:p w14:paraId="73F2CBE1" w14:textId="77777777" w:rsidR="00681BAF" w:rsidRPr="005D07E6" w:rsidRDefault="00681BAF" w:rsidP="005D07E6">
      <w:r w:rsidRPr="005D07E6">
        <w:t>The Interest Coverage Ratio shows a secular trend from 2013 to 2017 as it was decreased in 2014 and 2016.</w:t>
      </w:r>
      <w:r w:rsidR="001D3095" w:rsidRPr="005D07E6">
        <w:t xml:space="preserve"> Despite the secular trend, ASDA</w:t>
      </w:r>
      <w:r w:rsidRPr="005D07E6">
        <w:t xml:space="preserve"> has satisfactory level of interest coverage</w:t>
      </w:r>
      <w:r w:rsidR="001D3095" w:rsidRPr="005D07E6">
        <w:t xml:space="preserve"> ratio which indicates that ASDA</w:t>
      </w:r>
      <w:r w:rsidRPr="005D07E6">
        <w:t xml:space="preserve"> has generated sufficient operating profit to pay off the interest </w:t>
      </w:r>
      <w:r w:rsidRPr="005D07E6">
        <w:lastRenderedPageBreak/>
        <w:t>expenses charges of debt capital. The reason for decline in interest coverage ratio in 2014 and 2016 is the decline of sales revenue in these years.</w:t>
      </w:r>
    </w:p>
    <w:p w14:paraId="44846256" w14:textId="77777777" w:rsidR="00681BAF" w:rsidRPr="005D07E6" w:rsidRDefault="00681BAF" w:rsidP="00681BAF">
      <w:pPr>
        <w:autoSpaceDE w:val="0"/>
        <w:autoSpaceDN w:val="0"/>
        <w:adjustRightInd w:val="0"/>
        <w:spacing w:after="0" w:line="240" w:lineRule="auto"/>
        <w:rPr>
          <w:rFonts w:ascii="DejaVuSans" w:hAnsi="DejaVuSans" w:cs="DejaVuSans"/>
          <w:color w:val="000000" w:themeColor="text1"/>
          <w:sz w:val="18"/>
          <w:szCs w:val="18"/>
        </w:rPr>
      </w:pPr>
    </w:p>
    <w:p w14:paraId="25BD50CA" w14:textId="77777777" w:rsidR="00681BAF" w:rsidRPr="005D07E6" w:rsidRDefault="00681BAF" w:rsidP="00681BAF">
      <w:pPr>
        <w:autoSpaceDE w:val="0"/>
        <w:autoSpaceDN w:val="0"/>
        <w:adjustRightInd w:val="0"/>
        <w:spacing w:after="0" w:line="240" w:lineRule="auto"/>
        <w:rPr>
          <w:rFonts w:ascii="DejaVuSans" w:hAnsi="DejaVuSans" w:cs="DejaVuSans"/>
          <w:color w:val="000000" w:themeColor="text1"/>
          <w:sz w:val="18"/>
          <w:szCs w:val="18"/>
        </w:rPr>
      </w:pPr>
      <w:r w:rsidRPr="005D07E6">
        <w:rPr>
          <w:rFonts w:cs="NewsGoth BT"/>
          <w:b/>
          <w:bCs/>
          <w:color w:val="000000" w:themeColor="text1"/>
          <w:szCs w:val="16"/>
        </w:rPr>
        <w:t xml:space="preserve"> </w:t>
      </w:r>
    </w:p>
    <w:p w14:paraId="6AD11D29" w14:textId="77777777" w:rsidR="00681BAF" w:rsidRPr="005D07E6" w:rsidRDefault="00681BAF" w:rsidP="00681BAF">
      <w:pPr>
        <w:autoSpaceDE w:val="0"/>
        <w:autoSpaceDN w:val="0"/>
        <w:adjustRightInd w:val="0"/>
        <w:spacing w:after="0" w:line="240" w:lineRule="auto"/>
        <w:rPr>
          <w:rFonts w:cs="DejaVuSans"/>
          <w:color w:val="000000" w:themeColor="text1"/>
          <w:szCs w:val="18"/>
        </w:rPr>
      </w:pPr>
      <w:r w:rsidRPr="005D07E6">
        <w:rPr>
          <w:rFonts w:cs="DejaVuSans"/>
          <w:color w:val="000000" w:themeColor="text1"/>
          <w:szCs w:val="18"/>
        </w:rPr>
        <w:t xml:space="preserve">The comparison of </w:t>
      </w:r>
      <w:r w:rsidR="001D3095" w:rsidRPr="005D07E6">
        <w:rPr>
          <w:rFonts w:cs="DejaVuSans"/>
          <w:color w:val="000000" w:themeColor="text1"/>
          <w:szCs w:val="18"/>
        </w:rPr>
        <w:t>Financing</w:t>
      </w:r>
      <w:r w:rsidRPr="005D07E6">
        <w:rPr>
          <w:rFonts w:cs="DejaVuSans"/>
          <w:color w:val="000000" w:themeColor="text1"/>
          <w:szCs w:val="18"/>
        </w:rPr>
        <w:t xml:space="preserve"> Ratios for ASDA and Tesco is shown below</w:t>
      </w:r>
    </w:p>
    <w:p w14:paraId="7358AE8B" w14:textId="77777777" w:rsidR="00681BAF" w:rsidRPr="005D07E6" w:rsidRDefault="00681BAF" w:rsidP="00681BAF">
      <w:pPr>
        <w:autoSpaceDE w:val="0"/>
        <w:autoSpaceDN w:val="0"/>
        <w:adjustRightInd w:val="0"/>
        <w:spacing w:after="0" w:line="240" w:lineRule="auto"/>
        <w:rPr>
          <w:rFonts w:cs="DejaVuSans"/>
          <w:color w:val="000000" w:themeColor="text1"/>
          <w:szCs w:val="18"/>
        </w:rPr>
      </w:pPr>
    </w:p>
    <w:tbl>
      <w:tblPr>
        <w:tblStyle w:val="TableGrid"/>
        <w:tblW w:w="9027" w:type="dxa"/>
        <w:tblLook w:val="04A0" w:firstRow="1" w:lastRow="0" w:firstColumn="1" w:lastColumn="0" w:noHBand="0" w:noVBand="1"/>
      </w:tblPr>
      <w:tblGrid>
        <w:gridCol w:w="2830"/>
        <w:gridCol w:w="3261"/>
        <w:gridCol w:w="2936"/>
      </w:tblGrid>
      <w:tr w:rsidR="005D07E6" w:rsidRPr="005D07E6" w14:paraId="3ABE466B" w14:textId="77777777" w:rsidTr="00DD3F9E">
        <w:trPr>
          <w:trHeight w:val="578"/>
        </w:trPr>
        <w:tc>
          <w:tcPr>
            <w:tcW w:w="2830" w:type="dxa"/>
          </w:tcPr>
          <w:p w14:paraId="2C2D060E" w14:textId="77777777" w:rsidR="00681BAF" w:rsidRPr="005D07E6" w:rsidRDefault="00681BAF" w:rsidP="00DD3F9E">
            <w:pPr>
              <w:jc w:val="center"/>
              <w:rPr>
                <w:b/>
                <w:color w:val="000000" w:themeColor="text1"/>
              </w:rPr>
            </w:pPr>
            <w:r w:rsidRPr="005D07E6">
              <w:rPr>
                <w:b/>
                <w:color w:val="000000" w:themeColor="text1"/>
              </w:rPr>
              <w:t>Liquidity Ratios</w:t>
            </w:r>
          </w:p>
        </w:tc>
        <w:tc>
          <w:tcPr>
            <w:tcW w:w="3261" w:type="dxa"/>
          </w:tcPr>
          <w:p w14:paraId="564E0ECB" w14:textId="77777777" w:rsidR="00681BAF" w:rsidRPr="005D07E6" w:rsidRDefault="00681BAF" w:rsidP="00DD3F9E">
            <w:pPr>
              <w:jc w:val="center"/>
              <w:rPr>
                <w:b/>
                <w:color w:val="000000" w:themeColor="text1"/>
              </w:rPr>
            </w:pPr>
            <w:r w:rsidRPr="005D07E6">
              <w:rPr>
                <w:b/>
                <w:color w:val="000000" w:themeColor="text1"/>
              </w:rPr>
              <w:t>ASDA</w:t>
            </w:r>
          </w:p>
        </w:tc>
        <w:tc>
          <w:tcPr>
            <w:tcW w:w="2936" w:type="dxa"/>
          </w:tcPr>
          <w:p w14:paraId="0B9A5512" w14:textId="77777777" w:rsidR="00681BAF" w:rsidRPr="005D07E6" w:rsidRDefault="00681BAF" w:rsidP="00DD3F9E">
            <w:pPr>
              <w:jc w:val="center"/>
              <w:rPr>
                <w:b/>
                <w:color w:val="000000" w:themeColor="text1"/>
              </w:rPr>
            </w:pPr>
            <w:r w:rsidRPr="005D07E6">
              <w:rPr>
                <w:b/>
                <w:color w:val="000000" w:themeColor="text1"/>
              </w:rPr>
              <w:t>Tesco</w:t>
            </w:r>
          </w:p>
        </w:tc>
      </w:tr>
      <w:tr w:rsidR="005D07E6" w:rsidRPr="005D07E6" w14:paraId="31B82A03" w14:textId="77777777" w:rsidTr="00DD3F9E">
        <w:trPr>
          <w:trHeight w:val="546"/>
        </w:trPr>
        <w:tc>
          <w:tcPr>
            <w:tcW w:w="2830" w:type="dxa"/>
          </w:tcPr>
          <w:p w14:paraId="30A03729" w14:textId="77777777" w:rsidR="00681BAF" w:rsidRPr="005D07E6" w:rsidRDefault="00681BAF" w:rsidP="00DD3F9E">
            <w:pPr>
              <w:jc w:val="center"/>
              <w:rPr>
                <w:b/>
                <w:color w:val="000000" w:themeColor="text1"/>
              </w:rPr>
            </w:pPr>
          </w:p>
        </w:tc>
        <w:tc>
          <w:tcPr>
            <w:tcW w:w="3261" w:type="dxa"/>
          </w:tcPr>
          <w:p w14:paraId="0D70F3E4" w14:textId="77777777" w:rsidR="00681BAF" w:rsidRPr="005D07E6" w:rsidRDefault="00681BAF" w:rsidP="00DD3F9E">
            <w:pPr>
              <w:jc w:val="center"/>
              <w:rPr>
                <w:b/>
                <w:color w:val="000000" w:themeColor="text1"/>
              </w:rPr>
            </w:pPr>
            <w:r w:rsidRPr="005D07E6">
              <w:rPr>
                <w:b/>
                <w:color w:val="000000" w:themeColor="text1"/>
              </w:rPr>
              <w:t>2017</w:t>
            </w:r>
          </w:p>
        </w:tc>
        <w:tc>
          <w:tcPr>
            <w:tcW w:w="2936" w:type="dxa"/>
          </w:tcPr>
          <w:p w14:paraId="41493D0E" w14:textId="77777777" w:rsidR="00681BAF" w:rsidRPr="005D07E6" w:rsidRDefault="00681BAF" w:rsidP="00DD3F9E">
            <w:pPr>
              <w:jc w:val="center"/>
              <w:rPr>
                <w:b/>
                <w:color w:val="000000" w:themeColor="text1"/>
              </w:rPr>
            </w:pPr>
            <w:r w:rsidRPr="005D07E6">
              <w:rPr>
                <w:b/>
                <w:color w:val="000000" w:themeColor="text1"/>
              </w:rPr>
              <w:t>2017</w:t>
            </w:r>
          </w:p>
        </w:tc>
      </w:tr>
      <w:tr w:rsidR="005D07E6" w:rsidRPr="005D07E6" w14:paraId="6E36CA09" w14:textId="77777777" w:rsidTr="00DD3F9E">
        <w:trPr>
          <w:trHeight w:val="546"/>
        </w:trPr>
        <w:tc>
          <w:tcPr>
            <w:tcW w:w="2830" w:type="dxa"/>
          </w:tcPr>
          <w:p w14:paraId="01308C76" w14:textId="77777777" w:rsidR="00681BAF" w:rsidRPr="005D07E6" w:rsidRDefault="00681BAF" w:rsidP="00DD3F9E">
            <w:pPr>
              <w:jc w:val="center"/>
              <w:rPr>
                <w:b/>
                <w:color w:val="000000" w:themeColor="text1"/>
              </w:rPr>
            </w:pPr>
            <w:r w:rsidRPr="005D07E6">
              <w:rPr>
                <w:b/>
                <w:color w:val="000000" w:themeColor="text1"/>
              </w:rPr>
              <w:t>Gearing Ratio</w:t>
            </w:r>
          </w:p>
        </w:tc>
        <w:tc>
          <w:tcPr>
            <w:tcW w:w="3261" w:type="dxa"/>
          </w:tcPr>
          <w:p w14:paraId="3E893667" w14:textId="77777777" w:rsidR="00681BAF" w:rsidRPr="005D07E6" w:rsidRDefault="00681BAF" w:rsidP="00DD3F9E">
            <w:pPr>
              <w:jc w:val="center"/>
              <w:rPr>
                <w:b/>
                <w:color w:val="000000" w:themeColor="text1"/>
              </w:rPr>
            </w:pPr>
            <w:r w:rsidRPr="005D07E6">
              <w:rPr>
                <w:b/>
                <w:color w:val="000000" w:themeColor="text1"/>
              </w:rPr>
              <w:t>0.15</w:t>
            </w:r>
          </w:p>
        </w:tc>
        <w:tc>
          <w:tcPr>
            <w:tcW w:w="2936" w:type="dxa"/>
          </w:tcPr>
          <w:p w14:paraId="30F8D55A" w14:textId="77777777" w:rsidR="00681BAF" w:rsidRPr="005D07E6" w:rsidRDefault="00681BAF" w:rsidP="00DD3F9E">
            <w:pPr>
              <w:jc w:val="center"/>
              <w:rPr>
                <w:rFonts w:ascii="Calibri" w:hAnsi="Calibri"/>
                <w:b/>
                <w:color w:val="000000" w:themeColor="text1"/>
              </w:rPr>
            </w:pPr>
            <w:r w:rsidRPr="005D07E6">
              <w:rPr>
                <w:rFonts w:ascii="Calibri" w:hAnsi="Calibri"/>
                <w:b/>
                <w:color w:val="000000" w:themeColor="text1"/>
              </w:rPr>
              <w:t>3.11</w:t>
            </w:r>
          </w:p>
          <w:p w14:paraId="551DAB05" w14:textId="77777777" w:rsidR="00681BAF" w:rsidRPr="005D07E6" w:rsidRDefault="00681BAF" w:rsidP="00DD3F9E">
            <w:pPr>
              <w:jc w:val="center"/>
              <w:rPr>
                <w:b/>
                <w:color w:val="000000" w:themeColor="text1"/>
              </w:rPr>
            </w:pPr>
          </w:p>
        </w:tc>
      </w:tr>
      <w:tr w:rsidR="00681BAF" w:rsidRPr="005D07E6" w14:paraId="269CA93F" w14:textId="77777777" w:rsidTr="00DD3F9E">
        <w:trPr>
          <w:trHeight w:val="546"/>
        </w:trPr>
        <w:tc>
          <w:tcPr>
            <w:tcW w:w="2830" w:type="dxa"/>
          </w:tcPr>
          <w:p w14:paraId="46F1B8B3" w14:textId="77777777" w:rsidR="00681BAF" w:rsidRPr="005D07E6" w:rsidRDefault="00681BAF" w:rsidP="00DD3F9E">
            <w:pPr>
              <w:jc w:val="center"/>
              <w:rPr>
                <w:b/>
                <w:color w:val="000000" w:themeColor="text1"/>
              </w:rPr>
            </w:pPr>
            <w:r w:rsidRPr="005D07E6">
              <w:rPr>
                <w:b/>
                <w:color w:val="000000" w:themeColor="text1"/>
              </w:rPr>
              <w:t>Interest Coverage Ratio</w:t>
            </w:r>
          </w:p>
        </w:tc>
        <w:tc>
          <w:tcPr>
            <w:tcW w:w="3261" w:type="dxa"/>
          </w:tcPr>
          <w:p w14:paraId="42478790" w14:textId="77777777" w:rsidR="00681BAF" w:rsidRPr="005D07E6" w:rsidRDefault="00681BAF" w:rsidP="00DD3F9E">
            <w:pPr>
              <w:jc w:val="center"/>
              <w:rPr>
                <w:b/>
                <w:color w:val="000000" w:themeColor="text1"/>
              </w:rPr>
            </w:pPr>
            <w:r w:rsidRPr="005D07E6">
              <w:rPr>
                <w:b/>
                <w:color w:val="000000" w:themeColor="text1"/>
              </w:rPr>
              <w:t>18</w:t>
            </w:r>
          </w:p>
        </w:tc>
        <w:tc>
          <w:tcPr>
            <w:tcW w:w="2936" w:type="dxa"/>
          </w:tcPr>
          <w:p w14:paraId="4D2885AA" w14:textId="77777777" w:rsidR="00681BAF" w:rsidRPr="005D07E6" w:rsidRDefault="00681BAF" w:rsidP="00DD3F9E">
            <w:pPr>
              <w:jc w:val="center"/>
              <w:rPr>
                <w:b/>
                <w:color w:val="000000" w:themeColor="text1"/>
              </w:rPr>
            </w:pPr>
            <w:r w:rsidRPr="005D07E6">
              <w:rPr>
                <w:b/>
                <w:color w:val="000000" w:themeColor="text1"/>
              </w:rPr>
              <w:t>1.16</w:t>
            </w:r>
          </w:p>
        </w:tc>
      </w:tr>
    </w:tbl>
    <w:p w14:paraId="63158B3C" w14:textId="77777777" w:rsidR="00681BAF" w:rsidRPr="005D07E6" w:rsidRDefault="00681BAF" w:rsidP="00681BAF">
      <w:pPr>
        <w:rPr>
          <w:color w:val="000000" w:themeColor="text1"/>
        </w:rPr>
      </w:pPr>
    </w:p>
    <w:p w14:paraId="4C8B6339" w14:textId="77777777" w:rsidR="00681BAF" w:rsidRPr="005D07E6" w:rsidRDefault="00681BAF" w:rsidP="00681BAF">
      <w:pPr>
        <w:rPr>
          <w:color w:val="000000" w:themeColor="text1"/>
        </w:rPr>
      </w:pPr>
      <w:r w:rsidRPr="005D07E6">
        <w:rPr>
          <w:color w:val="000000" w:themeColor="text1"/>
        </w:rPr>
        <w:t>The comparison of financing ratios for Asda and Tesco reveals that Tesco is highly levered firm as the gearing ratio for Tesco (3.11) is quite higher compar</w:t>
      </w:r>
      <w:r w:rsidR="001D3095" w:rsidRPr="005D07E6">
        <w:rPr>
          <w:color w:val="000000" w:themeColor="text1"/>
        </w:rPr>
        <w:t>ed to the gearing ratio for ASDA</w:t>
      </w:r>
      <w:r w:rsidRPr="005D07E6">
        <w:rPr>
          <w:color w:val="000000" w:themeColor="text1"/>
        </w:rPr>
        <w:t xml:space="preserve"> (0.15). It also implies that Asda is more financially stable business than the Tesco as Tesco will find it very difficult to profitable during the declining sales period due to the higher interest expense.</w:t>
      </w:r>
    </w:p>
    <w:p w14:paraId="1A6A672A" w14:textId="77777777" w:rsidR="00681BAF" w:rsidRPr="005D07E6" w:rsidRDefault="00681BAF" w:rsidP="00681BAF">
      <w:pPr>
        <w:rPr>
          <w:color w:val="000000" w:themeColor="text1"/>
        </w:rPr>
      </w:pPr>
      <w:r w:rsidRPr="005D07E6">
        <w:rPr>
          <w:color w:val="000000" w:themeColor="text1"/>
        </w:rPr>
        <w:t>The interest coverage ratio quite lower for Tesco. It implies that if there is significant sales decline, Tesco will find it difficult to make the loan payments which will increase the bankruptcy risk of Tesco</w:t>
      </w:r>
      <w:r w:rsidR="005D07E6">
        <w:rPr>
          <w:color w:val="000000" w:themeColor="text1"/>
        </w:rPr>
        <w:t xml:space="preserve"> </w:t>
      </w:r>
      <w:r w:rsidR="005D07E6" w:rsidRPr="005D07E6">
        <w:rPr>
          <w:color w:val="000000" w:themeColor="text1"/>
        </w:rPr>
        <w:t>(Financial Accountability &amp; Management, 2018)</w:t>
      </w:r>
      <w:r w:rsidRPr="005D07E6">
        <w:rPr>
          <w:color w:val="000000" w:themeColor="text1"/>
        </w:rPr>
        <w:t>.</w:t>
      </w:r>
    </w:p>
    <w:p w14:paraId="7F04677B" w14:textId="77777777" w:rsidR="00681BAF" w:rsidRPr="005D07E6" w:rsidRDefault="00681BAF" w:rsidP="00681BAF">
      <w:pPr>
        <w:rPr>
          <w:color w:val="000000" w:themeColor="text1"/>
        </w:rPr>
      </w:pPr>
    </w:p>
    <w:p w14:paraId="6702E6D9" w14:textId="77777777" w:rsidR="005D07E6" w:rsidRDefault="005D07E6">
      <w:pPr>
        <w:spacing w:line="259" w:lineRule="auto"/>
        <w:jc w:val="left"/>
        <w:rPr>
          <w:b/>
          <w:color w:val="000000" w:themeColor="text1"/>
          <w:sz w:val="32"/>
        </w:rPr>
      </w:pPr>
      <w:r>
        <w:rPr>
          <w:b/>
          <w:color w:val="000000" w:themeColor="text1"/>
          <w:sz w:val="32"/>
        </w:rPr>
        <w:br w:type="page"/>
      </w:r>
    </w:p>
    <w:p w14:paraId="755EF4C3" w14:textId="77777777" w:rsidR="00681BAF" w:rsidRPr="005D07E6" w:rsidRDefault="00681BAF" w:rsidP="00681BAF">
      <w:pPr>
        <w:rPr>
          <w:b/>
          <w:color w:val="000000" w:themeColor="text1"/>
          <w:sz w:val="32"/>
        </w:rPr>
      </w:pPr>
      <w:r w:rsidRPr="005D07E6">
        <w:rPr>
          <w:b/>
          <w:color w:val="000000" w:themeColor="text1"/>
          <w:sz w:val="32"/>
        </w:rPr>
        <w:lastRenderedPageBreak/>
        <w:t>Investor Ratio</w:t>
      </w:r>
    </w:p>
    <w:p w14:paraId="56E0C630" w14:textId="77777777" w:rsidR="00681BAF" w:rsidRPr="005D07E6" w:rsidRDefault="00681BAF" w:rsidP="00681BAF">
      <w:pPr>
        <w:rPr>
          <w:color w:val="000000" w:themeColor="text1"/>
        </w:rPr>
      </w:pPr>
      <w:r w:rsidRPr="005D07E6">
        <w:rPr>
          <w:color w:val="000000" w:themeColor="text1"/>
        </w:rPr>
        <w:t>The investor ratio for ASDA are shown below:</w:t>
      </w:r>
    </w:p>
    <w:tbl>
      <w:tblPr>
        <w:tblStyle w:val="TableGrid"/>
        <w:tblW w:w="9058" w:type="dxa"/>
        <w:tblLook w:val="04A0" w:firstRow="1" w:lastRow="0" w:firstColumn="1" w:lastColumn="0" w:noHBand="0" w:noVBand="1"/>
      </w:tblPr>
      <w:tblGrid>
        <w:gridCol w:w="2689"/>
        <w:gridCol w:w="1134"/>
        <w:gridCol w:w="1275"/>
        <w:gridCol w:w="1418"/>
        <w:gridCol w:w="1417"/>
        <w:gridCol w:w="1125"/>
      </w:tblGrid>
      <w:tr w:rsidR="005D07E6" w:rsidRPr="005D07E6" w14:paraId="2F952F12" w14:textId="77777777" w:rsidTr="00DD3F9E">
        <w:trPr>
          <w:trHeight w:val="642"/>
        </w:trPr>
        <w:tc>
          <w:tcPr>
            <w:tcW w:w="2689" w:type="dxa"/>
          </w:tcPr>
          <w:p w14:paraId="08200844" w14:textId="77777777" w:rsidR="00681BAF" w:rsidRPr="005D07E6" w:rsidRDefault="00681BAF" w:rsidP="00DD3F9E">
            <w:pPr>
              <w:jc w:val="center"/>
              <w:rPr>
                <w:b/>
                <w:color w:val="000000" w:themeColor="text1"/>
              </w:rPr>
            </w:pPr>
            <w:r w:rsidRPr="005D07E6">
              <w:rPr>
                <w:b/>
                <w:color w:val="000000" w:themeColor="text1"/>
              </w:rPr>
              <w:t>investors Ratio</w:t>
            </w:r>
          </w:p>
        </w:tc>
        <w:tc>
          <w:tcPr>
            <w:tcW w:w="1134" w:type="dxa"/>
          </w:tcPr>
          <w:p w14:paraId="4FE9D099" w14:textId="77777777" w:rsidR="00681BAF" w:rsidRPr="005D07E6" w:rsidRDefault="00681BAF" w:rsidP="00DD3F9E">
            <w:pPr>
              <w:jc w:val="center"/>
              <w:rPr>
                <w:b/>
                <w:color w:val="000000" w:themeColor="text1"/>
              </w:rPr>
            </w:pPr>
            <w:r w:rsidRPr="005D07E6">
              <w:rPr>
                <w:b/>
                <w:color w:val="000000" w:themeColor="text1"/>
              </w:rPr>
              <w:t>2013</w:t>
            </w:r>
          </w:p>
        </w:tc>
        <w:tc>
          <w:tcPr>
            <w:tcW w:w="1275" w:type="dxa"/>
          </w:tcPr>
          <w:p w14:paraId="57F46AC0" w14:textId="77777777" w:rsidR="00681BAF" w:rsidRPr="005D07E6" w:rsidRDefault="00681BAF" w:rsidP="00DD3F9E">
            <w:pPr>
              <w:jc w:val="center"/>
              <w:rPr>
                <w:b/>
                <w:color w:val="000000" w:themeColor="text1"/>
              </w:rPr>
            </w:pPr>
            <w:r w:rsidRPr="005D07E6">
              <w:rPr>
                <w:b/>
                <w:color w:val="000000" w:themeColor="text1"/>
              </w:rPr>
              <w:t>2014</w:t>
            </w:r>
          </w:p>
        </w:tc>
        <w:tc>
          <w:tcPr>
            <w:tcW w:w="1418" w:type="dxa"/>
          </w:tcPr>
          <w:p w14:paraId="56B03A8A" w14:textId="77777777" w:rsidR="00681BAF" w:rsidRPr="005D07E6" w:rsidRDefault="00681BAF" w:rsidP="00DD3F9E">
            <w:pPr>
              <w:jc w:val="center"/>
              <w:rPr>
                <w:b/>
                <w:color w:val="000000" w:themeColor="text1"/>
              </w:rPr>
            </w:pPr>
            <w:r w:rsidRPr="005D07E6">
              <w:rPr>
                <w:b/>
                <w:color w:val="000000" w:themeColor="text1"/>
              </w:rPr>
              <w:t>2015</w:t>
            </w:r>
          </w:p>
        </w:tc>
        <w:tc>
          <w:tcPr>
            <w:tcW w:w="1417" w:type="dxa"/>
          </w:tcPr>
          <w:p w14:paraId="41C2A476" w14:textId="77777777" w:rsidR="00681BAF" w:rsidRPr="005D07E6" w:rsidRDefault="00681BAF" w:rsidP="00DD3F9E">
            <w:pPr>
              <w:jc w:val="center"/>
              <w:rPr>
                <w:b/>
                <w:color w:val="000000" w:themeColor="text1"/>
              </w:rPr>
            </w:pPr>
            <w:r w:rsidRPr="005D07E6">
              <w:rPr>
                <w:b/>
                <w:color w:val="000000" w:themeColor="text1"/>
              </w:rPr>
              <w:t>2016</w:t>
            </w:r>
          </w:p>
        </w:tc>
        <w:tc>
          <w:tcPr>
            <w:tcW w:w="1125" w:type="dxa"/>
          </w:tcPr>
          <w:p w14:paraId="632C2505" w14:textId="77777777" w:rsidR="00681BAF" w:rsidRPr="005D07E6" w:rsidRDefault="00681BAF" w:rsidP="00DD3F9E">
            <w:pPr>
              <w:jc w:val="center"/>
              <w:rPr>
                <w:b/>
                <w:color w:val="000000" w:themeColor="text1"/>
              </w:rPr>
            </w:pPr>
            <w:r w:rsidRPr="005D07E6">
              <w:rPr>
                <w:b/>
                <w:color w:val="000000" w:themeColor="text1"/>
              </w:rPr>
              <w:t>2017</w:t>
            </w:r>
          </w:p>
        </w:tc>
      </w:tr>
      <w:tr w:rsidR="00681BAF" w:rsidRPr="005D07E6" w14:paraId="7B362DD0" w14:textId="77777777" w:rsidTr="00DD3F9E">
        <w:trPr>
          <w:trHeight w:val="606"/>
        </w:trPr>
        <w:tc>
          <w:tcPr>
            <w:tcW w:w="2689" w:type="dxa"/>
          </w:tcPr>
          <w:p w14:paraId="093BA1DB" w14:textId="77777777" w:rsidR="00681BAF" w:rsidRPr="005D07E6" w:rsidRDefault="00681BAF" w:rsidP="00DD3F9E">
            <w:pPr>
              <w:jc w:val="center"/>
              <w:rPr>
                <w:b/>
                <w:color w:val="000000" w:themeColor="text1"/>
              </w:rPr>
            </w:pPr>
            <w:r w:rsidRPr="005D07E6">
              <w:rPr>
                <w:b/>
                <w:color w:val="000000" w:themeColor="text1"/>
              </w:rPr>
              <w:t xml:space="preserve"> Earnings Per Share </w:t>
            </w:r>
          </w:p>
        </w:tc>
        <w:tc>
          <w:tcPr>
            <w:tcW w:w="1134" w:type="dxa"/>
          </w:tcPr>
          <w:p w14:paraId="4FBCF9A4" w14:textId="77777777" w:rsidR="00681BAF" w:rsidRPr="005D07E6" w:rsidRDefault="00681BAF" w:rsidP="00DD3F9E">
            <w:pPr>
              <w:jc w:val="center"/>
              <w:rPr>
                <w:b/>
                <w:color w:val="000000" w:themeColor="text1"/>
              </w:rPr>
            </w:pPr>
            <w:r w:rsidRPr="005D07E6">
              <w:rPr>
                <w:b/>
                <w:color w:val="000000" w:themeColor="text1"/>
              </w:rPr>
              <w:t>0.24</w:t>
            </w:r>
          </w:p>
        </w:tc>
        <w:tc>
          <w:tcPr>
            <w:tcW w:w="1275" w:type="dxa"/>
          </w:tcPr>
          <w:p w14:paraId="1FC1F36E" w14:textId="77777777" w:rsidR="00681BAF" w:rsidRPr="005D07E6" w:rsidRDefault="00681BAF" w:rsidP="00DD3F9E">
            <w:pPr>
              <w:jc w:val="center"/>
              <w:rPr>
                <w:b/>
                <w:color w:val="000000" w:themeColor="text1"/>
              </w:rPr>
            </w:pPr>
            <w:r w:rsidRPr="005D07E6">
              <w:rPr>
                <w:b/>
                <w:color w:val="000000" w:themeColor="text1"/>
              </w:rPr>
              <w:t>0.25</w:t>
            </w:r>
          </w:p>
        </w:tc>
        <w:tc>
          <w:tcPr>
            <w:tcW w:w="1418" w:type="dxa"/>
          </w:tcPr>
          <w:p w14:paraId="6EA4772F" w14:textId="77777777" w:rsidR="00681BAF" w:rsidRPr="005D07E6" w:rsidRDefault="00681BAF" w:rsidP="00DD3F9E">
            <w:pPr>
              <w:jc w:val="center"/>
              <w:rPr>
                <w:b/>
                <w:color w:val="000000" w:themeColor="text1"/>
              </w:rPr>
            </w:pPr>
            <w:r w:rsidRPr="005D07E6">
              <w:rPr>
                <w:b/>
                <w:color w:val="000000" w:themeColor="text1"/>
              </w:rPr>
              <w:t>0.27</w:t>
            </w:r>
          </w:p>
        </w:tc>
        <w:tc>
          <w:tcPr>
            <w:tcW w:w="1417" w:type="dxa"/>
          </w:tcPr>
          <w:p w14:paraId="367D3711" w14:textId="77777777" w:rsidR="00681BAF" w:rsidRPr="005D07E6" w:rsidRDefault="00681BAF" w:rsidP="00DD3F9E">
            <w:pPr>
              <w:jc w:val="center"/>
              <w:rPr>
                <w:b/>
                <w:color w:val="000000" w:themeColor="text1"/>
              </w:rPr>
            </w:pPr>
            <w:r w:rsidRPr="005D07E6">
              <w:rPr>
                <w:b/>
                <w:color w:val="000000" w:themeColor="text1"/>
              </w:rPr>
              <w:t>0.21</w:t>
            </w:r>
          </w:p>
        </w:tc>
        <w:tc>
          <w:tcPr>
            <w:tcW w:w="1125" w:type="dxa"/>
          </w:tcPr>
          <w:p w14:paraId="7CB65DB7" w14:textId="77777777" w:rsidR="00681BAF" w:rsidRPr="005D07E6" w:rsidRDefault="00681BAF" w:rsidP="00DD3F9E">
            <w:pPr>
              <w:jc w:val="center"/>
              <w:rPr>
                <w:b/>
                <w:color w:val="000000" w:themeColor="text1"/>
              </w:rPr>
            </w:pPr>
            <w:r w:rsidRPr="005D07E6">
              <w:rPr>
                <w:b/>
                <w:color w:val="000000" w:themeColor="text1"/>
              </w:rPr>
              <w:t>0.22</w:t>
            </w:r>
          </w:p>
        </w:tc>
      </w:tr>
    </w:tbl>
    <w:p w14:paraId="688879F9" w14:textId="77777777" w:rsidR="00681BAF" w:rsidRPr="005D07E6" w:rsidRDefault="00681BAF" w:rsidP="00681BAF">
      <w:pPr>
        <w:rPr>
          <w:color w:val="000000" w:themeColor="text1"/>
        </w:rPr>
      </w:pPr>
    </w:p>
    <w:p w14:paraId="56BC3792" w14:textId="77777777" w:rsidR="00681BAF" w:rsidRPr="005D07E6" w:rsidRDefault="00681BAF" w:rsidP="00681BAF">
      <w:pPr>
        <w:rPr>
          <w:color w:val="000000" w:themeColor="text1"/>
        </w:rPr>
      </w:pPr>
      <w:r w:rsidRPr="005D07E6">
        <w:rPr>
          <w:noProof/>
          <w:color w:val="000000" w:themeColor="text1"/>
          <w:lang w:val="en-US"/>
        </w:rPr>
        <w:drawing>
          <wp:inline distT="0" distB="0" distL="0" distR="0" wp14:anchorId="7A9325EA" wp14:editId="7A226895">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DACCE62" w14:textId="77777777" w:rsidR="0052483F" w:rsidRPr="005D07E6" w:rsidRDefault="00681BAF" w:rsidP="00681BAF">
      <w:pPr>
        <w:rPr>
          <w:color w:val="000000" w:themeColor="text1"/>
        </w:rPr>
      </w:pPr>
      <w:r w:rsidRPr="005D07E6">
        <w:rPr>
          <w:color w:val="000000" w:themeColor="text1"/>
        </w:rPr>
        <w:t>The earnings per share for ASDA shows a secular trend from 2013 to 2017 as it</w:t>
      </w:r>
      <w:r w:rsidR="0052483F" w:rsidRPr="005D07E6">
        <w:rPr>
          <w:color w:val="000000" w:themeColor="text1"/>
        </w:rPr>
        <w:t xml:space="preserve"> has</w:t>
      </w:r>
      <w:r w:rsidRPr="005D07E6">
        <w:rPr>
          <w:color w:val="000000" w:themeColor="text1"/>
        </w:rPr>
        <w:t xml:space="preserve"> increased from </w:t>
      </w:r>
      <w:r w:rsidR="0052483F" w:rsidRPr="005D07E6">
        <w:rPr>
          <w:color w:val="000000" w:themeColor="text1"/>
        </w:rPr>
        <w:t>2013 to 2015</w:t>
      </w:r>
      <w:r w:rsidRPr="005D07E6">
        <w:rPr>
          <w:color w:val="000000" w:themeColor="text1"/>
        </w:rPr>
        <w:t xml:space="preserve"> but declined in 2016. The reason for decline in 2016 in the decline in sales revenue for that period. The earning per share is quite low for Asda which means that Asda is facing to earn revenue and Asda is in its maturity of the business life cycle which indicates lower growth prospects. If the earning per share is not improved in the future, Asda will experience significant decline in its share price.</w:t>
      </w:r>
    </w:p>
    <w:p w14:paraId="3976401F" w14:textId="77777777" w:rsidR="0052483F" w:rsidRPr="005D07E6" w:rsidRDefault="0052483F" w:rsidP="0052483F">
      <w:pPr>
        <w:rPr>
          <w:color w:val="000000" w:themeColor="text1"/>
        </w:rPr>
      </w:pPr>
      <w:r w:rsidRPr="005D07E6">
        <w:rPr>
          <w:color w:val="000000" w:themeColor="text1"/>
        </w:rPr>
        <w:t>The comparison of investor ratio of Asda and Tesco is shown below</w:t>
      </w:r>
    </w:p>
    <w:tbl>
      <w:tblPr>
        <w:tblStyle w:val="TableGrid"/>
        <w:tblW w:w="9027" w:type="dxa"/>
        <w:tblLook w:val="04A0" w:firstRow="1" w:lastRow="0" w:firstColumn="1" w:lastColumn="0" w:noHBand="0" w:noVBand="1"/>
      </w:tblPr>
      <w:tblGrid>
        <w:gridCol w:w="2830"/>
        <w:gridCol w:w="3261"/>
        <w:gridCol w:w="2936"/>
      </w:tblGrid>
      <w:tr w:rsidR="005D07E6" w:rsidRPr="005D07E6" w14:paraId="165F08B7" w14:textId="77777777" w:rsidTr="00DD3F9E">
        <w:trPr>
          <w:trHeight w:val="578"/>
        </w:trPr>
        <w:tc>
          <w:tcPr>
            <w:tcW w:w="2830" w:type="dxa"/>
          </w:tcPr>
          <w:p w14:paraId="0886B9C9" w14:textId="77777777" w:rsidR="0052483F" w:rsidRPr="005D07E6" w:rsidRDefault="0052483F" w:rsidP="00DD3F9E">
            <w:pPr>
              <w:jc w:val="center"/>
              <w:rPr>
                <w:b/>
                <w:color w:val="000000" w:themeColor="text1"/>
              </w:rPr>
            </w:pPr>
            <w:r w:rsidRPr="005D07E6">
              <w:rPr>
                <w:b/>
                <w:color w:val="000000" w:themeColor="text1"/>
              </w:rPr>
              <w:t>Investor Ratio</w:t>
            </w:r>
          </w:p>
        </w:tc>
        <w:tc>
          <w:tcPr>
            <w:tcW w:w="3261" w:type="dxa"/>
          </w:tcPr>
          <w:p w14:paraId="3392034D" w14:textId="77777777" w:rsidR="0052483F" w:rsidRPr="005D07E6" w:rsidRDefault="0052483F" w:rsidP="00DD3F9E">
            <w:pPr>
              <w:jc w:val="center"/>
              <w:rPr>
                <w:b/>
                <w:color w:val="000000" w:themeColor="text1"/>
              </w:rPr>
            </w:pPr>
            <w:r w:rsidRPr="005D07E6">
              <w:rPr>
                <w:b/>
                <w:color w:val="000000" w:themeColor="text1"/>
              </w:rPr>
              <w:t>ASDA</w:t>
            </w:r>
          </w:p>
        </w:tc>
        <w:tc>
          <w:tcPr>
            <w:tcW w:w="2936" w:type="dxa"/>
          </w:tcPr>
          <w:p w14:paraId="03956C0E" w14:textId="77777777" w:rsidR="0052483F" w:rsidRPr="005D07E6" w:rsidRDefault="0052483F" w:rsidP="00DD3F9E">
            <w:pPr>
              <w:jc w:val="center"/>
              <w:rPr>
                <w:b/>
                <w:color w:val="000000" w:themeColor="text1"/>
              </w:rPr>
            </w:pPr>
            <w:r w:rsidRPr="005D07E6">
              <w:rPr>
                <w:b/>
                <w:color w:val="000000" w:themeColor="text1"/>
              </w:rPr>
              <w:t>Tesco</w:t>
            </w:r>
          </w:p>
        </w:tc>
      </w:tr>
      <w:tr w:rsidR="005D07E6" w:rsidRPr="005D07E6" w14:paraId="079DEB01" w14:textId="77777777" w:rsidTr="00DD3F9E">
        <w:trPr>
          <w:trHeight w:val="546"/>
        </w:trPr>
        <w:tc>
          <w:tcPr>
            <w:tcW w:w="2830" w:type="dxa"/>
          </w:tcPr>
          <w:p w14:paraId="56DE0DBA" w14:textId="77777777" w:rsidR="0052483F" w:rsidRPr="005D07E6" w:rsidRDefault="0052483F" w:rsidP="00DD3F9E">
            <w:pPr>
              <w:jc w:val="center"/>
              <w:rPr>
                <w:b/>
                <w:color w:val="000000" w:themeColor="text1"/>
              </w:rPr>
            </w:pPr>
          </w:p>
        </w:tc>
        <w:tc>
          <w:tcPr>
            <w:tcW w:w="3261" w:type="dxa"/>
          </w:tcPr>
          <w:p w14:paraId="1FC169B8" w14:textId="77777777" w:rsidR="0052483F" w:rsidRPr="005D07E6" w:rsidRDefault="0052483F" w:rsidP="00DD3F9E">
            <w:pPr>
              <w:jc w:val="center"/>
              <w:rPr>
                <w:b/>
                <w:color w:val="000000" w:themeColor="text1"/>
              </w:rPr>
            </w:pPr>
            <w:r w:rsidRPr="005D07E6">
              <w:rPr>
                <w:b/>
                <w:color w:val="000000" w:themeColor="text1"/>
              </w:rPr>
              <w:t>2017</w:t>
            </w:r>
          </w:p>
        </w:tc>
        <w:tc>
          <w:tcPr>
            <w:tcW w:w="2936" w:type="dxa"/>
          </w:tcPr>
          <w:p w14:paraId="5A0186D1" w14:textId="77777777" w:rsidR="0052483F" w:rsidRPr="005D07E6" w:rsidRDefault="0052483F" w:rsidP="00DD3F9E">
            <w:pPr>
              <w:jc w:val="center"/>
              <w:rPr>
                <w:b/>
                <w:color w:val="000000" w:themeColor="text1"/>
              </w:rPr>
            </w:pPr>
            <w:r w:rsidRPr="005D07E6">
              <w:rPr>
                <w:b/>
                <w:color w:val="000000" w:themeColor="text1"/>
              </w:rPr>
              <w:t>2017</w:t>
            </w:r>
          </w:p>
        </w:tc>
      </w:tr>
      <w:tr w:rsidR="0052483F" w:rsidRPr="005D07E6" w14:paraId="29829C04" w14:textId="77777777" w:rsidTr="00DD3F9E">
        <w:trPr>
          <w:trHeight w:val="546"/>
        </w:trPr>
        <w:tc>
          <w:tcPr>
            <w:tcW w:w="2830" w:type="dxa"/>
          </w:tcPr>
          <w:p w14:paraId="504D2821" w14:textId="77777777" w:rsidR="0052483F" w:rsidRPr="005D07E6" w:rsidRDefault="001D3095" w:rsidP="00DD3F9E">
            <w:pPr>
              <w:jc w:val="center"/>
              <w:rPr>
                <w:b/>
                <w:color w:val="000000" w:themeColor="text1"/>
              </w:rPr>
            </w:pPr>
            <w:r w:rsidRPr="005D07E6">
              <w:rPr>
                <w:b/>
                <w:color w:val="000000" w:themeColor="text1"/>
              </w:rPr>
              <w:t>Earnings</w:t>
            </w:r>
            <w:r w:rsidR="0052483F" w:rsidRPr="005D07E6">
              <w:rPr>
                <w:b/>
                <w:color w:val="000000" w:themeColor="text1"/>
              </w:rPr>
              <w:t xml:space="preserve"> Per Share</w:t>
            </w:r>
          </w:p>
        </w:tc>
        <w:tc>
          <w:tcPr>
            <w:tcW w:w="3261" w:type="dxa"/>
          </w:tcPr>
          <w:p w14:paraId="3B095E9E" w14:textId="77777777" w:rsidR="0052483F" w:rsidRPr="005D07E6" w:rsidRDefault="0052483F" w:rsidP="00DD3F9E">
            <w:pPr>
              <w:jc w:val="center"/>
              <w:rPr>
                <w:b/>
                <w:color w:val="000000" w:themeColor="text1"/>
              </w:rPr>
            </w:pPr>
            <w:r w:rsidRPr="005D07E6">
              <w:rPr>
                <w:b/>
                <w:color w:val="000000" w:themeColor="text1"/>
              </w:rPr>
              <w:t>0.22</w:t>
            </w:r>
          </w:p>
        </w:tc>
        <w:tc>
          <w:tcPr>
            <w:tcW w:w="2936" w:type="dxa"/>
          </w:tcPr>
          <w:p w14:paraId="717FAB10" w14:textId="77777777" w:rsidR="0052483F" w:rsidRPr="005D07E6" w:rsidRDefault="0052483F" w:rsidP="00DD3F9E">
            <w:pPr>
              <w:jc w:val="center"/>
              <w:rPr>
                <w:rFonts w:ascii="Calibri" w:hAnsi="Calibri"/>
                <w:b/>
                <w:color w:val="000000" w:themeColor="text1"/>
              </w:rPr>
            </w:pPr>
            <w:r w:rsidRPr="005D07E6">
              <w:rPr>
                <w:rFonts w:ascii="Calibri" w:hAnsi="Calibri"/>
                <w:b/>
                <w:color w:val="000000" w:themeColor="text1"/>
              </w:rPr>
              <w:t>0.07</w:t>
            </w:r>
          </w:p>
          <w:p w14:paraId="49D27295" w14:textId="77777777" w:rsidR="0052483F" w:rsidRPr="005D07E6" w:rsidRDefault="0052483F" w:rsidP="00DD3F9E">
            <w:pPr>
              <w:jc w:val="center"/>
              <w:rPr>
                <w:b/>
                <w:color w:val="000000" w:themeColor="text1"/>
              </w:rPr>
            </w:pPr>
          </w:p>
        </w:tc>
      </w:tr>
    </w:tbl>
    <w:p w14:paraId="12A80FC9" w14:textId="77777777" w:rsidR="0052483F" w:rsidRPr="005D07E6" w:rsidRDefault="0052483F" w:rsidP="0052483F">
      <w:pPr>
        <w:autoSpaceDE w:val="0"/>
        <w:autoSpaceDN w:val="0"/>
        <w:adjustRightInd w:val="0"/>
        <w:spacing w:after="0" w:line="240" w:lineRule="auto"/>
        <w:rPr>
          <w:color w:val="000000" w:themeColor="text1"/>
        </w:rPr>
      </w:pPr>
    </w:p>
    <w:p w14:paraId="54724CB0" w14:textId="77777777" w:rsidR="0052483F" w:rsidRPr="005D07E6" w:rsidRDefault="0052483F" w:rsidP="0052483F">
      <w:pPr>
        <w:autoSpaceDE w:val="0"/>
        <w:autoSpaceDN w:val="0"/>
        <w:adjustRightInd w:val="0"/>
        <w:spacing w:after="0" w:line="240" w:lineRule="auto"/>
        <w:rPr>
          <w:color w:val="000000" w:themeColor="text1"/>
        </w:rPr>
      </w:pPr>
      <w:r w:rsidRPr="005D07E6">
        <w:rPr>
          <w:noProof/>
          <w:color w:val="000000" w:themeColor="text1"/>
          <w:lang w:val="en-US"/>
        </w:rPr>
        <w:lastRenderedPageBreak/>
        <w:drawing>
          <wp:inline distT="0" distB="0" distL="0" distR="0" wp14:anchorId="15130F99" wp14:editId="174A109D">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FF4DE65" w14:textId="77777777" w:rsidR="0052483F" w:rsidRPr="005D07E6" w:rsidRDefault="0052483F" w:rsidP="0052483F">
      <w:pPr>
        <w:autoSpaceDE w:val="0"/>
        <w:autoSpaceDN w:val="0"/>
        <w:adjustRightInd w:val="0"/>
        <w:spacing w:after="0" w:line="240" w:lineRule="auto"/>
        <w:rPr>
          <w:color w:val="000000" w:themeColor="text1"/>
        </w:rPr>
      </w:pPr>
    </w:p>
    <w:p w14:paraId="30049618" w14:textId="77777777" w:rsidR="0052483F" w:rsidRPr="005D07E6" w:rsidRDefault="0052483F" w:rsidP="0052483F">
      <w:pPr>
        <w:autoSpaceDE w:val="0"/>
        <w:autoSpaceDN w:val="0"/>
        <w:adjustRightInd w:val="0"/>
        <w:spacing w:after="0" w:line="240" w:lineRule="auto"/>
        <w:rPr>
          <w:color w:val="000000" w:themeColor="text1"/>
        </w:rPr>
      </w:pPr>
      <w:r w:rsidRPr="005D07E6">
        <w:rPr>
          <w:color w:val="000000" w:themeColor="text1"/>
        </w:rPr>
        <w:t>The comparison reveals that Tesco has lower earnings per share than Asda. The lower earnings per share for Tesco is the result of higher operating cost and higher finance cost.</w:t>
      </w:r>
    </w:p>
    <w:p w14:paraId="3AFEE28C" w14:textId="77777777" w:rsidR="0052483F" w:rsidRPr="005D07E6" w:rsidRDefault="0052483F" w:rsidP="0052483F">
      <w:pPr>
        <w:autoSpaceDE w:val="0"/>
        <w:autoSpaceDN w:val="0"/>
        <w:adjustRightInd w:val="0"/>
        <w:spacing w:after="0" w:line="240" w:lineRule="auto"/>
        <w:rPr>
          <w:color w:val="000000" w:themeColor="text1"/>
        </w:rPr>
      </w:pPr>
    </w:p>
    <w:p w14:paraId="5F45E7CE" w14:textId="77777777" w:rsidR="0052483F" w:rsidRPr="005D07E6" w:rsidRDefault="0052483F" w:rsidP="0052483F">
      <w:pPr>
        <w:autoSpaceDE w:val="0"/>
        <w:autoSpaceDN w:val="0"/>
        <w:adjustRightInd w:val="0"/>
        <w:spacing w:after="0" w:line="240" w:lineRule="auto"/>
        <w:rPr>
          <w:color w:val="000000" w:themeColor="text1"/>
        </w:rPr>
      </w:pPr>
    </w:p>
    <w:p w14:paraId="17DAA69A" w14:textId="77777777" w:rsidR="0052483F" w:rsidRPr="005D07E6" w:rsidRDefault="0052483F" w:rsidP="0052483F">
      <w:pPr>
        <w:autoSpaceDE w:val="0"/>
        <w:autoSpaceDN w:val="0"/>
        <w:adjustRightInd w:val="0"/>
        <w:spacing w:after="0" w:line="240" w:lineRule="auto"/>
        <w:rPr>
          <w:b/>
          <w:color w:val="000000" w:themeColor="text1"/>
          <w:sz w:val="32"/>
        </w:rPr>
      </w:pPr>
      <w:r w:rsidRPr="005D07E6">
        <w:rPr>
          <w:b/>
          <w:color w:val="000000" w:themeColor="text1"/>
          <w:sz w:val="32"/>
        </w:rPr>
        <w:t>Recommendations:</w:t>
      </w:r>
    </w:p>
    <w:p w14:paraId="3A36107A" w14:textId="77777777" w:rsidR="0052483F" w:rsidRPr="005D07E6" w:rsidRDefault="0052483F" w:rsidP="0052483F">
      <w:pPr>
        <w:autoSpaceDE w:val="0"/>
        <w:autoSpaceDN w:val="0"/>
        <w:adjustRightInd w:val="0"/>
        <w:spacing w:after="0" w:line="240" w:lineRule="auto"/>
        <w:rPr>
          <w:b/>
          <w:color w:val="000000" w:themeColor="text1"/>
        </w:rPr>
      </w:pPr>
    </w:p>
    <w:p w14:paraId="4722EA71" w14:textId="77777777" w:rsidR="0052483F" w:rsidRPr="005D07E6" w:rsidRDefault="001D3095" w:rsidP="005D07E6">
      <w:r w:rsidRPr="005D07E6">
        <w:t>The management of ASDA</w:t>
      </w:r>
      <w:r w:rsidR="0052483F" w:rsidRPr="005D07E6">
        <w:t xml:space="preserve"> needs not only to put its focus from lower pricing strategy that is from low cost provider but also put its focus in premium market segment in order to become the best cost provider.  The firm also needs to control its operating as the operating cost is increasing every year. The growth in sales revenue will be useless if Asda does not control its operating cost because Asda will </w:t>
      </w:r>
      <w:r w:rsidRPr="005D07E6">
        <w:t xml:space="preserve">be make sufficient profit. ASDA </w:t>
      </w:r>
      <w:r w:rsidR="0052483F" w:rsidRPr="005D07E6">
        <w:t>needs to improve its Account receivable management as the debtors are taking more time than the credit time offered by A</w:t>
      </w:r>
      <w:r w:rsidRPr="005D07E6">
        <w:t>SDA</w:t>
      </w:r>
      <w:r w:rsidR="0052483F" w:rsidRPr="005D07E6">
        <w:t>. A</w:t>
      </w:r>
      <w:r w:rsidRPr="005D07E6">
        <w:t>SDA</w:t>
      </w:r>
      <w:r w:rsidR="0052483F" w:rsidRPr="005D07E6">
        <w:t xml:space="preserve"> needs to improve its supply chain management especially in the payment period in order to improve its image among the supplier. The gearing ratio for A</w:t>
      </w:r>
      <w:r w:rsidRPr="005D07E6">
        <w:t>SDA</w:t>
      </w:r>
      <w:r w:rsidR="0052483F" w:rsidRPr="005D07E6">
        <w:t xml:space="preserve"> is lower. Asda should use more long term debt to finance its assets and investment because it will increase the sales revenue and magnify the net profit.</w:t>
      </w:r>
    </w:p>
    <w:p w14:paraId="2188CDE4" w14:textId="77777777" w:rsidR="0052483F" w:rsidRPr="005D07E6" w:rsidRDefault="0052483F" w:rsidP="005D07E6">
      <w:pPr>
        <w:rPr>
          <w:rFonts w:cs="DejaVuSans"/>
          <w:szCs w:val="18"/>
        </w:rPr>
      </w:pPr>
      <w:r w:rsidRPr="005D07E6">
        <w:t>The advent of German discount supermarket Aldi and Lidl has impacted the business of Asda. As a Result, A</w:t>
      </w:r>
      <w:r w:rsidR="001D3095" w:rsidRPr="005D07E6">
        <w:t>SDA</w:t>
      </w:r>
      <w:r w:rsidRPr="005D07E6">
        <w:t xml:space="preserve"> and Sainsbury announced a merger deal in 2018 but it was blocked by the Competition and Markets Authority (CMA) of United Kingdom for the fear of increasing price. So, A</w:t>
      </w:r>
      <w:r w:rsidR="001D3095" w:rsidRPr="005D07E6">
        <w:t>SDA</w:t>
      </w:r>
      <w:r w:rsidRPr="005D07E6">
        <w:t xml:space="preserve"> should make an acquisition deal with either Aldi or Lidl which will help them compete more effective and efficiently with major competitors.</w:t>
      </w:r>
    </w:p>
    <w:p w14:paraId="184F5954" w14:textId="77777777" w:rsidR="0052483F" w:rsidRPr="005D07E6" w:rsidRDefault="0052483F" w:rsidP="0052483F">
      <w:pPr>
        <w:autoSpaceDE w:val="0"/>
        <w:autoSpaceDN w:val="0"/>
        <w:adjustRightInd w:val="0"/>
        <w:spacing w:after="0" w:line="240" w:lineRule="auto"/>
        <w:rPr>
          <w:rFonts w:ascii="DejaVuSans" w:hAnsi="DejaVuSans" w:cs="DejaVuSans"/>
          <w:color w:val="000000" w:themeColor="text1"/>
          <w:sz w:val="18"/>
          <w:szCs w:val="18"/>
        </w:rPr>
      </w:pPr>
    </w:p>
    <w:p w14:paraId="3722B984" w14:textId="77777777" w:rsidR="0052483F" w:rsidRPr="005D07E6" w:rsidRDefault="001D3095" w:rsidP="001D3095">
      <w:pPr>
        <w:pStyle w:val="Heading1"/>
        <w:jc w:val="center"/>
        <w:rPr>
          <w:b w:val="0"/>
          <w:color w:val="000000" w:themeColor="text1"/>
          <w:sz w:val="36"/>
          <w:szCs w:val="22"/>
        </w:rPr>
      </w:pPr>
      <w:bookmarkStart w:id="6" w:name="_Toc7831806"/>
      <w:r w:rsidRPr="005D07E6">
        <w:rPr>
          <w:color w:val="000000" w:themeColor="text1"/>
          <w:sz w:val="36"/>
        </w:rPr>
        <w:lastRenderedPageBreak/>
        <w:t xml:space="preserve">Part C: </w:t>
      </w:r>
      <w:r w:rsidRPr="005D07E6">
        <w:rPr>
          <w:color w:val="000000" w:themeColor="text1"/>
          <w:sz w:val="36"/>
          <w:szCs w:val="22"/>
        </w:rPr>
        <w:t>Carry out investment appraisal techniques to evaluate the following two projects</w:t>
      </w:r>
      <w:bookmarkEnd w:id="6"/>
    </w:p>
    <w:p w14:paraId="4A33DA2A" w14:textId="77777777" w:rsidR="001D3095" w:rsidRPr="005D07E6" w:rsidRDefault="001D3095" w:rsidP="001D3095">
      <w:pPr>
        <w:rPr>
          <w:color w:val="000000" w:themeColor="text1"/>
        </w:rPr>
      </w:pPr>
    </w:p>
    <w:p w14:paraId="42455599" w14:textId="77777777" w:rsidR="0052483F" w:rsidRPr="005D07E6" w:rsidRDefault="0052483F" w:rsidP="005D07E6">
      <w:r w:rsidRPr="005D07E6">
        <w:t xml:space="preserve">1. Calculate the Payback Period (PBP), Accounting Rate of Return (ARR), Internal Rate of Return (IRR) and the Net Present Value (NPV) of the project. Evaluate the results of these calculations and recommend with reasons which project should be adopted </w:t>
      </w:r>
    </w:p>
    <w:p w14:paraId="78F1AE56" w14:textId="77777777" w:rsidR="0052483F" w:rsidRPr="005D07E6" w:rsidRDefault="0052483F" w:rsidP="0052483F">
      <w:pPr>
        <w:rPr>
          <w:color w:val="000000" w:themeColor="text1"/>
        </w:rPr>
      </w:pPr>
    </w:p>
    <w:p w14:paraId="6ABA1EB0" w14:textId="77777777" w:rsidR="0052483F" w:rsidRPr="005D07E6" w:rsidRDefault="0052483F" w:rsidP="0052483F">
      <w:pPr>
        <w:pStyle w:val="ListParagraph"/>
        <w:numPr>
          <w:ilvl w:val="0"/>
          <w:numId w:val="2"/>
        </w:numPr>
        <w:rPr>
          <w:b/>
          <w:color w:val="000000" w:themeColor="text1"/>
          <w:sz w:val="28"/>
        </w:rPr>
      </w:pPr>
      <w:r w:rsidRPr="005D07E6">
        <w:rPr>
          <w:b/>
          <w:color w:val="000000" w:themeColor="text1"/>
          <w:sz w:val="28"/>
        </w:rPr>
        <w:t>Payback Period:</w:t>
      </w:r>
    </w:p>
    <w:p w14:paraId="0138331D" w14:textId="77777777" w:rsidR="0052483F" w:rsidRPr="005D07E6" w:rsidRDefault="0052483F" w:rsidP="0052483F">
      <w:pPr>
        <w:rPr>
          <w:color w:val="000000" w:themeColor="text1"/>
        </w:rPr>
      </w:pPr>
      <w:r w:rsidRPr="005D07E6">
        <w:rPr>
          <w:color w:val="000000" w:themeColor="text1"/>
        </w:rPr>
        <w:t>Payback period for uneven cash flows=</w:t>
      </w:r>
      <m:oMath>
        <m:r>
          <w:rPr>
            <w:rFonts w:ascii="Cambria Math" w:hAnsi="Cambria Math"/>
            <w:color w:val="000000" w:themeColor="text1"/>
          </w:rPr>
          <m:t>A</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I</m:t>
            </m:r>
            <m:r>
              <m:rPr>
                <m:sty m:val="p"/>
              </m:rPr>
              <w:rPr>
                <w:rFonts w:ascii="Cambria Math" w:hAnsi="Cambria Math"/>
                <w:color w:val="000000" w:themeColor="text1"/>
              </w:rPr>
              <m:t>-</m:t>
            </m:r>
            <m:r>
              <w:rPr>
                <w:rFonts w:ascii="Cambria Math" w:hAnsi="Cambria Math"/>
                <w:color w:val="000000" w:themeColor="text1"/>
              </w:rPr>
              <m:t>C</m:t>
            </m:r>
          </m:num>
          <m:den>
            <m:r>
              <w:rPr>
                <w:rFonts w:ascii="Cambria Math" w:hAnsi="Cambria Math"/>
                <w:color w:val="000000" w:themeColor="text1"/>
              </w:rPr>
              <m:t>D</m:t>
            </m:r>
          </m:den>
        </m:f>
      </m:oMath>
    </w:p>
    <w:p w14:paraId="27127F8D" w14:textId="77777777" w:rsidR="0052483F" w:rsidRPr="005D07E6" w:rsidRDefault="0052483F" w:rsidP="0052483F">
      <w:pPr>
        <w:rPr>
          <w:color w:val="000000" w:themeColor="text1"/>
        </w:rPr>
      </w:pPr>
      <w:r w:rsidRPr="005D07E6">
        <w:rPr>
          <w:color w:val="000000" w:themeColor="text1"/>
        </w:rPr>
        <w:t xml:space="preserve">Here, </w:t>
      </w:r>
    </w:p>
    <w:p w14:paraId="0BB41479" w14:textId="77777777" w:rsidR="0052483F" w:rsidRPr="005D07E6" w:rsidRDefault="0052483F" w:rsidP="0052483F">
      <w:pPr>
        <w:rPr>
          <w:color w:val="000000" w:themeColor="text1"/>
        </w:rPr>
      </w:pPr>
      <w:r w:rsidRPr="005D07E6">
        <w:rPr>
          <w:color w:val="000000" w:themeColor="text1"/>
        </w:rPr>
        <w:tab/>
        <w:t>A= cumulative net cash flows year near to outflow</w:t>
      </w:r>
    </w:p>
    <w:p w14:paraId="16822E0A" w14:textId="77777777" w:rsidR="0052483F" w:rsidRPr="005D07E6" w:rsidRDefault="0052483F" w:rsidP="0052483F">
      <w:pPr>
        <w:rPr>
          <w:color w:val="000000" w:themeColor="text1"/>
        </w:rPr>
      </w:pPr>
      <w:r w:rsidRPr="005D07E6">
        <w:rPr>
          <w:color w:val="000000" w:themeColor="text1"/>
        </w:rPr>
        <w:tab/>
        <w:t>I= Initial Investment</w:t>
      </w:r>
    </w:p>
    <w:p w14:paraId="1B2D056F" w14:textId="77777777" w:rsidR="0052483F" w:rsidRPr="005D07E6" w:rsidRDefault="0052483F" w:rsidP="0052483F">
      <w:pPr>
        <w:ind w:firstLine="720"/>
        <w:rPr>
          <w:color w:val="000000" w:themeColor="text1"/>
        </w:rPr>
      </w:pPr>
      <w:r w:rsidRPr="005D07E6">
        <w:rPr>
          <w:color w:val="000000" w:themeColor="text1"/>
        </w:rPr>
        <w:t>C= Cumulative Projected Cash Flow of the year</w:t>
      </w:r>
    </w:p>
    <w:p w14:paraId="293637F6" w14:textId="77777777" w:rsidR="0052483F" w:rsidRPr="005D07E6" w:rsidRDefault="0052483F" w:rsidP="0052483F">
      <w:pPr>
        <w:ind w:firstLine="720"/>
        <w:rPr>
          <w:color w:val="000000" w:themeColor="text1"/>
        </w:rPr>
      </w:pPr>
      <w:r w:rsidRPr="005D07E6">
        <w:rPr>
          <w:color w:val="000000" w:themeColor="text1"/>
        </w:rPr>
        <w:t>D= net cash flows of recovery year</w:t>
      </w:r>
    </w:p>
    <w:p w14:paraId="200D9A88" w14:textId="77777777" w:rsidR="0052483F" w:rsidRPr="005D07E6" w:rsidRDefault="0052483F" w:rsidP="0052483F">
      <w:pPr>
        <w:rPr>
          <w:b/>
          <w:color w:val="000000" w:themeColor="text1"/>
        </w:rPr>
      </w:pPr>
      <w:r w:rsidRPr="005D07E6">
        <w:rPr>
          <w:b/>
          <w:color w:val="000000" w:themeColor="text1"/>
        </w:rPr>
        <w:t>Project A</w:t>
      </w:r>
    </w:p>
    <w:p w14:paraId="44EE15CB" w14:textId="77777777" w:rsidR="0052483F" w:rsidRPr="005D07E6" w:rsidRDefault="0052483F" w:rsidP="0052483F">
      <w:pPr>
        <w:rPr>
          <w:color w:val="000000" w:themeColor="text1"/>
        </w:rPr>
      </w:pPr>
      <w:r w:rsidRPr="005D07E6">
        <w:rPr>
          <w:color w:val="000000" w:themeColor="text1"/>
        </w:rPr>
        <w:t xml:space="preserve">Here, </w:t>
      </w:r>
    </w:p>
    <w:p w14:paraId="7CC6E409"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85000000</w:t>
      </w:r>
    </w:p>
    <w:p w14:paraId="75271E8F"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10000000</w:t>
      </w:r>
    </w:p>
    <w:p w14:paraId="78CC465D"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20000000</w:t>
      </w:r>
    </w:p>
    <w:p w14:paraId="4FB445B6"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51E32E8F"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55000000</w:t>
      </w:r>
    </w:p>
    <w:p w14:paraId="137DFCD1" w14:textId="77777777" w:rsidR="005D07E6" w:rsidRDefault="005D07E6">
      <w:pPr>
        <w:spacing w:line="259" w:lineRule="auto"/>
        <w:jc w:val="left"/>
        <w:rPr>
          <w:color w:val="000000" w:themeColor="text1"/>
        </w:rPr>
      </w:pPr>
      <w:r>
        <w:rPr>
          <w:color w:val="000000" w:themeColor="text1"/>
        </w:rPr>
        <w:br w:type="page"/>
      </w:r>
    </w:p>
    <w:p w14:paraId="6358A1BC" w14:textId="77777777" w:rsidR="0052483F" w:rsidRPr="005D07E6" w:rsidRDefault="0052483F" w:rsidP="0052483F">
      <w:pPr>
        <w:rPr>
          <w:color w:val="000000" w:themeColor="text1"/>
        </w:rPr>
      </w:pPr>
    </w:p>
    <w:tbl>
      <w:tblPr>
        <w:tblStyle w:val="TableGrid"/>
        <w:tblW w:w="0" w:type="auto"/>
        <w:tblLook w:val="04A0" w:firstRow="1" w:lastRow="0" w:firstColumn="1" w:lastColumn="0" w:noHBand="0" w:noVBand="1"/>
      </w:tblPr>
      <w:tblGrid>
        <w:gridCol w:w="1413"/>
        <w:gridCol w:w="4111"/>
        <w:gridCol w:w="3476"/>
      </w:tblGrid>
      <w:tr w:rsidR="005D07E6" w:rsidRPr="005D07E6" w14:paraId="0B7ADB3B" w14:textId="77777777" w:rsidTr="00DD3F9E">
        <w:trPr>
          <w:trHeight w:val="490"/>
        </w:trPr>
        <w:tc>
          <w:tcPr>
            <w:tcW w:w="1413" w:type="dxa"/>
          </w:tcPr>
          <w:p w14:paraId="5A4191E5" w14:textId="77777777" w:rsidR="0052483F" w:rsidRPr="005D07E6" w:rsidRDefault="0052483F" w:rsidP="0052483F">
            <w:pPr>
              <w:rPr>
                <w:color w:val="000000" w:themeColor="text1"/>
              </w:rPr>
            </w:pPr>
            <w:r w:rsidRPr="005D07E6">
              <w:rPr>
                <w:color w:val="000000" w:themeColor="text1"/>
              </w:rPr>
              <w:t>Year</w:t>
            </w:r>
          </w:p>
        </w:tc>
        <w:tc>
          <w:tcPr>
            <w:tcW w:w="4111" w:type="dxa"/>
          </w:tcPr>
          <w:p w14:paraId="2086EDE9" w14:textId="77777777" w:rsidR="0052483F" w:rsidRPr="005D07E6" w:rsidRDefault="0052483F" w:rsidP="0052483F">
            <w:pPr>
              <w:rPr>
                <w:color w:val="000000" w:themeColor="text1"/>
              </w:rPr>
            </w:pPr>
            <w:r w:rsidRPr="005D07E6">
              <w:rPr>
                <w:color w:val="000000" w:themeColor="text1"/>
              </w:rPr>
              <w:t>Projected Net Cash Flow</w:t>
            </w:r>
          </w:p>
        </w:tc>
        <w:tc>
          <w:tcPr>
            <w:tcW w:w="3476" w:type="dxa"/>
          </w:tcPr>
          <w:p w14:paraId="7361D6D0" w14:textId="77777777" w:rsidR="0052483F" w:rsidRPr="005D07E6" w:rsidRDefault="0052483F" w:rsidP="0052483F">
            <w:pPr>
              <w:rPr>
                <w:color w:val="000000" w:themeColor="text1"/>
              </w:rPr>
            </w:pPr>
            <w:r w:rsidRPr="005D07E6">
              <w:rPr>
                <w:color w:val="000000" w:themeColor="text1"/>
              </w:rPr>
              <w:t>Cumulative Projected Cash Flow</w:t>
            </w:r>
          </w:p>
        </w:tc>
      </w:tr>
      <w:tr w:rsidR="005D07E6" w:rsidRPr="005D07E6" w14:paraId="6BA43555" w14:textId="77777777" w:rsidTr="00DD3F9E">
        <w:trPr>
          <w:trHeight w:val="463"/>
        </w:trPr>
        <w:tc>
          <w:tcPr>
            <w:tcW w:w="1413" w:type="dxa"/>
          </w:tcPr>
          <w:p w14:paraId="03392F0B" w14:textId="77777777" w:rsidR="0052483F" w:rsidRPr="005D07E6" w:rsidRDefault="0052483F" w:rsidP="0052483F">
            <w:pPr>
              <w:rPr>
                <w:color w:val="000000" w:themeColor="text1"/>
              </w:rPr>
            </w:pPr>
            <w:r w:rsidRPr="005D07E6">
              <w:rPr>
                <w:color w:val="000000" w:themeColor="text1"/>
              </w:rPr>
              <w:t>1</w:t>
            </w:r>
          </w:p>
        </w:tc>
        <w:tc>
          <w:tcPr>
            <w:tcW w:w="4111" w:type="dxa"/>
          </w:tcPr>
          <w:p w14:paraId="43CE6CD9"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10000000</w:t>
            </w:r>
          </w:p>
        </w:tc>
        <w:tc>
          <w:tcPr>
            <w:tcW w:w="3476" w:type="dxa"/>
          </w:tcPr>
          <w:p w14:paraId="61328EFC"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10000000</w:t>
            </w:r>
          </w:p>
        </w:tc>
      </w:tr>
      <w:tr w:rsidR="005D07E6" w:rsidRPr="005D07E6" w14:paraId="2444F71E" w14:textId="77777777" w:rsidTr="00DD3F9E">
        <w:trPr>
          <w:trHeight w:val="490"/>
        </w:trPr>
        <w:tc>
          <w:tcPr>
            <w:tcW w:w="1413" w:type="dxa"/>
          </w:tcPr>
          <w:p w14:paraId="159EEB47" w14:textId="77777777" w:rsidR="0052483F" w:rsidRPr="005D07E6" w:rsidRDefault="0052483F" w:rsidP="0052483F">
            <w:pPr>
              <w:rPr>
                <w:color w:val="000000" w:themeColor="text1"/>
              </w:rPr>
            </w:pPr>
            <w:r w:rsidRPr="005D07E6">
              <w:rPr>
                <w:color w:val="000000" w:themeColor="text1"/>
              </w:rPr>
              <w:t>2</w:t>
            </w:r>
          </w:p>
        </w:tc>
        <w:tc>
          <w:tcPr>
            <w:tcW w:w="4111" w:type="dxa"/>
          </w:tcPr>
          <w:p w14:paraId="0CB4BDC4" w14:textId="77777777" w:rsidR="0052483F" w:rsidRPr="005D07E6" w:rsidRDefault="0052483F" w:rsidP="0052483F">
            <w:pPr>
              <w:rPr>
                <w:rFonts w:eastAsia="Times New Roman" w:cs="Times New Roman"/>
                <w:color w:val="000000" w:themeColor="text1"/>
                <w:lang w:eastAsia="en-GB"/>
              </w:rPr>
            </w:pPr>
            <w:r w:rsidRPr="005D07E6">
              <w:rPr>
                <w:rFonts w:eastAsia="Times New Roman" w:cs="Times New Roman"/>
                <w:color w:val="000000" w:themeColor="text1"/>
                <w:lang w:eastAsia="en-GB"/>
              </w:rPr>
              <w:t>20000000</w:t>
            </w:r>
          </w:p>
        </w:tc>
        <w:tc>
          <w:tcPr>
            <w:tcW w:w="3476" w:type="dxa"/>
          </w:tcPr>
          <w:p w14:paraId="0CE0B9CF"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30000000</w:t>
            </w:r>
          </w:p>
        </w:tc>
      </w:tr>
      <w:tr w:rsidR="005D07E6" w:rsidRPr="005D07E6" w14:paraId="7F84F46D" w14:textId="77777777" w:rsidTr="00DD3F9E">
        <w:trPr>
          <w:trHeight w:val="463"/>
        </w:trPr>
        <w:tc>
          <w:tcPr>
            <w:tcW w:w="1413" w:type="dxa"/>
          </w:tcPr>
          <w:p w14:paraId="04C9073A" w14:textId="77777777" w:rsidR="0052483F" w:rsidRPr="005D07E6" w:rsidRDefault="0052483F" w:rsidP="0052483F">
            <w:pPr>
              <w:rPr>
                <w:color w:val="000000" w:themeColor="text1"/>
              </w:rPr>
            </w:pPr>
            <w:r w:rsidRPr="005D07E6">
              <w:rPr>
                <w:color w:val="000000" w:themeColor="text1"/>
              </w:rPr>
              <w:t>3</w:t>
            </w:r>
          </w:p>
        </w:tc>
        <w:tc>
          <w:tcPr>
            <w:tcW w:w="4111" w:type="dxa"/>
          </w:tcPr>
          <w:p w14:paraId="2F2700EE" w14:textId="77777777" w:rsidR="0052483F" w:rsidRPr="005D07E6" w:rsidRDefault="0052483F" w:rsidP="0052483F">
            <w:pPr>
              <w:rPr>
                <w:rFonts w:eastAsia="Times New Roman" w:cs="Times New Roman"/>
                <w:color w:val="000000" w:themeColor="text1"/>
                <w:lang w:eastAsia="en-GB"/>
              </w:rPr>
            </w:pPr>
            <w:r w:rsidRPr="005D07E6">
              <w:rPr>
                <w:rFonts w:eastAsia="Times New Roman" w:cs="Times New Roman"/>
                <w:color w:val="000000" w:themeColor="text1"/>
                <w:lang w:eastAsia="en-GB"/>
              </w:rPr>
              <w:t>40000000</w:t>
            </w:r>
          </w:p>
        </w:tc>
        <w:tc>
          <w:tcPr>
            <w:tcW w:w="3476" w:type="dxa"/>
          </w:tcPr>
          <w:p w14:paraId="065B8188"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70000000</w:t>
            </w:r>
          </w:p>
        </w:tc>
      </w:tr>
      <w:tr w:rsidR="0052483F" w:rsidRPr="005D07E6" w14:paraId="77CC50C0" w14:textId="77777777" w:rsidTr="00DD3F9E">
        <w:trPr>
          <w:trHeight w:val="490"/>
        </w:trPr>
        <w:tc>
          <w:tcPr>
            <w:tcW w:w="1413" w:type="dxa"/>
          </w:tcPr>
          <w:p w14:paraId="2AA1F861" w14:textId="77777777" w:rsidR="0052483F" w:rsidRPr="005D07E6" w:rsidRDefault="0052483F" w:rsidP="0052483F">
            <w:pPr>
              <w:rPr>
                <w:color w:val="000000" w:themeColor="text1"/>
              </w:rPr>
            </w:pPr>
            <w:r w:rsidRPr="005D07E6">
              <w:rPr>
                <w:color w:val="000000" w:themeColor="text1"/>
              </w:rPr>
              <w:t>4</w:t>
            </w:r>
          </w:p>
        </w:tc>
        <w:tc>
          <w:tcPr>
            <w:tcW w:w="4111" w:type="dxa"/>
          </w:tcPr>
          <w:p w14:paraId="22C2619B" w14:textId="77777777" w:rsidR="0052483F" w:rsidRPr="005D07E6" w:rsidRDefault="0052483F" w:rsidP="0052483F">
            <w:pPr>
              <w:rPr>
                <w:rFonts w:eastAsia="Times New Roman" w:cs="Times New Roman"/>
                <w:color w:val="000000" w:themeColor="text1"/>
                <w:lang w:eastAsia="en-GB"/>
              </w:rPr>
            </w:pPr>
            <w:r w:rsidRPr="005D07E6">
              <w:rPr>
                <w:rFonts w:eastAsia="Times New Roman" w:cs="Times New Roman"/>
                <w:color w:val="000000" w:themeColor="text1"/>
                <w:lang w:eastAsia="en-GB"/>
              </w:rPr>
              <w:t>55000000</w:t>
            </w:r>
          </w:p>
        </w:tc>
        <w:tc>
          <w:tcPr>
            <w:tcW w:w="3476" w:type="dxa"/>
          </w:tcPr>
          <w:p w14:paraId="16272BE9"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125000000</w:t>
            </w:r>
          </w:p>
        </w:tc>
      </w:tr>
    </w:tbl>
    <w:p w14:paraId="7442BE0C" w14:textId="77777777" w:rsidR="0052483F" w:rsidRPr="005D07E6" w:rsidRDefault="0052483F" w:rsidP="0052483F">
      <w:pPr>
        <w:rPr>
          <w:color w:val="000000" w:themeColor="text1"/>
        </w:rPr>
      </w:pPr>
    </w:p>
    <w:p w14:paraId="3F81CC91" w14:textId="77777777" w:rsidR="0052483F" w:rsidRPr="005D07E6" w:rsidRDefault="0052483F" w:rsidP="0052483F">
      <w:pPr>
        <w:rPr>
          <w:color w:val="000000" w:themeColor="text1"/>
        </w:rPr>
      </w:pPr>
      <w:r w:rsidRPr="005D07E6">
        <w:rPr>
          <w:color w:val="000000" w:themeColor="text1"/>
        </w:rPr>
        <w:t>Here,</w:t>
      </w:r>
    </w:p>
    <w:p w14:paraId="7191BA67" w14:textId="77777777" w:rsidR="0052483F" w:rsidRPr="005D07E6" w:rsidRDefault="0052483F" w:rsidP="0052483F">
      <w:pPr>
        <w:rPr>
          <w:color w:val="000000" w:themeColor="text1"/>
        </w:rPr>
      </w:pPr>
      <w:r w:rsidRPr="005D07E6">
        <w:rPr>
          <w:color w:val="000000" w:themeColor="text1"/>
        </w:rPr>
        <w:tab/>
        <w:t>A= cumulative net cash flows year near to outflow = 3 year</w:t>
      </w:r>
    </w:p>
    <w:p w14:paraId="7EA8F88D" w14:textId="77777777" w:rsidR="0052483F" w:rsidRPr="005D07E6" w:rsidRDefault="0052483F" w:rsidP="0052483F">
      <w:pPr>
        <w:rPr>
          <w:color w:val="000000" w:themeColor="text1"/>
        </w:rPr>
      </w:pPr>
      <w:r w:rsidRPr="005D07E6">
        <w:rPr>
          <w:color w:val="000000" w:themeColor="text1"/>
        </w:rPr>
        <w:tab/>
        <w:t xml:space="preserve">I= Initial Investment = </w:t>
      </w:r>
      <w:r w:rsidRPr="005D07E6">
        <w:rPr>
          <w:rFonts w:eastAsia="Times New Roman" w:cs="Times New Roman"/>
          <w:color w:val="000000" w:themeColor="text1"/>
          <w:lang w:eastAsia="en-GB"/>
        </w:rPr>
        <w:t>85000000</w:t>
      </w:r>
    </w:p>
    <w:p w14:paraId="3354323C" w14:textId="77777777" w:rsidR="0052483F" w:rsidRPr="005D07E6" w:rsidRDefault="0052483F" w:rsidP="0052483F">
      <w:pPr>
        <w:ind w:firstLine="720"/>
        <w:rPr>
          <w:color w:val="000000" w:themeColor="text1"/>
        </w:rPr>
      </w:pPr>
      <w:r w:rsidRPr="005D07E6">
        <w:rPr>
          <w:color w:val="000000" w:themeColor="text1"/>
        </w:rPr>
        <w:t xml:space="preserve">C= Cumulative inflow of the year = </w:t>
      </w:r>
      <w:r w:rsidRPr="005D07E6">
        <w:rPr>
          <w:rFonts w:eastAsia="Times New Roman" w:cs="Times New Roman"/>
          <w:color w:val="000000" w:themeColor="text1"/>
          <w:lang w:eastAsia="en-GB"/>
        </w:rPr>
        <w:t>70000000</w:t>
      </w:r>
    </w:p>
    <w:p w14:paraId="4017E8C3" w14:textId="77777777" w:rsidR="0052483F" w:rsidRPr="005D07E6" w:rsidRDefault="0052483F" w:rsidP="0052483F">
      <w:pPr>
        <w:ind w:firstLine="720"/>
        <w:rPr>
          <w:rFonts w:eastAsia="Times New Roman" w:cs="Times New Roman"/>
          <w:color w:val="000000" w:themeColor="text1"/>
          <w:lang w:eastAsia="en-GB"/>
        </w:rPr>
      </w:pPr>
      <w:r w:rsidRPr="005D07E6">
        <w:rPr>
          <w:color w:val="000000" w:themeColor="text1"/>
        </w:rPr>
        <w:t xml:space="preserve">D= net cash flows of recovery year = </w:t>
      </w:r>
      <w:r w:rsidRPr="005D07E6">
        <w:rPr>
          <w:rFonts w:eastAsia="Times New Roman" w:cs="Times New Roman"/>
          <w:color w:val="000000" w:themeColor="text1"/>
          <w:lang w:eastAsia="en-GB"/>
        </w:rPr>
        <w:t>55000000</w:t>
      </w:r>
    </w:p>
    <w:p w14:paraId="704946D2" w14:textId="77777777" w:rsidR="0052483F" w:rsidRPr="005D07E6" w:rsidRDefault="0052483F" w:rsidP="0052483F">
      <w:pPr>
        <w:rPr>
          <w:rFonts w:eastAsia="Times New Roman" w:cs="Times New Roman"/>
          <w:color w:val="000000" w:themeColor="text1"/>
          <w:lang w:eastAsia="en-GB"/>
        </w:rPr>
      </w:pPr>
    </w:p>
    <w:p w14:paraId="462ED927" w14:textId="77777777" w:rsidR="0052483F" w:rsidRPr="005D07E6" w:rsidRDefault="0052483F" w:rsidP="0052483F">
      <w:pPr>
        <w:rPr>
          <w:color w:val="000000" w:themeColor="text1"/>
        </w:rPr>
      </w:pPr>
      <w:r w:rsidRPr="005D07E6">
        <w:rPr>
          <w:color w:val="000000" w:themeColor="text1"/>
        </w:rPr>
        <w:t xml:space="preserve">Payback period= </w:t>
      </w:r>
      <m:oMath>
        <m:r>
          <w:rPr>
            <w:rFonts w:ascii="Cambria Math" w:hAnsi="Cambria Math"/>
            <w:color w:val="000000" w:themeColor="text1"/>
          </w:rPr>
          <m:t>A</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I</m:t>
            </m:r>
            <m:r>
              <m:rPr>
                <m:sty m:val="p"/>
              </m:rPr>
              <w:rPr>
                <w:rFonts w:ascii="Cambria Math" w:hAnsi="Cambria Math"/>
                <w:color w:val="000000" w:themeColor="text1"/>
              </w:rPr>
              <m:t>-</m:t>
            </m:r>
            <m:r>
              <w:rPr>
                <w:rFonts w:ascii="Cambria Math" w:hAnsi="Cambria Math"/>
                <w:color w:val="000000" w:themeColor="text1"/>
              </w:rPr>
              <m:t>C</m:t>
            </m:r>
          </m:num>
          <m:den>
            <m:r>
              <w:rPr>
                <w:rFonts w:ascii="Cambria Math" w:hAnsi="Cambria Math"/>
                <w:color w:val="000000" w:themeColor="text1"/>
              </w:rPr>
              <m:t>D</m:t>
            </m:r>
          </m:den>
        </m:f>
      </m:oMath>
    </w:p>
    <w:p w14:paraId="1F3631AE" w14:textId="77777777" w:rsidR="0052483F" w:rsidRPr="005D07E6" w:rsidRDefault="0052483F" w:rsidP="0052483F">
      <w:pPr>
        <w:rPr>
          <w:color w:val="000000" w:themeColor="text1"/>
        </w:rPr>
      </w:pPr>
      <w:r w:rsidRPr="005D07E6">
        <w:rPr>
          <w:color w:val="000000" w:themeColor="text1"/>
        </w:rPr>
        <w:tab/>
        <w:t xml:space="preserve">             = </w:t>
      </w:r>
      <m:oMath>
        <m:r>
          <m:rPr>
            <m:sty m:val="p"/>
          </m:rPr>
          <w:rPr>
            <w:rFonts w:ascii="Cambria Math" w:hAnsi="Cambria Math"/>
            <w:color w:val="000000" w:themeColor="text1"/>
          </w:rPr>
          <m:t>3+</m:t>
        </m:r>
        <m:f>
          <m:fPr>
            <m:ctrlPr>
              <w:rPr>
                <w:rFonts w:ascii="Cambria Math" w:hAnsi="Cambria Math"/>
                <w:color w:val="000000" w:themeColor="text1"/>
              </w:rPr>
            </m:ctrlPr>
          </m:fPr>
          <m:num>
            <m:r>
              <m:rPr>
                <m:sty m:val="p"/>
              </m:rPr>
              <w:rPr>
                <w:rFonts w:ascii="Cambria Math" w:hAnsi="Cambria Math"/>
                <w:color w:val="000000" w:themeColor="text1"/>
              </w:rPr>
              <m:t>85000000-70000000</m:t>
            </m:r>
          </m:num>
          <m:den>
            <m:r>
              <m:rPr>
                <m:sty m:val="p"/>
              </m:rPr>
              <w:rPr>
                <w:rFonts w:ascii="Cambria Math" w:hAnsi="Cambria Math"/>
                <w:color w:val="000000" w:themeColor="text1"/>
              </w:rPr>
              <m:t>55000000</m:t>
            </m:r>
          </m:den>
        </m:f>
      </m:oMath>
    </w:p>
    <w:p w14:paraId="67E7C1C9" w14:textId="77777777" w:rsidR="0052483F" w:rsidRPr="005D07E6" w:rsidRDefault="0052483F" w:rsidP="0052483F">
      <w:pPr>
        <w:rPr>
          <w:color w:val="000000" w:themeColor="text1"/>
        </w:rPr>
      </w:pPr>
      <w:r w:rsidRPr="005D07E6">
        <w:rPr>
          <w:color w:val="000000" w:themeColor="text1"/>
        </w:rPr>
        <w:tab/>
        <w:t xml:space="preserve">            = 3.27 years</w:t>
      </w:r>
    </w:p>
    <w:p w14:paraId="41023C4C" w14:textId="77777777" w:rsidR="0052483F" w:rsidRPr="005D07E6" w:rsidRDefault="0052483F" w:rsidP="0052483F">
      <w:pPr>
        <w:rPr>
          <w:color w:val="000000" w:themeColor="text1"/>
        </w:rPr>
      </w:pPr>
      <w:r w:rsidRPr="005D07E6">
        <w:rPr>
          <w:color w:val="000000" w:themeColor="text1"/>
        </w:rPr>
        <w:t xml:space="preserve">So, it will require 3.27 years for the projected net cash flows of Project A to recover the cash outflows or initial investment of the Project A.  </w:t>
      </w:r>
    </w:p>
    <w:p w14:paraId="0DD00841" w14:textId="77777777" w:rsidR="0052483F" w:rsidRPr="005D07E6" w:rsidRDefault="0052483F" w:rsidP="0052483F">
      <w:pPr>
        <w:rPr>
          <w:b/>
          <w:color w:val="000000" w:themeColor="text1"/>
        </w:rPr>
      </w:pPr>
      <w:r w:rsidRPr="005D07E6">
        <w:rPr>
          <w:b/>
          <w:color w:val="000000" w:themeColor="text1"/>
        </w:rPr>
        <w:t>Project B</w:t>
      </w:r>
    </w:p>
    <w:p w14:paraId="00D95486" w14:textId="77777777" w:rsidR="0052483F" w:rsidRPr="005D07E6" w:rsidRDefault="0052483F" w:rsidP="0052483F">
      <w:pPr>
        <w:rPr>
          <w:color w:val="000000" w:themeColor="text1"/>
        </w:rPr>
      </w:pPr>
      <w:r w:rsidRPr="005D07E6">
        <w:rPr>
          <w:color w:val="000000" w:themeColor="text1"/>
        </w:rPr>
        <w:t xml:space="preserve">Here, </w:t>
      </w:r>
    </w:p>
    <w:p w14:paraId="2C8C40EB"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25000000</w:t>
      </w:r>
    </w:p>
    <w:p w14:paraId="1BA33F9B"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30000000</w:t>
      </w:r>
    </w:p>
    <w:p w14:paraId="60CBE02E"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35000000</w:t>
      </w:r>
    </w:p>
    <w:p w14:paraId="0864361E" w14:textId="77777777" w:rsidR="0052483F" w:rsidRPr="005D07E6" w:rsidRDefault="0052483F" w:rsidP="0052483F">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077CE030" w14:textId="77777777" w:rsidR="0052483F" w:rsidRPr="005D07E6" w:rsidRDefault="0052483F" w:rsidP="0052483F">
      <w:pPr>
        <w:rPr>
          <w:color w:val="000000" w:themeColor="text1"/>
        </w:rPr>
      </w:pPr>
    </w:p>
    <w:tbl>
      <w:tblPr>
        <w:tblStyle w:val="TableGrid"/>
        <w:tblW w:w="0" w:type="auto"/>
        <w:tblLook w:val="04A0" w:firstRow="1" w:lastRow="0" w:firstColumn="1" w:lastColumn="0" w:noHBand="0" w:noVBand="1"/>
      </w:tblPr>
      <w:tblGrid>
        <w:gridCol w:w="1413"/>
        <w:gridCol w:w="4111"/>
        <w:gridCol w:w="3476"/>
      </w:tblGrid>
      <w:tr w:rsidR="005D07E6" w:rsidRPr="005D07E6" w14:paraId="27A28FEF" w14:textId="77777777" w:rsidTr="00DD3F9E">
        <w:trPr>
          <w:trHeight w:val="490"/>
        </w:trPr>
        <w:tc>
          <w:tcPr>
            <w:tcW w:w="1413" w:type="dxa"/>
          </w:tcPr>
          <w:p w14:paraId="5CB14942" w14:textId="77777777" w:rsidR="0052483F" w:rsidRPr="005D07E6" w:rsidRDefault="0052483F" w:rsidP="0052483F">
            <w:pPr>
              <w:rPr>
                <w:color w:val="000000" w:themeColor="text1"/>
              </w:rPr>
            </w:pPr>
            <w:r w:rsidRPr="005D07E6">
              <w:rPr>
                <w:color w:val="000000" w:themeColor="text1"/>
              </w:rPr>
              <w:lastRenderedPageBreak/>
              <w:t>Year</w:t>
            </w:r>
          </w:p>
        </w:tc>
        <w:tc>
          <w:tcPr>
            <w:tcW w:w="4111" w:type="dxa"/>
          </w:tcPr>
          <w:p w14:paraId="18544F2E" w14:textId="77777777" w:rsidR="0052483F" w:rsidRPr="005D07E6" w:rsidRDefault="0052483F" w:rsidP="0052483F">
            <w:pPr>
              <w:rPr>
                <w:color w:val="000000" w:themeColor="text1"/>
              </w:rPr>
            </w:pPr>
            <w:r w:rsidRPr="005D07E6">
              <w:rPr>
                <w:color w:val="000000" w:themeColor="text1"/>
              </w:rPr>
              <w:t>Projected Net Cash Flow</w:t>
            </w:r>
          </w:p>
        </w:tc>
        <w:tc>
          <w:tcPr>
            <w:tcW w:w="3476" w:type="dxa"/>
          </w:tcPr>
          <w:p w14:paraId="756E6842" w14:textId="77777777" w:rsidR="0052483F" w:rsidRPr="005D07E6" w:rsidRDefault="0052483F" w:rsidP="0052483F">
            <w:pPr>
              <w:rPr>
                <w:color w:val="000000" w:themeColor="text1"/>
              </w:rPr>
            </w:pPr>
            <w:r w:rsidRPr="005D07E6">
              <w:rPr>
                <w:color w:val="000000" w:themeColor="text1"/>
              </w:rPr>
              <w:t>Cumulative Projected Cash Flow</w:t>
            </w:r>
          </w:p>
        </w:tc>
      </w:tr>
      <w:tr w:rsidR="005D07E6" w:rsidRPr="005D07E6" w14:paraId="1FE4D88D" w14:textId="77777777" w:rsidTr="00DD3F9E">
        <w:trPr>
          <w:trHeight w:val="463"/>
        </w:trPr>
        <w:tc>
          <w:tcPr>
            <w:tcW w:w="1413" w:type="dxa"/>
          </w:tcPr>
          <w:p w14:paraId="2278834A" w14:textId="77777777" w:rsidR="0052483F" w:rsidRPr="005D07E6" w:rsidRDefault="0052483F" w:rsidP="0052483F">
            <w:pPr>
              <w:rPr>
                <w:color w:val="000000" w:themeColor="text1"/>
              </w:rPr>
            </w:pPr>
            <w:r w:rsidRPr="005D07E6">
              <w:rPr>
                <w:color w:val="000000" w:themeColor="text1"/>
              </w:rPr>
              <w:t>1</w:t>
            </w:r>
          </w:p>
        </w:tc>
        <w:tc>
          <w:tcPr>
            <w:tcW w:w="4111" w:type="dxa"/>
          </w:tcPr>
          <w:p w14:paraId="045181F5"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25000000</w:t>
            </w:r>
          </w:p>
        </w:tc>
        <w:tc>
          <w:tcPr>
            <w:tcW w:w="3476" w:type="dxa"/>
          </w:tcPr>
          <w:p w14:paraId="45F33FD6"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25000000</w:t>
            </w:r>
          </w:p>
        </w:tc>
      </w:tr>
      <w:tr w:rsidR="005D07E6" w:rsidRPr="005D07E6" w14:paraId="3FEECD6B" w14:textId="77777777" w:rsidTr="00DD3F9E">
        <w:trPr>
          <w:trHeight w:val="490"/>
        </w:trPr>
        <w:tc>
          <w:tcPr>
            <w:tcW w:w="1413" w:type="dxa"/>
          </w:tcPr>
          <w:p w14:paraId="29544A9A" w14:textId="77777777" w:rsidR="0052483F" w:rsidRPr="005D07E6" w:rsidRDefault="0052483F" w:rsidP="0052483F">
            <w:pPr>
              <w:rPr>
                <w:color w:val="000000" w:themeColor="text1"/>
              </w:rPr>
            </w:pPr>
            <w:r w:rsidRPr="005D07E6">
              <w:rPr>
                <w:color w:val="000000" w:themeColor="text1"/>
              </w:rPr>
              <w:t>2</w:t>
            </w:r>
          </w:p>
        </w:tc>
        <w:tc>
          <w:tcPr>
            <w:tcW w:w="4111" w:type="dxa"/>
          </w:tcPr>
          <w:p w14:paraId="21BEC453" w14:textId="77777777" w:rsidR="0052483F" w:rsidRPr="005D07E6" w:rsidRDefault="0052483F" w:rsidP="0052483F">
            <w:pPr>
              <w:rPr>
                <w:rFonts w:eastAsia="Times New Roman" w:cs="Times New Roman"/>
                <w:color w:val="000000" w:themeColor="text1"/>
                <w:lang w:eastAsia="en-GB"/>
              </w:rPr>
            </w:pPr>
            <w:r w:rsidRPr="005D07E6">
              <w:rPr>
                <w:rFonts w:eastAsia="Times New Roman" w:cs="Times New Roman"/>
                <w:color w:val="000000" w:themeColor="text1"/>
                <w:lang w:eastAsia="en-GB"/>
              </w:rPr>
              <w:t>30000000</w:t>
            </w:r>
          </w:p>
        </w:tc>
        <w:tc>
          <w:tcPr>
            <w:tcW w:w="3476" w:type="dxa"/>
          </w:tcPr>
          <w:p w14:paraId="2E7E577B"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55000000</w:t>
            </w:r>
          </w:p>
        </w:tc>
      </w:tr>
      <w:tr w:rsidR="005D07E6" w:rsidRPr="005D07E6" w14:paraId="104ECB3F" w14:textId="77777777" w:rsidTr="00DD3F9E">
        <w:trPr>
          <w:trHeight w:val="463"/>
        </w:trPr>
        <w:tc>
          <w:tcPr>
            <w:tcW w:w="1413" w:type="dxa"/>
          </w:tcPr>
          <w:p w14:paraId="474B6381" w14:textId="77777777" w:rsidR="0052483F" w:rsidRPr="005D07E6" w:rsidRDefault="0052483F" w:rsidP="0052483F">
            <w:pPr>
              <w:rPr>
                <w:color w:val="000000" w:themeColor="text1"/>
              </w:rPr>
            </w:pPr>
            <w:r w:rsidRPr="005D07E6">
              <w:rPr>
                <w:color w:val="000000" w:themeColor="text1"/>
              </w:rPr>
              <w:t>3</w:t>
            </w:r>
          </w:p>
        </w:tc>
        <w:tc>
          <w:tcPr>
            <w:tcW w:w="4111" w:type="dxa"/>
          </w:tcPr>
          <w:p w14:paraId="32351957" w14:textId="77777777" w:rsidR="0052483F" w:rsidRPr="005D07E6" w:rsidRDefault="0052483F" w:rsidP="0052483F">
            <w:pPr>
              <w:rPr>
                <w:rFonts w:eastAsia="Times New Roman" w:cs="Times New Roman"/>
                <w:color w:val="000000" w:themeColor="text1"/>
                <w:lang w:eastAsia="en-GB"/>
              </w:rPr>
            </w:pPr>
            <w:r w:rsidRPr="005D07E6">
              <w:rPr>
                <w:rFonts w:eastAsia="Times New Roman" w:cs="Times New Roman"/>
                <w:color w:val="000000" w:themeColor="text1"/>
                <w:lang w:eastAsia="en-GB"/>
              </w:rPr>
              <w:t>35000000</w:t>
            </w:r>
          </w:p>
        </w:tc>
        <w:tc>
          <w:tcPr>
            <w:tcW w:w="3476" w:type="dxa"/>
          </w:tcPr>
          <w:p w14:paraId="3A19F167"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90000000</w:t>
            </w:r>
          </w:p>
        </w:tc>
      </w:tr>
      <w:tr w:rsidR="0052483F" w:rsidRPr="005D07E6" w14:paraId="73CA1D56" w14:textId="77777777" w:rsidTr="00DD3F9E">
        <w:trPr>
          <w:trHeight w:val="490"/>
        </w:trPr>
        <w:tc>
          <w:tcPr>
            <w:tcW w:w="1413" w:type="dxa"/>
          </w:tcPr>
          <w:p w14:paraId="39D7E6A9" w14:textId="77777777" w:rsidR="0052483F" w:rsidRPr="005D07E6" w:rsidRDefault="0052483F" w:rsidP="0052483F">
            <w:pPr>
              <w:rPr>
                <w:color w:val="000000" w:themeColor="text1"/>
              </w:rPr>
            </w:pPr>
            <w:r w:rsidRPr="005D07E6">
              <w:rPr>
                <w:color w:val="000000" w:themeColor="text1"/>
              </w:rPr>
              <w:t>4</w:t>
            </w:r>
          </w:p>
        </w:tc>
        <w:tc>
          <w:tcPr>
            <w:tcW w:w="4111" w:type="dxa"/>
          </w:tcPr>
          <w:p w14:paraId="2AB8B2C5" w14:textId="77777777" w:rsidR="0052483F" w:rsidRPr="005D07E6" w:rsidRDefault="0052483F" w:rsidP="0052483F">
            <w:pPr>
              <w:rPr>
                <w:rFonts w:eastAsia="Times New Roman" w:cs="Times New Roman"/>
                <w:color w:val="000000" w:themeColor="text1"/>
                <w:lang w:eastAsia="en-GB"/>
              </w:rPr>
            </w:pPr>
            <w:r w:rsidRPr="005D07E6">
              <w:rPr>
                <w:rFonts w:eastAsia="Times New Roman" w:cs="Times New Roman"/>
                <w:color w:val="000000" w:themeColor="text1"/>
                <w:lang w:eastAsia="en-GB"/>
              </w:rPr>
              <w:t>40000000</w:t>
            </w:r>
          </w:p>
        </w:tc>
        <w:tc>
          <w:tcPr>
            <w:tcW w:w="3476" w:type="dxa"/>
          </w:tcPr>
          <w:p w14:paraId="0AAEED16" w14:textId="77777777" w:rsidR="0052483F" w:rsidRPr="005D07E6" w:rsidRDefault="0052483F" w:rsidP="0052483F">
            <w:pPr>
              <w:rPr>
                <w:color w:val="000000" w:themeColor="text1"/>
              </w:rPr>
            </w:pPr>
            <w:r w:rsidRPr="005D07E6">
              <w:rPr>
                <w:rFonts w:eastAsia="Times New Roman" w:cs="Times New Roman"/>
                <w:color w:val="000000" w:themeColor="text1"/>
                <w:lang w:eastAsia="en-GB"/>
              </w:rPr>
              <w:t>130000000</w:t>
            </w:r>
          </w:p>
        </w:tc>
      </w:tr>
    </w:tbl>
    <w:p w14:paraId="2BD45CDC" w14:textId="77777777" w:rsidR="0052483F" w:rsidRPr="005D07E6" w:rsidRDefault="0052483F" w:rsidP="0052483F">
      <w:pPr>
        <w:rPr>
          <w:color w:val="000000" w:themeColor="text1"/>
        </w:rPr>
      </w:pPr>
    </w:p>
    <w:p w14:paraId="0CFB3E10" w14:textId="77777777" w:rsidR="0052483F" w:rsidRPr="005D07E6" w:rsidRDefault="0052483F" w:rsidP="0052483F">
      <w:pPr>
        <w:rPr>
          <w:color w:val="000000" w:themeColor="text1"/>
        </w:rPr>
      </w:pPr>
      <w:r w:rsidRPr="005D07E6">
        <w:rPr>
          <w:color w:val="000000" w:themeColor="text1"/>
        </w:rPr>
        <w:t>Here,</w:t>
      </w:r>
    </w:p>
    <w:p w14:paraId="1D88B2FF" w14:textId="77777777" w:rsidR="0052483F" w:rsidRPr="005D07E6" w:rsidRDefault="0052483F" w:rsidP="0052483F">
      <w:pPr>
        <w:rPr>
          <w:color w:val="000000" w:themeColor="text1"/>
        </w:rPr>
      </w:pPr>
      <w:r w:rsidRPr="005D07E6">
        <w:rPr>
          <w:color w:val="000000" w:themeColor="text1"/>
        </w:rPr>
        <w:tab/>
        <w:t>A= cumulative net cash flows year near to outflow = 3 year</w:t>
      </w:r>
    </w:p>
    <w:p w14:paraId="2047A98B" w14:textId="77777777" w:rsidR="0052483F" w:rsidRPr="005D07E6" w:rsidRDefault="0052483F" w:rsidP="0052483F">
      <w:pPr>
        <w:rPr>
          <w:color w:val="000000" w:themeColor="text1"/>
        </w:rPr>
      </w:pPr>
      <w:r w:rsidRPr="005D07E6">
        <w:rPr>
          <w:color w:val="000000" w:themeColor="text1"/>
        </w:rPr>
        <w:tab/>
        <w:t xml:space="preserve">I= Initial Investment = </w:t>
      </w:r>
      <w:r w:rsidRPr="005D07E6">
        <w:rPr>
          <w:rFonts w:eastAsia="Times New Roman" w:cs="Times New Roman"/>
          <w:color w:val="000000" w:themeColor="text1"/>
          <w:lang w:eastAsia="en-GB"/>
        </w:rPr>
        <w:t>90000000</w:t>
      </w:r>
    </w:p>
    <w:p w14:paraId="78400937" w14:textId="77777777" w:rsidR="0052483F" w:rsidRPr="005D07E6" w:rsidRDefault="0052483F" w:rsidP="0052483F">
      <w:pPr>
        <w:ind w:firstLine="720"/>
        <w:rPr>
          <w:color w:val="000000" w:themeColor="text1"/>
        </w:rPr>
      </w:pPr>
      <w:r w:rsidRPr="005D07E6">
        <w:rPr>
          <w:color w:val="000000" w:themeColor="text1"/>
        </w:rPr>
        <w:t xml:space="preserve">C= Cumulative inflow of the year = </w:t>
      </w:r>
      <w:r w:rsidRPr="005D07E6">
        <w:rPr>
          <w:rFonts w:eastAsia="Times New Roman" w:cs="Times New Roman"/>
          <w:color w:val="000000" w:themeColor="text1"/>
          <w:lang w:eastAsia="en-GB"/>
        </w:rPr>
        <w:t>90000000</w:t>
      </w:r>
    </w:p>
    <w:p w14:paraId="4BAE8D5F" w14:textId="77777777" w:rsidR="0052483F" w:rsidRPr="005D07E6" w:rsidRDefault="0052483F" w:rsidP="0052483F">
      <w:pPr>
        <w:ind w:firstLine="720"/>
        <w:rPr>
          <w:rFonts w:eastAsia="Times New Roman" w:cs="Times New Roman"/>
          <w:color w:val="000000" w:themeColor="text1"/>
          <w:lang w:eastAsia="en-GB"/>
        </w:rPr>
      </w:pPr>
      <w:r w:rsidRPr="005D07E6">
        <w:rPr>
          <w:color w:val="000000" w:themeColor="text1"/>
        </w:rPr>
        <w:t xml:space="preserve">D= net cash flows of recovery year = </w:t>
      </w:r>
      <w:r w:rsidRPr="005D07E6">
        <w:rPr>
          <w:rFonts w:eastAsia="Times New Roman" w:cs="Times New Roman"/>
          <w:color w:val="000000" w:themeColor="text1"/>
          <w:lang w:eastAsia="en-GB"/>
        </w:rPr>
        <w:t>40000000</w:t>
      </w:r>
    </w:p>
    <w:p w14:paraId="0272623D" w14:textId="77777777" w:rsidR="0052483F" w:rsidRPr="005D07E6" w:rsidRDefault="0052483F" w:rsidP="0052483F">
      <w:pPr>
        <w:rPr>
          <w:rFonts w:eastAsia="Times New Roman" w:cs="Times New Roman"/>
          <w:color w:val="000000" w:themeColor="text1"/>
          <w:lang w:eastAsia="en-GB"/>
        </w:rPr>
      </w:pPr>
    </w:p>
    <w:p w14:paraId="792F60C6" w14:textId="77777777" w:rsidR="0052483F" w:rsidRPr="005D07E6" w:rsidRDefault="0052483F" w:rsidP="0052483F">
      <w:pPr>
        <w:rPr>
          <w:color w:val="000000" w:themeColor="text1"/>
        </w:rPr>
      </w:pPr>
      <w:r w:rsidRPr="005D07E6">
        <w:rPr>
          <w:color w:val="000000" w:themeColor="text1"/>
        </w:rPr>
        <w:t xml:space="preserve">Payback period= </w:t>
      </w:r>
      <m:oMath>
        <m:r>
          <w:rPr>
            <w:rFonts w:ascii="Cambria Math" w:hAnsi="Cambria Math"/>
            <w:color w:val="000000" w:themeColor="text1"/>
          </w:rPr>
          <m:t>A</m:t>
        </m:r>
        <m:r>
          <m:rPr>
            <m:sty m:val="p"/>
          </m:rPr>
          <w:rPr>
            <w:rFonts w:ascii="Cambria Math" w:hAnsi="Cambria Math"/>
            <w:color w:val="000000" w:themeColor="text1"/>
          </w:rPr>
          <m:t>+</m:t>
        </m:r>
        <m:f>
          <m:fPr>
            <m:ctrlPr>
              <w:rPr>
                <w:rFonts w:ascii="Cambria Math" w:hAnsi="Cambria Math"/>
                <w:color w:val="000000" w:themeColor="text1"/>
              </w:rPr>
            </m:ctrlPr>
          </m:fPr>
          <m:num>
            <m:r>
              <w:rPr>
                <w:rFonts w:ascii="Cambria Math" w:hAnsi="Cambria Math"/>
                <w:color w:val="000000" w:themeColor="text1"/>
              </w:rPr>
              <m:t>I</m:t>
            </m:r>
            <m:r>
              <m:rPr>
                <m:sty m:val="p"/>
              </m:rPr>
              <w:rPr>
                <w:rFonts w:ascii="Cambria Math" w:hAnsi="Cambria Math"/>
                <w:color w:val="000000" w:themeColor="text1"/>
              </w:rPr>
              <m:t>-</m:t>
            </m:r>
            <m:r>
              <w:rPr>
                <w:rFonts w:ascii="Cambria Math" w:hAnsi="Cambria Math"/>
                <w:color w:val="000000" w:themeColor="text1"/>
              </w:rPr>
              <m:t>C</m:t>
            </m:r>
          </m:num>
          <m:den>
            <m:r>
              <w:rPr>
                <w:rFonts w:ascii="Cambria Math" w:hAnsi="Cambria Math"/>
                <w:color w:val="000000" w:themeColor="text1"/>
              </w:rPr>
              <m:t>D</m:t>
            </m:r>
          </m:den>
        </m:f>
      </m:oMath>
    </w:p>
    <w:p w14:paraId="58293D35" w14:textId="77777777" w:rsidR="0052483F" w:rsidRPr="005D07E6" w:rsidRDefault="0052483F" w:rsidP="0052483F">
      <w:pPr>
        <w:rPr>
          <w:color w:val="000000" w:themeColor="text1"/>
        </w:rPr>
      </w:pPr>
      <w:r w:rsidRPr="005D07E6">
        <w:rPr>
          <w:color w:val="000000" w:themeColor="text1"/>
        </w:rPr>
        <w:tab/>
        <w:t xml:space="preserve">             = </w:t>
      </w:r>
      <m:oMath>
        <m:r>
          <m:rPr>
            <m:sty m:val="p"/>
          </m:rPr>
          <w:rPr>
            <w:rFonts w:ascii="Cambria Math" w:hAnsi="Cambria Math"/>
            <w:color w:val="000000" w:themeColor="text1"/>
          </w:rPr>
          <m:t>3+</m:t>
        </m:r>
        <m:f>
          <m:fPr>
            <m:ctrlPr>
              <w:rPr>
                <w:rFonts w:ascii="Cambria Math" w:hAnsi="Cambria Math"/>
                <w:color w:val="000000" w:themeColor="text1"/>
              </w:rPr>
            </m:ctrlPr>
          </m:fPr>
          <m:num>
            <m:r>
              <m:rPr>
                <m:sty m:val="p"/>
              </m:rPr>
              <w:rPr>
                <w:rFonts w:ascii="Cambria Math" w:hAnsi="Cambria Math"/>
                <w:color w:val="000000" w:themeColor="text1"/>
              </w:rPr>
              <m:t>90000000-90000000</m:t>
            </m:r>
          </m:num>
          <m:den>
            <m:r>
              <m:rPr>
                <m:sty m:val="p"/>
              </m:rPr>
              <w:rPr>
                <w:rFonts w:ascii="Cambria Math" w:hAnsi="Cambria Math"/>
                <w:color w:val="000000" w:themeColor="text1"/>
              </w:rPr>
              <m:t>40000000</m:t>
            </m:r>
          </m:den>
        </m:f>
      </m:oMath>
    </w:p>
    <w:p w14:paraId="5B04F93E" w14:textId="77777777" w:rsidR="0052483F" w:rsidRPr="005D07E6" w:rsidRDefault="0052483F" w:rsidP="0052483F">
      <w:pPr>
        <w:rPr>
          <w:color w:val="000000" w:themeColor="text1"/>
        </w:rPr>
      </w:pPr>
      <w:r w:rsidRPr="005D07E6">
        <w:rPr>
          <w:color w:val="000000" w:themeColor="text1"/>
        </w:rPr>
        <w:tab/>
        <w:t xml:space="preserve">            = 3 years</w:t>
      </w:r>
    </w:p>
    <w:p w14:paraId="68DAA68C" w14:textId="77777777" w:rsidR="0052483F" w:rsidRPr="005D07E6" w:rsidRDefault="0052483F" w:rsidP="0052483F">
      <w:pPr>
        <w:rPr>
          <w:color w:val="000000" w:themeColor="text1"/>
        </w:rPr>
      </w:pPr>
    </w:p>
    <w:p w14:paraId="27343FB3" w14:textId="77777777" w:rsidR="0052483F" w:rsidRPr="005D07E6" w:rsidRDefault="0052483F" w:rsidP="0052483F">
      <w:pPr>
        <w:rPr>
          <w:color w:val="000000" w:themeColor="text1"/>
        </w:rPr>
      </w:pPr>
      <w:r w:rsidRPr="005D07E6">
        <w:rPr>
          <w:color w:val="000000" w:themeColor="text1"/>
        </w:rPr>
        <w:t xml:space="preserve">So, it will require 3 years for the projected net cash flows of Project B to recover the cash outflows or initial investment of the Project A.  </w:t>
      </w:r>
    </w:p>
    <w:p w14:paraId="1A7C6CA7" w14:textId="77777777" w:rsidR="0052483F" w:rsidRPr="005D07E6" w:rsidRDefault="0052483F" w:rsidP="0052483F">
      <w:pPr>
        <w:rPr>
          <w:color w:val="000000" w:themeColor="text1"/>
        </w:rPr>
      </w:pPr>
      <w:r w:rsidRPr="005D07E6">
        <w:rPr>
          <w:color w:val="000000" w:themeColor="text1"/>
        </w:rPr>
        <w:t>The depreciation is excluded in the calculation of the payback period of both Project A and Project B since the payback period method does not consider the depreciation and the terminal cash flows that are going to be received from the project at the end of estimated economic lifetime of the project.</w:t>
      </w:r>
    </w:p>
    <w:p w14:paraId="3261061B" w14:textId="77777777" w:rsidR="0052483F" w:rsidRPr="005D07E6" w:rsidRDefault="0052483F" w:rsidP="0052483F">
      <w:pPr>
        <w:rPr>
          <w:color w:val="000000" w:themeColor="text1"/>
        </w:rPr>
      </w:pPr>
    </w:p>
    <w:p w14:paraId="4F33FF91" w14:textId="77777777" w:rsidR="0052483F" w:rsidRPr="005D07E6" w:rsidRDefault="0052483F" w:rsidP="0052483F">
      <w:pPr>
        <w:rPr>
          <w:color w:val="000000" w:themeColor="text1"/>
        </w:rPr>
      </w:pPr>
      <w:r w:rsidRPr="005D07E6">
        <w:rPr>
          <w:color w:val="000000" w:themeColor="text1"/>
        </w:rPr>
        <w:t xml:space="preserve">Since these projects are mutually exclusive projects, the selection of one project will reject the other project. The decision rule of Payback period method for mutually exclusive projects is to take or select the project which has the quickest and smallest payback period. Between Project </w:t>
      </w:r>
      <w:r w:rsidRPr="005D07E6">
        <w:rPr>
          <w:color w:val="000000" w:themeColor="text1"/>
        </w:rPr>
        <w:lastRenderedPageBreak/>
        <w:t xml:space="preserve">A and Project B, Project B should be selected because the payback period for Project B (3 years) is lower than the payback period for Project A (3.27 years).  </w:t>
      </w:r>
    </w:p>
    <w:p w14:paraId="18E03BA3" w14:textId="77777777" w:rsidR="00DD3F9E" w:rsidRPr="005D07E6" w:rsidRDefault="00DD3F9E" w:rsidP="0052483F">
      <w:pPr>
        <w:rPr>
          <w:color w:val="000000" w:themeColor="text1"/>
        </w:rPr>
      </w:pPr>
    </w:p>
    <w:p w14:paraId="6D5CAD82" w14:textId="77777777" w:rsidR="00DD3F9E" w:rsidRPr="005D07E6" w:rsidRDefault="00DD3F9E" w:rsidP="00DD3F9E">
      <w:pPr>
        <w:rPr>
          <w:rFonts w:eastAsiaTheme="minorEastAsia"/>
          <w:b/>
          <w:bCs/>
          <w:color w:val="000000" w:themeColor="text1"/>
          <w:sz w:val="28"/>
          <w:szCs w:val="24"/>
        </w:rPr>
      </w:pPr>
      <w:r w:rsidRPr="005D07E6">
        <w:rPr>
          <w:rFonts w:eastAsiaTheme="minorEastAsia"/>
          <w:b/>
          <w:bCs/>
          <w:color w:val="000000" w:themeColor="text1"/>
          <w:sz w:val="28"/>
          <w:szCs w:val="24"/>
        </w:rPr>
        <w:t>Accounting Rate of Return:</w:t>
      </w:r>
    </w:p>
    <w:p w14:paraId="17795781" w14:textId="77777777" w:rsidR="00DD3F9E" w:rsidRPr="005D07E6" w:rsidRDefault="00DD3F9E" w:rsidP="00DD3F9E">
      <w:pPr>
        <w:rPr>
          <w:rFonts w:eastAsiaTheme="minorEastAsia"/>
          <w:bCs/>
          <w:color w:val="000000" w:themeColor="text1"/>
          <w:szCs w:val="24"/>
        </w:rPr>
      </w:pPr>
      <w:r w:rsidRPr="005D07E6">
        <w:rPr>
          <w:rFonts w:eastAsiaTheme="minorEastAsia"/>
          <w:bCs/>
          <w:color w:val="000000" w:themeColor="text1"/>
          <w:szCs w:val="24"/>
        </w:rPr>
        <w:t>Accounting rate of return= (</w:t>
      </w:r>
      <m:oMath>
        <m:f>
          <m:fPr>
            <m:ctrlPr>
              <w:rPr>
                <w:rFonts w:ascii="Cambria Math" w:eastAsiaTheme="minorEastAsia" w:hAnsi="Cambria Math"/>
                <w:bCs/>
                <w:color w:val="000000" w:themeColor="text1"/>
                <w:szCs w:val="24"/>
              </w:rPr>
            </m:ctrlPr>
          </m:fPr>
          <m:num>
            <m:r>
              <m:rPr>
                <m:sty m:val="bi"/>
              </m:rPr>
              <w:rPr>
                <w:rFonts w:ascii="Cambria Math" w:eastAsiaTheme="minorEastAsia" w:hAnsi="Cambria Math"/>
                <w:color w:val="000000" w:themeColor="text1"/>
                <w:szCs w:val="24"/>
              </w:rPr>
              <m:t>Average</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Net</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Profit</m:t>
            </m:r>
          </m:num>
          <m:den>
            <m:r>
              <m:rPr>
                <m:sty m:val="bi"/>
              </m:rPr>
              <w:rPr>
                <w:rFonts w:ascii="Cambria Math" w:eastAsiaTheme="minorEastAsia" w:hAnsi="Cambria Math"/>
                <w:color w:val="000000" w:themeColor="text1"/>
                <w:szCs w:val="24"/>
              </w:rPr>
              <m:t>Average</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Investment</m:t>
            </m:r>
          </m:den>
        </m:f>
      </m:oMath>
      <w:r w:rsidRPr="005D07E6">
        <w:rPr>
          <w:rFonts w:eastAsiaTheme="minorEastAsia"/>
          <w:bCs/>
          <w:color w:val="000000" w:themeColor="text1"/>
          <w:szCs w:val="24"/>
        </w:rPr>
        <w:t>) * 100</w:t>
      </w:r>
    </w:p>
    <w:p w14:paraId="1BD49E02" w14:textId="77777777" w:rsidR="00DD3F9E" w:rsidRPr="005D07E6" w:rsidRDefault="00DD3F9E" w:rsidP="00DD3F9E">
      <w:pPr>
        <w:rPr>
          <w:color w:val="000000" w:themeColor="text1"/>
        </w:rPr>
      </w:pPr>
      <w:r w:rsidRPr="005D07E6">
        <w:rPr>
          <w:color w:val="000000" w:themeColor="text1"/>
        </w:rPr>
        <w:t>Here,</w:t>
      </w:r>
    </w:p>
    <w:p w14:paraId="46BE6D52" w14:textId="77777777" w:rsidR="00DD3F9E" w:rsidRPr="005D07E6" w:rsidRDefault="00DD3F9E" w:rsidP="00DD3F9E">
      <w:pPr>
        <w:rPr>
          <w:rFonts w:eastAsiaTheme="minorEastAsia"/>
          <w:color w:val="000000" w:themeColor="text1"/>
        </w:rPr>
      </w:pPr>
      <w:r w:rsidRPr="005D07E6">
        <w:rPr>
          <w:color w:val="000000" w:themeColor="text1"/>
        </w:rPr>
        <w:tab/>
        <w:t xml:space="preserve">Average Net Profit= </w:t>
      </w:r>
      <m:oMath>
        <m:f>
          <m:fPr>
            <m:ctrlPr>
              <w:rPr>
                <w:rFonts w:ascii="Cambria Math" w:hAnsi="Cambria Math"/>
                <w:color w:val="000000" w:themeColor="text1"/>
              </w:rPr>
            </m:ctrlPr>
          </m:fPr>
          <m:num>
            <m:r>
              <w:rPr>
                <w:rFonts w:ascii="Cambria Math" w:hAnsi="Cambria Math"/>
                <w:color w:val="000000" w:themeColor="text1"/>
              </w:rPr>
              <m:t>The</m:t>
            </m:r>
            <m:r>
              <m:rPr>
                <m:sty m:val="p"/>
              </m:rPr>
              <w:rPr>
                <w:rFonts w:ascii="Cambria Math" w:hAnsi="Cambria Math"/>
                <w:color w:val="000000" w:themeColor="text1"/>
              </w:rPr>
              <m:t xml:space="preserve"> </m:t>
            </m:r>
            <m:r>
              <w:rPr>
                <w:rFonts w:ascii="Cambria Math" w:hAnsi="Cambria Math"/>
                <w:color w:val="000000" w:themeColor="text1"/>
              </w:rPr>
              <m:t>Sum</m:t>
            </m:r>
            <m:r>
              <m:rPr>
                <m:sty m:val="p"/>
              </m:rPr>
              <w:rPr>
                <w:rFonts w:ascii="Cambria Math" w:hAnsi="Cambria Math"/>
                <w:color w:val="000000" w:themeColor="text1"/>
              </w:rPr>
              <m:t xml:space="preserve"> </m:t>
            </m:r>
            <m:r>
              <w:rPr>
                <w:rFonts w:ascii="Cambria Math" w:hAnsi="Cambria Math"/>
                <w:color w:val="000000" w:themeColor="text1"/>
              </w:rPr>
              <m:t>of</m:t>
            </m:r>
            <m:r>
              <m:rPr>
                <m:sty m:val="p"/>
              </m:rPr>
              <w:rPr>
                <w:rFonts w:ascii="Cambria Math" w:hAnsi="Cambria Math"/>
                <w:color w:val="000000" w:themeColor="text1"/>
              </w:rPr>
              <m:t xml:space="preserve"> </m:t>
            </m:r>
            <m:r>
              <w:rPr>
                <w:rFonts w:ascii="Cambria Math" w:hAnsi="Cambria Math"/>
                <w:color w:val="000000" w:themeColor="text1"/>
              </w:rPr>
              <m:t>Net</m:t>
            </m:r>
            <m:r>
              <m:rPr>
                <m:sty m:val="p"/>
              </m:rPr>
              <w:rPr>
                <w:rFonts w:ascii="Cambria Math" w:hAnsi="Cambria Math"/>
                <w:color w:val="000000" w:themeColor="text1"/>
              </w:rPr>
              <m:t xml:space="preserve"> </m:t>
            </m:r>
            <m:r>
              <w:rPr>
                <w:rFonts w:ascii="Cambria Math" w:hAnsi="Cambria Math"/>
                <w:color w:val="000000" w:themeColor="text1"/>
              </w:rPr>
              <m:t>profit</m:t>
            </m:r>
            <m:r>
              <m:rPr>
                <m:sty m:val="p"/>
              </m:rPr>
              <w:rPr>
                <w:rFonts w:ascii="Cambria Math" w:hAnsi="Cambria Math"/>
                <w:color w:val="000000" w:themeColor="text1"/>
              </w:rPr>
              <m:t xml:space="preserve"> </m:t>
            </m:r>
            <m:r>
              <w:rPr>
                <w:rFonts w:ascii="Cambria Math" w:hAnsi="Cambria Math"/>
                <w:color w:val="000000" w:themeColor="text1"/>
              </w:rPr>
              <m:t>throughout</m:t>
            </m:r>
            <m:r>
              <m:rPr>
                <m:sty m:val="p"/>
              </m:rPr>
              <w:rPr>
                <w:rFonts w:ascii="Cambria Math" w:hAnsi="Cambria Math"/>
                <w:color w:val="000000" w:themeColor="text1"/>
              </w:rPr>
              <m:t xml:space="preserve"> </m:t>
            </m:r>
            <m:r>
              <w:rPr>
                <w:rFonts w:ascii="Cambria Math" w:hAnsi="Cambria Math"/>
                <w:color w:val="000000" w:themeColor="text1"/>
              </w:rPr>
              <m:t>the</m:t>
            </m:r>
            <m:r>
              <m:rPr>
                <m:sty m:val="p"/>
              </m:rPr>
              <w:rPr>
                <w:rFonts w:ascii="Cambria Math" w:hAnsi="Cambria Math"/>
                <w:color w:val="000000" w:themeColor="text1"/>
              </w:rPr>
              <m:t xml:space="preserve"> </m:t>
            </m:r>
            <m:r>
              <w:rPr>
                <w:rFonts w:ascii="Cambria Math" w:hAnsi="Cambria Math"/>
                <w:color w:val="000000" w:themeColor="text1"/>
              </w:rPr>
              <m:t>lifetime</m:t>
            </m:r>
            <m:r>
              <m:rPr>
                <m:sty m:val="p"/>
              </m:rPr>
              <w:rPr>
                <w:rFonts w:ascii="Cambria Math" w:hAnsi="Cambria Math"/>
                <w:color w:val="000000" w:themeColor="text1"/>
              </w:rPr>
              <m:t xml:space="preserve"> </m:t>
            </m:r>
            <m:r>
              <w:rPr>
                <w:rFonts w:ascii="Cambria Math" w:hAnsi="Cambria Math"/>
                <w:color w:val="000000" w:themeColor="text1"/>
              </w:rPr>
              <m:t>of</m:t>
            </m:r>
            <m:r>
              <m:rPr>
                <m:sty m:val="p"/>
              </m:rPr>
              <w:rPr>
                <w:rFonts w:ascii="Cambria Math" w:hAnsi="Cambria Math"/>
                <w:color w:val="000000" w:themeColor="text1"/>
              </w:rPr>
              <m:t xml:space="preserve"> </m:t>
            </m:r>
            <m:r>
              <w:rPr>
                <w:rFonts w:ascii="Cambria Math" w:hAnsi="Cambria Math"/>
                <w:color w:val="000000" w:themeColor="text1"/>
              </w:rPr>
              <m:t>a</m:t>
            </m:r>
            <m:r>
              <m:rPr>
                <m:sty m:val="p"/>
              </m:rPr>
              <w:rPr>
                <w:rFonts w:ascii="Cambria Math" w:hAnsi="Cambria Math"/>
                <w:color w:val="000000" w:themeColor="text1"/>
              </w:rPr>
              <m:t xml:space="preserve"> </m:t>
            </m:r>
            <m:r>
              <w:rPr>
                <w:rFonts w:ascii="Cambria Math" w:hAnsi="Cambria Math"/>
                <w:color w:val="000000" w:themeColor="text1"/>
              </w:rPr>
              <m:t>project</m:t>
            </m:r>
            <m:r>
              <m:rPr>
                <m:sty m:val="p"/>
              </m:rPr>
              <w:rPr>
                <w:rFonts w:ascii="Cambria Math" w:hAnsi="Cambria Math"/>
                <w:color w:val="000000" w:themeColor="text1"/>
              </w:rPr>
              <m:t xml:space="preserve"> </m:t>
            </m:r>
          </m:num>
          <m:den>
            <m:r>
              <w:rPr>
                <w:rFonts w:ascii="Cambria Math" w:hAnsi="Cambria Math"/>
                <w:color w:val="000000" w:themeColor="text1"/>
              </w:rPr>
              <m:t>Esimated</m:t>
            </m:r>
            <m:r>
              <m:rPr>
                <m:sty m:val="p"/>
              </m:rPr>
              <w:rPr>
                <w:rFonts w:ascii="Cambria Math" w:hAnsi="Cambria Math"/>
                <w:color w:val="000000" w:themeColor="text1"/>
              </w:rPr>
              <m:t xml:space="preserve"> </m:t>
            </m:r>
            <m:r>
              <w:rPr>
                <w:rFonts w:ascii="Cambria Math" w:hAnsi="Cambria Math"/>
                <w:color w:val="000000" w:themeColor="text1"/>
              </w:rPr>
              <m:t>economic</m:t>
            </m:r>
            <m:r>
              <m:rPr>
                <m:sty m:val="p"/>
              </m:rPr>
              <w:rPr>
                <w:rFonts w:ascii="Cambria Math" w:hAnsi="Cambria Math"/>
                <w:color w:val="000000" w:themeColor="text1"/>
              </w:rPr>
              <m:t xml:space="preserve"> </m:t>
            </m:r>
            <m:r>
              <w:rPr>
                <w:rFonts w:ascii="Cambria Math" w:hAnsi="Cambria Math"/>
                <w:color w:val="000000" w:themeColor="text1"/>
              </w:rPr>
              <m:t>life</m:t>
            </m:r>
            <m:r>
              <m:rPr>
                <m:sty m:val="p"/>
              </m:rPr>
              <w:rPr>
                <w:rFonts w:ascii="Cambria Math" w:hAnsi="Cambria Math"/>
                <w:color w:val="000000" w:themeColor="text1"/>
              </w:rPr>
              <m:t xml:space="preserve"> </m:t>
            </m:r>
            <m:r>
              <w:rPr>
                <w:rFonts w:ascii="Cambria Math" w:hAnsi="Cambria Math"/>
                <w:color w:val="000000" w:themeColor="text1"/>
              </w:rPr>
              <m:t>time</m:t>
            </m:r>
            <m:r>
              <m:rPr>
                <m:sty m:val="p"/>
              </m:rPr>
              <w:rPr>
                <w:rFonts w:ascii="Cambria Math" w:hAnsi="Cambria Math"/>
                <w:color w:val="000000" w:themeColor="text1"/>
              </w:rPr>
              <m:t xml:space="preserve"> </m:t>
            </m:r>
            <m:r>
              <w:rPr>
                <w:rFonts w:ascii="Cambria Math" w:hAnsi="Cambria Math"/>
                <w:color w:val="000000" w:themeColor="text1"/>
              </w:rPr>
              <m:t>of</m:t>
            </m:r>
            <m:r>
              <m:rPr>
                <m:sty m:val="p"/>
              </m:rPr>
              <w:rPr>
                <w:rFonts w:ascii="Cambria Math" w:hAnsi="Cambria Math"/>
                <w:color w:val="000000" w:themeColor="text1"/>
              </w:rPr>
              <m:t xml:space="preserve"> </m:t>
            </m:r>
            <m:r>
              <w:rPr>
                <w:rFonts w:ascii="Cambria Math" w:hAnsi="Cambria Math"/>
                <w:color w:val="000000" w:themeColor="text1"/>
              </w:rPr>
              <m:t>the</m:t>
            </m:r>
            <m:r>
              <m:rPr>
                <m:sty m:val="p"/>
              </m:rPr>
              <w:rPr>
                <w:rFonts w:ascii="Cambria Math" w:hAnsi="Cambria Math"/>
                <w:color w:val="000000" w:themeColor="text1"/>
              </w:rPr>
              <m:t xml:space="preserve"> </m:t>
            </m:r>
            <m:r>
              <w:rPr>
                <w:rFonts w:ascii="Cambria Math" w:hAnsi="Cambria Math"/>
                <w:color w:val="000000" w:themeColor="text1"/>
              </w:rPr>
              <m:t>project</m:t>
            </m:r>
          </m:den>
        </m:f>
      </m:oMath>
    </w:p>
    <w:p w14:paraId="37F99742" w14:textId="77777777" w:rsidR="00DD3F9E" w:rsidRPr="005D07E6" w:rsidRDefault="00DD3F9E" w:rsidP="00DD3F9E">
      <w:pPr>
        <w:ind w:firstLine="720"/>
        <w:rPr>
          <w:rFonts w:eastAsiaTheme="minorEastAsia"/>
          <w:color w:val="000000" w:themeColor="text1"/>
        </w:rPr>
      </w:pPr>
      <w:r w:rsidRPr="005D07E6">
        <w:rPr>
          <w:rFonts w:eastAsiaTheme="minorEastAsia"/>
          <w:color w:val="000000" w:themeColor="text1"/>
        </w:rPr>
        <w:t xml:space="preserve">Average Investment = </w:t>
      </w:r>
      <m:oMath>
        <m:f>
          <m:fPr>
            <m:ctrlPr>
              <w:rPr>
                <w:rFonts w:ascii="Cambria Math" w:eastAsiaTheme="minorEastAsia" w:hAnsi="Cambria Math"/>
                <w:color w:val="000000" w:themeColor="text1"/>
              </w:rPr>
            </m:ctrlPr>
          </m:fPr>
          <m:num>
            <m:r>
              <w:rPr>
                <w:rFonts w:ascii="Cambria Math" w:eastAsiaTheme="minorEastAsia" w:hAnsi="Cambria Math"/>
                <w:color w:val="000000" w:themeColor="text1"/>
              </w:rPr>
              <m:t>Initila</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Investment</m:t>
            </m:r>
            <m:r>
              <m:rPr>
                <m:sty m:val="p"/>
              </m:rPr>
              <w:rPr>
                <w:rFonts w:ascii="Cambria Math" w:eastAsiaTheme="minorEastAsia" w:hAnsi="Cambria Math"/>
                <w:color w:val="000000" w:themeColor="text1"/>
              </w:rPr>
              <m:t>+</m:t>
            </m:r>
            <m:r>
              <w:rPr>
                <w:rFonts w:ascii="Cambria Math" w:eastAsiaTheme="minorEastAsia" w:hAnsi="Cambria Math"/>
                <w:color w:val="000000" w:themeColor="text1"/>
              </w:rPr>
              <m:t>Scrap</m:t>
            </m:r>
            <m:r>
              <m:rPr>
                <m:sty m:val="p"/>
              </m:rPr>
              <w:rPr>
                <w:rFonts w:ascii="Cambria Math" w:eastAsiaTheme="minorEastAsia" w:hAnsi="Cambria Math"/>
                <w:color w:val="000000" w:themeColor="text1"/>
              </w:rPr>
              <m:t xml:space="preserve"> </m:t>
            </m:r>
            <m:r>
              <w:rPr>
                <w:rFonts w:ascii="Cambria Math" w:eastAsiaTheme="minorEastAsia" w:hAnsi="Cambria Math"/>
                <w:color w:val="000000" w:themeColor="text1"/>
              </w:rPr>
              <m:t>value</m:t>
            </m:r>
          </m:num>
          <m:den>
            <m:r>
              <m:rPr>
                <m:sty m:val="p"/>
              </m:rPr>
              <w:rPr>
                <w:rFonts w:ascii="Cambria Math" w:eastAsiaTheme="minorEastAsia" w:hAnsi="Cambria Math"/>
                <w:color w:val="000000" w:themeColor="text1"/>
              </w:rPr>
              <m:t>2</m:t>
            </m:r>
          </m:den>
        </m:f>
      </m:oMath>
      <w:r w:rsidRPr="005D07E6">
        <w:rPr>
          <w:rFonts w:eastAsiaTheme="minorEastAsia"/>
          <w:color w:val="000000" w:themeColor="text1"/>
        </w:rPr>
        <w:t xml:space="preserve"> </w:t>
      </w:r>
    </w:p>
    <w:p w14:paraId="70F303C9" w14:textId="77777777" w:rsidR="00DD3F9E" w:rsidRPr="005D07E6" w:rsidRDefault="00DD3F9E" w:rsidP="00DD3F9E">
      <w:pPr>
        <w:rPr>
          <w:rFonts w:eastAsiaTheme="minorEastAsia"/>
          <w:color w:val="000000" w:themeColor="text1"/>
        </w:rPr>
      </w:pPr>
    </w:p>
    <w:p w14:paraId="35E531F4" w14:textId="77777777" w:rsidR="00DD3F9E" w:rsidRPr="005D07E6" w:rsidRDefault="00DD3F9E" w:rsidP="00DD3F9E">
      <w:pPr>
        <w:rPr>
          <w:rFonts w:eastAsiaTheme="minorEastAsia"/>
          <w:b/>
          <w:color w:val="000000" w:themeColor="text1"/>
        </w:rPr>
      </w:pPr>
      <w:r w:rsidRPr="005D07E6">
        <w:rPr>
          <w:rFonts w:eastAsiaTheme="minorEastAsia"/>
          <w:b/>
          <w:color w:val="000000" w:themeColor="text1"/>
        </w:rPr>
        <w:t>Project A:</w:t>
      </w:r>
    </w:p>
    <w:p w14:paraId="34BA21E7" w14:textId="77777777" w:rsidR="00DD3F9E" w:rsidRPr="005D07E6" w:rsidRDefault="00DD3F9E" w:rsidP="00DD3F9E">
      <w:pPr>
        <w:rPr>
          <w:color w:val="000000" w:themeColor="text1"/>
        </w:rPr>
      </w:pPr>
      <w:r w:rsidRPr="005D07E6">
        <w:rPr>
          <w:color w:val="000000" w:themeColor="text1"/>
        </w:rPr>
        <w:t xml:space="preserve">Here, </w:t>
      </w:r>
    </w:p>
    <w:p w14:paraId="63B36099"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85000000</w:t>
      </w:r>
    </w:p>
    <w:p w14:paraId="738DCAEF"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10000000</w:t>
      </w:r>
    </w:p>
    <w:p w14:paraId="21AF2E9C"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20000000</w:t>
      </w:r>
    </w:p>
    <w:p w14:paraId="589BCCD8"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6C0E60D2"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55000000</w:t>
      </w:r>
    </w:p>
    <w:p w14:paraId="7EA536C5" w14:textId="77777777" w:rsidR="00DD3F9E" w:rsidRPr="005D07E6" w:rsidRDefault="00DD3F9E" w:rsidP="00DD3F9E">
      <w:pPr>
        <w:rPr>
          <w:color w:val="000000" w:themeColor="text1"/>
        </w:rPr>
      </w:pPr>
      <w:r w:rsidRPr="005D07E6">
        <w:rPr>
          <w:color w:val="000000" w:themeColor="text1"/>
        </w:rPr>
        <w:t>Since the projected net cash flows are given for the Project A, Depreciation needs to be deducted from these projected net cash flows to get the net profit for each year.</w:t>
      </w:r>
    </w:p>
    <w:p w14:paraId="233325B8" w14:textId="77777777" w:rsidR="00DD3F9E" w:rsidRPr="005D07E6" w:rsidRDefault="00DD3F9E" w:rsidP="00DD3F9E">
      <w:pPr>
        <w:rPr>
          <w:color w:val="000000" w:themeColor="text1"/>
        </w:rPr>
      </w:pPr>
      <w:r w:rsidRPr="005D07E6">
        <w:rPr>
          <w:color w:val="000000" w:themeColor="text1"/>
        </w:rPr>
        <w:t>The firm uses straight line depreciation method to determine the depreciation for each year.</w:t>
      </w:r>
    </w:p>
    <w:p w14:paraId="7C3ACAF3" w14:textId="77777777" w:rsidR="00DD3F9E" w:rsidRPr="005D07E6" w:rsidRDefault="00DD3F9E" w:rsidP="00DD3F9E">
      <w:pPr>
        <w:rPr>
          <w:rFonts w:eastAsiaTheme="minorEastAsia"/>
          <w:color w:val="000000" w:themeColor="text1"/>
        </w:rPr>
      </w:pPr>
      <w:r w:rsidRPr="005D07E6">
        <w:rPr>
          <w:color w:val="000000" w:themeColor="text1"/>
        </w:rPr>
        <w:t xml:space="preserve">Straight line depreciation= </w:t>
      </w:r>
      <m:oMath>
        <m:f>
          <m:fPr>
            <m:ctrlPr>
              <w:rPr>
                <w:rFonts w:ascii="Cambria Math" w:hAnsi="Cambria Math"/>
                <w:color w:val="000000" w:themeColor="text1"/>
              </w:rPr>
            </m:ctrlPr>
          </m:fPr>
          <m:num>
            <m:r>
              <w:rPr>
                <w:rFonts w:ascii="Cambria Math" w:hAnsi="Cambria Math"/>
                <w:color w:val="000000" w:themeColor="text1"/>
              </w:rPr>
              <m:t>Initial</m:t>
            </m:r>
            <m:r>
              <m:rPr>
                <m:sty m:val="p"/>
              </m:rPr>
              <w:rPr>
                <w:rFonts w:ascii="Cambria Math" w:hAnsi="Cambria Math"/>
                <w:color w:val="000000" w:themeColor="text1"/>
              </w:rPr>
              <m:t xml:space="preserve"> </m:t>
            </m:r>
            <m:r>
              <w:rPr>
                <w:rFonts w:ascii="Cambria Math" w:hAnsi="Cambria Math"/>
                <w:color w:val="000000" w:themeColor="text1"/>
              </w:rPr>
              <m:t>investvent</m:t>
            </m:r>
            <m:r>
              <m:rPr>
                <m:sty m:val="p"/>
              </m:rPr>
              <w:rPr>
                <w:rFonts w:ascii="Cambria Math" w:hAnsi="Cambria Math"/>
                <w:color w:val="000000" w:themeColor="text1"/>
              </w:rPr>
              <m:t>-</m:t>
            </m:r>
            <m:r>
              <w:rPr>
                <w:rFonts w:ascii="Cambria Math" w:hAnsi="Cambria Math"/>
                <w:color w:val="000000" w:themeColor="text1"/>
              </w:rPr>
              <m:t>Scrap</m:t>
            </m:r>
            <m:r>
              <m:rPr>
                <m:sty m:val="p"/>
              </m:rPr>
              <w:rPr>
                <w:rFonts w:ascii="Cambria Math" w:hAnsi="Cambria Math"/>
                <w:color w:val="000000" w:themeColor="text1"/>
              </w:rPr>
              <m:t xml:space="preserve"> </m:t>
            </m:r>
            <m:r>
              <w:rPr>
                <w:rFonts w:ascii="Cambria Math" w:hAnsi="Cambria Math"/>
                <w:color w:val="000000" w:themeColor="text1"/>
              </w:rPr>
              <m:t>value</m:t>
            </m:r>
          </m:num>
          <m:den>
            <m:r>
              <w:rPr>
                <w:rFonts w:ascii="Cambria Math" w:hAnsi="Cambria Math"/>
                <w:color w:val="000000" w:themeColor="text1"/>
              </w:rPr>
              <m:t>Estimated</m:t>
            </m:r>
            <m:r>
              <m:rPr>
                <m:sty m:val="p"/>
              </m:rPr>
              <w:rPr>
                <w:rFonts w:ascii="Cambria Math" w:hAnsi="Cambria Math"/>
                <w:color w:val="000000" w:themeColor="text1"/>
              </w:rPr>
              <m:t xml:space="preserve"> </m:t>
            </m:r>
            <m:r>
              <w:rPr>
                <w:rFonts w:ascii="Cambria Math" w:hAnsi="Cambria Math"/>
                <w:color w:val="000000" w:themeColor="text1"/>
              </w:rPr>
              <m:t>Economic</m:t>
            </m:r>
            <m:r>
              <m:rPr>
                <m:sty m:val="p"/>
              </m:rPr>
              <w:rPr>
                <w:rFonts w:ascii="Cambria Math" w:hAnsi="Cambria Math"/>
                <w:color w:val="000000" w:themeColor="text1"/>
              </w:rPr>
              <m:t xml:space="preserve"> </m:t>
            </m:r>
            <m:r>
              <w:rPr>
                <w:rFonts w:ascii="Cambria Math" w:hAnsi="Cambria Math"/>
                <w:color w:val="000000" w:themeColor="text1"/>
              </w:rPr>
              <m:t>Lifetime</m:t>
            </m:r>
            <m:r>
              <m:rPr>
                <m:sty m:val="p"/>
              </m:rPr>
              <w:rPr>
                <w:rFonts w:ascii="Cambria Math" w:hAnsi="Cambria Math"/>
                <w:color w:val="000000" w:themeColor="text1"/>
              </w:rPr>
              <m:t xml:space="preserve"> </m:t>
            </m:r>
            <m:r>
              <w:rPr>
                <w:rFonts w:ascii="Cambria Math" w:hAnsi="Cambria Math"/>
                <w:color w:val="000000" w:themeColor="text1"/>
              </w:rPr>
              <m:t>of</m:t>
            </m:r>
            <m:r>
              <m:rPr>
                <m:sty m:val="p"/>
              </m:rPr>
              <w:rPr>
                <w:rFonts w:ascii="Cambria Math" w:hAnsi="Cambria Math"/>
                <w:color w:val="000000" w:themeColor="text1"/>
              </w:rPr>
              <m:t xml:space="preserve"> </m:t>
            </m:r>
            <m:r>
              <w:rPr>
                <w:rFonts w:ascii="Cambria Math" w:hAnsi="Cambria Math"/>
                <w:color w:val="000000" w:themeColor="text1"/>
              </w:rPr>
              <m:t>the</m:t>
            </m:r>
            <m:r>
              <m:rPr>
                <m:sty m:val="p"/>
              </m:rPr>
              <w:rPr>
                <w:rFonts w:ascii="Cambria Math" w:hAnsi="Cambria Math"/>
                <w:color w:val="000000" w:themeColor="text1"/>
              </w:rPr>
              <m:t xml:space="preserve"> </m:t>
            </m:r>
            <m:r>
              <w:rPr>
                <w:rFonts w:ascii="Cambria Math" w:hAnsi="Cambria Math"/>
                <w:color w:val="000000" w:themeColor="text1"/>
              </w:rPr>
              <m:t>asset</m:t>
            </m:r>
            <m:r>
              <m:rPr>
                <m:sty m:val="p"/>
              </m:rPr>
              <w:rPr>
                <w:rFonts w:ascii="Cambria Math" w:hAnsi="Cambria Math"/>
                <w:color w:val="000000" w:themeColor="text1"/>
              </w:rPr>
              <m:t xml:space="preserve"> </m:t>
            </m:r>
            <m:r>
              <w:rPr>
                <w:rFonts w:ascii="Cambria Math" w:hAnsi="Cambria Math"/>
                <w:color w:val="000000" w:themeColor="text1"/>
              </w:rPr>
              <m:t>or</m:t>
            </m:r>
            <m:r>
              <m:rPr>
                <m:sty m:val="p"/>
              </m:rPr>
              <w:rPr>
                <w:rFonts w:ascii="Cambria Math" w:hAnsi="Cambria Math"/>
                <w:color w:val="000000" w:themeColor="text1"/>
              </w:rPr>
              <m:t xml:space="preserve"> </m:t>
            </m:r>
            <m:r>
              <w:rPr>
                <w:rFonts w:ascii="Cambria Math" w:hAnsi="Cambria Math"/>
                <w:color w:val="000000" w:themeColor="text1"/>
              </w:rPr>
              <m:t>project</m:t>
            </m:r>
          </m:den>
        </m:f>
      </m:oMath>
    </w:p>
    <w:p w14:paraId="7105A73D" w14:textId="77777777" w:rsidR="00DD3F9E" w:rsidRPr="005D07E6" w:rsidRDefault="00DD3F9E" w:rsidP="00DD3F9E">
      <w:pPr>
        <w:rPr>
          <w:rFonts w:eastAsiaTheme="minorEastAsia"/>
          <w:color w:val="000000" w:themeColor="text1"/>
        </w:rPr>
      </w:pPr>
      <w:r w:rsidRPr="005D07E6">
        <w:rPr>
          <w:rFonts w:eastAsiaTheme="minorEastAsia"/>
          <w:color w:val="000000" w:themeColor="text1"/>
        </w:rPr>
        <w:t xml:space="preserve">Here, </w:t>
      </w:r>
    </w:p>
    <w:p w14:paraId="00EDD1B0" w14:textId="77777777" w:rsidR="00DD3F9E" w:rsidRPr="005D07E6" w:rsidRDefault="00DD3F9E" w:rsidP="00DD3F9E">
      <w:pPr>
        <w:rPr>
          <w:rFonts w:eastAsia="Times New Roman" w:cs="Times New Roman"/>
          <w:color w:val="000000" w:themeColor="text1"/>
          <w:lang w:eastAsia="en-GB"/>
        </w:rPr>
      </w:pPr>
      <w:r w:rsidRPr="005D07E6">
        <w:rPr>
          <w:rFonts w:eastAsiaTheme="minorEastAsia"/>
          <w:color w:val="000000" w:themeColor="text1"/>
        </w:rPr>
        <w:tab/>
      </w:r>
      <w:r w:rsidRPr="005D07E6">
        <w:rPr>
          <w:color w:val="000000" w:themeColor="text1"/>
        </w:rPr>
        <w:t xml:space="preserve">Initial investment= </w:t>
      </w:r>
      <w:r w:rsidRPr="005D07E6">
        <w:rPr>
          <w:rFonts w:eastAsia="Times New Roman" w:cs="Times New Roman"/>
          <w:color w:val="000000" w:themeColor="text1"/>
          <w:lang w:eastAsia="en-GB"/>
        </w:rPr>
        <w:t>85000000</w:t>
      </w:r>
    </w:p>
    <w:p w14:paraId="3E921099"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Scrap Value= 0</w:t>
      </w:r>
    </w:p>
    <w:p w14:paraId="04939840"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Estimated Economic Lifetime of The Asset or Project= 4 years</w:t>
      </w:r>
    </w:p>
    <w:p w14:paraId="2D4485F3" w14:textId="77777777" w:rsidR="00DD3F9E" w:rsidRPr="005D07E6" w:rsidRDefault="00DD3F9E" w:rsidP="00DD3F9E">
      <w:pPr>
        <w:rPr>
          <w:rFonts w:eastAsia="Times New Roman" w:cs="Times New Roman"/>
          <w:color w:val="000000" w:themeColor="text1"/>
          <w:lang w:eastAsia="en-GB"/>
        </w:rPr>
      </w:pPr>
    </w:p>
    <w:p w14:paraId="38D385AF"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 xml:space="preserve">So, Depreciation= </w:t>
      </w:r>
      <m:oMath>
        <m:f>
          <m:fPr>
            <m:ctrlPr>
              <w:rPr>
                <w:rFonts w:ascii="Cambria Math" w:eastAsia="Times New Roman" w:hAnsi="Cambria Math" w:cs="Times New Roman"/>
                <w:color w:val="000000" w:themeColor="text1"/>
                <w:lang w:eastAsia="en-GB"/>
              </w:rPr>
            </m:ctrlPr>
          </m:fPr>
          <m:num>
            <m:r>
              <m:rPr>
                <m:sty m:val="p"/>
              </m:rPr>
              <w:rPr>
                <w:rFonts w:ascii="Cambria Math" w:hAnsi="Cambria Math"/>
                <w:color w:val="000000" w:themeColor="text1"/>
              </w:rPr>
              <m:t xml:space="preserve"> </m:t>
            </m:r>
            <m:r>
              <m:rPr>
                <m:sty m:val="p"/>
              </m:rPr>
              <w:rPr>
                <w:rFonts w:ascii="Cambria Math" w:eastAsia="Times New Roman" w:hAnsi="Cambria Math" w:cs="Times New Roman"/>
                <w:color w:val="000000" w:themeColor="text1"/>
                <w:lang w:eastAsia="en-GB"/>
              </w:rPr>
              <m:t>85000000-0</m:t>
            </m:r>
          </m:num>
          <m:den>
            <m:r>
              <m:rPr>
                <m:sty m:val="p"/>
              </m:rPr>
              <w:rPr>
                <w:rFonts w:ascii="Cambria Math" w:eastAsia="Times New Roman" w:hAnsi="Cambria Math" w:cs="Times New Roman"/>
                <w:color w:val="000000" w:themeColor="text1"/>
                <w:lang w:eastAsia="en-GB"/>
              </w:rPr>
              <m:t>4</m:t>
            </m:r>
          </m:den>
        </m:f>
      </m:oMath>
      <w:r w:rsidRPr="005D07E6">
        <w:rPr>
          <w:rFonts w:eastAsia="Times New Roman" w:cs="Times New Roman"/>
          <w:color w:val="000000" w:themeColor="text1"/>
          <w:lang w:eastAsia="en-GB"/>
        </w:rPr>
        <w:t xml:space="preserve"> = 21250000</w:t>
      </w:r>
    </w:p>
    <w:p w14:paraId="10D9330E"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Calculating the net profit of Project A in the next 4 years</w:t>
      </w:r>
    </w:p>
    <w:tbl>
      <w:tblPr>
        <w:tblStyle w:val="TableGrid"/>
        <w:tblW w:w="9177" w:type="dxa"/>
        <w:tblLook w:val="04A0" w:firstRow="1" w:lastRow="0" w:firstColumn="1" w:lastColumn="0" w:noHBand="0" w:noVBand="1"/>
      </w:tblPr>
      <w:tblGrid>
        <w:gridCol w:w="2972"/>
        <w:gridCol w:w="1701"/>
        <w:gridCol w:w="1559"/>
        <w:gridCol w:w="1560"/>
        <w:gridCol w:w="1385"/>
      </w:tblGrid>
      <w:tr w:rsidR="005D07E6" w:rsidRPr="005D07E6" w14:paraId="1FF86BBD" w14:textId="77777777" w:rsidTr="00DD3F9E">
        <w:trPr>
          <w:trHeight w:val="627"/>
        </w:trPr>
        <w:tc>
          <w:tcPr>
            <w:tcW w:w="2972" w:type="dxa"/>
          </w:tcPr>
          <w:p w14:paraId="7788585B"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Particulars</w:t>
            </w:r>
          </w:p>
        </w:tc>
        <w:tc>
          <w:tcPr>
            <w:tcW w:w="1701" w:type="dxa"/>
          </w:tcPr>
          <w:p w14:paraId="44B284B5"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 xml:space="preserve">Year 1 </w:t>
            </w:r>
          </w:p>
        </w:tc>
        <w:tc>
          <w:tcPr>
            <w:tcW w:w="1559" w:type="dxa"/>
          </w:tcPr>
          <w:p w14:paraId="0F99F218"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Year 2</w:t>
            </w:r>
          </w:p>
        </w:tc>
        <w:tc>
          <w:tcPr>
            <w:tcW w:w="1560" w:type="dxa"/>
          </w:tcPr>
          <w:p w14:paraId="1FE92A22"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Year 3</w:t>
            </w:r>
          </w:p>
        </w:tc>
        <w:tc>
          <w:tcPr>
            <w:tcW w:w="1385" w:type="dxa"/>
          </w:tcPr>
          <w:p w14:paraId="4F0222A8"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Year 4</w:t>
            </w:r>
          </w:p>
        </w:tc>
      </w:tr>
      <w:tr w:rsidR="005D07E6" w:rsidRPr="005D07E6" w14:paraId="5EF41D31" w14:textId="77777777" w:rsidTr="00DD3F9E">
        <w:trPr>
          <w:trHeight w:val="593"/>
        </w:trPr>
        <w:tc>
          <w:tcPr>
            <w:tcW w:w="2972" w:type="dxa"/>
          </w:tcPr>
          <w:p w14:paraId="1849E9EF"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Projected Net Cash Flow</w:t>
            </w:r>
          </w:p>
        </w:tc>
        <w:tc>
          <w:tcPr>
            <w:tcW w:w="1701" w:type="dxa"/>
          </w:tcPr>
          <w:p w14:paraId="66A0391C"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10000000</w:t>
            </w:r>
          </w:p>
          <w:p w14:paraId="2BBBC55C" w14:textId="77777777" w:rsidR="00DD3F9E" w:rsidRPr="005D07E6" w:rsidRDefault="00DD3F9E" w:rsidP="00DD3F9E">
            <w:pPr>
              <w:rPr>
                <w:rFonts w:eastAsia="Times New Roman" w:cs="Times New Roman"/>
                <w:color w:val="000000" w:themeColor="text1"/>
                <w:lang w:eastAsia="en-GB"/>
              </w:rPr>
            </w:pPr>
          </w:p>
        </w:tc>
        <w:tc>
          <w:tcPr>
            <w:tcW w:w="1559" w:type="dxa"/>
          </w:tcPr>
          <w:p w14:paraId="5D8F1A42"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20000000</w:t>
            </w:r>
          </w:p>
          <w:p w14:paraId="55EF4CE3" w14:textId="77777777" w:rsidR="00DD3F9E" w:rsidRPr="005D07E6" w:rsidRDefault="00DD3F9E" w:rsidP="00DD3F9E">
            <w:pPr>
              <w:rPr>
                <w:rFonts w:eastAsia="Times New Roman" w:cs="Times New Roman"/>
                <w:color w:val="000000" w:themeColor="text1"/>
                <w:lang w:eastAsia="en-GB"/>
              </w:rPr>
            </w:pPr>
          </w:p>
        </w:tc>
        <w:tc>
          <w:tcPr>
            <w:tcW w:w="1560" w:type="dxa"/>
          </w:tcPr>
          <w:p w14:paraId="5865846B"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40000000</w:t>
            </w:r>
          </w:p>
          <w:p w14:paraId="4995E28C" w14:textId="77777777" w:rsidR="00DD3F9E" w:rsidRPr="005D07E6" w:rsidRDefault="00DD3F9E" w:rsidP="00DD3F9E">
            <w:pPr>
              <w:rPr>
                <w:rFonts w:eastAsia="Times New Roman" w:cs="Times New Roman"/>
                <w:color w:val="000000" w:themeColor="text1"/>
                <w:lang w:eastAsia="en-GB"/>
              </w:rPr>
            </w:pPr>
          </w:p>
        </w:tc>
        <w:tc>
          <w:tcPr>
            <w:tcW w:w="1385" w:type="dxa"/>
          </w:tcPr>
          <w:p w14:paraId="1621015C"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55000000</w:t>
            </w:r>
          </w:p>
          <w:p w14:paraId="0B3DDA80" w14:textId="77777777" w:rsidR="00DD3F9E" w:rsidRPr="005D07E6" w:rsidRDefault="00DD3F9E" w:rsidP="00DD3F9E">
            <w:pPr>
              <w:rPr>
                <w:rFonts w:eastAsia="Times New Roman" w:cs="Times New Roman"/>
                <w:color w:val="000000" w:themeColor="text1"/>
                <w:lang w:eastAsia="en-GB"/>
              </w:rPr>
            </w:pPr>
          </w:p>
        </w:tc>
      </w:tr>
      <w:tr w:rsidR="005D07E6" w:rsidRPr="005D07E6" w14:paraId="7DBE6EBB" w14:textId="77777777" w:rsidTr="00DD3F9E">
        <w:trPr>
          <w:trHeight w:val="593"/>
        </w:trPr>
        <w:tc>
          <w:tcPr>
            <w:tcW w:w="2972" w:type="dxa"/>
          </w:tcPr>
          <w:p w14:paraId="5610BF96"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Less: Depreciation Expense</w:t>
            </w:r>
          </w:p>
        </w:tc>
        <w:tc>
          <w:tcPr>
            <w:tcW w:w="1701" w:type="dxa"/>
          </w:tcPr>
          <w:p w14:paraId="5B92AEB7"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21250000</w:t>
            </w:r>
          </w:p>
        </w:tc>
        <w:tc>
          <w:tcPr>
            <w:tcW w:w="1559" w:type="dxa"/>
          </w:tcPr>
          <w:p w14:paraId="2545786D"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21250000</w:t>
            </w:r>
          </w:p>
        </w:tc>
        <w:tc>
          <w:tcPr>
            <w:tcW w:w="1560" w:type="dxa"/>
          </w:tcPr>
          <w:p w14:paraId="7529AE2F"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21250000</w:t>
            </w:r>
          </w:p>
        </w:tc>
        <w:tc>
          <w:tcPr>
            <w:tcW w:w="1385" w:type="dxa"/>
          </w:tcPr>
          <w:p w14:paraId="5B0C30F1"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21250000</w:t>
            </w:r>
          </w:p>
        </w:tc>
      </w:tr>
      <w:tr w:rsidR="00DD3F9E" w:rsidRPr="005D07E6" w14:paraId="08DEC415" w14:textId="77777777" w:rsidTr="00DD3F9E">
        <w:trPr>
          <w:trHeight w:val="593"/>
        </w:trPr>
        <w:tc>
          <w:tcPr>
            <w:tcW w:w="2972" w:type="dxa"/>
          </w:tcPr>
          <w:p w14:paraId="0DAAEC54"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Net Profit ( Loss)</w:t>
            </w:r>
          </w:p>
        </w:tc>
        <w:tc>
          <w:tcPr>
            <w:tcW w:w="1701" w:type="dxa"/>
          </w:tcPr>
          <w:p w14:paraId="713917AC"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(11250000)</w:t>
            </w:r>
          </w:p>
        </w:tc>
        <w:tc>
          <w:tcPr>
            <w:tcW w:w="1559" w:type="dxa"/>
          </w:tcPr>
          <w:p w14:paraId="364E146D"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(1250000)</w:t>
            </w:r>
          </w:p>
        </w:tc>
        <w:tc>
          <w:tcPr>
            <w:tcW w:w="1560" w:type="dxa"/>
          </w:tcPr>
          <w:p w14:paraId="6C7265A6"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18750000</w:t>
            </w:r>
          </w:p>
        </w:tc>
        <w:tc>
          <w:tcPr>
            <w:tcW w:w="1385" w:type="dxa"/>
          </w:tcPr>
          <w:p w14:paraId="7BB27927"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33750000</w:t>
            </w:r>
          </w:p>
        </w:tc>
      </w:tr>
    </w:tbl>
    <w:p w14:paraId="6515174B" w14:textId="77777777" w:rsidR="00DD3F9E" w:rsidRPr="005D07E6" w:rsidRDefault="00DD3F9E" w:rsidP="00DD3F9E">
      <w:pPr>
        <w:rPr>
          <w:rFonts w:eastAsia="Times New Roman" w:cs="Times New Roman"/>
          <w:color w:val="000000" w:themeColor="text1"/>
          <w:lang w:eastAsia="en-GB"/>
        </w:rPr>
      </w:pPr>
    </w:p>
    <w:p w14:paraId="752B84E4" w14:textId="77777777" w:rsidR="00DD3F9E" w:rsidRPr="005D07E6" w:rsidRDefault="00DD3F9E" w:rsidP="00DD3F9E">
      <w:pPr>
        <w:rPr>
          <w:rFonts w:eastAsiaTheme="minorEastAsia"/>
          <w:color w:val="000000" w:themeColor="text1"/>
        </w:rPr>
      </w:pPr>
      <w:r w:rsidRPr="005D07E6">
        <w:rPr>
          <w:color w:val="000000" w:themeColor="text1"/>
        </w:rPr>
        <w:t xml:space="preserve">So, Average Net Profit= </w:t>
      </w:r>
      <m:oMath>
        <m:f>
          <m:fPr>
            <m:ctrlPr>
              <w:rPr>
                <w:rFonts w:ascii="Cambria Math" w:hAnsi="Cambria Math"/>
                <w:color w:val="000000" w:themeColor="text1"/>
              </w:rPr>
            </m:ctrlPr>
          </m:fPr>
          <m:num>
            <m:d>
              <m:dPr>
                <m:ctrlPr>
                  <w:rPr>
                    <w:rFonts w:ascii="Cambria Math" w:eastAsia="Times New Roman" w:hAnsi="Cambria Math" w:cs="Times New Roman"/>
                    <w:color w:val="000000" w:themeColor="text1"/>
                    <w:lang w:eastAsia="en-GB"/>
                  </w:rPr>
                </m:ctrlPr>
              </m:dPr>
              <m:e>
                <m:r>
                  <m:rPr>
                    <m:sty m:val="p"/>
                  </m:rPr>
                  <w:rPr>
                    <w:rFonts w:ascii="Cambria Math" w:eastAsia="Times New Roman" w:hAnsi="Cambria Math" w:cs="Times New Roman"/>
                    <w:color w:val="000000" w:themeColor="text1"/>
                    <w:lang w:eastAsia="en-GB"/>
                  </w:rPr>
                  <m:t>11250000</m:t>
                </m:r>
              </m:e>
            </m:d>
            <m:r>
              <m:rPr>
                <m:sty m:val="p"/>
              </m:rPr>
              <w:rPr>
                <w:rFonts w:ascii="Cambria Math" w:eastAsia="Times New Roman" w:hAnsi="Cambria Math" w:cs="Times New Roman"/>
                <w:color w:val="000000" w:themeColor="text1"/>
                <w:lang w:eastAsia="en-GB"/>
              </w:rPr>
              <m:t xml:space="preserve"> + (1250000) + 18750000+ 33750000</m:t>
            </m:r>
          </m:num>
          <m:den>
            <m:r>
              <m:rPr>
                <m:sty m:val="p"/>
              </m:rPr>
              <w:rPr>
                <w:rFonts w:ascii="Cambria Math" w:hAnsi="Cambria Math"/>
                <w:color w:val="000000" w:themeColor="text1"/>
              </w:rPr>
              <m:t>4</m:t>
            </m:r>
          </m:den>
        </m:f>
      </m:oMath>
      <w:r w:rsidRPr="005D07E6">
        <w:rPr>
          <w:rFonts w:eastAsiaTheme="minorEastAsia"/>
          <w:color w:val="000000" w:themeColor="text1"/>
        </w:rPr>
        <w:t xml:space="preserve"> = 10000000</w:t>
      </w:r>
    </w:p>
    <w:p w14:paraId="787023AB" w14:textId="77777777" w:rsidR="00DD3F9E" w:rsidRPr="005D07E6" w:rsidRDefault="00DD3F9E" w:rsidP="00DD3F9E">
      <w:pPr>
        <w:rPr>
          <w:rFonts w:eastAsiaTheme="minorEastAsia"/>
          <w:color w:val="000000" w:themeColor="text1"/>
        </w:rPr>
      </w:pPr>
    </w:p>
    <w:p w14:paraId="011541AC"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 xml:space="preserve">      Average Investment= </w:t>
      </w:r>
      <m:oMath>
        <m:f>
          <m:fPr>
            <m:ctrlPr>
              <w:rPr>
                <w:rFonts w:ascii="Cambria Math" w:eastAsia="Times New Roman" w:hAnsi="Cambria Math" w:cs="Times New Roman"/>
                <w:color w:val="000000" w:themeColor="text1"/>
                <w:lang w:eastAsia="en-GB"/>
              </w:rPr>
            </m:ctrlPr>
          </m:fPr>
          <m:num>
            <m:r>
              <m:rPr>
                <m:sty m:val="p"/>
              </m:rPr>
              <w:rPr>
                <w:rFonts w:ascii="Cambria Math" w:hAnsi="Cambria Math"/>
                <w:color w:val="000000" w:themeColor="text1"/>
              </w:rPr>
              <m:t xml:space="preserve"> </m:t>
            </m:r>
            <m:r>
              <m:rPr>
                <m:sty m:val="p"/>
              </m:rPr>
              <w:rPr>
                <w:rFonts w:ascii="Cambria Math" w:eastAsia="Times New Roman" w:hAnsi="Cambria Math" w:cs="Times New Roman"/>
                <w:color w:val="000000" w:themeColor="text1"/>
                <w:lang w:eastAsia="en-GB"/>
              </w:rPr>
              <m:t>85000000-0</m:t>
            </m:r>
          </m:num>
          <m:den>
            <m:r>
              <m:rPr>
                <m:sty m:val="p"/>
              </m:rPr>
              <w:rPr>
                <w:rFonts w:ascii="Cambria Math" w:eastAsia="Times New Roman" w:hAnsi="Cambria Math" w:cs="Times New Roman"/>
                <w:color w:val="000000" w:themeColor="text1"/>
                <w:lang w:eastAsia="en-GB"/>
              </w:rPr>
              <m:t>2</m:t>
            </m:r>
          </m:den>
        </m:f>
      </m:oMath>
      <w:r w:rsidRPr="005D07E6">
        <w:rPr>
          <w:rFonts w:eastAsiaTheme="minorEastAsia"/>
          <w:color w:val="000000" w:themeColor="text1"/>
          <w:lang w:eastAsia="en-GB"/>
        </w:rPr>
        <w:t xml:space="preserve"> = </w:t>
      </w:r>
      <w:r w:rsidRPr="005D07E6">
        <w:rPr>
          <w:rFonts w:eastAsia="Times New Roman" w:cs="Times New Roman"/>
          <w:color w:val="000000" w:themeColor="text1"/>
          <w:lang w:eastAsia="en-GB"/>
        </w:rPr>
        <w:t>42500000</w:t>
      </w:r>
    </w:p>
    <w:p w14:paraId="68B2D5C5" w14:textId="77777777" w:rsidR="00DD3F9E" w:rsidRPr="005D07E6" w:rsidRDefault="00DD3F9E" w:rsidP="00DD3F9E">
      <w:pPr>
        <w:rPr>
          <w:rFonts w:eastAsia="Times New Roman" w:cs="Times New Roman"/>
          <w:color w:val="000000" w:themeColor="text1"/>
          <w:lang w:eastAsia="en-GB"/>
        </w:rPr>
      </w:pPr>
    </w:p>
    <w:p w14:paraId="2FBFE499" w14:textId="77777777" w:rsidR="00DD3F9E" w:rsidRPr="005D07E6" w:rsidRDefault="00DD3F9E" w:rsidP="00DD3F9E">
      <w:pPr>
        <w:rPr>
          <w:rFonts w:eastAsiaTheme="minorEastAsia"/>
          <w:bCs/>
          <w:color w:val="000000" w:themeColor="text1"/>
          <w:szCs w:val="24"/>
        </w:rPr>
      </w:pPr>
      <w:r w:rsidRPr="005D07E6">
        <w:rPr>
          <w:rFonts w:eastAsia="Times New Roman" w:cs="Times New Roman"/>
          <w:color w:val="000000" w:themeColor="text1"/>
          <w:lang w:eastAsia="en-GB"/>
        </w:rPr>
        <w:t xml:space="preserve">Accounting Rate of Return from Project A = </w:t>
      </w:r>
      <w:r w:rsidRPr="005D07E6">
        <w:rPr>
          <w:rFonts w:eastAsiaTheme="minorEastAsia"/>
          <w:bCs/>
          <w:color w:val="000000" w:themeColor="text1"/>
          <w:szCs w:val="24"/>
        </w:rPr>
        <w:t>(</w:t>
      </w:r>
      <m:oMath>
        <m:f>
          <m:fPr>
            <m:ctrlPr>
              <w:rPr>
                <w:rFonts w:ascii="Cambria Math" w:eastAsiaTheme="minorEastAsia" w:hAnsi="Cambria Math"/>
                <w:bCs/>
                <w:color w:val="000000" w:themeColor="text1"/>
                <w:szCs w:val="24"/>
              </w:rPr>
            </m:ctrlPr>
          </m:fPr>
          <m:num>
            <m:r>
              <m:rPr>
                <m:sty m:val="bi"/>
              </m:rPr>
              <w:rPr>
                <w:rFonts w:ascii="Cambria Math" w:eastAsiaTheme="minorEastAsia" w:hAnsi="Cambria Math"/>
                <w:color w:val="000000" w:themeColor="text1"/>
                <w:szCs w:val="24"/>
              </w:rPr>
              <m:t>Average</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Net</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Profit</m:t>
            </m:r>
          </m:num>
          <m:den>
            <m:r>
              <m:rPr>
                <m:sty m:val="bi"/>
              </m:rPr>
              <w:rPr>
                <w:rFonts w:ascii="Cambria Math" w:eastAsiaTheme="minorEastAsia" w:hAnsi="Cambria Math"/>
                <w:color w:val="000000" w:themeColor="text1"/>
                <w:szCs w:val="24"/>
              </w:rPr>
              <m:t>Average</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Investment</m:t>
            </m:r>
          </m:den>
        </m:f>
      </m:oMath>
      <w:r w:rsidRPr="005D07E6">
        <w:rPr>
          <w:rFonts w:eastAsiaTheme="minorEastAsia"/>
          <w:bCs/>
          <w:color w:val="000000" w:themeColor="text1"/>
          <w:szCs w:val="24"/>
        </w:rPr>
        <w:t>) * 100</w:t>
      </w:r>
    </w:p>
    <w:p w14:paraId="0F34D272" w14:textId="77777777" w:rsidR="00DD3F9E" w:rsidRPr="005D07E6" w:rsidRDefault="00DD3F9E" w:rsidP="00DD3F9E">
      <w:pPr>
        <w:rPr>
          <w:rFonts w:eastAsiaTheme="minorEastAsia"/>
          <w:bCs/>
          <w:color w:val="000000" w:themeColor="text1"/>
          <w:szCs w:val="24"/>
        </w:rPr>
      </w:pP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t xml:space="preserve">   = </w:t>
      </w:r>
      <w:r w:rsidRPr="005D07E6">
        <w:rPr>
          <w:rFonts w:eastAsiaTheme="minorEastAsia"/>
          <w:bCs/>
          <w:color w:val="000000" w:themeColor="text1"/>
          <w:szCs w:val="24"/>
        </w:rPr>
        <w:t>(</w:t>
      </w:r>
      <m:oMath>
        <m:f>
          <m:fPr>
            <m:ctrlPr>
              <w:rPr>
                <w:rFonts w:ascii="Cambria Math" w:eastAsiaTheme="minorEastAsia" w:hAnsi="Cambria Math"/>
                <w:bCs/>
                <w:color w:val="000000" w:themeColor="text1"/>
                <w:szCs w:val="24"/>
              </w:rPr>
            </m:ctrlPr>
          </m:fPr>
          <m:num>
            <m:r>
              <m:rPr>
                <m:sty m:val="p"/>
              </m:rPr>
              <w:rPr>
                <w:rFonts w:ascii="Cambria Math" w:eastAsiaTheme="minorEastAsia" w:hAnsi="Cambria Math"/>
                <w:color w:val="000000" w:themeColor="text1"/>
              </w:rPr>
              <m:t>10000000</m:t>
            </m:r>
          </m:num>
          <m:den>
            <m:r>
              <m:rPr>
                <m:sty m:val="p"/>
              </m:rPr>
              <w:rPr>
                <w:rFonts w:ascii="Cambria Math" w:eastAsia="Times New Roman" w:hAnsi="Cambria Math" w:cs="Times New Roman"/>
                <w:color w:val="000000" w:themeColor="text1"/>
                <w:lang w:eastAsia="en-GB"/>
              </w:rPr>
              <m:t>42500000</m:t>
            </m:r>
          </m:den>
        </m:f>
      </m:oMath>
      <w:r w:rsidRPr="005D07E6">
        <w:rPr>
          <w:rFonts w:eastAsiaTheme="minorEastAsia"/>
          <w:bCs/>
          <w:color w:val="000000" w:themeColor="text1"/>
          <w:szCs w:val="24"/>
        </w:rPr>
        <w:t>) * 100</w:t>
      </w:r>
    </w:p>
    <w:p w14:paraId="2940327A" w14:textId="77777777" w:rsidR="00DD3F9E" w:rsidRPr="005D07E6" w:rsidRDefault="00DD3F9E" w:rsidP="00DD3F9E">
      <w:pPr>
        <w:rPr>
          <w:color w:val="000000" w:themeColor="text1"/>
        </w:rPr>
      </w:pP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t xml:space="preserve">   = 23.53 %</w:t>
      </w:r>
    </w:p>
    <w:p w14:paraId="1EDD3AC7" w14:textId="77777777" w:rsidR="00DD3F9E" w:rsidRPr="005D07E6" w:rsidRDefault="00DD3F9E" w:rsidP="00DD3F9E">
      <w:pPr>
        <w:rPr>
          <w:color w:val="000000" w:themeColor="text1"/>
        </w:rPr>
      </w:pPr>
      <w:r w:rsidRPr="005D07E6">
        <w:rPr>
          <w:color w:val="000000" w:themeColor="text1"/>
        </w:rPr>
        <w:t>It means that Project A is going to earn 23.53 pound sterling for every 100 pound sterling investment in the project A.</w:t>
      </w:r>
    </w:p>
    <w:p w14:paraId="2824B092" w14:textId="77777777" w:rsidR="00DD3F9E" w:rsidRPr="005D07E6" w:rsidRDefault="00DD3F9E" w:rsidP="00DD3F9E">
      <w:pPr>
        <w:rPr>
          <w:color w:val="000000" w:themeColor="text1"/>
        </w:rPr>
      </w:pPr>
    </w:p>
    <w:p w14:paraId="2296A76F" w14:textId="77777777" w:rsidR="00DD3F9E" w:rsidRPr="005D07E6" w:rsidRDefault="00DD3F9E" w:rsidP="00DD3F9E">
      <w:pPr>
        <w:rPr>
          <w:color w:val="000000" w:themeColor="text1"/>
        </w:rPr>
      </w:pPr>
      <w:r w:rsidRPr="005D07E6">
        <w:rPr>
          <w:color w:val="000000" w:themeColor="text1"/>
        </w:rPr>
        <w:t>Project B</w:t>
      </w:r>
    </w:p>
    <w:p w14:paraId="08A2115D" w14:textId="77777777" w:rsidR="00DD3F9E" w:rsidRPr="005D07E6" w:rsidRDefault="00DD3F9E" w:rsidP="00DD3F9E">
      <w:pPr>
        <w:rPr>
          <w:color w:val="000000" w:themeColor="text1"/>
        </w:rPr>
      </w:pPr>
      <w:r w:rsidRPr="005D07E6">
        <w:rPr>
          <w:color w:val="000000" w:themeColor="text1"/>
        </w:rPr>
        <w:t xml:space="preserve">Here, </w:t>
      </w:r>
    </w:p>
    <w:p w14:paraId="4C80CD90"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90000000</w:t>
      </w:r>
    </w:p>
    <w:p w14:paraId="045AF0AC"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25000000</w:t>
      </w:r>
    </w:p>
    <w:p w14:paraId="2FCFA46B"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30000000</w:t>
      </w:r>
    </w:p>
    <w:p w14:paraId="4BE35D9C"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lastRenderedPageBreak/>
        <w:tab/>
        <w:t xml:space="preserve">Projected Net Cash flow at year 1= </w:t>
      </w:r>
      <w:r w:rsidRPr="005D07E6">
        <w:rPr>
          <w:rFonts w:eastAsia="Times New Roman" w:cs="Times New Roman"/>
          <w:color w:val="000000" w:themeColor="text1"/>
          <w:lang w:eastAsia="en-GB"/>
        </w:rPr>
        <w:t>35000000</w:t>
      </w:r>
    </w:p>
    <w:p w14:paraId="6C8B011C"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2BB68E67" w14:textId="77777777" w:rsidR="00DD3F9E" w:rsidRPr="005D07E6" w:rsidRDefault="00DD3F9E" w:rsidP="00DD3F9E">
      <w:pPr>
        <w:rPr>
          <w:color w:val="000000" w:themeColor="text1"/>
        </w:rPr>
      </w:pPr>
      <w:r w:rsidRPr="005D07E6">
        <w:rPr>
          <w:color w:val="000000" w:themeColor="text1"/>
        </w:rPr>
        <w:t>Since the projected net cash flows are given for the Project A, Depreciation needs to be deducted from these projected net cash flows to get the net profit for each year.</w:t>
      </w:r>
    </w:p>
    <w:p w14:paraId="1581C961" w14:textId="77777777" w:rsidR="00DD3F9E" w:rsidRPr="005D07E6" w:rsidRDefault="00DD3F9E" w:rsidP="00DD3F9E">
      <w:pPr>
        <w:rPr>
          <w:color w:val="000000" w:themeColor="text1"/>
        </w:rPr>
      </w:pPr>
    </w:p>
    <w:p w14:paraId="2F175E6A" w14:textId="77777777" w:rsidR="00DD3F9E" w:rsidRPr="005D07E6" w:rsidRDefault="00DD3F9E" w:rsidP="00DD3F9E">
      <w:pPr>
        <w:rPr>
          <w:color w:val="000000" w:themeColor="text1"/>
        </w:rPr>
      </w:pPr>
      <w:r w:rsidRPr="005D07E6">
        <w:rPr>
          <w:color w:val="000000" w:themeColor="text1"/>
        </w:rPr>
        <w:t>The firm uses straight line depreciation method to determine the depreciation for each year.</w:t>
      </w:r>
    </w:p>
    <w:p w14:paraId="2E8DC99F" w14:textId="77777777" w:rsidR="00DD3F9E" w:rsidRPr="005D07E6" w:rsidRDefault="00DD3F9E" w:rsidP="00DD3F9E">
      <w:pPr>
        <w:rPr>
          <w:rFonts w:eastAsiaTheme="minorEastAsia"/>
          <w:color w:val="000000" w:themeColor="text1"/>
        </w:rPr>
      </w:pPr>
      <w:r w:rsidRPr="005D07E6">
        <w:rPr>
          <w:color w:val="000000" w:themeColor="text1"/>
        </w:rPr>
        <w:t xml:space="preserve">Straight line depreciation= </w:t>
      </w:r>
      <m:oMath>
        <m:f>
          <m:fPr>
            <m:ctrlPr>
              <w:rPr>
                <w:rFonts w:ascii="Cambria Math" w:hAnsi="Cambria Math"/>
                <w:color w:val="000000" w:themeColor="text1"/>
              </w:rPr>
            </m:ctrlPr>
          </m:fPr>
          <m:num>
            <m:r>
              <w:rPr>
                <w:rFonts w:ascii="Cambria Math" w:hAnsi="Cambria Math"/>
                <w:color w:val="000000" w:themeColor="text1"/>
              </w:rPr>
              <m:t>Initial</m:t>
            </m:r>
            <m:r>
              <m:rPr>
                <m:sty m:val="p"/>
              </m:rPr>
              <w:rPr>
                <w:rFonts w:ascii="Cambria Math" w:hAnsi="Cambria Math"/>
                <w:color w:val="000000" w:themeColor="text1"/>
              </w:rPr>
              <m:t xml:space="preserve"> </m:t>
            </m:r>
            <m:r>
              <w:rPr>
                <w:rFonts w:ascii="Cambria Math" w:hAnsi="Cambria Math"/>
                <w:color w:val="000000" w:themeColor="text1"/>
              </w:rPr>
              <m:t>investvent</m:t>
            </m:r>
            <m:r>
              <m:rPr>
                <m:sty m:val="p"/>
              </m:rPr>
              <w:rPr>
                <w:rFonts w:ascii="Cambria Math" w:hAnsi="Cambria Math"/>
                <w:color w:val="000000" w:themeColor="text1"/>
              </w:rPr>
              <m:t>-</m:t>
            </m:r>
            <m:r>
              <w:rPr>
                <w:rFonts w:ascii="Cambria Math" w:hAnsi="Cambria Math"/>
                <w:color w:val="000000" w:themeColor="text1"/>
              </w:rPr>
              <m:t>Scrap</m:t>
            </m:r>
            <m:r>
              <m:rPr>
                <m:sty m:val="p"/>
              </m:rPr>
              <w:rPr>
                <w:rFonts w:ascii="Cambria Math" w:hAnsi="Cambria Math"/>
                <w:color w:val="000000" w:themeColor="text1"/>
              </w:rPr>
              <m:t xml:space="preserve"> </m:t>
            </m:r>
            <m:r>
              <w:rPr>
                <w:rFonts w:ascii="Cambria Math" w:hAnsi="Cambria Math"/>
                <w:color w:val="000000" w:themeColor="text1"/>
              </w:rPr>
              <m:t>value</m:t>
            </m:r>
          </m:num>
          <m:den>
            <m:r>
              <w:rPr>
                <w:rFonts w:ascii="Cambria Math" w:hAnsi="Cambria Math"/>
                <w:color w:val="000000" w:themeColor="text1"/>
              </w:rPr>
              <m:t>Estimated</m:t>
            </m:r>
            <m:r>
              <m:rPr>
                <m:sty m:val="p"/>
              </m:rPr>
              <w:rPr>
                <w:rFonts w:ascii="Cambria Math" w:hAnsi="Cambria Math"/>
                <w:color w:val="000000" w:themeColor="text1"/>
              </w:rPr>
              <m:t xml:space="preserve"> </m:t>
            </m:r>
            <m:r>
              <w:rPr>
                <w:rFonts w:ascii="Cambria Math" w:hAnsi="Cambria Math"/>
                <w:color w:val="000000" w:themeColor="text1"/>
              </w:rPr>
              <m:t>Economic</m:t>
            </m:r>
            <m:r>
              <m:rPr>
                <m:sty m:val="p"/>
              </m:rPr>
              <w:rPr>
                <w:rFonts w:ascii="Cambria Math" w:hAnsi="Cambria Math"/>
                <w:color w:val="000000" w:themeColor="text1"/>
              </w:rPr>
              <m:t xml:space="preserve"> </m:t>
            </m:r>
            <m:r>
              <w:rPr>
                <w:rFonts w:ascii="Cambria Math" w:hAnsi="Cambria Math"/>
                <w:color w:val="000000" w:themeColor="text1"/>
              </w:rPr>
              <m:t>Lifetime</m:t>
            </m:r>
            <m:r>
              <m:rPr>
                <m:sty m:val="p"/>
              </m:rPr>
              <w:rPr>
                <w:rFonts w:ascii="Cambria Math" w:hAnsi="Cambria Math"/>
                <w:color w:val="000000" w:themeColor="text1"/>
              </w:rPr>
              <m:t xml:space="preserve"> </m:t>
            </m:r>
            <m:r>
              <w:rPr>
                <w:rFonts w:ascii="Cambria Math" w:hAnsi="Cambria Math"/>
                <w:color w:val="000000" w:themeColor="text1"/>
              </w:rPr>
              <m:t>of</m:t>
            </m:r>
            <m:r>
              <m:rPr>
                <m:sty m:val="p"/>
              </m:rPr>
              <w:rPr>
                <w:rFonts w:ascii="Cambria Math" w:hAnsi="Cambria Math"/>
                <w:color w:val="000000" w:themeColor="text1"/>
              </w:rPr>
              <m:t xml:space="preserve"> </m:t>
            </m:r>
            <m:r>
              <w:rPr>
                <w:rFonts w:ascii="Cambria Math" w:hAnsi="Cambria Math"/>
                <w:color w:val="000000" w:themeColor="text1"/>
              </w:rPr>
              <m:t>the</m:t>
            </m:r>
            <m:r>
              <m:rPr>
                <m:sty m:val="p"/>
              </m:rPr>
              <w:rPr>
                <w:rFonts w:ascii="Cambria Math" w:hAnsi="Cambria Math"/>
                <w:color w:val="000000" w:themeColor="text1"/>
              </w:rPr>
              <m:t xml:space="preserve"> </m:t>
            </m:r>
            <m:r>
              <w:rPr>
                <w:rFonts w:ascii="Cambria Math" w:hAnsi="Cambria Math"/>
                <w:color w:val="000000" w:themeColor="text1"/>
              </w:rPr>
              <m:t>asset</m:t>
            </m:r>
            <m:r>
              <m:rPr>
                <m:sty m:val="p"/>
              </m:rPr>
              <w:rPr>
                <w:rFonts w:ascii="Cambria Math" w:hAnsi="Cambria Math"/>
                <w:color w:val="000000" w:themeColor="text1"/>
              </w:rPr>
              <m:t xml:space="preserve"> </m:t>
            </m:r>
            <m:r>
              <w:rPr>
                <w:rFonts w:ascii="Cambria Math" w:hAnsi="Cambria Math"/>
                <w:color w:val="000000" w:themeColor="text1"/>
              </w:rPr>
              <m:t>or</m:t>
            </m:r>
            <m:r>
              <m:rPr>
                <m:sty m:val="p"/>
              </m:rPr>
              <w:rPr>
                <w:rFonts w:ascii="Cambria Math" w:hAnsi="Cambria Math"/>
                <w:color w:val="000000" w:themeColor="text1"/>
              </w:rPr>
              <m:t xml:space="preserve"> </m:t>
            </m:r>
            <m:r>
              <w:rPr>
                <w:rFonts w:ascii="Cambria Math" w:hAnsi="Cambria Math"/>
                <w:color w:val="000000" w:themeColor="text1"/>
              </w:rPr>
              <m:t>project</m:t>
            </m:r>
          </m:den>
        </m:f>
      </m:oMath>
    </w:p>
    <w:p w14:paraId="469B9E46" w14:textId="77777777" w:rsidR="00DD3F9E" w:rsidRPr="005D07E6" w:rsidRDefault="00DD3F9E" w:rsidP="00DD3F9E">
      <w:pPr>
        <w:rPr>
          <w:rFonts w:eastAsiaTheme="minorEastAsia"/>
          <w:color w:val="000000" w:themeColor="text1"/>
        </w:rPr>
      </w:pPr>
      <w:r w:rsidRPr="005D07E6">
        <w:rPr>
          <w:rFonts w:eastAsiaTheme="minorEastAsia"/>
          <w:color w:val="000000" w:themeColor="text1"/>
        </w:rPr>
        <w:t xml:space="preserve">Here, </w:t>
      </w:r>
    </w:p>
    <w:p w14:paraId="5B13BFF7" w14:textId="77777777" w:rsidR="00DD3F9E" w:rsidRPr="005D07E6" w:rsidRDefault="00DD3F9E" w:rsidP="00DD3F9E">
      <w:pPr>
        <w:rPr>
          <w:rFonts w:eastAsia="Times New Roman" w:cs="Times New Roman"/>
          <w:color w:val="000000" w:themeColor="text1"/>
          <w:lang w:eastAsia="en-GB"/>
        </w:rPr>
      </w:pPr>
      <w:r w:rsidRPr="005D07E6">
        <w:rPr>
          <w:rFonts w:eastAsiaTheme="minorEastAsia"/>
          <w:color w:val="000000" w:themeColor="text1"/>
        </w:rPr>
        <w:tab/>
      </w:r>
      <w:r w:rsidRPr="005D07E6">
        <w:rPr>
          <w:color w:val="000000" w:themeColor="text1"/>
        </w:rPr>
        <w:t xml:space="preserve">Initial investment= </w:t>
      </w:r>
      <w:r w:rsidRPr="005D07E6">
        <w:rPr>
          <w:rFonts w:eastAsia="Times New Roman" w:cs="Times New Roman"/>
          <w:color w:val="000000" w:themeColor="text1"/>
          <w:lang w:eastAsia="en-GB"/>
        </w:rPr>
        <w:t>90000000</w:t>
      </w:r>
    </w:p>
    <w:p w14:paraId="1FB84D16"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Scrap Value= 0</w:t>
      </w:r>
    </w:p>
    <w:p w14:paraId="7C71FD1C"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Estimated Economic Lifetime of The Asset or Project= 4 years</w:t>
      </w:r>
    </w:p>
    <w:p w14:paraId="3C081D3F" w14:textId="77777777" w:rsidR="00DD3F9E" w:rsidRPr="005D07E6" w:rsidRDefault="00DD3F9E" w:rsidP="00DD3F9E">
      <w:pPr>
        <w:rPr>
          <w:rFonts w:eastAsia="Times New Roman" w:cs="Times New Roman"/>
          <w:color w:val="000000" w:themeColor="text1"/>
          <w:lang w:eastAsia="en-GB"/>
        </w:rPr>
      </w:pPr>
    </w:p>
    <w:p w14:paraId="1E56E051"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 xml:space="preserve">So, Depreciation= </w:t>
      </w:r>
      <m:oMath>
        <m:f>
          <m:fPr>
            <m:ctrlPr>
              <w:rPr>
                <w:rFonts w:ascii="Cambria Math" w:eastAsia="Times New Roman" w:hAnsi="Cambria Math" w:cs="Times New Roman"/>
                <w:color w:val="000000" w:themeColor="text1"/>
                <w:lang w:eastAsia="en-GB"/>
              </w:rPr>
            </m:ctrlPr>
          </m:fPr>
          <m:num>
            <m:r>
              <m:rPr>
                <m:sty m:val="p"/>
              </m:rPr>
              <w:rPr>
                <w:rFonts w:ascii="Cambria Math" w:hAnsi="Cambria Math"/>
                <w:color w:val="000000" w:themeColor="text1"/>
              </w:rPr>
              <m:t xml:space="preserve"> </m:t>
            </m:r>
            <m:r>
              <m:rPr>
                <m:sty m:val="p"/>
              </m:rPr>
              <w:rPr>
                <w:rFonts w:ascii="Cambria Math" w:eastAsia="Times New Roman" w:hAnsi="Cambria Math" w:cs="Times New Roman"/>
                <w:color w:val="000000" w:themeColor="text1"/>
                <w:lang w:eastAsia="en-GB"/>
              </w:rPr>
              <m:t>90000000-0</m:t>
            </m:r>
          </m:num>
          <m:den>
            <m:r>
              <m:rPr>
                <m:sty m:val="p"/>
              </m:rPr>
              <w:rPr>
                <w:rFonts w:ascii="Cambria Math" w:eastAsia="Times New Roman" w:hAnsi="Cambria Math" w:cs="Times New Roman"/>
                <w:color w:val="000000" w:themeColor="text1"/>
                <w:lang w:eastAsia="en-GB"/>
              </w:rPr>
              <m:t>4</m:t>
            </m:r>
          </m:den>
        </m:f>
      </m:oMath>
      <w:r w:rsidRPr="005D07E6">
        <w:rPr>
          <w:rFonts w:eastAsia="Times New Roman" w:cs="Times New Roman"/>
          <w:color w:val="000000" w:themeColor="text1"/>
          <w:lang w:eastAsia="en-GB"/>
        </w:rPr>
        <w:t xml:space="preserve"> = 22500000</w:t>
      </w:r>
    </w:p>
    <w:p w14:paraId="5CC2787B" w14:textId="77777777" w:rsidR="00DD3F9E" w:rsidRPr="005D07E6" w:rsidRDefault="00DD3F9E" w:rsidP="00DD3F9E">
      <w:pPr>
        <w:rPr>
          <w:rFonts w:eastAsia="Times New Roman" w:cs="Times New Roman"/>
          <w:color w:val="000000" w:themeColor="text1"/>
          <w:lang w:eastAsia="en-GB"/>
        </w:rPr>
      </w:pPr>
    </w:p>
    <w:p w14:paraId="2B94EF83"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Calculating the net profit of Project A in the next 4 years</w:t>
      </w:r>
    </w:p>
    <w:tbl>
      <w:tblPr>
        <w:tblStyle w:val="TableGrid"/>
        <w:tblW w:w="9206" w:type="dxa"/>
        <w:tblLook w:val="04A0" w:firstRow="1" w:lastRow="0" w:firstColumn="1" w:lastColumn="0" w:noHBand="0" w:noVBand="1"/>
      </w:tblPr>
      <w:tblGrid>
        <w:gridCol w:w="2982"/>
        <w:gridCol w:w="1706"/>
        <w:gridCol w:w="1564"/>
        <w:gridCol w:w="1565"/>
        <w:gridCol w:w="1389"/>
      </w:tblGrid>
      <w:tr w:rsidR="005D07E6" w:rsidRPr="005D07E6" w14:paraId="799DF438" w14:textId="77777777" w:rsidTr="00DD3F9E">
        <w:trPr>
          <w:trHeight w:val="639"/>
        </w:trPr>
        <w:tc>
          <w:tcPr>
            <w:tcW w:w="2982" w:type="dxa"/>
          </w:tcPr>
          <w:p w14:paraId="0BB52C7D"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Particulars</w:t>
            </w:r>
          </w:p>
        </w:tc>
        <w:tc>
          <w:tcPr>
            <w:tcW w:w="1706" w:type="dxa"/>
          </w:tcPr>
          <w:p w14:paraId="40787E38"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 xml:space="preserve">Year 1 </w:t>
            </w:r>
          </w:p>
        </w:tc>
        <w:tc>
          <w:tcPr>
            <w:tcW w:w="1564" w:type="dxa"/>
          </w:tcPr>
          <w:p w14:paraId="698EF6C5"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Year 2</w:t>
            </w:r>
          </w:p>
        </w:tc>
        <w:tc>
          <w:tcPr>
            <w:tcW w:w="1565" w:type="dxa"/>
          </w:tcPr>
          <w:p w14:paraId="2C9DC7E6"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Year 3</w:t>
            </w:r>
          </w:p>
        </w:tc>
        <w:tc>
          <w:tcPr>
            <w:tcW w:w="1389" w:type="dxa"/>
          </w:tcPr>
          <w:p w14:paraId="3C0A7E59"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Year 4</w:t>
            </w:r>
          </w:p>
        </w:tc>
      </w:tr>
      <w:tr w:rsidR="005D07E6" w:rsidRPr="005D07E6" w14:paraId="21F45F5B" w14:textId="77777777" w:rsidTr="00DD3F9E">
        <w:trPr>
          <w:trHeight w:val="604"/>
        </w:trPr>
        <w:tc>
          <w:tcPr>
            <w:tcW w:w="2982" w:type="dxa"/>
          </w:tcPr>
          <w:p w14:paraId="3BAF0B05"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Projected Net Cash Flow</w:t>
            </w:r>
          </w:p>
        </w:tc>
        <w:tc>
          <w:tcPr>
            <w:tcW w:w="1706" w:type="dxa"/>
          </w:tcPr>
          <w:p w14:paraId="45469043"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25000000</w:t>
            </w:r>
          </w:p>
        </w:tc>
        <w:tc>
          <w:tcPr>
            <w:tcW w:w="1564" w:type="dxa"/>
          </w:tcPr>
          <w:p w14:paraId="3F194530"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30000000</w:t>
            </w:r>
          </w:p>
          <w:p w14:paraId="47801D07" w14:textId="77777777" w:rsidR="00DD3F9E" w:rsidRPr="005D07E6" w:rsidRDefault="00DD3F9E" w:rsidP="00DD3F9E">
            <w:pPr>
              <w:rPr>
                <w:rFonts w:eastAsia="Times New Roman" w:cs="Times New Roman"/>
                <w:color w:val="000000" w:themeColor="text1"/>
                <w:lang w:eastAsia="en-GB"/>
              </w:rPr>
            </w:pPr>
          </w:p>
        </w:tc>
        <w:tc>
          <w:tcPr>
            <w:tcW w:w="1565" w:type="dxa"/>
          </w:tcPr>
          <w:p w14:paraId="18E6602D"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35000000</w:t>
            </w:r>
          </w:p>
        </w:tc>
        <w:tc>
          <w:tcPr>
            <w:tcW w:w="1389" w:type="dxa"/>
          </w:tcPr>
          <w:p w14:paraId="59044E86"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40000000</w:t>
            </w:r>
          </w:p>
          <w:p w14:paraId="15456304" w14:textId="77777777" w:rsidR="00DD3F9E" w:rsidRPr="005D07E6" w:rsidRDefault="00DD3F9E" w:rsidP="00DD3F9E">
            <w:pPr>
              <w:rPr>
                <w:rFonts w:eastAsia="Times New Roman" w:cs="Times New Roman"/>
                <w:color w:val="000000" w:themeColor="text1"/>
                <w:lang w:eastAsia="en-GB"/>
              </w:rPr>
            </w:pPr>
          </w:p>
        </w:tc>
      </w:tr>
      <w:tr w:rsidR="005D07E6" w:rsidRPr="005D07E6" w14:paraId="5E2FC304" w14:textId="77777777" w:rsidTr="00DD3F9E">
        <w:trPr>
          <w:trHeight w:val="604"/>
        </w:trPr>
        <w:tc>
          <w:tcPr>
            <w:tcW w:w="2982" w:type="dxa"/>
          </w:tcPr>
          <w:p w14:paraId="36FAE3CD"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Less: Depreciation Expense</w:t>
            </w:r>
          </w:p>
        </w:tc>
        <w:tc>
          <w:tcPr>
            <w:tcW w:w="1706" w:type="dxa"/>
          </w:tcPr>
          <w:p w14:paraId="5201FCB9"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22500000</w:t>
            </w:r>
          </w:p>
        </w:tc>
        <w:tc>
          <w:tcPr>
            <w:tcW w:w="1564" w:type="dxa"/>
          </w:tcPr>
          <w:p w14:paraId="31492976"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22500000</w:t>
            </w:r>
          </w:p>
        </w:tc>
        <w:tc>
          <w:tcPr>
            <w:tcW w:w="1565" w:type="dxa"/>
          </w:tcPr>
          <w:p w14:paraId="5EC86F0E"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22500000</w:t>
            </w:r>
          </w:p>
        </w:tc>
        <w:tc>
          <w:tcPr>
            <w:tcW w:w="1389" w:type="dxa"/>
          </w:tcPr>
          <w:p w14:paraId="4A594819" w14:textId="77777777" w:rsidR="00DD3F9E" w:rsidRPr="005D07E6" w:rsidRDefault="00DD3F9E" w:rsidP="00DD3F9E">
            <w:pPr>
              <w:rPr>
                <w:color w:val="000000" w:themeColor="text1"/>
              </w:rPr>
            </w:pPr>
            <w:r w:rsidRPr="005D07E6">
              <w:rPr>
                <w:rFonts w:eastAsia="Times New Roman" w:cs="Times New Roman"/>
                <w:color w:val="000000" w:themeColor="text1"/>
                <w:lang w:eastAsia="en-GB"/>
              </w:rPr>
              <w:t>21250000</w:t>
            </w:r>
          </w:p>
        </w:tc>
      </w:tr>
      <w:tr w:rsidR="00DD3F9E" w:rsidRPr="005D07E6" w14:paraId="6C1DA39D" w14:textId="77777777" w:rsidTr="00DD3F9E">
        <w:trPr>
          <w:trHeight w:val="604"/>
        </w:trPr>
        <w:tc>
          <w:tcPr>
            <w:tcW w:w="2982" w:type="dxa"/>
          </w:tcPr>
          <w:p w14:paraId="69596BC8"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Net Profit ( Loss)</w:t>
            </w:r>
          </w:p>
        </w:tc>
        <w:tc>
          <w:tcPr>
            <w:tcW w:w="1706" w:type="dxa"/>
          </w:tcPr>
          <w:p w14:paraId="2688D71C"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2500000</w:t>
            </w:r>
          </w:p>
        </w:tc>
        <w:tc>
          <w:tcPr>
            <w:tcW w:w="1564" w:type="dxa"/>
          </w:tcPr>
          <w:p w14:paraId="6AB125E2"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7500000</w:t>
            </w:r>
          </w:p>
        </w:tc>
        <w:tc>
          <w:tcPr>
            <w:tcW w:w="1565" w:type="dxa"/>
          </w:tcPr>
          <w:p w14:paraId="290751B4"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12500000</w:t>
            </w:r>
          </w:p>
        </w:tc>
        <w:tc>
          <w:tcPr>
            <w:tcW w:w="1389" w:type="dxa"/>
          </w:tcPr>
          <w:p w14:paraId="18D630DF"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17500000</w:t>
            </w:r>
          </w:p>
        </w:tc>
      </w:tr>
    </w:tbl>
    <w:p w14:paraId="481ABE9D" w14:textId="77777777" w:rsidR="00DD3F9E" w:rsidRPr="005D07E6" w:rsidRDefault="00DD3F9E" w:rsidP="00DD3F9E">
      <w:pPr>
        <w:rPr>
          <w:rFonts w:eastAsia="Times New Roman" w:cs="Times New Roman"/>
          <w:color w:val="000000" w:themeColor="text1"/>
          <w:lang w:eastAsia="en-GB"/>
        </w:rPr>
      </w:pPr>
    </w:p>
    <w:p w14:paraId="450F5B2F" w14:textId="77777777" w:rsidR="00DD3F9E" w:rsidRPr="005D07E6" w:rsidRDefault="00DD3F9E" w:rsidP="00DD3F9E">
      <w:pPr>
        <w:rPr>
          <w:rFonts w:eastAsiaTheme="minorEastAsia"/>
          <w:color w:val="000000" w:themeColor="text1"/>
        </w:rPr>
      </w:pPr>
      <w:r w:rsidRPr="005D07E6">
        <w:rPr>
          <w:color w:val="000000" w:themeColor="text1"/>
        </w:rPr>
        <w:t xml:space="preserve">So, Average Net Profit= </w:t>
      </w:r>
      <m:oMath>
        <m:f>
          <m:fPr>
            <m:ctrlPr>
              <w:rPr>
                <w:rFonts w:ascii="Cambria Math" w:hAnsi="Cambria Math"/>
                <w:color w:val="000000" w:themeColor="text1"/>
              </w:rPr>
            </m:ctrlPr>
          </m:fPr>
          <m:num>
            <m:d>
              <m:dPr>
                <m:ctrlPr>
                  <w:rPr>
                    <w:rFonts w:ascii="Cambria Math" w:eastAsia="Times New Roman" w:hAnsi="Cambria Math" w:cs="Times New Roman"/>
                    <w:color w:val="000000" w:themeColor="text1"/>
                    <w:lang w:eastAsia="en-GB"/>
                  </w:rPr>
                </m:ctrlPr>
              </m:dPr>
              <m:e>
                <m:r>
                  <m:rPr>
                    <m:sty m:val="p"/>
                  </m:rPr>
                  <w:rPr>
                    <w:rFonts w:ascii="Cambria Math" w:eastAsia="Times New Roman" w:hAnsi="Cambria Math" w:cs="Times New Roman"/>
                    <w:color w:val="000000" w:themeColor="text1"/>
                    <w:lang w:eastAsia="en-GB"/>
                  </w:rPr>
                  <m:t>11250000</m:t>
                </m:r>
              </m:e>
            </m:d>
            <m:r>
              <m:rPr>
                <m:sty m:val="p"/>
              </m:rPr>
              <w:rPr>
                <w:rFonts w:ascii="Cambria Math" w:eastAsia="Times New Roman" w:hAnsi="Cambria Math" w:cs="Times New Roman"/>
                <w:color w:val="000000" w:themeColor="text1"/>
                <w:lang w:eastAsia="en-GB"/>
              </w:rPr>
              <m:t xml:space="preserve"> + 7500000 + 12500000+ 17500000</m:t>
            </m:r>
          </m:num>
          <m:den>
            <m:r>
              <m:rPr>
                <m:sty m:val="p"/>
              </m:rPr>
              <w:rPr>
                <w:rFonts w:ascii="Cambria Math" w:hAnsi="Cambria Math"/>
                <w:color w:val="000000" w:themeColor="text1"/>
              </w:rPr>
              <m:t>4</m:t>
            </m:r>
          </m:den>
        </m:f>
      </m:oMath>
      <w:r w:rsidRPr="005D07E6">
        <w:rPr>
          <w:rFonts w:eastAsiaTheme="minorEastAsia"/>
          <w:color w:val="000000" w:themeColor="text1"/>
        </w:rPr>
        <w:t xml:space="preserve"> = 10000000</w:t>
      </w:r>
    </w:p>
    <w:p w14:paraId="1D781BA3" w14:textId="77777777" w:rsidR="005D07E6" w:rsidRDefault="005D07E6">
      <w:pPr>
        <w:spacing w:line="259" w:lineRule="auto"/>
        <w:jc w:val="left"/>
        <w:rPr>
          <w:rFonts w:eastAsiaTheme="minorEastAsia"/>
          <w:color w:val="000000" w:themeColor="text1"/>
        </w:rPr>
      </w:pPr>
      <w:r>
        <w:rPr>
          <w:rFonts w:eastAsiaTheme="minorEastAsia"/>
          <w:color w:val="000000" w:themeColor="text1"/>
        </w:rPr>
        <w:br w:type="page"/>
      </w:r>
    </w:p>
    <w:p w14:paraId="23C9063F" w14:textId="77777777" w:rsidR="00DD3F9E" w:rsidRPr="005D07E6" w:rsidRDefault="00DD3F9E" w:rsidP="00DD3F9E">
      <w:pPr>
        <w:rPr>
          <w:rFonts w:eastAsiaTheme="minorEastAsia"/>
          <w:color w:val="000000" w:themeColor="text1"/>
        </w:rPr>
      </w:pPr>
    </w:p>
    <w:p w14:paraId="7201640B"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 xml:space="preserve">      Average Investment= </w:t>
      </w:r>
      <m:oMath>
        <m:f>
          <m:fPr>
            <m:ctrlPr>
              <w:rPr>
                <w:rFonts w:ascii="Cambria Math" w:eastAsia="Times New Roman" w:hAnsi="Cambria Math" w:cs="Times New Roman"/>
                <w:color w:val="000000" w:themeColor="text1"/>
                <w:lang w:eastAsia="en-GB"/>
              </w:rPr>
            </m:ctrlPr>
          </m:fPr>
          <m:num>
            <m:r>
              <m:rPr>
                <m:sty m:val="p"/>
              </m:rPr>
              <w:rPr>
                <w:rFonts w:ascii="Cambria Math" w:hAnsi="Cambria Math"/>
                <w:color w:val="000000" w:themeColor="text1"/>
              </w:rPr>
              <m:t xml:space="preserve"> </m:t>
            </m:r>
            <m:r>
              <m:rPr>
                <m:sty m:val="p"/>
              </m:rPr>
              <w:rPr>
                <w:rFonts w:ascii="Cambria Math" w:eastAsia="Times New Roman" w:hAnsi="Cambria Math" w:cs="Times New Roman"/>
                <w:color w:val="000000" w:themeColor="text1"/>
                <w:lang w:eastAsia="en-GB"/>
              </w:rPr>
              <m:t>90000000-0</m:t>
            </m:r>
          </m:num>
          <m:den>
            <m:r>
              <m:rPr>
                <m:sty m:val="p"/>
              </m:rPr>
              <w:rPr>
                <w:rFonts w:ascii="Cambria Math" w:eastAsia="Times New Roman" w:hAnsi="Cambria Math" w:cs="Times New Roman"/>
                <w:color w:val="000000" w:themeColor="text1"/>
                <w:lang w:eastAsia="en-GB"/>
              </w:rPr>
              <m:t>2</m:t>
            </m:r>
          </m:den>
        </m:f>
      </m:oMath>
      <w:r w:rsidRPr="005D07E6">
        <w:rPr>
          <w:rFonts w:eastAsiaTheme="minorEastAsia"/>
          <w:color w:val="000000" w:themeColor="text1"/>
          <w:lang w:eastAsia="en-GB"/>
        </w:rPr>
        <w:t xml:space="preserve"> = </w:t>
      </w:r>
      <w:r w:rsidRPr="005D07E6">
        <w:rPr>
          <w:rFonts w:eastAsia="Times New Roman" w:cs="Times New Roman"/>
          <w:color w:val="000000" w:themeColor="text1"/>
          <w:lang w:eastAsia="en-GB"/>
        </w:rPr>
        <w:t>45000000</w:t>
      </w:r>
    </w:p>
    <w:p w14:paraId="3E25CF6E" w14:textId="77777777" w:rsidR="00DD3F9E" w:rsidRPr="005D07E6" w:rsidRDefault="00DD3F9E" w:rsidP="00DD3F9E">
      <w:pPr>
        <w:rPr>
          <w:rFonts w:eastAsiaTheme="minorEastAsia"/>
          <w:bCs/>
          <w:color w:val="000000" w:themeColor="text1"/>
          <w:szCs w:val="24"/>
        </w:rPr>
      </w:pPr>
      <w:r w:rsidRPr="005D07E6">
        <w:rPr>
          <w:rFonts w:eastAsia="Times New Roman" w:cs="Times New Roman"/>
          <w:color w:val="000000" w:themeColor="text1"/>
          <w:lang w:eastAsia="en-GB"/>
        </w:rPr>
        <w:t xml:space="preserve">Accounting Rate of Return from Project A = </w:t>
      </w:r>
      <w:r w:rsidRPr="005D07E6">
        <w:rPr>
          <w:rFonts w:eastAsiaTheme="minorEastAsia"/>
          <w:bCs/>
          <w:color w:val="000000" w:themeColor="text1"/>
          <w:szCs w:val="24"/>
        </w:rPr>
        <w:t>(</w:t>
      </w:r>
      <m:oMath>
        <m:f>
          <m:fPr>
            <m:ctrlPr>
              <w:rPr>
                <w:rFonts w:ascii="Cambria Math" w:eastAsiaTheme="minorEastAsia" w:hAnsi="Cambria Math"/>
                <w:bCs/>
                <w:color w:val="000000" w:themeColor="text1"/>
                <w:szCs w:val="24"/>
              </w:rPr>
            </m:ctrlPr>
          </m:fPr>
          <m:num>
            <m:r>
              <m:rPr>
                <m:sty m:val="bi"/>
              </m:rPr>
              <w:rPr>
                <w:rFonts w:ascii="Cambria Math" w:eastAsiaTheme="minorEastAsia" w:hAnsi="Cambria Math"/>
                <w:color w:val="000000" w:themeColor="text1"/>
                <w:szCs w:val="24"/>
              </w:rPr>
              <m:t>Average</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Net</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Profit</m:t>
            </m:r>
          </m:num>
          <m:den>
            <m:r>
              <m:rPr>
                <m:sty m:val="bi"/>
              </m:rPr>
              <w:rPr>
                <w:rFonts w:ascii="Cambria Math" w:eastAsiaTheme="minorEastAsia" w:hAnsi="Cambria Math"/>
                <w:color w:val="000000" w:themeColor="text1"/>
                <w:szCs w:val="24"/>
              </w:rPr>
              <m:t>Average</m:t>
            </m:r>
            <m:r>
              <m:rPr>
                <m:sty m:val="p"/>
              </m:rPr>
              <w:rPr>
                <w:rFonts w:ascii="Cambria Math" w:eastAsiaTheme="minorEastAsia" w:hAnsi="Cambria Math"/>
                <w:color w:val="000000" w:themeColor="text1"/>
                <w:szCs w:val="24"/>
              </w:rPr>
              <m:t xml:space="preserve"> </m:t>
            </m:r>
            <m:r>
              <m:rPr>
                <m:sty m:val="bi"/>
              </m:rPr>
              <w:rPr>
                <w:rFonts w:ascii="Cambria Math" w:eastAsiaTheme="minorEastAsia" w:hAnsi="Cambria Math"/>
                <w:color w:val="000000" w:themeColor="text1"/>
                <w:szCs w:val="24"/>
              </w:rPr>
              <m:t>Investment</m:t>
            </m:r>
          </m:den>
        </m:f>
      </m:oMath>
      <w:r w:rsidRPr="005D07E6">
        <w:rPr>
          <w:rFonts w:eastAsiaTheme="minorEastAsia"/>
          <w:bCs/>
          <w:color w:val="000000" w:themeColor="text1"/>
          <w:szCs w:val="24"/>
        </w:rPr>
        <w:t>) * 100</w:t>
      </w:r>
    </w:p>
    <w:p w14:paraId="16A712E6" w14:textId="77777777" w:rsidR="00DD3F9E" w:rsidRPr="005D07E6" w:rsidRDefault="00DD3F9E" w:rsidP="00DD3F9E">
      <w:pPr>
        <w:rPr>
          <w:rFonts w:eastAsiaTheme="minorEastAsia"/>
          <w:bCs/>
          <w:color w:val="000000" w:themeColor="text1"/>
          <w:szCs w:val="24"/>
        </w:rPr>
      </w:pP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t xml:space="preserve">   = </w:t>
      </w:r>
      <w:r w:rsidRPr="005D07E6">
        <w:rPr>
          <w:rFonts w:eastAsiaTheme="minorEastAsia"/>
          <w:bCs/>
          <w:color w:val="000000" w:themeColor="text1"/>
          <w:szCs w:val="24"/>
        </w:rPr>
        <w:t>(</w:t>
      </w:r>
      <m:oMath>
        <m:f>
          <m:fPr>
            <m:ctrlPr>
              <w:rPr>
                <w:rFonts w:ascii="Cambria Math" w:eastAsiaTheme="minorEastAsia" w:hAnsi="Cambria Math"/>
                <w:bCs/>
                <w:color w:val="000000" w:themeColor="text1"/>
                <w:szCs w:val="24"/>
              </w:rPr>
            </m:ctrlPr>
          </m:fPr>
          <m:num>
            <m:r>
              <m:rPr>
                <m:sty m:val="p"/>
              </m:rPr>
              <w:rPr>
                <w:rFonts w:ascii="Cambria Math" w:eastAsiaTheme="minorEastAsia" w:hAnsi="Cambria Math"/>
                <w:color w:val="000000" w:themeColor="text1"/>
              </w:rPr>
              <m:t>10000000</m:t>
            </m:r>
          </m:num>
          <m:den>
            <m:r>
              <m:rPr>
                <m:sty m:val="p"/>
              </m:rPr>
              <w:rPr>
                <w:rFonts w:ascii="Cambria Math" w:eastAsia="Times New Roman" w:hAnsi="Cambria Math" w:cs="Times New Roman"/>
                <w:color w:val="000000" w:themeColor="text1"/>
                <w:lang w:eastAsia="en-GB"/>
              </w:rPr>
              <m:t>45000000</m:t>
            </m:r>
          </m:den>
        </m:f>
      </m:oMath>
      <w:r w:rsidRPr="005D07E6">
        <w:rPr>
          <w:rFonts w:eastAsiaTheme="minorEastAsia"/>
          <w:bCs/>
          <w:color w:val="000000" w:themeColor="text1"/>
          <w:szCs w:val="24"/>
        </w:rPr>
        <w:t>) * 100</w:t>
      </w:r>
    </w:p>
    <w:p w14:paraId="1B86B4EE" w14:textId="77777777" w:rsidR="00DD3F9E" w:rsidRPr="005D07E6" w:rsidRDefault="00DD3F9E" w:rsidP="00DD3F9E">
      <w:pPr>
        <w:rPr>
          <w:color w:val="000000" w:themeColor="text1"/>
        </w:rPr>
      </w:pP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r>
      <w:r w:rsidRPr="005D07E6">
        <w:rPr>
          <w:color w:val="000000" w:themeColor="text1"/>
        </w:rPr>
        <w:tab/>
        <w:t xml:space="preserve">   = 22.22 %</w:t>
      </w:r>
    </w:p>
    <w:p w14:paraId="19D7D559" w14:textId="77777777" w:rsidR="00DD3F9E" w:rsidRPr="005D07E6" w:rsidRDefault="00DD3F9E" w:rsidP="00DD3F9E">
      <w:pPr>
        <w:rPr>
          <w:color w:val="000000" w:themeColor="text1"/>
        </w:rPr>
      </w:pPr>
      <w:r w:rsidRPr="005D07E6">
        <w:rPr>
          <w:color w:val="000000" w:themeColor="text1"/>
        </w:rPr>
        <w:t>It means that Project A is going to earn 22.22 pound sterling for every 100 pound sterling investment in the project A.</w:t>
      </w:r>
    </w:p>
    <w:p w14:paraId="0820645E" w14:textId="77777777" w:rsidR="00DD3F9E" w:rsidRPr="005D07E6" w:rsidRDefault="00DD3F9E" w:rsidP="00DD3F9E">
      <w:pPr>
        <w:rPr>
          <w:color w:val="000000" w:themeColor="text1"/>
        </w:rPr>
      </w:pPr>
    </w:p>
    <w:p w14:paraId="5DB723FE" w14:textId="77777777" w:rsidR="00DD3F9E" w:rsidRPr="005D07E6" w:rsidRDefault="00DD3F9E" w:rsidP="00DD3F9E">
      <w:pPr>
        <w:rPr>
          <w:color w:val="000000" w:themeColor="text1"/>
        </w:rPr>
      </w:pPr>
      <w:r w:rsidRPr="005D07E6">
        <w:rPr>
          <w:color w:val="000000" w:themeColor="text1"/>
        </w:rPr>
        <w:t xml:space="preserve">The decision rule of Accounting Rate of Return for mutually exclusive projects is to either select the project that has expected accounting rate of return greater than the desired accounting rate of return set by the organization or select the project with highest Accounting Rate of Return. Since the company does not have aby desired Accounting Rate of Return, the company needs to select the project with highest Accounting Rate of Return. As a result, the company should select the project A because Project A (23.53%) has greater Accounting Rate of Return than Project B (22.22%). </w:t>
      </w:r>
    </w:p>
    <w:p w14:paraId="55ECA9CE" w14:textId="77777777" w:rsidR="00DD3F9E" w:rsidRPr="005D07E6" w:rsidRDefault="00DD3F9E" w:rsidP="00DD3F9E">
      <w:pPr>
        <w:rPr>
          <w:color w:val="000000" w:themeColor="text1"/>
        </w:rPr>
      </w:pPr>
    </w:p>
    <w:p w14:paraId="733B1834" w14:textId="77777777" w:rsidR="00DD3F9E" w:rsidRPr="005D07E6" w:rsidRDefault="00DD3F9E" w:rsidP="00DD3F9E">
      <w:pPr>
        <w:rPr>
          <w:rFonts w:eastAsiaTheme="minorEastAsia"/>
          <w:b/>
          <w:bCs/>
          <w:color w:val="000000" w:themeColor="text1"/>
          <w:sz w:val="32"/>
          <w:szCs w:val="24"/>
        </w:rPr>
      </w:pPr>
      <w:r w:rsidRPr="005D07E6">
        <w:rPr>
          <w:rFonts w:eastAsiaTheme="minorEastAsia"/>
          <w:b/>
          <w:bCs/>
          <w:color w:val="000000" w:themeColor="text1"/>
          <w:sz w:val="32"/>
          <w:szCs w:val="24"/>
        </w:rPr>
        <w:t>Net Present Value:</w:t>
      </w:r>
    </w:p>
    <w:p w14:paraId="3D1C70F6" w14:textId="77777777" w:rsidR="00DD3F9E" w:rsidRPr="005D07E6" w:rsidRDefault="00DD3F9E" w:rsidP="00DD3F9E">
      <w:pPr>
        <w:rPr>
          <w:rFonts w:eastAsiaTheme="minorEastAsia"/>
          <w:bCs/>
          <w:color w:val="000000" w:themeColor="text1"/>
          <w:szCs w:val="24"/>
        </w:rPr>
      </w:pPr>
      <w:r w:rsidRPr="005D07E6">
        <w:rPr>
          <w:rFonts w:eastAsiaTheme="minorEastAsia"/>
          <w:bCs/>
          <w:color w:val="000000" w:themeColor="text1"/>
          <w:szCs w:val="24"/>
        </w:rPr>
        <w:t>Net Present Value formula is shown below</w:t>
      </w:r>
    </w:p>
    <w:p w14:paraId="072660C4" w14:textId="77777777" w:rsidR="00DD3F9E" w:rsidRPr="005D07E6" w:rsidRDefault="00DD3F9E" w:rsidP="00DD3F9E">
      <w:pPr>
        <w:rPr>
          <w:rFonts w:eastAsiaTheme="minorEastAsia"/>
          <w:bCs/>
          <w:color w:val="000000" w:themeColor="text1"/>
          <w:szCs w:val="24"/>
        </w:rPr>
      </w:pPr>
      <w:r w:rsidRPr="005D07E6">
        <w:rPr>
          <w:rFonts w:eastAsiaTheme="minorEastAsia"/>
          <w:bCs/>
          <w:noProof/>
          <w:color w:val="000000" w:themeColor="text1"/>
          <w:szCs w:val="24"/>
          <w:lang w:val="en-US"/>
        </w:rPr>
        <w:drawing>
          <wp:inline distT="0" distB="0" distL="0" distR="0" wp14:anchorId="637169E3" wp14:editId="10F81F41">
            <wp:extent cx="3448531" cy="543001"/>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2-04-2019-12-25-51.png"/>
                    <pic:cNvPicPr/>
                  </pic:nvPicPr>
                  <pic:blipFill>
                    <a:blip r:embed="rId16">
                      <a:extLst>
                        <a:ext uri="{28A0092B-C50C-407E-A947-70E740481C1C}">
                          <a14:useLocalDpi xmlns:a14="http://schemas.microsoft.com/office/drawing/2010/main" val="0"/>
                        </a:ext>
                      </a:extLst>
                    </a:blip>
                    <a:stretch>
                      <a:fillRect/>
                    </a:stretch>
                  </pic:blipFill>
                  <pic:spPr>
                    <a:xfrm>
                      <a:off x="0" y="0"/>
                      <a:ext cx="3448531" cy="543001"/>
                    </a:xfrm>
                    <a:prstGeom prst="rect">
                      <a:avLst/>
                    </a:prstGeom>
                  </pic:spPr>
                </pic:pic>
              </a:graphicData>
            </a:graphic>
          </wp:inline>
        </w:drawing>
      </w:r>
    </w:p>
    <w:p w14:paraId="665AF90C" w14:textId="77777777" w:rsidR="00DD3F9E" w:rsidRPr="005D07E6" w:rsidRDefault="00DD3F9E" w:rsidP="00DD3F9E">
      <w:pPr>
        <w:rPr>
          <w:rFonts w:eastAsiaTheme="minorEastAsia"/>
          <w:bCs/>
          <w:color w:val="000000" w:themeColor="text1"/>
          <w:szCs w:val="24"/>
        </w:rPr>
      </w:pPr>
      <w:r w:rsidRPr="005D07E6">
        <w:rPr>
          <w:rFonts w:eastAsiaTheme="minorEastAsia"/>
          <w:bCs/>
          <w:color w:val="000000" w:themeColor="text1"/>
          <w:szCs w:val="24"/>
        </w:rPr>
        <w:t>Here,</w:t>
      </w:r>
    </w:p>
    <w:p w14:paraId="4B1123E4" w14:textId="77777777" w:rsidR="00DD3F9E" w:rsidRPr="005D07E6" w:rsidRDefault="00DD3F9E" w:rsidP="00DD3F9E">
      <w:pPr>
        <w:rPr>
          <w:rFonts w:eastAsiaTheme="minorEastAsia"/>
          <w:bCs/>
          <w:color w:val="000000" w:themeColor="text1"/>
          <w:szCs w:val="24"/>
        </w:rPr>
      </w:pPr>
      <w:r w:rsidRPr="005D07E6">
        <w:rPr>
          <w:rFonts w:eastAsiaTheme="minorEastAsia"/>
          <w:bCs/>
          <w:color w:val="000000" w:themeColor="text1"/>
          <w:szCs w:val="24"/>
        </w:rPr>
        <w:t>CF stands for Annual Net Cash Flow</w:t>
      </w:r>
    </w:p>
    <w:p w14:paraId="6B9AB632" w14:textId="77777777" w:rsidR="00DD3F9E" w:rsidRPr="005D07E6" w:rsidRDefault="00DD3F9E" w:rsidP="00DD3F9E">
      <w:pPr>
        <w:rPr>
          <w:rFonts w:eastAsiaTheme="minorEastAsia"/>
          <w:bCs/>
          <w:color w:val="000000" w:themeColor="text1"/>
          <w:szCs w:val="24"/>
        </w:rPr>
      </w:pPr>
      <w:r w:rsidRPr="005D07E6">
        <w:rPr>
          <w:rFonts w:eastAsiaTheme="minorEastAsia"/>
          <w:bCs/>
          <w:color w:val="000000" w:themeColor="text1"/>
          <w:szCs w:val="24"/>
        </w:rPr>
        <w:t>R stands for Cost of Capital</w:t>
      </w:r>
    </w:p>
    <w:p w14:paraId="294C8A3C" w14:textId="77777777" w:rsidR="00DD3F9E" w:rsidRPr="005D07E6" w:rsidRDefault="00DD3F9E" w:rsidP="00DD3F9E">
      <w:pPr>
        <w:rPr>
          <w:rFonts w:eastAsiaTheme="minorEastAsia"/>
          <w:bCs/>
          <w:color w:val="000000" w:themeColor="text1"/>
          <w:szCs w:val="24"/>
        </w:rPr>
      </w:pPr>
      <w:r w:rsidRPr="005D07E6">
        <w:rPr>
          <w:rFonts w:eastAsiaTheme="minorEastAsia"/>
          <w:bCs/>
          <w:color w:val="000000" w:themeColor="text1"/>
          <w:szCs w:val="24"/>
        </w:rPr>
        <w:t>I stands for Initial Investment</w:t>
      </w:r>
    </w:p>
    <w:p w14:paraId="785FF330" w14:textId="77777777" w:rsidR="005D07E6" w:rsidRDefault="005D07E6">
      <w:pPr>
        <w:spacing w:line="259" w:lineRule="auto"/>
        <w:jc w:val="left"/>
        <w:rPr>
          <w:rFonts w:eastAsiaTheme="minorEastAsia"/>
          <w:b/>
          <w:bCs/>
          <w:color w:val="000000" w:themeColor="text1"/>
          <w:szCs w:val="24"/>
        </w:rPr>
      </w:pPr>
      <w:r>
        <w:rPr>
          <w:rFonts w:eastAsiaTheme="minorEastAsia"/>
          <w:b/>
          <w:bCs/>
          <w:color w:val="000000" w:themeColor="text1"/>
          <w:szCs w:val="24"/>
        </w:rPr>
        <w:br w:type="page"/>
      </w:r>
    </w:p>
    <w:p w14:paraId="14017F03" w14:textId="77777777" w:rsidR="00DD3F9E" w:rsidRPr="005D07E6" w:rsidRDefault="00DD3F9E" w:rsidP="00DD3F9E">
      <w:pPr>
        <w:rPr>
          <w:rFonts w:eastAsiaTheme="minorEastAsia"/>
          <w:b/>
          <w:bCs/>
          <w:color w:val="000000" w:themeColor="text1"/>
          <w:szCs w:val="24"/>
        </w:rPr>
      </w:pPr>
      <w:r w:rsidRPr="005D07E6">
        <w:rPr>
          <w:rFonts w:eastAsiaTheme="minorEastAsia"/>
          <w:b/>
          <w:bCs/>
          <w:color w:val="000000" w:themeColor="text1"/>
          <w:szCs w:val="24"/>
        </w:rPr>
        <w:lastRenderedPageBreak/>
        <w:t>Project A:</w:t>
      </w:r>
    </w:p>
    <w:p w14:paraId="18725243" w14:textId="77777777" w:rsidR="00DD3F9E" w:rsidRPr="005D07E6" w:rsidRDefault="00DD3F9E" w:rsidP="00DD3F9E">
      <w:pPr>
        <w:rPr>
          <w:color w:val="000000" w:themeColor="text1"/>
        </w:rPr>
      </w:pPr>
      <w:r w:rsidRPr="005D07E6">
        <w:rPr>
          <w:color w:val="000000" w:themeColor="text1"/>
        </w:rPr>
        <w:t xml:space="preserve">Here, </w:t>
      </w:r>
    </w:p>
    <w:p w14:paraId="74CA8258"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85000000</w:t>
      </w:r>
    </w:p>
    <w:p w14:paraId="17F7580B"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10000000</w:t>
      </w:r>
    </w:p>
    <w:p w14:paraId="06F94B08"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20000000</w:t>
      </w:r>
    </w:p>
    <w:p w14:paraId="24C02BC1"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7B5B4747"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55000000</w:t>
      </w:r>
    </w:p>
    <w:p w14:paraId="77CA6986"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Cost of Capital= 10.50%</w:t>
      </w:r>
    </w:p>
    <w:p w14:paraId="2B3F27E7" w14:textId="77777777" w:rsidR="00DD3F9E" w:rsidRPr="005D07E6" w:rsidRDefault="00DD3F9E" w:rsidP="00DD3F9E">
      <w:pPr>
        <w:rPr>
          <w:color w:val="000000" w:themeColor="text1"/>
        </w:rPr>
      </w:pPr>
    </w:p>
    <w:p w14:paraId="30EA83E3" w14:textId="77777777" w:rsidR="00DD3F9E" w:rsidRPr="005D07E6" w:rsidRDefault="00DD3F9E" w:rsidP="00DD3F9E">
      <w:pPr>
        <w:rPr>
          <w:color w:val="000000" w:themeColor="text1"/>
        </w:rPr>
      </w:pPr>
      <w:r w:rsidRPr="005D07E6">
        <w:rPr>
          <w:color w:val="000000" w:themeColor="text1"/>
        </w:rPr>
        <w:t>So, Net Present Value for Project A is shown below</w:t>
      </w:r>
    </w:p>
    <w:p w14:paraId="2FD2736F" w14:textId="77777777" w:rsidR="00DD3F9E" w:rsidRPr="005D07E6" w:rsidRDefault="00DD3F9E" w:rsidP="00DD3F9E">
      <w:pPr>
        <w:rPr>
          <w:color w:val="000000" w:themeColor="text1"/>
        </w:rPr>
      </w:pPr>
      <w:r w:rsidRPr="005D07E6">
        <w:rPr>
          <w:noProof/>
          <w:color w:val="000000" w:themeColor="text1"/>
          <w:lang w:val="en-US"/>
        </w:rPr>
        <w:drawing>
          <wp:inline distT="0" distB="0" distL="0" distR="0" wp14:anchorId="19D3C8C6" wp14:editId="6CCA0455">
            <wp:extent cx="6010275" cy="25527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a.png"/>
                    <pic:cNvPicPr/>
                  </pic:nvPicPr>
                  <pic:blipFill>
                    <a:blip r:embed="rId17">
                      <a:extLst>
                        <a:ext uri="{28A0092B-C50C-407E-A947-70E740481C1C}">
                          <a14:useLocalDpi xmlns:a14="http://schemas.microsoft.com/office/drawing/2010/main" val="0"/>
                        </a:ext>
                      </a:extLst>
                    </a:blip>
                    <a:stretch>
                      <a:fillRect/>
                    </a:stretch>
                  </pic:blipFill>
                  <pic:spPr>
                    <a:xfrm>
                      <a:off x="0" y="0"/>
                      <a:ext cx="6020694" cy="2557125"/>
                    </a:xfrm>
                    <a:prstGeom prst="rect">
                      <a:avLst/>
                    </a:prstGeom>
                  </pic:spPr>
                </pic:pic>
              </a:graphicData>
            </a:graphic>
          </wp:inline>
        </w:drawing>
      </w:r>
    </w:p>
    <w:p w14:paraId="37A3263E" w14:textId="77777777" w:rsidR="00DD3F9E" w:rsidRPr="005D07E6" w:rsidRDefault="00DD3F9E" w:rsidP="00DD3F9E">
      <w:pPr>
        <w:rPr>
          <w:color w:val="000000" w:themeColor="text1"/>
        </w:rPr>
      </w:pPr>
    </w:p>
    <w:p w14:paraId="08FEE5DA" w14:textId="77777777" w:rsidR="00DD3F9E" w:rsidRPr="005D07E6" w:rsidRDefault="00DD3F9E" w:rsidP="005D07E6">
      <w:r w:rsidRPr="005D07E6">
        <w:t xml:space="preserve">The Net Present Value for Project A is positive and greater than zero which is £6,966,354.32 pound sterling. This positive Net Present Value means that </w:t>
      </w:r>
      <w:r w:rsidRPr="005D07E6">
        <w:rPr>
          <w:rFonts w:eastAsiaTheme="minorEastAsia"/>
          <w:szCs w:val="24"/>
        </w:rPr>
        <w:t xml:space="preserve">Project A will generate sufficient cash flow to repay the invested capital as well as the required return on that capital and this excess cash is added to the shareholders’ wealth thus increasing the shareholders’ wealth by </w:t>
      </w:r>
      <w:r w:rsidRPr="005D07E6">
        <w:t>£6,966,354.32 if Project A is selected.</w:t>
      </w:r>
    </w:p>
    <w:p w14:paraId="35C4A10E" w14:textId="77777777" w:rsidR="00DD3F9E" w:rsidRPr="005D07E6" w:rsidRDefault="00DD3F9E" w:rsidP="00DD3F9E">
      <w:pPr>
        <w:rPr>
          <w:color w:val="000000" w:themeColor="text1"/>
        </w:rPr>
      </w:pPr>
    </w:p>
    <w:p w14:paraId="53636D27" w14:textId="77777777" w:rsidR="005D07E6" w:rsidRDefault="005D07E6">
      <w:pPr>
        <w:spacing w:line="259" w:lineRule="auto"/>
        <w:jc w:val="left"/>
        <w:rPr>
          <w:color w:val="000000" w:themeColor="text1"/>
        </w:rPr>
      </w:pPr>
      <w:r>
        <w:rPr>
          <w:color w:val="000000" w:themeColor="text1"/>
        </w:rPr>
        <w:br w:type="page"/>
      </w:r>
    </w:p>
    <w:p w14:paraId="285F4D8E" w14:textId="77777777" w:rsidR="00DD3F9E" w:rsidRPr="005D07E6" w:rsidRDefault="00DD3F9E" w:rsidP="00DD3F9E">
      <w:pPr>
        <w:rPr>
          <w:color w:val="000000" w:themeColor="text1"/>
        </w:rPr>
      </w:pPr>
      <w:r w:rsidRPr="005D07E6">
        <w:rPr>
          <w:color w:val="000000" w:themeColor="text1"/>
        </w:rPr>
        <w:lastRenderedPageBreak/>
        <w:t>Project B:</w:t>
      </w:r>
    </w:p>
    <w:p w14:paraId="6B2F1900" w14:textId="77777777" w:rsidR="00DD3F9E" w:rsidRPr="005D07E6" w:rsidRDefault="00DD3F9E" w:rsidP="00DD3F9E">
      <w:pPr>
        <w:rPr>
          <w:color w:val="000000" w:themeColor="text1"/>
        </w:rPr>
      </w:pPr>
      <w:r w:rsidRPr="005D07E6">
        <w:rPr>
          <w:color w:val="000000" w:themeColor="text1"/>
        </w:rPr>
        <w:t xml:space="preserve">Here, </w:t>
      </w:r>
    </w:p>
    <w:p w14:paraId="08DEFBBB"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90000000</w:t>
      </w:r>
    </w:p>
    <w:p w14:paraId="6D6BE99B"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25000000</w:t>
      </w:r>
    </w:p>
    <w:p w14:paraId="5FEDD3BF"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30000000</w:t>
      </w:r>
    </w:p>
    <w:p w14:paraId="41E12AB7"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35000000</w:t>
      </w:r>
    </w:p>
    <w:p w14:paraId="763090A2"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4029951B"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Cost of Capital= 10.5%</w:t>
      </w:r>
    </w:p>
    <w:p w14:paraId="164A0933"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So the Net Present Value for Project B is shown below</w:t>
      </w:r>
    </w:p>
    <w:p w14:paraId="314F9B95" w14:textId="77777777" w:rsidR="00DD3F9E" w:rsidRPr="005D07E6" w:rsidRDefault="00DD3F9E" w:rsidP="00DD3F9E">
      <w:pPr>
        <w:rPr>
          <w:rFonts w:eastAsiaTheme="minorEastAsia"/>
          <w:color w:val="000000" w:themeColor="text1"/>
          <w:szCs w:val="24"/>
        </w:rPr>
      </w:pPr>
      <w:r w:rsidRPr="005D07E6">
        <w:rPr>
          <w:rFonts w:eastAsiaTheme="minorEastAsia"/>
          <w:noProof/>
          <w:color w:val="000000" w:themeColor="text1"/>
          <w:szCs w:val="24"/>
          <w:lang w:val="en-US"/>
        </w:rPr>
        <w:drawing>
          <wp:inline distT="0" distB="0" distL="0" distR="0" wp14:anchorId="1D1517C2" wp14:editId="4D3D3016">
            <wp:extent cx="5731510" cy="336359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jjjj.png"/>
                    <pic:cNvPicPr/>
                  </pic:nvPicPr>
                  <pic:blipFill>
                    <a:blip r:embed="rId18">
                      <a:extLst>
                        <a:ext uri="{28A0092B-C50C-407E-A947-70E740481C1C}">
                          <a14:useLocalDpi xmlns:a14="http://schemas.microsoft.com/office/drawing/2010/main" val="0"/>
                        </a:ext>
                      </a:extLst>
                    </a:blip>
                    <a:stretch>
                      <a:fillRect/>
                    </a:stretch>
                  </pic:blipFill>
                  <pic:spPr>
                    <a:xfrm>
                      <a:off x="0" y="0"/>
                      <a:ext cx="5731510" cy="3363595"/>
                    </a:xfrm>
                    <a:prstGeom prst="rect">
                      <a:avLst/>
                    </a:prstGeom>
                  </pic:spPr>
                </pic:pic>
              </a:graphicData>
            </a:graphic>
          </wp:inline>
        </w:drawing>
      </w:r>
    </w:p>
    <w:p w14:paraId="5610637E" w14:textId="77777777" w:rsidR="00DD3F9E" w:rsidRPr="005D07E6" w:rsidRDefault="00DD3F9E" w:rsidP="00DD3F9E">
      <w:pPr>
        <w:rPr>
          <w:color w:val="000000" w:themeColor="text1"/>
        </w:rPr>
      </w:pPr>
      <w:r w:rsidRPr="005D07E6">
        <w:rPr>
          <w:color w:val="000000" w:themeColor="text1"/>
        </w:rPr>
        <w:t xml:space="preserve"> </w:t>
      </w:r>
    </w:p>
    <w:p w14:paraId="4DC5B3BC" w14:textId="77777777" w:rsidR="00DD3F9E" w:rsidRPr="005D07E6" w:rsidRDefault="00DD3F9E" w:rsidP="00DD3F9E">
      <w:pPr>
        <w:rPr>
          <w:rFonts w:eastAsiaTheme="minorEastAsia"/>
          <w:szCs w:val="24"/>
        </w:rPr>
      </w:pPr>
      <w:r w:rsidRPr="005D07E6">
        <w:t xml:space="preserve">The Net Present Value for Project B is positive and greater than zero which is £9,964,022.16 pound sterling. This positive Net Present Value means that </w:t>
      </w:r>
      <w:r w:rsidRPr="005D07E6">
        <w:rPr>
          <w:rFonts w:eastAsiaTheme="minorEastAsia"/>
          <w:szCs w:val="24"/>
        </w:rPr>
        <w:t>Project B will generate sufficient cash flow to repay the invested capital as well as the required return on that capital and the excess cash is added to the shareholders’ wealth thus increasing the shareholders’ wealth by £9,964,022.16 if Project B is selected.</w:t>
      </w:r>
    </w:p>
    <w:p w14:paraId="348D20C5" w14:textId="77777777" w:rsidR="00DD3F9E" w:rsidRPr="005D07E6" w:rsidRDefault="00DD3F9E" w:rsidP="005D07E6">
      <w:r w:rsidRPr="005D07E6">
        <w:lastRenderedPageBreak/>
        <w:t>The Net Present Value for a project can be defined as the present value of the difference between projected cash inflows and projected cash outflows of a project within its estimated economic lifetime</w:t>
      </w:r>
      <w:r w:rsidR="005D07E6">
        <w:t xml:space="preserve"> </w:t>
      </w:r>
      <w:r w:rsidR="005D07E6" w:rsidRPr="005D07E6">
        <w:t>(Balmer, 2006)</w:t>
      </w:r>
      <w:r w:rsidRPr="005D07E6">
        <w:t>. Since Depreciation expense is a non-cash expense rather than a cash flow, Depreciation expense is excluded in the calculation of Net Present Value for both Project A and Project B.</w:t>
      </w:r>
    </w:p>
    <w:p w14:paraId="252EE781" w14:textId="77777777" w:rsidR="00DD3F9E" w:rsidRPr="005D07E6" w:rsidRDefault="00DD3F9E" w:rsidP="00DD3F9E">
      <w:pPr>
        <w:rPr>
          <w:rFonts w:eastAsiaTheme="minorEastAsia"/>
          <w:color w:val="000000" w:themeColor="text1"/>
          <w:szCs w:val="24"/>
        </w:rPr>
      </w:pPr>
    </w:p>
    <w:p w14:paraId="137413B6"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The decision rule of Net Present Value method for mutually exclusive projects is to select the project that has the highest Net Present Value. As a result, the company should select the Projects B because the Net Present Value of Project B (</w:t>
      </w:r>
      <w:r w:rsidRPr="005D07E6">
        <w:rPr>
          <w:color w:val="000000" w:themeColor="text1"/>
        </w:rPr>
        <w:t>£9,964,022.16)</w:t>
      </w:r>
      <w:r w:rsidRPr="005D07E6">
        <w:rPr>
          <w:rFonts w:eastAsiaTheme="minorEastAsia"/>
          <w:color w:val="000000" w:themeColor="text1"/>
          <w:szCs w:val="24"/>
        </w:rPr>
        <w:t xml:space="preserve"> is greater than the Net Present Value of Project A (</w:t>
      </w:r>
      <w:r w:rsidRPr="005D07E6">
        <w:rPr>
          <w:color w:val="000000" w:themeColor="text1"/>
        </w:rPr>
        <w:t>£6,966,354.32)</w:t>
      </w:r>
      <w:r w:rsidRPr="005D07E6">
        <w:rPr>
          <w:rFonts w:eastAsiaTheme="minorEastAsia"/>
          <w:color w:val="000000" w:themeColor="text1"/>
          <w:szCs w:val="24"/>
        </w:rPr>
        <w:t xml:space="preserve">. Thus selecting Project B will increase the shareholders’ wealth by </w:t>
      </w:r>
      <w:r w:rsidRPr="005D07E6">
        <w:rPr>
          <w:color w:val="000000" w:themeColor="text1"/>
        </w:rPr>
        <w:t>£</w:t>
      </w:r>
      <w:r w:rsidRPr="005D07E6">
        <w:rPr>
          <w:rFonts w:eastAsiaTheme="minorEastAsia"/>
          <w:color w:val="000000" w:themeColor="text1"/>
          <w:szCs w:val="24"/>
        </w:rPr>
        <w:t>2997667.84.</w:t>
      </w:r>
    </w:p>
    <w:p w14:paraId="6724EA68" w14:textId="77777777" w:rsidR="00DD3F9E" w:rsidRPr="005D07E6" w:rsidRDefault="00DD3F9E" w:rsidP="00DD3F9E">
      <w:pPr>
        <w:rPr>
          <w:rFonts w:eastAsiaTheme="minorEastAsia"/>
          <w:color w:val="000000" w:themeColor="text1"/>
          <w:szCs w:val="24"/>
        </w:rPr>
      </w:pPr>
    </w:p>
    <w:p w14:paraId="0E4187F4" w14:textId="77777777" w:rsidR="00DD3F9E" w:rsidRPr="005D07E6" w:rsidRDefault="00DD3F9E" w:rsidP="00DD3F9E">
      <w:pPr>
        <w:rPr>
          <w:rFonts w:eastAsiaTheme="minorEastAsia"/>
          <w:b/>
          <w:color w:val="000000" w:themeColor="text1"/>
          <w:sz w:val="32"/>
          <w:szCs w:val="24"/>
        </w:rPr>
      </w:pPr>
      <w:r w:rsidRPr="005D07E6">
        <w:rPr>
          <w:rFonts w:eastAsiaTheme="minorEastAsia"/>
          <w:b/>
          <w:color w:val="000000" w:themeColor="text1"/>
          <w:sz w:val="32"/>
          <w:szCs w:val="24"/>
        </w:rPr>
        <w:t>INTERNAL RATE OF RETURN:</w:t>
      </w:r>
    </w:p>
    <w:p w14:paraId="03094BE6"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 xml:space="preserve">The formula for determining the Internal Rate of Return of a project is  </w:t>
      </w:r>
    </w:p>
    <w:p w14:paraId="16B16922" w14:textId="77777777" w:rsidR="00DD3F9E" w:rsidRPr="005D07E6" w:rsidRDefault="00DD3F9E" w:rsidP="00DD3F9E">
      <w:pPr>
        <w:rPr>
          <w:rFonts w:eastAsiaTheme="minorEastAsia"/>
          <w:color w:val="000000" w:themeColor="text1"/>
          <w:szCs w:val="24"/>
        </w:rPr>
      </w:pPr>
      <w:r w:rsidRPr="005D07E6">
        <w:rPr>
          <w:rFonts w:eastAsiaTheme="minorEastAsia"/>
          <w:noProof/>
          <w:color w:val="000000" w:themeColor="text1"/>
          <w:szCs w:val="24"/>
          <w:lang w:val="en-US"/>
        </w:rPr>
        <w:drawing>
          <wp:inline distT="0" distB="0" distL="0" distR="0" wp14:anchorId="1D9A5141" wp14:editId="442BDB9E">
            <wp:extent cx="4619625" cy="24574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aaaaa.png"/>
                    <pic:cNvPicPr/>
                  </pic:nvPicPr>
                  <pic:blipFill>
                    <a:blip r:embed="rId19">
                      <a:extLst>
                        <a:ext uri="{28A0092B-C50C-407E-A947-70E740481C1C}">
                          <a14:useLocalDpi xmlns:a14="http://schemas.microsoft.com/office/drawing/2010/main" val="0"/>
                        </a:ext>
                      </a:extLst>
                    </a:blip>
                    <a:stretch>
                      <a:fillRect/>
                    </a:stretch>
                  </pic:blipFill>
                  <pic:spPr>
                    <a:xfrm>
                      <a:off x="0" y="0"/>
                      <a:ext cx="4620270" cy="2457793"/>
                    </a:xfrm>
                    <a:prstGeom prst="rect">
                      <a:avLst/>
                    </a:prstGeom>
                  </pic:spPr>
                </pic:pic>
              </a:graphicData>
            </a:graphic>
          </wp:inline>
        </w:drawing>
      </w:r>
    </w:p>
    <w:p w14:paraId="2F1B0822"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Project A:</w:t>
      </w:r>
    </w:p>
    <w:p w14:paraId="3B13D579" w14:textId="77777777" w:rsidR="00DD3F9E" w:rsidRPr="005D07E6" w:rsidRDefault="00DD3F9E" w:rsidP="00DD3F9E">
      <w:pPr>
        <w:rPr>
          <w:color w:val="000000" w:themeColor="text1"/>
        </w:rPr>
      </w:pPr>
      <w:r w:rsidRPr="005D07E6">
        <w:rPr>
          <w:color w:val="000000" w:themeColor="text1"/>
        </w:rPr>
        <w:t xml:space="preserve">Here, </w:t>
      </w:r>
    </w:p>
    <w:p w14:paraId="02F143A0"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85000000</w:t>
      </w:r>
    </w:p>
    <w:p w14:paraId="7CBBFB3B"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10000000</w:t>
      </w:r>
    </w:p>
    <w:p w14:paraId="52A209C9"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20000000</w:t>
      </w:r>
    </w:p>
    <w:p w14:paraId="2D5E3E76"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138EF190"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lastRenderedPageBreak/>
        <w:tab/>
        <w:t xml:space="preserve">Projected Net Cash flow at year 1= </w:t>
      </w:r>
      <w:r w:rsidRPr="005D07E6">
        <w:rPr>
          <w:rFonts w:eastAsia="Times New Roman" w:cs="Times New Roman"/>
          <w:color w:val="000000" w:themeColor="text1"/>
          <w:lang w:eastAsia="en-GB"/>
        </w:rPr>
        <w:t>55000000</w:t>
      </w:r>
    </w:p>
    <w:p w14:paraId="6DD5D9BB" w14:textId="77777777" w:rsidR="00DD3F9E" w:rsidRPr="005D07E6" w:rsidRDefault="00DD3F9E" w:rsidP="00DD3F9E">
      <w:pPr>
        <w:rPr>
          <w:rFonts w:eastAsia="Times New Roman" w:cs="Times New Roman"/>
          <w:color w:val="000000" w:themeColor="text1"/>
          <w:lang w:eastAsia="en-GB"/>
        </w:rPr>
      </w:pPr>
      <w:r w:rsidRPr="005D07E6">
        <w:rPr>
          <w:rFonts w:eastAsia="Times New Roman" w:cs="Times New Roman"/>
          <w:color w:val="000000" w:themeColor="text1"/>
          <w:lang w:eastAsia="en-GB"/>
        </w:rPr>
        <w:tab/>
        <w:t>Cost of Capital= 10.50%</w:t>
      </w:r>
    </w:p>
    <w:p w14:paraId="400ED285"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The Internal Rate of Return of Project A is shown below</w:t>
      </w:r>
    </w:p>
    <w:p w14:paraId="13AF0E43" w14:textId="77777777" w:rsidR="00DD3F9E" w:rsidRPr="005D07E6" w:rsidRDefault="00DD3F9E" w:rsidP="00DD3F9E">
      <w:pPr>
        <w:rPr>
          <w:rFonts w:eastAsiaTheme="minorEastAsia"/>
          <w:color w:val="000000" w:themeColor="text1"/>
          <w:szCs w:val="24"/>
        </w:rPr>
      </w:pPr>
      <w:r w:rsidRPr="005D07E6">
        <w:rPr>
          <w:rFonts w:eastAsiaTheme="minorEastAsia"/>
          <w:noProof/>
          <w:color w:val="000000" w:themeColor="text1"/>
          <w:szCs w:val="24"/>
          <w:lang w:val="en-US"/>
        </w:rPr>
        <w:drawing>
          <wp:inline distT="0" distB="0" distL="0" distR="0" wp14:anchorId="61951CAE" wp14:editId="307A28B6">
            <wp:extent cx="5731510" cy="2466975"/>
            <wp:effectExtent l="0" t="0" r="254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dafaf.png"/>
                    <pic:cNvPicPr/>
                  </pic:nvPicPr>
                  <pic:blipFill>
                    <a:blip r:embed="rId20">
                      <a:extLst>
                        <a:ext uri="{28A0092B-C50C-407E-A947-70E740481C1C}">
                          <a14:useLocalDpi xmlns:a14="http://schemas.microsoft.com/office/drawing/2010/main" val="0"/>
                        </a:ext>
                      </a:extLst>
                    </a:blip>
                    <a:stretch>
                      <a:fillRect/>
                    </a:stretch>
                  </pic:blipFill>
                  <pic:spPr>
                    <a:xfrm>
                      <a:off x="0" y="0"/>
                      <a:ext cx="5731510" cy="2466975"/>
                    </a:xfrm>
                    <a:prstGeom prst="rect">
                      <a:avLst/>
                    </a:prstGeom>
                  </pic:spPr>
                </pic:pic>
              </a:graphicData>
            </a:graphic>
          </wp:inline>
        </w:drawing>
      </w:r>
    </w:p>
    <w:p w14:paraId="3DC2E0EE"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So Internal Rate of Return of Project A is 12%</w:t>
      </w:r>
    </w:p>
    <w:p w14:paraId="783BD3F6" w14:textId="77777777" w:rsidR="00DD3F9E" w:rsidRPr="005D07E6" w:rsidRDefault="00DD3F9E" w:rsidP="00DD3F9E">
      <w:pPr>
        <w:rPr>
          <w:rFonts w:eastAsiaTheme="minorEastAsia"/>
          <w:color w:val="000000" w:themeColor="text1"/>
          <w:szCs w:val="24"/>
        </w:rPr>
      </w:pPr>
    </w:p>
    <w:p w14:paraId="2A3F8BD7"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Project B:</w:t>
      </w:r>
    </w:p>
    <w:p w14:paraId="62E47A2A" w14:textId="77777777" w:rsidR="00DD3F9E" w:rsidRPr="005D07E6" w:rsidRDefault="00DD3F9E" w:rsidP="00DD3F9E">
      <w:pPr>
        <w:rPr>
          <w:color w:val="000000" w:themeColor="text1"/>
        </w:rPr>
      </w:pPr>
      <w:r w:rsidRPr="005D07E6">
        <w:rPr>
          <w:color w:val="000000" w:themeColor="text1"/>
        </w:rPr>
        <w:t xml:space="preserve">Here, </w:t>
      </w:r>
    </w:p>
    <w:p w14:paraId="722F8CE6"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Initial investment= </w:t>
      </w:r>
      <w:r w:rsidRPr="005D07E6">
        <w:rPr>
          <w:rFonts w:eastAsia="Times New Roman" w:cs="Times New Roman"/>
          <w:color w:val="000000" w:themeColor="text1"/>
          <w:lang w:eastAsia="en-GB"/>
        </w:rPr>
        <w:t>90000000</w:t>
      </w:r>
    </w:p>
    <w:p w14:paraId="253D461F"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25000000</w:t>
      </w:r>
    </w:p>
    <w:p w14:paraId="3AB7E2C3"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2= </w:t>
      </w:r>
      <w:r w:rsidRPr="005D07E6">
        <w:rPr>
          <w:rFonts w:eastAsia="Times New Roman" w:cs="Times New Roman"/>
          <w:color w:val="000000" w:themeColor="text1"/>
          <w:lang w:eastAsia="en-GB"/>
        </w:rPr>
        <w:t>30000000</w:t>
      </w:r>
    </w:p>
    <w:p w14:paraId="3B8321F7"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35000000</w:t>
      </w:r>
    </w:p>
    <w:p w14:paraId="30BAD361" w14:textId="77777777" w:rsidR="00DD3F9E" w:rsidRPr="005D07E6" w:rsidRDefault="00DD3F9E" w:rsidP="00DD3F9E">
      <w:pPr>
        <w:rPr>
          <w:rFonts w:eastAsia="Times New Roman" w:cs="Times New Roman"/>
          <w:color w:val="000000" w:themeColor="text1"/>
          <w:lang w:eastAsia="en-GB"/>
        </w:rPr>
      </w:pPr>
      <w:r w:rsidRPr="005D07E6">
        <w:rPr>
          <w:color w:val="000000" w:themeColor="text1"/>
        </w:rPr>
        <w:tab/>
        <w:t xml:space="preserve">Projected Net Cash flow at year 1= </w:t>
      </w:r>
      <w:r w:rsidRPr="005D07E6">
        <w:rPr>
          <w:rFonts w:eastAsia="Times New Roman" w:cs="Times New Roman"/>
          <w:color w:val="000000" w:themeColor="text1"/>
          <w:lang w:eastAsia="en-GB"/>
        </w:rPr>
        <w:t>40000000</w:t>
      </w:r>
    </w:p>
    <w:p w14:paraId="0A4BF121"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ab/>
        <w:t>Cost of Capital= 10.50%</w:t>
      </w:r>
    </w:p>
    <w:p w14:paraId="1E6E3E01" w14:textId="77777777" w:rsidR="00DD3F9E" w:rsidRPr="005D07E6" w:rsidRDefault="00DD3F9E" w:rsidP="00DD3F9E">
      <w:pPr>
        <w:rPr>
          <w:rFonts w:eastAsiaTheme="minorEastAsia"/>
          <w:color w:val="000000" w:themeColor="text1"/>
          <w:szCs w:val="24"/>
        </w:rPr>
      </w:pPr>
    </w:p>
    <w:p w14:paraId="064D7CFD"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The Internal Rate of Return for Project B is shown below</w:t>
      </w:r>
    </w:p>
    <w:p w14:paraId="65C0BA78" w14:textId="77777777" w:rsidR="00DD3F9E" w:rsidRPr="005D07E6" w:rsidRDefault="00DD3F9E" w:rsidP="00DD3F9E">
      <w:pPr>
        <w:rPr>
          <w:rFonts w:eastAsiaTheme="minorEastAsia"/>
          <w:color w:val="000000" w:themeColor="text1"/>
          <w:szCs w:val="24"/>
        </w:rPr>
      </w:pPr>
      <w:r w:rsidRPr="005D07E6">
        <w:rPr>
          <w:rFonts w:eastAsiaTheme="minorEastAsia"/>
          <w:noProof/>
          <w:color w:val="000000" w:themeColor="text1"/>
          <w:szCs w:val="24"/>
          <w:lang w:val="en-US"/>
        </w:rPr>
        <w:lastRenderedPageBreak/>
        <w:drawing>
          <wp:inline distT="0" distB="0" distL="0" distR="0" wp14:anchorId="59789E5D" wp14:editId="0360443C">
            <wp:extent cx="5731510" cy="247269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sfafafaf.png"/>
                    <pic:cNvPicPr/>
                  </pic:nvPicPr>
                  <pic:blipFill>
                    <a:blip r:embed="rId21">
                      <a:extLst>
                        <a:ext uri="{28A0092B-C50C-407E-A947-70E740481C1C}">
                          <a14:useLocalDpi xmlns:a14="http://schemas.microsoft.com/office/drawing/2010/main" val="0"/>
                        </a:ext>
                      </a:extLst>
                    </a:blip>
                    <a:stretch>
                      <a:fillRect/>
                    </a:stretch>
                  </pic:blipFill>
                  <pic:spPr>
                    <a:xfrm>
                      <a:off x="0" y="0"/>
                      <a:ext cx="5731510" cy="2472690"/>
                    </a:xfrm>
                    <a:prstGeom prst="rect">
                      <a:avLst/>
                    </a:prstGeom>
                  </pic:spPr>
                </pic:pic>
              </a:graphicData>
            </a:graphic>
          </wp:inline>
        </w:drawing>
      </w:r>
    </w:p>
    <w:p w14:paraId="2DBE6F27" w14:textId="77777777" w:rsidR="00DD3F9E" w:rsidRPr="005D07E6" w:rsidRDefault="00DD3F9E" w:rsidP="00DD3F9E">
      <w:pPr>
        <w:rPr>
          <w:rFonts w:eastAsiaTheme="minorEastAsia"/>
          <w:color w:val="000000" w:themeColor="text1"/>
          <w:szCs w:val="24"/>
        </w:rPr>
      </w:pPr>
    </w:p>
    <w:p w14:paraId="7DBAF1AC"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So, Internal Rate of Return of Project B is 15%</w:t>
      </w:r>
    </w:p>
    <w:p w14:paraId="07D650C5" w14:textId="77777777" w:rsidR="00DD3F9E" w:rsidRPr="005D07E6" w:rsidRDefault="00DD3F9E" w:rsidP="00DD3F9E">
      <w:pPr>
        <w:rPr>
          <w:rFonts w:eastAsiaTheme="minorEastAsia"/>
          <w:color w:val="000000" w:themeColor="text1"/>
          <w:szCs w:val="24"/>
        </w:rPr>
      </w:pPr>
      <w:r w:rsidRPr="005D07E6">
        <w:rPr>
          <w:rFonts w:eastAsiaTheme="minorEastAsia"/>
          <w:color w:val="000000" w:themeColor="text1"/>
          <w:szCs w:val="24"/>
        </w:rPr>
        <w:t>The decision rule of Internal Rate of Return for mutually exclusive projects is to select the project which higher than the cost of capital of the company and which has the highest Internal Rate of Return</w:t>
      </w:r>
      <w:r w:rsidR="005D07E6">
        <w:rPr>
          <w:rFonts w:eastAsiaTheme="minorEastAsia"/>
          <w:color w:val="000000" w:themeColor="text1"/>
          <w:szCs w:val="24"/>
        </w:rPr>
        <w:t xml:space="preserve"> </w:t>
      </w:r>
      <w:r w:rsidR="005D07E6" w:rsidRPr="005D07E6">
        <w:rPr>
          <w:rFonts w:eastAsiaTheme="minorEastAsia"/>
          <w:color w:val="000000" w:themeColor="text1"/>
          <w:szCs w:val="24"/>
        </w:rPr>
        <w:t>(</w:t>
      </w:r>
      <w:proofErr w:type="spellStart"/>
      <w:r w:rsidR="005D07E6" w:rsidRPr="005D07E6">
        <w:rPr>
          <w:rFonts w:eastAsiaTheme="minorEastAsia"/>
          <w:color w:val="000000" w:themeColor="text1"/>
          <w:szCs w:val="24"/>
        </w:rPr>
        <w:t>Lagoarde-Segot</w:t>
      </w:r>
      <w:proofErr w:type="spellEnd"/>
      <w:r w:rsidR="005D07E6" w:rsidRPr="005D07E6">
        <w:rPr>
          <w:rFonts w:eastAsiaTheme="minorEastAsia"/>
          <w:color w:val="000000" w:themeColor="text1"/>
          <w:szCs w:val="24"/>
        </w:rPr>
        <w:t>, 2019)</w:t>
      </w:r>
      <w:r w:rsidRPr="005D07E6">
        <w:rPr>
          <w:rFonts w:eastAsiaTheme="minorEastAsia"/>
          <w:color w:val="000000" w:themeColor="text1"/>
          <w:szCs w:val="24"/>
        </w:rPr>
        <w:t>. So, Project B should be selected because Internal Rate of Return of Project B (15%) is higher than the cost of capital (10.50%) and the Internal Rate of Return of project is higher than the Internal Rate of Return of Project A.</w:t>
      </w:r>
    </w:p>
    <w:p w14:paraId="43E53DA7" w14:textId="77777777" w:rsidR="00DD3F9E" w:rsidRPr="005D07E6" w:rsidRDefault="00DD3F9E" w:rsidP="00DD3F9E">
      <w:pPr>
        <w:pStyle w:val="Default"/>
        <w:rPr>
          <w:color w:val="000000" w:themeColor="text1"/>
        </w:rPr>
      </w:pPr>
    </w:p>
    <w:p w14:paraId="4C7B1053" w14:textId="77777777" w:rsidR="00DD3F9E" w:rsidRPr="005D07E6" w:rsidRDefault="00DD3F9E" w:rsidP="005D07E6">
      <w:pPr>
        <w:pStyle w:val="Heading1"/>
      </w:pPr>
      <w:bookmarkStart w:id="7" w:name="_Toc7831807"/>
      <w:r w:rsidRPr="005D07E6">
        <w:t>2. Critically discuss the advantages and shortcomings of the PBP, IRR and NPV techniques as ways of evaluating capital projects</w:t>
      </w:r>
      <w:bookmarkEnd w:id="7"/>
    </w:p>
    <w:p w14:paraId="282E2622" w14:textId="77777777" w:rsidR="00DD3F9E" w:rsidRPr="005D07E6" w:rsidRDefault="00DD3F9E" w:rsidP="00DD3F9E">
      <w:pPr>
        <w:rPr>
          <w:color w:val="000000" w:themeColor="text1"/>
        </w:rPr>
      </w:pPr>
    </w:p>
    <w:p w14:paraId="0D79A1FF" w14:textId="77777777" w:rsidR="00DD3F9E" w:rsidRPr="005D07E6" w:rsidRDefault="00DD3F9E" w:rsidP="00DD3F9E">
      <w:pPr>
        <w:rPr>
          <w:b/>
          <w:color w:val="000000" w:themeColor="text1"/>
          <w:sz w:val="28"/>
        </w:rPr>
      </w:pPr>
      <w:r w:rsidRPr="005D07E6">
        <w:rPr>
          <w:b/>
          <w:color w:val="000000" w:themeColor="text1"/>
          <w:sz w:val="28"/>
        </w:rPr>
        <w:t>Payback Period:</w:t>
      </w:r>
    </w:p>
    <w:p w14:paraId="0E487D98" w14:textId="77777777" w:rsidR="00DD3F9E" w:rsidRPr="005D07E6" w:rsidRDefault="00DD3F9E" w:rsidP="00DD3F9E">
      <w:pPr>
        <w:rPr>
          <w:color w:val="000000" w:themeColor="text1"/>
        </w:rPr>
      </w:pPr>
      <w:r w:rsidRPr="005D07E6">
        <w:rPr>
          <w:color w:val="000000" w:themeColor="text1"/>
        </w:rPr>
        <w:t>The advantages of payback period are discussed below</w:t>
      </w:r>
    </w:p>
    <w:p w14:paraId="0E06EE6A" w14:textId="77777777" w:rsidR="00DD3F9E" w:rsidRPr="005D07E6" w:rsidRDefault="00DD3F9E" w:rsidP="00DD3F9E">
      <w:pPr>
        <w:pStyle w:val="ListParagraph"/>
        <w:numPr>
          <w:ilvl w:val="0"/>
          <w:numId w:val="3"/>
        </w:numPr>
        <w:rPr>
          <w:color w:val="000000" w:themeColor="text1"/>
        </w:rPr>
      </w:pPr>
      <w:r w:rsidRPr="005D07E6">
        <w:rPr>
          <w:color w:val="000000" w:themeColor="text1"/>
        </w:rPr>
        <w:t>Simplicity:</w:t>
      </w:r>
    </w:p>
    <w:p w14:paraId="3AF502D8" w14:textId="77777777" w:rsidR="00DD3F9E" w:rsidRPr="005D07E6" w:rsidRDefault="00DD3F9E" w:rsidP="00DD3F9E">
      <w:pPr>
        <w:rPr>
          <w:color w:val="000000" w:themeColor="text1"/>
        </w:rPr>
      </w:pPr>
      <w:r w:rsidRPr="005D07E6">
        <w:rPr>
          <w:color w:val="000000" w:themeColor="text1"/>
        </w:rPr>
        <w:t>Payback period is very simple to use, easy to understand and easy to interpret. It is very simple to determine the payback period for a project and then select those projects that have payback period lower than the payback period established by the management in case of independent projects subject to capital rationing or to select the project that has shortest and quickest payback period in case of mutually exclusive projects</w:t>
      </w:r>
      <w:r w:rsidR="005D07E6">
        <w:rPr>
          <w:color w:val="000000" w:themeColor="text1"/>
        </w:rPr>
        <w:t xml:space="preserve"> </w:t>
      </w:r>
      <w:r w:rsidR="005D07E6" w:rsidRPr="005D07E6">
        <w:rPr>
          <w:color w:val="000000" w:themeColor="text1"/>
        </w:rPr>
        <w:t>(Financial Accountability &amp; Management, 2018)</w:t>
      </w:r>
      <w:r w:rsidRPr="005D07E6">
        <w:rPr>
          <w:color w:val="000000" w:themeColor="text1"/>
        </w:rPr>
        <w:t>.</w:t>
      </w:r>
    </w:p>
    <w:p w14:paraId="647AE3FF" w14:textId="77777777" w:rsidR="00DD3F9E" w:rsidRPr="005D07E6" w:rsidRDefault="00DD3F9E" w:rsidP="00DD3F9E">
      <w:pPr>
        <w:pStyle w:val="ListParagraph"/>
        <w:numPr>
          <w:ilvl w:val="0"/>
          <w:numId w:val="3"/>
        </w:numPr>
        <w:rPr>
          <w:color w:val="000000" w:themeColor="text1"/>
        </w:rPr>
      </w:pPr>
      <w:r w:rsidRPr="005D07E6">
        <w:rPr>
          <w:color w:val="000000" w:themeColor="text1"/>
        </w:rPr>
        <w:lastRenderedPageBreak/>
        <w:t>Suitable for small firms:</w:t>
      </w:r>
    </w:p>
    <w:p w14:paraId="59898B12" w14:textId="77777777" w:rsidR="00DD3F9E" w:rsidRPr="005D07E6" w:rsidRDefault="00DD3F9E" w:rsidP="00DD3F9E">
      <w:pPr>
        <w:rPr>
          <w:color w:val="000000" w:themeColor="text1"/>
        </w:rPr>
      </w:pPr>
      <w:r w:rsidRPr="005D07E6">
        <w:rPr>
          <w:color w:val="000000" w:themeColor="text1"/>
        </w:rPr>
        <w:t>Payback period is suitable for small firms especially for those firms that are in rapid growth stage. In this stage, the firms requires large amount of investment to support the rapid the growth of business but these firms does not have access to capital market to collect the  required financing</w:t>
      </w:r>
      <w:r w:rsidR="005D07E6">
        <w:rPr>
          <w:color w:val="000000" w:themeColor="text1"/>
        </w:rPr>
        <w:t xml:space="preserve"> </w:t>
      </w:r>
      <w:r w:rsidR="005D07E6" w:rsidRPr="005D07E6">
        <w:rPr>
          <w:color w:val="000000" w:themeColor="text1"/>
        </w:rPr>
        <w:t>(Livingstone and Grossman, 2009)</w:t>
      </w:r>
      <w:r w:rsidRPr="005D07E6">
        <w:rPr>
          <w:color w:val="000000" w:themeColor="text1"/>
        </w:rPr>
        <w:t>. So, these firms use payback period to assess the quick cash recovery of the projects because quick cash recovery will facilitate the reinvestment in more profitable projects.</w:t>
      </w:r>
    </w:p>
    <w:p w14:paraId="0CA91ECA" w14:textId="77777777" w:rsidR="00DD3F9E" w:rsidRPr="005D07E6" w:rsidRDefault="00DD3F9E" w:rsidP="00DD3F9E">
      <w:pPr>
        <w:rPr>
          <w:color w:val="000000" w:themeColor="text1"/>
        </w:rPr>
      </w:pPr>
    </w:p>
    <w:p w14:paraId="4F0ED86A" w14:textId="77777777" w:rsidR="00DD3F9E" w:rsidRPr="005D07E6" w:rsidRDefault="00DD3F9E" w:rsidP="00DD3F9E">
      <w:pPr>
        <w:rPr>
          <w:color w:val="000000" w:themeColor="text1"/>
        </w:rPr>
      </w:pPr>
      <w:r w:rsidRPr="005D07E6">
        <w:rPr>
          <w:color w:val="000000" w:themeColor="text1"/>
        </w:rPr>
        <w:t xml:space="preserve">The shortcomings of </w:t>
      </w:r>
      <w:r w:rsidR="00EF6F57" w:rsidRPr="005D07E6">
        <w:rPr>
          <w:color w:val="000000" w:themeColor="text1"/>
        </w:rPr>
        <w:t>payback period</w:t>
      </w:r>
      <w:r w:rsidRPr="005D07E6">
        <w:rPr>
          <w:color w:val="000000" w:themeColor="text1"/>
        </w:rPr>
        <w:t xml:space="preserve"> </w:t>
      </w:r>
      <w:r w:rsidR="00EF6F57" w:rsidRPr="005D07E6">
        <w:rPr>
          <w:color w:val="000000" w:themeColor="text1"/>
        </w:rPr>
        <w:t xml:space="preserve">method </w:t>
      </w:r>
      <w:r w:rsidRPr="005D07E6">
        <w:rPr>
          <w:color w:val="000000" w:themeColor="text1"/>
        </w:rPr>
        <w:t>are discussed below</w:t>
      </w:r>
    </w:p>
    <w:p w14:paraId="07913AB8" w14:textId="77777777" w:rsidR="00DD3F9E" w:rsidRPr="005D07E6" w:rsidRDefault="00DD3F9E" w:rsidP="00DD3F9E">
      <w:pPr>
        <w:pStyle w:val="ListParagraph"/>
        <w:numPr>
          <w:ilvl w:val="0"/>
          <w:numId w:val="3"/>
        </w:numPr>
        <w:rPr>
          <w:color w:val="000000" w:themeColor="text1"/>
        </w:rPr>
      </w:pPr>
      <w:r w:rsidRPr="005D07E6">
        <w:rPr>
          <w:color w:val="000000" w:themeColor="text1"/>
        </w:rPr>
        <w:t>Ignoring time value of money:</w:t>
      </w:r>
    </w:p>
    <w:p w14:paraId="69866102" w14:textId="77777777" w:rsidR="00DD3F9E" w:rsidRPr="005D07E6" w:rsidRDefault="00DD3F9E" w:rsidP="00DD3F9E">
      <w:pPr>
        <w:rPr>
          <w:color w:val="000000" w:themeColor="text1"/>
        </w:rPr>
      </w:pPr>
      <w:r w:rsidRPr="005D07E6">
        <w:rPr>
          <w:color w:val="000000" w:themeColor="text1"/>
        </w:rPr>
        <w:t>Payback period uses no</w:t>
      </w:r>
      <w:r w:rsidR="00EF6F57" w:rsidRPr="005D07E6">
        <w:rPr>
          <w:color w:val="000000" w:themeColor="text1"/>
        </w:rPr>
        <w:t>minal cash flows in the model assigns</w:t>
      </w:r>
      <w:r w:rsidRPr="005D07E6">
        <w:rPr>
          <w:color w:val="000000" w:themeColor="text1"/>
        </w:rPr>
        <w:t xml:space="preserve"> equal weights in the cash flows of different time periods</w:t>
      </w:r>
      <w:r w:rsidR="00E8622E">
        <w:rPr>
          <w:color w:val="000000" w:themeColor="text1"/>
        </w:rPr>
        <w:t xml:space="preserve"> </w:t>
      </w:r>
      <w:r w:rsidR="00E8622E" w:rsidRPr="00E8622E">
        <w:rPr>
          <w:color w:val="000000" w:themeColor="text1"/>
        </w:rPr>
        <w:t>(Pandey, 2015)</w:t>
      </w:r>
      <w:r w:rsidRPr="005D07E6">
        <w:rPr>
          <w:color w:val="000000" w:themeColor="text1"/>
        </w:rPr>
        <w:t xml:space="preserve">. As a result, </w:t>
      </w:r>
      <w:r w:rsidR="00EF6F57" w:rsidRPr="005D07E6">
        <w:rPr>
          <w:color w:val="000000" w:themeColor="text1"/>
        </w:rPr>
        <w:t>payback period method ignores</w:t>
      </w:r>
      <w:r w:rsidRPr="005D07E6">
        <w:rPr>
          <w:color w:val="000000" w:themeColor="text1"/>
        </w:rPr>
        <w:t xml:space="preserve"> time value of money concept as it treats the cash flows of earlier period and the cash flows of later period as identical </w:t>
      </w:r>
      <w:r w:rsidR="00EF6F57" w:rsidRPr="005D07E6">
        <w:rPr>
          <w:color w:val="000000" w:themeColor="text1"/>
        </w:rPr>
        <w:t>cash flows</w:t>
      </w:r>
      <w:r w:rsidRPr="005D07E6">
        <w:rPr>
          <w:color w:val="000000" w:themeColor="text1"/>
        </w:rPr>
        <w:t>.</w:t>
      </w:r>
    </w:p>
    <w:p w14:paraId="63448475" w14:textId="77777777" w:rsidR="00DD3F9E" w:rsidRPr="005D07E6" w:rsidRDefault="00DD3F9E" w:rsidP="00DD3F9E">
      <w:pPr>
        <w:pStyle w:val="ListParagraph"/>
        <w:numPr>
          <w:ilvl w:val="0"/>
          <w:numId w:val="3"/>
        </w:numPr>
        <w:rPr>
          <w:color w:val="000000" w:themeColor="text1"/>
        </w:rPr>
      </w:pPr>
      <w:r w:rsidRPr="005D07E6">
        <w:rPr>
          <w:color w:val="000000" w:themeColor="text1"/>
        </w:rPr>
        <w:t xml:space="preserve">Ignoring </w:t>
      </w:r>
      <w:r w:rsidR="00EF6F57" w:rsidRPr="005D07E6">
        <w:rPr>
          <w:color w:val="000000" w:themeColor="text1"/>
        </w:rPr>
        <w:t>cash flows</w:t>
      </w:r>
      <w:r w:rsidRPr="005D07E6">
        <w:rPr>
          <w:color w:val="000000" w:themeColor="text1"/>
        </w:rPr>
        <w:t xml:space="preserve"> after the </w:t>
      </w:r>
      <w:r w:rsidR="00EF6F57" w:rsidRPr="005D07E6">
        <w:rPr>
          <w:color w:val="000000" w:themeColor="text1"/>
        </w:rPr>
        <w:t>cut-off</w:t>
      </w:r>
      <w:r w:rsidRPr="005D07E6">
        <w:rPr>
          <w:color w:val="000000" w:themeColor="text1"/>
        </w:rPr>
        <w:t xml:space="preserve"> date or payback period:</w:t>
      </w:r>
    </w:p>
    <w:p w14:paraId="569A6A93" w14:textId="77777777" w:rsidR="00DD3F9E" w:rsidRPr="005D07E6" w:rsidRDefault="00DD3F9E" w:rsidP="00DD3F9E">
      <w:pPr>
        <w:rPr>
          <w:color w:val="000000" w:themeColor="text1"/>
        </w:rPr>
      </w:pPr>
      <w:r w:rsidRPr="005D07E6">
        <w:rPr>
          <w:color w:val="000000" w:themeColor="text1"/>
        </w:rPr>
        <w:t xml:space="preserve">Payback period ignores the cash flows that are going to be received from the project or paid into the project after the payback period or </w:t>
      </w:r>
      <w:r w:rsidR="00EF6F57" w:rsidRPr="005D07E6">
        <w:rPr>
          <w:color w:val="000000" w:themeColor="text1"/>
        </w:rPr>
        <w:t>cut-off</w:t>
      </w:r>
      <w:r w:rsidRPr="005D07E6">
        <w:rPr>
          <w:color w:val="000000" w:themeColor="text1"/>
        </w:rPr>
        <w:t xml:space="preserve"> date</w:t>
      </w:r>
      <w:r w:rsidR="005D07E6">
        <w:rPr>
          <w:color w:val="000000" w:themeColor="text1"/>
        </w:rPr>
        <w:t xml:space="preserve"> </w:t>
      </w:r>
      <w:r w:rsidR="005D07E6" w:rsidRPr="005D07E6">
        <w:rPr>
          <w:color w:val="000000" w:themeColor="text1"/>
        </w:rPr>
        <w:t>(Balmer, 2006)</w:t>
      </w:r>
      <w:r w:rsidRPr="005D07E6">
        <w:rPr>
          <w:color w:val="000000" w:themeColor="text1"/>
        </w:rPr>
        <w:t xml:space="preserve">. As a result, </w:t>
      </w:r>
      <w:r w:rsidR="00EF6F57" w:rsidRPr="005D07E6">
        <w:rPr>
          <w:color w:val="000000" w:themeColor="text1"/>
        </w:rPr>
        <w:t>payback period method</w:t>
      </w:r>
      <w:r w:rsidRPr="005D07E6">
        <w:rPr>
          <w:color w:val="000000" w:themeColor="text1"/>
        </w:rPr>
        <w:t xml:space="preserve"> selects the projects that receives large </w:t>
      </w:r>
      <w:r w:rsidR="00EF6F57" w:rsidRPr="005D07E6">
        <w:rPr>
          <w:color w:val="000000" w:themeColor="text1"/>
        </w:rPr>
        <w:t>cash flows</w:t>
      </w:r>
      <w:r w:rsidRPr="005D07E6">
        <w:rPr>
          <w:color w:val="000000" w:themeColor="text1"/>
        </w:rPr>
        <w:t xml:space="preserve"> in the earlier years as the </w:t>
      </w:r>
      <w:r w:rsidR="00EF6F57" w:rsidRPr="005D07E6">
        <w:rPr>
          <w:color w:val="000000" w:themeColor="text1"/>
        </w:rPr>
        <w:t>payback period method</w:t>
      </w:r>
      <w:r w:rsidRPr="005D07E6">
        <w:rPr>
          <w:color w:val="000000" w:themeColor="text1"/>
        </w:rPr>
        <w:t xml:space="preserve"> assigns equal weights in </w:t>
      </w:r>
      <w:r w:rsidR="00EF6F57" w:rsidRPr="005D07E6">
        <w:rPr>
          <w:color w:val="000000" w:themeColor="text1"/>
        </w:rPr>
        <w:t>cash flows</w:t>
      </w:r>
      <w:r w:rsidRPr="005D07E6">
        <w:rPr>
          <w:color w:val="000000" w:themeColor="text1"/>
        </w:rPr>
        <w:t xml:space="preserve"> of different periods and ignores the </w:t>
      </w:r>
      <w:r w:rsidR="00EF6F57" w:rsidRPr="005D07E6">
        <w:rPr>
          <w:color w:val="000000" w:themeColor="text1"/>
        </w:rPr>
        <w:t>timing</w:t>
      </w:r>
      <w:r w:rsidRPr="005D07E6">
        <w:rPr>
          <w:color w:val="000000" w:themeColor="text1"/>
        </w:rPr>
        <w:t xml:space="preserve"> associated with the cash flows.</w:t>
      </w:r>
    </w:p>
    <w:p w14:paraId="7CF75CB8" w14:textId="77777777" w:rsidR="00DD3F9E" w:rsidRPr="005D07E6" w:rsidRDefault="00DD3F9E" w:rsidP="00DD3F9E">
      <w:pPr>
        <w:pStyle w:val="ListParagraph"/>
        <w:numPr>
          <w:ilvl w:val="0"/>
          <w:numId w:val="3"/>
        </w:numPr>
        <w:rPr>
          <w:color w:val="000000" w:themeColor="text1"/>
        </w:rPr>
      </w:pPr>
      <w:r w:rsidRPr="005D07E6">
        <w:rPr>
          <w:color w:val="000000" w:themeColor="text1"/>
        </w:rPr>
        <w:t>Applicable in conventional projects:</w:t>
      </w:r>
    </w:p>
    <w:p w14:paraId="38ACFE73" w14:textId="77777777" w:rsidR="00DD3F9E" w:rsidRPr="005D07E6" w:rsidRDefault="00EF6F57" w:rsidP="00DD3F9E">
      <w:pPr>
        <w:rPr>
          <w:color w:val="000000" w:themeColor="text1"/>
        </w:rPr>
      </w:pPr>
      <w:r w:rsidRPr="005D07E6">
        <w:rPr>
          <w:color w:val="000000" w:themeColor="text1"/>
        </w:rPr>
        <w:t>Payback period method</w:t>
      </w:r>
      <w:r w:rsidR="00DD3F9E" w:rsidRPr="005D07E6">
        <w:rPr>
          <w:color w:val="000000" w:themeColor="text1"/>
        </w:rPr>
        <w:t xml:space="preserve"> is applicable in conventional projects that is, it is applicable in those projects which has large initial investment and generate </w:t>
      </w:r>
      <w:r w:rsidRPr="005D07E6">
        <w:rPr>
          <w:color w:val="000000" w:themeColor="text1"/>
        </w:rPr>
        <w:t>cash flows</w:t>
      </w:r>
      <w:r w:rsidR="00DD3F9E" w:rsidRPr="005D07E6">
        <w:rPr>
          <w:color w:val="000000" w:themeColor="text1"/>
        </w:rPr>
        <w:t xml:space="preserve"> throughout the lifetime of the project. As a result, </w:t>
      </w:r>
      <w:r w:rsidRPr="005D07E6">
        <w:rPr>
          <w:color w:val="000000" w:themeColor="text1"/>
        </w:rPr>
        <w:t>payback period method</w:t>
      </w:r>
      <w:r w:rsidR="00DD3F9E" w:rsidRPr="005D07E6">
        <w:rPr>
          <w:color w:val="000000" w:themeColor="text1"/>
        </w:rPr>
        <w:t xml:space="preserve"> fails in those projects in which investment is spread throughout the lifetime of project or in those projects that do not have large </w:t>
      </w:r>
      <w:r w:rsidRPr="005D07E6">
        <w:rPr>
          <w:color w:val="000000" w:themeColor="text1"/>
        </w:rPr>
        <w:t>start up</w:t>
      </w:r>
      <w:r w:rsidR="00DD3F9E" w:rsidRPr="005D07E6">
        <w:rPr>
          <w:color w:val="000000" w:themeColor="text1"/>
        </w:rPr>
        <w:t xml:space="preserve"> or initial investment.</w:t>
      </w:r>
    </w:p>
    <w:p w14:paraId="5FAA4224" w14:textId="77777777" w:rsidR="00EF6F57" w:rsidRPr="005D07E6" w:rsidRDefault="00EF6F57" w:rsidP="00DD3F9E">
      <w:pPr>
        <w:rPr>
          <w:color w:val="000000" w:themeColor="text1"/>
        </w:rPr>
      </w:pPr>
    </w:p>
    <w:p w14:paraId="21B83A0B" w14:textId="77777777" w:rsidR="005D07E6" w:rsidRDefault="005D07E6">
      <w:pPr>
        <w:spacing w:line="259" w:lineRule="auto"/>
        <w:jc w:val="left"/>
        <w:rPr>
          <w:rFonts w:eastAsiaTheme="minorEastAsia"/>
          <w:b/>
          <w:bCs/>
          <w:color w:val="000000" w:themeColor="text1"/>
          <w:sz w:val="28"/>
          <w:szCs w:val="24"/>
        </w:rPr>
      </w:pPr>
      <w:r>
        <w:rPr>
          <w:rFonts w:eastAsiaTheme="minorEastAsia"/>
          <w:b/>
          <w:bCs/>
          <w:color w:val="000000" w:themeColor="text1"/>
          <w:sz w:val="28"/>
          <w:szCs w:val="24"/>
        </w:rPr>
        <w:br w:type="page"/>
      </w:r>
    </w:p>
    <w:p w14:paraId="33977F1B" w14:textId="77777777" w:rsidR="00EF6F57" w:rsidRPr="005D07E6" w:rsidRDefault="00EF6F57" w:rsidP="00EF6F57">
      <w:pPr>
        <w:rPr>
          <w:rFonts w:eastAsiaTheme="minorEastAsia"/>
          <w:b/>
          <w:bCs/>
          <w:color w:val="000000" w:themeColor="text1"/>
          <w:sz w:val="28"/>
          <w:szCs w:val="24"/>
        </w:rPr>
      </w:pPr>
      <w:r w:rsidRPr="005D07E6">
        <w:rPr>
          <w:rFonts w:eastAsiaTheme="minorEastAsia"/>
          <w:b/>
          <w:bCs/>
          <w:color w:val="000000" w:themeColor="text1"/>
          <w:sz w:val="28"/>
          <w:szCs w:val="24"/>
        </w:rPr>
        <w:lastRenderedPageBreak/>
        <w:t>Net Present Value Method:</w:t>
      </w:r>
    </w:p>
    <w:p w14:paraId="55F3F0BF" w14:textId="77777777" w:rsidR="00EF6F57" w:rsidRPr="005D07E6" w:rsidRDefault="00EF6F57" w:rsidP="00EF6F57">
      <w:pPr>
        <w:rPr>
          <w:color w:val="000000" w:themeColor="text1"/>
        </w:rPr>
      </w:pPr>
      <w:r w:rsidRPr="005D07E6">
        <w:rPr>
          <w:color w:val="000000" w:themeColor="text1"/>
        </w:rPr>
        <w:t>The advantages of Net Present Value method are discussed below:</w:t>
      </w:r>
    </w:p>
    <w:p w14:paraId="0A67A33C" w14:textId="77777777" w:rsidR="00EF6F57" w:rsidRPr="005D07E6" w:rsidRDefault="00EF6F57" w:rsidP="00EF6F57">
      <w:pPr>
        <w:pStyle w:val="ListParagraph"/>
        <w:numPr>
          <w:ilvl w:val="0"/>
          <w:numId w:val="3"/>
        </w:numPr>
        <w:rPr>
          <w:color w:val="000000" w:themeColor="text1"/>
        </w:rPr>
      </w:pPr>
      <w:r w:rsidRPr="005D07E6">
        <w:rPr>
          <w:color w:val="000000" w:themeColor="text1"/>
        </w:rPr>
        <w:t>Focus on cash flow:</w:t>
      </w:r>
    </w:p>
    <w:p w14:paraId="44EDF217" w14:textId="77777777" w:rsidR="00EF6F57" w:rsidRPr="005D07E6" w:rsidRDefault="00EF6F57" w:rsidP="00EF6F57">
      <w:pPr>
        <w:rPr>
          <w:color w:val="000000" w:themeColor="text1"/>
        </w:rPr>
      </w:pPr>
      <w:r w:rsidRPr="005D07E6">
        <w:rPr>
          <w:color w:val="000000" w:themeColor="text1"/>
        </w:rPr>
        <w:t>Net Present Value method is the difference is between present value of cash inflows generated from a project and the present value of cash outflows occurred in that project throughout its estimated economic lifetime</w:t>
      </w:r>
      <w:r w:rsidR="005D07E6">
        <w:rPr>
          <w:color w:val="000000" w:themeColor="text1"/>
        </w:rPr>
        <w:t xml:space="preserve"> </w:t>
      </w:r>
      <w:r w:rsidR="005D07E6" w:rsidRPr="005D07E6">
        <w:rPr>
          <w:color w:val="000000" w:themeColor="text1"/>
        </w:rPr>
        <w:t>(Livingstone and Grossman, 2009)</w:t>
      </w:r>
      <w:r w:rsidRPr="005D07E6">
        <w:rPr>
          <w:color w:val="000000" w:themeColor="text1"/>
        </w:rPr>
        <w:t>. So, Net Present Value method focuses on the net cash flow generated from a project rather than the net profit generated by the project as net profit or earnings does not represent cash.</w:t>
      </w:r>
    </w:p>
    <w:p w14:paraId="776D2628" w14:textId="77777777" w:rsidR="00EF6F57" w:rsidRPr="005D07E6" w:rsidRDefault="00EF6F57" w:rsidP="00EF6F57">
      <w:pPr>
        <w:pStyle w:val="ListParagraph"/>
        <w:numPr>
          <w:ilvl w:val="0"/>
          <w:numId w:val="3"/>
        </w:numPr>
        <w:rPr>
          <w:color w:val="000000" w:themeColor="text1"/>
        </w:rPr>
      </w:pPr>
      <w:r w:rsidRPr="005D07E6">
        <w:rPr>
          <w:color w:val="000000" w:themeColor="text1"/>
        </w:rPr>
        <w:t>Time value of money:</w:t>
      </w:r>
    </w:p>
    <w:p w14:paraId="315DC983" w14:textId="77777777" w:rsidR="00EF6F57" w:rsidRPr="005D07E6" w:rsidRDefault="00EF6F57" w:rsidP="00EF6F57">
      <w:pPr>
        <w:rPr>
          <w:color w:val="000000" w:themeColor="text1"/>
        </w:rPr>
      </w:pPr>
      <w:r w:rsidRPr="005D07E6">
        <w:rPr>
          <w:color w:val="000000" w:themeColor="text1"/>
        </w:rPr>
        <w:t>Net Present Value method considers the time value of money concept as Net Present Value method considers both magnitude and timing associated with cash flows that are going to be received or paid into the project</w:t>
      </w:r>
      <w:r w:rsidR="00E8622E">
        <w:rPr>
          <w:color w:val="000000" w:themeColor="text1"/>
        </w:rPr>
        <w:t xml:space="preserve"> </w:t>
      </w:r>
      <w:r w:rsidR="00E8622E" w:rsidRPr="00E8622E">
        <w:rPr>
          <w:color w:val="000000" w:themeColor="text1"/>
        </w:rPr>
        <w:t>(Pandey, 2015)</w:t>
      </w:r>
      <w:r w:rsidRPr="005D07E6">
        <w:rPr>
          <w:color w:val="000000" w:themeColor="text1"/>
        </w:rPr>
        <w:t>.</w:t>
      </w:r>
    </w:p>
    <w:p w14:paraId="76087F87" w14:textId="77777777" w:rsidR="00EF6F57" w:rsidRPr="005D07E6" w:rsidRDefault="00EF6F57" w:rsidP="00EF6F57">
      <w:pPr>
        <w:pStyle w:val="ListParagraph"/>
        <w:numPr>
          <w:ilvl w:val="0"/>
          <w:numId w:val="3"/>
        </w:numPr>
        <w:rPr>
          <w:color w:val="000000" w:themeColor="text1"/>
        </w:rPr>
      </w:pPr>
      <w:r w:rsidRPr="005D07E6">
        <w:rPr>
          <w:color w:val="000000" w:themeColor="text1"/>
        </w:rPr>
        <w:t>Focus on all cash flows:</w:t>
      </w:r>
    </w:p>
    <w:p w14:paraId="3F114F2F" w14:textId="77777777" w:rsidR="00EF6F57" w:rsidRPr="005D07E6" w:rsidRDefault="00EF6F57" w:rsidP="00EF6F57">
      <w:pPr>
        <w:rPr>
          <w:color w:val="000000" w:themeColor="text1"/>
        </w:rPr>
      </w:pPr>
      <w:r w:rsidRPr="005D07E6">
        <w:rPr>
          <w:color w:val="000000" w:themeColor="text1"/>
        </w:rPr>
        <w:t>Net Present Value method focuses on all the cash flows that are going to received or incurred in the project. For this reason, Net Present Value method includes the terminal cash flows that are going to be received from a project when it is sold at the estimated economic lifetime of that project.</w:t>
      </w:r>
    </w:p>
    <w:p w14:paraId="1617A2B5" w14:textId="77777777" w:rsidR="00EF6F57" w:rsidRPr="005D07E6" w:rsidRDefault="00EF6F57" w:rsidP="00EF6F57">
      <w:pPr>
        <w:rPr>
          <w:color w:val="000000" w:themeColor="text1"/>
        </w:rPr>
      </w:pPr>
    </w:p>
    <w:p w14:paraId="23C9AB0F" w14:textId="77777777" w:rsidR="00EF6F57" w:rsidRPr="005D07E6" w:rsidRDefault="00EF6F57" w:rsidP="00EF6F57">
      <w:pPr>
        <w:rPr>
          <w:color w:val="000000" w:themeColor="text1"/>
        </w:rPr>
      </w:pPr>
      <w:r w:rsidRPr="005D07E6">
        <w:rPr>
          <w:color w:val="000000" w:themeColor="text1"/>
        </w:rPr>
        <w:t>The shortcomings of Net Present Value method are discussed below:</w:t>
      </w:r>
    </w:p>
    <w:p w14:paraId="0AB425DC" w14:textId="77777777" w:rsidR="00EF6F57" w:rsidRPr="005D07E6" w:rsidRDefault="00EF6F57" w:rsidP="00EF6F57">
      <w:pPr>
        <w:pStyle w:val="ListParagraph"/>
        <w:numPr>
          <w:ilvl w:val="0"/>
          <w:numId w:val="3"/>
        </w:numPr>
        <w:rPr>
          <w:color w:val="000000" w:themeColor="text1"/>
        </w:rPr>
      </w:pPr>
      <w:r w:rsidRPr="005D07E6">
        <w:rPr>
          <w:color w:val="000000" w:themeColor="text1"/>
        </w:rPr>
        <w:t>Ignoring the scale of a project:</w:t>
      </w:r>
    </w:p>
    <w:p w14:paraId="3C1D205F" w14:textId="77777777" w:rsidR="00EF6F57" w:rsidRPr="005D07E6" w:rsidRDefault="00EF6F57" w:rsidP="00EF6F57">
      <w:pPr>
        <w:rPr>
          <w:color w:val="000000" w:themeColor="text1"/>
        </w:rPr>
      </w:pPr>
      <w:r w:rsidRPr="005D07E6">
        <w:rPr>
          <w:color w:val="000000" w:themeColor="text1"/>
        </w:rPr>
        <w:t>Net Present Value method ignores the scale or size of the investment required to undertake a project. As a result, Net Present Value method will select a project that has higher Net Present Value method regardless of the scale of the project.</w:t>
      </w:r>
    </w:p>
    <w:p w14:paraId="446F9FDF" w14:textId="77777777" w:rsidR="00EF6F57" w:rsidRPr="005D07E6" w:rsidRDefault="00EF6F57" w:rsidP="00EF6F57">
      <w:pPr>
        <w:pStyle w:val="ListParagraph"/>
        <w:numPr>
          <w:ilvl w:val="0"/>
          <w:numId w:val="3"/>
        </w:numPr>
        <w:rPr>
          <w:color w:val="000000" w:themeColor="text1"/>
        </w:rPr>
      </w:pPr>
      <w:r w:rsidRPr="005D07E6">
        <w:rPr>
          <w:color w:val="000000" w:themeColor="text1"/>
        </w:rPr>
        <w:t>Making biased decisions in longer period projects:</w:t>
      </w:r>
    </w:p>
    <w:p w14:paraId="0955132B" w14:textId="77777777" w:rsidR="00EF6F57" w:rsidRPr="005D07E6" w:rsidRDefault="00EF6F57" w:rsidP="00EF6F57">
      <w:pPr>
        <w:rPr>
          <w:color w:val="000000" w:themeColor="text1"/>
        </w:rPr>
      </w:pPr>
      <w:r w:rsidRPr="005D07E6">
        <w:rPr>
          <w:color w:val="000000" w:themeColor="text1"/>
        </w:rPr>
        <w:t>Net Present Value method makes biased decision while selecting projects of longer period project in comparing the under mutually exclusive projects with different estimated economic lifetime because Net Present Value method does not any control over the lifetime of projects.</w:t>
      </w:r>
    </w:p>
    <w:p w14:paraId="1FCD1457" w14:textId="77777777" w:rsidR="00EF6F57" w:rsidRPr="005D07E6" w:rsidRDefault="00EF6F57" w:rsidP="00EF6F57">
      <w:pPr>
        <w:rPr>
          <w:color w:val="000000" w:themeColor="text1"/>
        </w:rPr>
      </w:pPr>
    </w:p>
    <w:p w14:paraId="19921E88" w14:textId="77777777" w:rsidR="00EF6F57" w:rsidRPr="005D07E6" w:rsidRDefault="00EF6F57" w:rsidP="00EF6F57">
      <w:pPr>
        <w:rPr>
          <w:b/>
          <w:color w:val="000000" w:themeColor="text1"/>
          <w:sz w:val="32"/>
        </w:rPr>
      </w:pPr>
      <w:r w:rsidRPr="005D07E6">
        <w:rPr>
          <w:b/>
          <w:color w:val="000000" w:themeColor="text1"/>
          <w:sz w:val="32"/>
        </w:rPr>
        <w:lastRenderedPageBreak/>
        <w:t>Internal Rate of Return method:</w:t>
      </w:r>
    </w:p>
    <w:p w14:paraId="15AA017B" w14:textId="77777777" w:rsidR="00EF6F57" w:rsidRPr="005D07E6" w:rsidRDefault="00EF6F57" w:rsidP="00EF6F57">
      <w:pPr>
        <w:rPr>
          <w:color w:val="000000" w:themeColor="text1"/>
        </w:rPr>
      </w:pPr>
      <w:r w:rsidRPr="005D07E6">
        <w:rPr>
          <w:color w:val="000000" w:themeColor="text1"/>
        </w:rPr>
        <w:t>The advantages of Internal Rate of Return method are discussed below:</w:t>
      </w:r>
    </w:p>
    <w:p w14:paraId="36077665" w14:textId="77777777" w:rsidR="00EF6F57" w:rsidRPr="005D07E6" w:rsidRDefault="00EF6F57" w:rsidP="00EF6F57">
      <w:pPr>
        <w:pStyle w:val="ListParagraph"/>
        <w:numPr>
          <w:ilvl w:val="0"/>
          <w:numId w:val="1"/>
        </w:numPr>
        <w:rPr>
          <w:color w:val="000000" w:themeColor="text1"/>
        </w:rPr>
      </w:pPr>
      <w:r w:rsidRPr="005D07E6">
        <w:rPr>
          <w:color w:val="000000" w:themeColor="text1"/>
        </w:rPr>
        <w:t>Time value of money:</w:t>
      </w:r>
    </w:p>
    <w:p w14:paraId="5755C8B2" w14:textId="77777777" w:rsidR="00EF6F57" w:rsidRPr="005D07E6" w:rsidRDefault="00EF6F57" w:rsidP="00EF6F57">
      <w:pPr>
        <w:rPr>
          <w:color w:val="000000" w:themeColor="text1"/>
        </w:rPr>
      </w:pPr>
      <w:r w:rsidRPr="005D07E6">
        <w:rPr>
          <w:color w:val="000000" w:themeColor="text1"/>
        </w:rPr>
        <w:t>Internal Rate of Return method is simply a discount which makes the present values of net cash flows generated from a project equal to the capital investment of that project. So, Internal Rate of Return method focuses not only on cash flows but also on the magnitude and timing associated with the cash flows.</w:t>
      </w:r>
    </w:p>
    <w:p w14:paraId="110143DC" w14:textId="77777777" w:rsidR="00EF6F57" w:rsidRPr="005D07E6" w:rsidRDefault="00EF6F57" w:rsidP="00EF6F57">
      <w:pPr>
        <w:pStyle w:val="ListParagraph"/>
        <w:numPr>
          <w:ilvl w:val="0"/>
          <w:numId w:val="1"/>
        </w:numPr>
        <w:rPr>
          <w:color w:val="000000" w:themeColor="text1"/>
        </w:rPr>
      </w:pPr>
      <w:r w:rsidRPr="005D07E6">
        <w:rPr>
          <w:color w:val="000000" w:themeColor="text1"/>
        </w:rPr>
        <w:t>Hurdle Rate not necessary:</w:t>
      </w:r>
    </w:p>
    <w:p w14:paraId="789517AD" w14:textId="77777777" w:rsidR="00EF6F57" w:rsidRPr="005D07E6" w:rsidRDefault="00EF6F57" w:rsidP="00EF6F57">
      <w:pPr>
        <w:rPr>
          <w:color w:val="000000" w:themeColor="text1"/>
        </w:rPr>
      </w:pPr>
      <w:r w:rsidRPr="005D07E6">
        <w:rPr>
          <w:color w:val="000000" w:themeColor="text1"/>
        </w:rPr>
        <w:t xml:space="preserve">The hurdle rate or cost of capital is very important component in the analysis of capital budgeting decisions. Sometimes, it becomes very difficult to estimate the hurdle rate and sometimes subjective assessment is used to determine the hurdle rate. The Internal Rate of Return method does not require to estimate the hurdle rate which reduces the risk of using a hurdle rate </w:t>
      </w:r>
      <w:r w:rsidR="00FF162A">
        <w:rPr>
          <w:color w:val="000000" w:themeColor="text1"/>
        </w:rPr>
        <w:t>which is incorrectly estimated.</w:t>
      </w:r>
    </w:p>
    <w:p w14:paraId="0ABA3000" w14:textId="77777777" w:rsidR="00EF6F57" w:rsidRPr="005D07E6" w:rsidRDefault="00EF6F57" w:rsidP="00EF6F57">
      <w:pPr>
        <w:rPr>
          <w:color w:val="000000" w:themeColor="text1"/>
        </w:rPr>
      </w:pPr>
      <w:r w:rsidRPr="005D07E6">
        <w:rPr>
          <w:color w:val="000000" w:themeColor="text1"/>
        </w:rPr>
        <w:t>The shortcomings of Internal Rate of Return method are shown below:</w:t>
      </w:r>
    </w:p>
    <w:p w14:paraId="23D0360F" w14:textId="77777777" w:rsidR="00EF6F57" w:rsidRPr="005D07E6" w:rsidRDefault="00EF6F57" w:rsidP="00EF6F57">
      <w:pPr>
        <w:pStyle w:val="ListParagraph"/>
        <w:numPr>
          <w:ilvl w:val="0"/>
          <w:numId w:val="4"/>
        </w:numPr>
        <w:rPr>
          <w:color w:val="000000" w:themeColor="text1"/>
        </w:rPr>
      </w:pPr>
      <w:r w:rsidRPr="005D07E6">
        <w:rPr>
          <w:color w:val="000000" w:themeColor="text1"/>
        </w:rPr>
        <w:t>Bias towards small projects:</w:t>
      </w:r>
    </w:p>
    <w:p w14:paraId="05B6B0EC" w14:textId="77777777" w:rsidR="00EF6F57" w:rsidRPr="005D07E6" w:rsidRDefault="00EF6F57" w:rsidP="00EF6F57">
      <w:pPr>
        <w:rPr>
          <w:color w:val="000000" w:themeColor="text1"/>
        </w:rPr>
      </w:pPr>
      <w:r w:rsidRPr="005D07E6">
        <w:rPr>
          <w:color w:val="000000" w:themeColor="text1"/>
        </w:rPr>
        <w:t>Like Net Present Value Method, Internal Rate of Return method ignores the scale of size of the project</w:t>
      </w:r>
      <w:r w:rsidR="005D07E6">
        <w:rPr>
          <w:color w:val="000000" w:themeColor="text1"/>
        </w:rPr>
        <w:t xml:space="preserve"> </w:t>
      </w:r>
      <w:r w:rsidR="005D07E6" w:rsidRPr="005D07E6">
        <w:rPr>
          <w:color w:val="000000" w:themeColor="text1"/>
        </w:rPr>
        <w:t>(Balmer, 2006)</w:t>
      </w:r>
      <w:r w:rsidRPr="005D07E6">
        <w:rPr>
          <w:color w:val="000000" w:themeColor="text1"/>
        </w:rPr>
        <w:t>. The present values of cash inflows are compare with the present value of investment. As a result, in comparing the mutually exclusive projects, Internal Rate of Return method makes bias decision towards small projects which has small capital investment because small projects generates higher Internal Rate of Return than the large projects.</w:t>
      </w:r>
    </w:p>
    <w:p w14:paraId="4CAE0E8C" w14:textId="77777777" w:rsidR="00EF6F57" w:rsidRPr="005D07E6" w:rsidRDefault="00EF6F57" w:rsidP="00EF6F57">
      <w:pPr>
        <w:pStyle w:val="ListParagraph"/>
        <w:numPr>
          <w:ilvl w:val="0"/>
          <w:numId w:val="4"/>
        </w:numPr>
        <w:rPr>
          <w:color w:val="000000" w:themeColor="text1"/>
        </w:rPr>
      </w:pPr>
      <w:r w:rsidRPr="005D07E6">
        <w:rPr>
          <w:color w:val="000000" w:themeColor="text1"/>
        </w:rPr>
        <w:t>Multiple Internal Rate of Return:</w:t>
      </w:r>
    </w:p>
    <w:p w14:paraId="4C70EF45" w14:textId="77777777" w:rsidR="00FF162A" w:rsidRDefault="00EF6F57" w:rsidP="00EF6F57">
      <w:pPr>
        <w:rPr>
          <w:color w:val="000000" w:themeColor="text1"/>
        </w:rPr>
      </w:pPr>
      <w:r w:rsidRPr="005D07E6">
        <w:rPr>
          <w:color w:val="000000" w:themeColor="text1"/>
        </w:rPr>
        <w:t>If the investment of a project is spread throughout the lifetime of a project, the project will have more than one Internal Rate of Return. As a result, decision maker will not trouble because he does not know which Internal Rate of Return is appropriate for that project.</w:t>
      </w:r>
    </w:p>
    <w:p w14:paraId="2397FED0" w14:textId="77777777" w:rsidR="00FF162A" w:rsidRDefault="00FF162A">
      <w:pPr>
        <w:spacing w:line="259" w:lineRule="auto"/>
        <w:jc w:val="left"/>
        <w:rPr>
          <w:color w:val="000000" w:themeColor="text1"/>
        </w:rPr>
      </w:pPr>
      <w:r>
        <w:rPr>
          <w:color w:val="000000" w:themeColor="text1"/>
        </w:rPr>
        <w:br w:type="page"/>
      </w:r>
    </w:p>
    <w:p w14:paraId="191735C0" w14:textId="77777777" w:rsidR="00EF6F57" w:rsidRPr="005D07E6" w:rsidRDefault="0084301C" w:rsidP="0084301C">
      <w:pPr>
        <w:pStyle w:val="Heading2"/>
      </w:pPr>
      <w:bookmarkStart w:id="8" w:name="_Toc7831808"/>
      <w:r>
        <w:lastRenderedPageBreak/>
        <w:t>Non-financial factors:</w:t>
      </w:r>
      <w:bookmarkEnd w:id="8"/>
    </w:p>
    <w:p w14:paraId="2A75C577" w14:textId="77777777" w:rsidR="00FF162A" w:rsidRPr="00AE0CD6" w:rsidRDefault="00FF162A" w:rsidP="00FF162A">
      <w:pPr>
        <w:rPr>
          <w:rFonts w:cs="Times New Roman"/>
          <w:szCs w:val="24"/>
          <w:lang w:val="en-US"/>
        </w:rPr>
      </w:pPr>
      <w:r w:rsidRPr="00AE0CD6">
        <w:rPr>
          <w:rFonts w:cs="Times New Roman"/>
          <w:szCs w:val="24"/>
          <w:lang w:val="en-US"/>
        </w:rPr>
        <w:t>While making capital budgeting decisions to make investment in a project, some non-factors influences the capital budgeting decisions. These are</w:t>
      </w:r>
    </w:p>
    <w:p w14:paraId="03254159"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While making a capital budgeting decisions, the management needs to check out whether the project is satisfying all the legal laws and regulations.</w:t>
      </w:r>
    </w:p>
    <w:p w14:paraId="4748A203"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While making capital budgeting decisions, the management needs to assess whether the project is matching the industry standards.</w:t>
      </w:r>
    </w:p>
    <w:p w14:paraId="487C2D26"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While making capital budgeting decisions, the management has to examine whether the project is improving the employee morale and work environment within the organization</w:t>
      </w:r>
    </w:p>
    <w:p w14:paraId="5EDCF666"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While making capital budgeting decisions, the management needs to identify whether the project will help the organization to achieve it's strategic goals</w:t>
      </w:r>
    </w:p>
    <w:p w14:paraId="5DE5A0F6"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While making capital budgeting decisions, the management has to assess the impact of such decision on the quality of products, manufacturing flexibility and manufacturing cost of the firm</w:t>
      </w:r>
    </w:p>
    <w:p w14:paraId="4D5CEB83"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While making capital budgeting decisions, management has to identify whether undertaking a new project will improve the operational efficiency of a firm or not</w:t>
      </w:r>
    </w:p>
    <w:p w14:paraId="00C3DAE2" w14:textId="77777777" w:rsidR="00FF162A" w:rsidRPr="00AE0CD6" w:rsidRDefault="00FF162A" w:rsidP="00FF162A">
      <w:pPr>
        <w:pStyle w:val="ListParagraph"/>
        <w:numPr>
          <w:ilvl w:val="0"/>
          <w:numId w:val="5"/>
        </w:numPr>
        <w:spacing w:after="200"/>
        <w:rPr>
          <w:rFonts w:cs="Times New Roman"/>
          <w:szCs w:val="24"/>
        </w:rPr>
      </w:pPr>
      <w:r w:rsidRPr="00AE0CD6">
        <w:rPr>
          <w:rFonts w:cs="Times New Roman"/>
          <w:szCs w:val="24"/>
          <w:lang w:val="en-US"/>
        </w:rPr>
        <w:t xml:space="preserve">While making capital budgeting decisions, management needs to assess some </w:t>
      </w:r>
      <w:proofErr w:type="spellStart"/>
      <w:r w:rsidRPr="00AE0CD6">
        <w:rPr>
          <w:szCs w:val="24"/>
        </w:rPr>
        <w:t>behavior</w:t>
      </w:r>
      <w:proofErr w:type="spellEnd"/>
      <w:r w:rsidRPr="00AE0CD6">
        <w:rPr>
          <w:rFonts w:cs="Times New Roman"/>
          <w:szCs w:val="24"/>
          <w:lang w:val="en-US"/>
        </w:rPr>
        <w:t xml:space="preserve"> factors of human such as resistance to change, politicking, empire building etc.</w:t>
      </w:r>
    </w:p>
    <w:p w14:paraId="74B0BEDB" w14:textId="77777777" w:rsidR="00FF162A" w:rsidRPr="00AE0CD6" w:rsidRDefault="00FF162A" w:rsidP="00FF162A">
      <w:pPr>
        <w:pStyle w:val="ListParagraph"/>
        <w:ind w:left="0"/>
        <w:rPr>
          <w:rFonts w:cs="Times New Roman"/>
          <w:szCs w:val="24"/>
        </w:rPr>
      </w:pPr>
    </w:p>
    <w:p w14:paraId="3B96BE96" w14:textId="77777777" w:rsidR="00EF6F57" w:rsidRPr="005D07E6" w:rsidRDefault="00EF6F57" w:rsidP="00EF6F57">
      <w:pPr>
        <w:rPr>
          <w:color w:val="000000" w:themeColor="text1"/>
        </w:rPr>
      </w:pPr>
    </w:p>
    <w:p w14:paraId="211A5C95" w14:textId="77777777" w:rsidR="00DD3F9E" w:rsidRPr="005D07E6" w:rsidRDefault="00DD3F9E" w:rsidP="00EF6F57">
      <w:pPr>
        <w:rPr>
          <w:color w:val="000000" w:themeColor="text1"/>
        </w:rPr>
      </w:pPr>
    </w:p>
    <w:p w14:paraId="0B5E7CAD" w14:textId="77777777" w:rsidR="0084301C" w:rsidRDefault="0084301C">
      <w:pPr>
        <w:spacing w:line="259" w:lineRule="auto"/>
        <w:jc w:val="left"/>
        <w:rPr>
          <w:rFonts w:eastAsia="Times New Roman" w:cstheme="majorBidi"/>
          <w:b/>
          <w:color w:val="2E74B5" w:themeColor="accent1" w:themeShade="BF"/>
          <w:sz w:val="32"/>
          <w:szCs w:val="32"/>
        </w:rPr>
      </w:pPr>
      <w:r>
        <w:rPr>
          <w:rFonts w:eastAsia="Times New Roman"/>
        </w:rPr>
        <w:br w:type="page"/>
      </w:r>
    </w:p>
    <w:p w14:paraId="42E1A355" w14:textId="77777777" w:rsidR="005D07E6" w:rsidRPr="005D07E6" w:rsidRDefault="005D07E6" w:rsidP="005D07E6">
      <w:pPr>
        <w:pStyle w:val="Heading1"/>
      </w:pPr>
      <w:bookmarkStart w:id="9" w:name="_Toc7831809"/>
      <w:r w:rsidRPr="005D07E6">
        <w:rPr>
          <w:rFonts w:eastAsia="Times New Roman"/>
        </w:rPr>
        <w:lastRenderedPageBreak/>
        <w:t>References</w:t>
      </w:r>
      <w:bookmarkEnd w:id="9"/>
    </w:p>
    <w:p w14:paraId="6543CD57"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Balmer, K. (2006). </w:t>
      </w:r>
      <w:r w:rsidRPr="005D07E6">
        <w:rPr>
          <w:rFonts w:eastAsia="Times New Roman" w:cs="Times New Roman"/>
          <w:i/>
          <w:iCs/>
          <w:color w:val="000000" w:themeColor="text1"/>
          <w:sz w:val="27"/>
          <w:szCs w:val="27"/>
        </w:rPr>
        <w:t>Basics of accounting &amp; finance</w:t>
      </w:r>
      <w:r w:rsidRPr="005D07E6">
        <w:rPr>
          <w:rFonts w:eastAsia="Times New Roman" w:cs="Times New Roman"/>
          <w:color w:val="000000" w:themeColor="text1"/>
          <w:sz w:val="27"/>
          <w:szCs w:val="27"/>
        </w:rPr>
        <w:t>. New York, NY: Practising Law Institute.</w:t>
      </w:r>
    </w:p>
    <w:p w14:paraId="75297E29"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Belloc, H. (1967). </w:t>
      </w:r>
      <w:r w:rsidRPr="005D07E6">
        <w:rPr>
          <w:rFonts w:eastAsia="Times New Roman" w:cs="Times New Roman"/>
          <w:i/>
          <w:iCs/>
          <w:color w:val="000000" w:themeColor="text1"/>
          <w:sz w:val="27"/>
          <w:szCs w:val="27"/>
        </w:rPr>
        <w:t>On</w:t>
      </w:r>
      <w:r w:rsidRPr="005D07E6">
        <w:rPr>
          <w:rFonts w:eastAsia="Times New Roman" w:cs="Times New Roman"/>
          <w:color w:val="000000" w:themeColor="text1"/>
          <w:sz w:val="27"/>
          <w:szCs w:val="27"/>
        </w:rPr>
        <w:t>. Freeport, N.Y.: Books for Libraries Press.</w:t>
      </w:r>
    </w:p>
    <w:p w14:paraId="53D9D8E3"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 xml:space="preserve">Brigham, E., Ehrhardt, M., </w:t>
      </w:r>
      <w:proofErr w:type="spellStart"/>
      <w:r w:rsidRPr="005D07E6">
        <w:rPr>
          <w:rFonts w:eastAsia="Times New Roman" w:cs="Times New Roman"/>
          <w:color w:val="000000" w:themeColor="text1"/>
          <w:sz w:val="27"/>
          <w:szCs w:val="27"/>
        </w:rPr>
        <w:t>Nason</w:t>
      </w:r>
      <w:proofErr w:type="spellEnd"/>
      <w:r w:rsidRPr="005D07E6">
        <w:rPr>
          <w:rFonts w:eastAsia="Times New Roman" w:cs="Times New Roman"/>
          <w:color w:val="000000" w:themeColor="text1"/>
          <w:sz w:val="27"/>
          <w:szCs w:val="27"/>
        </w:rPr>
        <w:t xml:space="preserve">, R. and </w:t>
      </w:r>
      <w:proofErr w:type="spellStart"/>
      <w:r w:rsidRPr="005D07E6">
        <w:rPr>
          <w:rFonts w:eastAsia="Times New Roman" w:cs="Times New Roman"/>
          <w:color w:val="000000" w:themeColor="text1"/>
          <w:sz w:val="27"/>
          <w:szCs w:val="27"/>
        </w:rPr>
        <w:t>Gessaroli</w:t>
      </w:r>
      <w:proofErr w:type="spellEnd"/>
      <w:r w:rsidRPr="005D07E6">
        <w:rPr>
          <w:rFonts w:eastAsia="Times New Roman" w:cs="Times New Roman"/>
          <w:color w:val="000000" w:themeColor="text1"/>
          <w:sz w:val="27"/>
          <w:szCs w:val="27"/>
        </w:rPr>
        <w:t>, J. (n.d.). </w:t>
      </w:r>
      <w:r w:rsidRPr="005D07E6">
        <w:rPr>
          <w:rFonts w:eastAsia="Times New Roman" w:cs="Times New Roman"/>
          <w:i/>
          <w:iCs/>
          <w:color w:val="000000" w:themeColor="text1"/>
          <w:sz w:val="27"/>
          <w:szCs w:val="27"/>
        </w:rPr>
        <w:t>Financial management</w:t>
      </w:r>
      <w:r w:rsidRPr="005D07E6">
        <w:rPr>
          <w:rFonts w:eastAsia="Times New Roman" w:cs="Times New Roman"/>
          <w:color w:val="000000" w:themeColor="text1"/>
          <w:sz w:val="27"/>
          <w:szCs w:val="27"/>
        </w:rPr>
        <w:t>.</w:t>
      </w:r>
    </w:p>
    <w:p w14:paraId="67626F2E"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Cooper, B. and Mathews, M. (1998). </w:t>
      </w:r>
      <w:r w:rsidRPr="005D07E6">
        <w:rPr>
          <w:rFonts w:eastAsia="Times New Roman" w:cs="Times New Roman"/>
          <w:i/>
          <w:iCs/>
          <w:color w:val="000000" w:themeColor="text1"/>
          <w:sz w:val="27"/>
          <w:szCs w:val="27"/>
        </w:rPr>
        <w:t>Accounting &amp; finance for managers</w:t>
      </w:r>
      <w:r w:rsidRPr="005D07E6">
        <w:rPr>
          <w:rFonts w:eastAsia="Times New Roman" w:cs="Times New Roman"/>
          <w:color w:val="000000" w:themeColor="text1"/>
          <w:sz w:val="27"/>
          <w:szCs w:val="27"/>
        </w:rPr>
        <w:t>. Milton, Qld.: Jacaranda Wiley.</w:t>
      </w:r>
    </w:p>
    <w:p w14:paraId="46501512"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Financial Accountability &amp; Management. (2018). </w:t>
      </w:r>
      <w:r w:rsidRPr="005D07E6">
        <w:rPr>
          <w:rFonts w:eastAsia="Times New Roman" w:cs="Times New Roman"/>
          <w:i/>
          <w:iCs/>
          <w:color w:val="000000" w:themeColor="text1"/>
          <w:sz w:val="27"/>
          <w:szCs w:val="27"/>
        </w:rPr>
        <w:t>Financial Accountability &amp; Management</w:t>
      </w:r>
      <w:r w:rsidRPr="005D07E6">
        <w:rPr>
          <w:rFonts w:eastAsia="Times New Roman" w:cs="Times New Roman"/>
          <w:color w:val="000000" w:themeColor="text1"/>
          <w:sz w:val="27"/>
          <w:szCs w:val="27"/>
        </w:rPr>
        <w:t>, 34(4), pp.410-412.</w:t>
      </w:r>
    </w:p>
    <w:p w14:paraId="094539D2"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Financial management. (2014). London: BPP Learning Media.</w:t>
      </w:r>
    </w:p>
    <w:p w14:paraId="3FC7DE71"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Financial management. (n.d.). .</w:t>
      </w:r>
    </w:p>
    <w:p w14:paraId="71AD74E2"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proofErr w:type="spellStart"/>
      <w:r w:rsidRPr="005D07E6">
        <w:rPr>
          <w:rFonts w:eastAsia="Times New Roman" w:cs="Times New Roman"/>
          <w:color w:val="000000" w:themeColor="text1"/>
          <w:sz w:val="27"/>
          <w:szCs w:val="27"/>
        </w:rPr>
        <w:t>Lagoarde-Segot</w:t>
      </w:r>
      <w:proofErr w:type="spellEnd"/>
      <w:r w:rsidRPr="005D07E6">
        <w:rPr>
          <w:rFonts w:eastAsia="Times New Roman" w:cs="Times New Roman"/>
          <w:color w:val="000000" w:themeColor="text1"/>
          <w:sz w:val="27"/>
          <w:szCs w:val="27"/>
        </w:rPr>
        <w:t>, T. (2019). Sustainable finance. A critical realist perspective. </w:t>
      </w:r>
      <w:r w:rsidRPr="005D07E6">
        <w:rPr>
          <w:rFonts w:eastAsia="Times New Roman" w:cs="Times New Roman"/>
          <w:i/>
          <w:iCs/>
          <w:color w:val="000000" w:themeColor="text1"/>
          <w:sz w:val="27"/>
          <w:szCs w:val="27"/>
        </w:rPr>
        <w:t>Research in International Business and Finance</w:t>
      </w:r>
      <w:r w:rsidRPr="005D07E6">
        <w:rPr>
          <w:rFonts w:eastAsia="Times New Roman" w:cs="Times New Roman"/>
          <w:color w:val="000000" w:themeColor="text1"/>
          <w:sz w:val="27"/>
          <w:szCs w:val="27"/>
        </w:rPr>
        <w:t>, 47, pp.1-9.</w:t>
      </w:r>
    </w:p>
    <w:p w14:paraId="2669E828"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Livingstone, J. and Grossman, T. (2009). </w:t>
      </w:r>
      <w:r w:rsidRPr="005D07E6">
        <w:rPr>
          <w:rFonts w:eastAsia="Times New Roman" w:cs="Times New Roman"/>
          <w:i/>
          <w:iCs/>
          <w:color w:val="000000" w:themeColor="text1"/>
          <w:sz w:val="27"/>
          <w:szCs w:val="27"/>
        </w:rPr>
        <w:t>The Portable MBA in finance and accounting</w:t>
      </w:r>
      <w:r w:rsidRPr="005D07E6">
        <w:rPr>
          <w:rFonts w:eastAsia="Times New Roman" w:cs="Times New Roman"/>
          <w:color w:val="000000" w:themeColor="text1"/>
          <w:sz w:val="27"/>
          <w:szCs w:val="27"/>
        </w:rPr>
        <w:t>. Hoboken, NJ: Wiley and Sons.</w:t>
      </w:r>
    </w:p>
    <w:p w14:paraId="47FC094B"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Madura, J. (2018). </w:t>
      </w:r>
      <w:r w:rsidRPr="005D07E6">
        <w:rPr>
          <w:rFonts w:eastAsia="Times New Roman" w:cs="Times New Roman"/>
          <w:i/>
          <w:iCs/>
          <w:color w:val="000000" w:themeColor="text1"/>
          <w:sz w:val="27"/>
          <w:szCs w:val="27"/>
        </w:rPr>
        <w:t>International financial management</w:t>
      </w:r>
      <w:r w:rsidRPr="005D07E6">
        <w:rPr>
          <w:rFonts w:eastAsia="Times New Roman" w:cs="Times New Roman"/>
          <w:color w:val="000000" w:themeColor="text1"/>
          <w:sz w:val="27"/>
          <w:szCs w:val="27"/>
        </w:rPr>
        <w:t>. Boston, MA: Cengage Learning.</w:t>
      </w:r>
    </w:p>
    <w:p w14:paraId="2AFD5604"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Pandey, I. (2015). </w:t>
      </w:r>
      <w:r w:rsidRPr="005D07E6">
        <w:rPr>
          <w:rFonts w:eastAsia="Times New Roman" w:cs="Times New Roman"/>
          <w:i/>
          <w:iCs/>
          <w:color w:val="000000" w:themeColor="text1"/>
          <w:sz w:val="27"/>
          <w:szCs w:val="27"/>
        </w:rPr>
        <w:t>Financial management</w:t>
      </w:r>
      <w:r w:rsidRPr="005D07E6">
        <w:rPr>
          <w:rFonts w:eastAsia="Times New Roman" w:cs="Times New Roman"/>
          <w:color w:val="000000" w:themeColor="text1"/>
          <w:sz w:val="27"/>
          <w:szCs w:val="27"/>
        </w:rPr>
        <w:t>. New Delhi: Vikas Publishing House PVT LTD.</w:t>
      </w:r>
    </w:p>
    <w:p w14:paraId="53D9B423"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proofErr w:type="spellStart"/>
      <w:r w:rsidRPr="005D07E6">
        <w:rPr>
          <w:rFonts w:eastAsia="Times New Roman" w:cs="Times New Roman"/>
          <w:color w:val="000000" w:themeColor="text1"/>
          <w:sz w:val="27"/>
          <w:szCs w:val="27"/>
        </w:rPr>
        <w:t>Paramasivan</w:t>
      </w:r>
      <w:proofErr w:type="spellEnd"/>
      <w:r w:rsidRPr="005D07E6">
        <w:rPr>
          <w:rFonts w:eastAsia="Times New Roman" w:cs="Times New Roman"/>
          <w:color w:val="000000" w:themeColor="text1"/>
          <w:sz w:val="27"/>
          <w:szCs w:val="27"/>
        </w:rPr>
        <w:t>, C. and Subramanian, T. (2009). </w:t>
      </w:r>
      <w:r w:rsidRPr="005D07E6">
        <w:rPr>
          <w:rFonts w:eastAsia="Times New Roman" w:cs="Times New Roman"/>
          <w:i/>
          <w:iCs/>
          <w:color w:val="000000" w:themeColor="text1"/>
          <w:sz w:val="27"/>
          <w:szCs w:val="27"/>
        </w:rPr>
        <w:t>Financial management</w:t>
      </w:r>
      <w:r w:rsidRPr="005D07E6">
        <w:rPr>
          <w:rFonts w:eastAsia="Times New Roman" w:cs="Times New Roman"/>
          <w:color w:val="000000" w:themeColor="text1"/>
          <w:sz w:val="27"/>
          <w:szCs w:val="27"/>
        </w:rPr>
        <w:t>. New Delhi: New Age International (P) Ltd., Publishers.</w:t>
      </w:r>
    </w:p>
    <w:p w14:paraId="61E09700"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Shapiro, A. (n.d.). </w:t>
      </w:r>
      <w:r w:rsidRPr="005D07E6">
        <w:rPr>
          <w:rFonts w:eastAsia="Times New Roman" w:cs="Times New Roman"/>
          <w:i/>
          <w:iCs/>
          <w:color w:val="000000" w:themeColor="text1"/>
          <w:sz w:val="27"/>
          <w:szCs w:val="27"/>
        </w:rPr>
        <w:t>Multinational financial management</w:t>
      </w:r>
      <w:r w:rsidRPr="005D07E6">
        <w:rPr>
          <w:rFonts w:eastAsia="Times New Roman" w:cs="Times New Roman"/>
          <w:color w:val="000000" w:themeColor="text1"/>
          <w:sz w:val="27"/>
          <w:szCs w:val="27"/>
        </w:rPr>
        <w:t>.</w:t>
      </w:r>
    </w:p>
    <w:p w14:paraId="000DD79C"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Standard grade, general, credit accounting &amp; finance. (2008). Edinburgh: Leckie &amp; Leckie.</w:t>
      </w:r>
    </w:p>
    <w:p w14:paraId="2E1531C6" w14:textId="77777777" w:rsidR="005D07E6" w:rsidRPr="005D07E6" w:rsidRDefault="005D07E6" w:rsidP="005D07E6">
      <w:pPr>
        <w:spacing w:after="180" w:line="240" w:lineRule="auto"/>
        <w:ind w:left="450" w:hanging="450"/>
        <w:rPr>
          <w:rFonts w:eastAsia="Times New Roman" w:cs="Times New Roman"/>
          <w:color w:val="000000" w:themeColor="text1"/>
          <w:sz w:val="27"/>
          <w:szCs w:val="27"/>
        </w:rPr>
      </w:pPr>
      <w:r w:rsidRPr="005D07E6">
        <w:rPr>
          <w:rFonts w:eastAsia="Times New Roman" w:cs="Times New Roman"/>
          <w:color w:val="000000" w:themeColor="text1"/>
          <w:sz w:val="27"/>
          <w:szCs w:val="27"/>
        </w:rPr>
        <w:t xml:space="preserve">Woodhall, G. and </w:t>
      </w:r>
      <w:proofErr w:type="spellStart"/>
      <w:r w:rsidRPr="005D07E6">
        <w:rPr>
          <w:rFonts w:eastAsia="Times New Roman" w:cs="Times New Roman"/>
          <w:color w:val="000000" w:themeColor="text1"/>
          <w:sz w:val="27"/>
          <w:szCs w:val="27"/>
        </w:rPr>
        <w:t>Stuttard</w:t>
      </w:r>
      <w:proofErr w:type="spellEnd"/>
      <w:r w:rsidRPr="005D07E6">
        <w:rPr>
          <w:rFonts w:eastAsia="Times New Roman" w:cs="Times New Roman"/>
          <w:color w:val="000000" w:themeColor="text1"/>
          <w:sz w:val="27"/>
          <w:szCs w:val="27"/>
        </w:rPr>
        <w:t>, A. (n.d.). </w:t>
      </w:r>
      <w:r w:rsidRPr="005D07E6">
        <w:rPr>
          <w:rFonts w:eastAsia="Times New Roman" w:cs="Times New Roman"/>
          <w:i/>
          <w:iCs/>
          <w:color w:val="000000" w:themeColor="text1"/>
          <w:sz w:val="27"/>
          <w:szCs w:val="27"/>
        </w:rPr>
        <w:t>Financial Management</w:t>
      </w:r>
      <w:r w:rsidRPr="005D07E6">
        <w:rPr>
          <w:rFonts w:eastAsia="Times New Roman" w:cs="Times New Roman"/>
          <w:color w:val="000000" w:themeColor="text1"/>
          <w:sz w:val="27"/>
          <w:szCs w:val="27"/>
        </w:rPr>
        <w:t>.</w:t>
      </w:r>
    </w:p>
    <w:p w14:paraId="7E2331F3" w14:textId="77777777" w:rsidR="005D07E6" w:rsidRPr="005D07E6" w:rsidRDefault="005D07E6" w:rsidP="005D07E6">
      <w:pPr>
        <w:rPr>
          <w:color w:val="000000" w:themeColor="text1"/>
        </w:rPr>
      </w:pPr>
    </w:p>
    <w:p w14:paraId="27402786" w14:textId="77777777" w:rsidR="00DD3F9E" w:rsidRPr="005D07E6" w:rsidRDefault="00DD3F9E" w:rsidP="00EF6F57">
      <w:pPr>
        <w:pStyle w:val="Heading2"/>
        <w:rPr>
          <w:sz w:val="32"/>
        </w:rPr>
      </w:pPr>
    </w:p>
    <w:p w14:paraId="6338F70D" w14:textId="77777777" w:rsidR="00DD3F9E" w:rsidRPr="005D07E6" w:rsidRDefault="00DD3F9E" w:rsidP="0052483F">
      <w:pPr>
        <w:rPr>
          <w:color w:val="000000" w:themeColor="text1"/>
        </w:rPr>
      </w:pPr>
    </w:p>
    <w:p w14:paraId="1B6A907B" w14:textId="77777777" w:rsidR="0024215A" w:rsidRPr="005D07E6" w:rsidRDefault="0024215A" w:rsidP="00E75A5E">
      <w:pPr>
        <w:rPr>
          <w:color w:val="000000" w:themeColor="text1"/>
          <w:lang w:eastAsia="en-GB"/>
        </w:rPr>
      </w:pPr>
    </w:p>
    <w:sectPr w:rsidR="0024215A" w:rsidRPr="005D07E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38C9AC" w14:textId="77777777" w:rsidR="004F50FD" w:rsidRDefault="004F50FD" w:rsidP="00DD3F9E">
      <w:pPr>
        <w:spacing w:after="0" w:line="240" w:lineRule="auto"/>
      </w:pPr>
      <w:r>
        <w:separator/>
      </w:r>
    </w:p>
  </w:endnote>
  <w:endnote w:type="continuationSeparator" w:id="0">
    <w:p w14:paraId="3B9DA121" w14:textId="77777777" w:rsidR="004F50FD" w:rsidRDefault="004F50FD" w:rsidP="00DD3F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jaVuSans">
    <w:altName w:val="Calibri"/>
    <w:charset w:val="00"/>
    <w:family w:val="auto"/>
    <w:notTrueType/>
    <w:pitch w:val="default"/>
    <w:sig w:usb0="00000003" w:usb1="00000000" w:usb2="00000000" w:usb3="00000000" w:csb0="00000001" w:csb1="00000000"/>
  </w:font>
  <w:font w:name="NewsGoth BT">
    <w:altName w:val="News Gothic"/>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164657"/>
      <w:docPartObj>
        <w:docPartGallery w:val="Page Numbers (Bottom of Page)"/>
        <w:docPartUnique/>
      </w:docPartObj>
    </w:sdtPr>
    <w:sdtEndPr>
      <w:rPr>
        <w:noProof/>
      </w:rPr>
    </w:sdtEndPr>
    <w:sdtContent>
      <w:p w14:paraId="27E20613" w14:textId="77777777" w:rsidR="00B62C42" w:rsidRDefault="00B62C42">
        <w:pPr>
          <w:pStyle w:val="Footer"/>
          <w:jc w:val="center"/>
        </w:pPr>
        <w:r>
          <w:fldChar w:fldCharType="begin"/>
        </w:r>
        <w:r>
          <w:instrText xml:space="preserve"> PAGE   \* MERGEFORMAT </w:instrText>
        </w:r>
        <w:r>
          <w:fldChar w:fldCharType="separate"/>
        </w:r>
        <w:r w:rsidR="0084301C">
          <w:rPr>
            <w:noProof/>
          </w:rPr>
          <w:t>35</w:t>
        </w:r>
        <w:r>
          <w:rPr>
            <w:noProof/>
          </w:rPr>
          <w:fldChar w:fldCharType="end"/>
        </w:r>
      </w:p>
    </w:sdtContent>
  </w:sdt>
  <w:p w14:paraId="250FD2CF" w14:textId="77777777" w:rsidR="00B62C42" w:rsidRDefault="00B62C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702BF" w14:textId="77777777" w:rsidR="004F50FD" w:rsidRDefault="004F50FD" w:rsidP="00DD3F9E">
      <w:pPr>
        <w:spacing w:after="0" w:line="240" w:lineRule="auto"/>
      </w:pPr>
      <w:r>
        <w:separator/>
      </w:r>
    </w:p>
  </w:footnote>
  <w:footnote w:type="continuationSeparator" w:id="0">
    <w:p w14:paraId="6CD15863" w14:textId="77777777" w:rsidR="004F50FD" w:rsidRDefault="004F50FD" w:rsidP="00DD3F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64E1326"/>
    <w:multiLevelType w:val="hybridMultilevel"/>
    <w:tmpl w:val="80548D9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5081B"/>
    <w:multiLevelType w:val="hybridMultilevel"/>
    <w:tmpl w:val="96C4850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64AED"/>
    <w:multiLevelType w:val="hybridMultilevel"/>
    <w:tmpl w:val="EC7E3B5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9504C2"/>
    <w:multiLevelType w:val="hybridMultilevel"/>
    <w:tmpl w:val="7B1A00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2NTWwMDQzsjQ2MDFQ0lEKTi0uzszPAykwqgUA+sY0ASwAAAA="/>
  </w:docVars>
  <w:rsids>
    <w:rsidRoot w:val="00FE449C"/>
    <w:rsid w:val="000F795F"/>
    <w:rsid w:val="00176FA8"/>
    <w:rsid w:val="001D3095"/>
    <w:rsid w:val="0024215A"/>
    <w:rsid w:val="003A602E"/>
    <w:rsid w:val="004F50FD"/>
    <w:rsid w:val="0052483F"/>
    <w:rsid w:val="005D07E6"/>
    <w:rsid w:val="005E5E17"/>
    <w:rsid w:val="00616123"/>
    <w:rsid w:val="00681BAF"/>
    <w:rsid w:val="006E6F20"/>
    <w:rsid w:val="007332EE"/>
    <w:rsid w:val="0084301C"/>
    <w:rsid w:val="00A54457"/>
    <w:rsid w:val="00A57C4D"/>
    <w:rsid w:val="00B62C42"/>
    <w:rsid w:val="00C14800"/>
    <w:rsid w:val="00C26E0D"/>
    <w:rsid w:val="00C90C98"/>
    <w:rsid w:val="00DC1C2A"/>
    <w:rsid w:val="00DD3F9E"/>
    <w:rsid w:val="00DF4D9B"/>
    <w:rsid w:val="00E75A5E"/>
    <w:rsid w:val="00E8622E"/>
    <w:rsid w:val="00EF6F57"/>
    <w:rsid w:val="00FE449C"/>
    <w:rsid w:val="00FE5956"/>
    <w:rsid w:val="00FF16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945ABE"/>
  <w15:chartTrackingRefBased/>
  <w15:docId w15:val="{02E44C72-5266-4213-A6F3-D2AE98D8E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07E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D07E6"/>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B62C42"/>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E449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
    <w:rsid w:val="005D07E6"/>
    <w:rPr>
      <w:rFonts w:ascii="Times New Roman" w:eastAsiaTheme="majorEastAsia" w:hAnsi="Times New Roman" w:cstheme="majorBidi"/>
      <w:b/>
      <w:color w:val="2E74B5" w:themeColor="accent1" w:themeShade="BF"/>
      <w:sz w:val="32"/>
      <w:szCs w:val="32"/>
    </w:rPr>
  </w:style>
  <w:style w:type="paragraph" w:styleId="TOCHeading">
    <w:name w:val="TOC Heading"/>
    <w:basedOn w:val="Heading1"/>
    <w:next w:val="Normal"/>
    <w:uiPriority w:val="39"/>
    <w:unhideWhenUsed/>
    <w:qFormat/>
    <w:rsid w:val="00FE449C"/>
    <w:pPr>
      <w:outlineLvl w:val="9"/>
    </w:pPr>
    <w:rPr>
      <w:lang w:val="en-US"/>
    </w:rPr>
  </w:style>
  <w:style w:type="character" w:customStyle="1" w:styleId="Heading2Char">
    <w:name w:val="Heading 2 Char"/>
    <w:basedOn w:val="DefaultParagraphFont"/>
    <w:link w:val="Heading2"/>
    <w:uiPriority w:val="9"/>
    <w:rsid w:val="00B62C42"/>
    <w:rPr>
      <w:rFonts w:ascii="Times New Roman" w:eastAsiaTheme="majorEastAsia" w:hAnsi="Times New Roman" w:cstheme="majorBidi"/>
      <w:b/>
      <w:color w:val="000000" w:themeColor="text1"/>
      <w:sz w:val="28"/>
      <w:szCs w:val="26"/>
    </w:rPr>
  </w:style>
  <w:style w:type="character" w:customStyle="1" w:styleId="ilfuvd">
    <w:name w:val="ilfuvd"/>
    <w:basedOn w:val="DefaultParagraphFont"/>
    <w:rsid w:val="0024215A"/>
  </w:style>
  <w:style w:type="paragraph" w:styleId="ListParagraph">
    <w:name w:val="List Paragraph"/>
    <w:basedOn w:val="Normal"/>
    <w:qFormat/>
    <w:rsid w:val="0024215A"/>
    <w:pPr>
      <w:ind w:left="720"/>
      <w:contextualSpacing/>
    </w:pPr>
  </w:style>
  <w:style w:type="table" w:styleId="TableGrid">
    <w:name w:val="Table Grid"/>
    <w:basedOn w:val="TableNormal"/>
    <w:uiPriority w:val="39"/>
    <w:rsid w:val="00242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scoswrapper">
    <w:name w:val="hs_cos_wrapper"/>
    <w:basedOn w:val="DefaultParagraphFont"/>
    <w:rsid w:val="00E75A5E"/>
  </w:style>
  <w:style w:type="paragraph" w:styleId="Header">
    <w:name w:val="header"/>
    <w:basedOn w:val="Normal"/>
    <w:link w:val="HeaderChar"/>
    <w:uiPriority w:val="99"/>
    <w:unhideWhenUsed/>
    <w:rsid w:val="00DD3F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F9E"/>
  </w:style>
  <w:style w:type="paragraph" w:styleId="Footer">
    <w:name w:val="footer"/>
    <w:basedOn w:val="Normal"/>
    <w:link w:val="FooterChar"/>
    <w:uiPriority w:val="99"/>
    <w:unhideWhenUsed/>
    <w:rsid w:val="00DD3F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F9E"/>
  </w:style>
  <w:style w:type="paragraph" w:styleId="TOC1">
    <w:name w:val="toc 1"/>
    <w:basedOn w:val="Normal"/>
    <w:next w:val="Normal"/>
    <w:autoRedefine/>
    <w:uiPriority w:val="39"/>
    <w:unhideWhenUsed/>
    <w:rsid w:val="001D3095"/>
    <w:pPr>
      <w:spacing w:after="100"/>
    </w:pPr>
  </w:style>
  <w:style w:type="paragraph" w:styleId="TOC2">
    <w:name w:val="toc 2"/>
    <w:basedOn w:val="Normal"/>
    <w:next w:val="Normal"/>
    <w:autoRedefine/>
    <w:uiPriority w:val="39"/>
    <w:unhideWhenUsed/>
    <w:rsid w:val="001D3095"/>
    <w:pPr>
      <w:spacing w:after="100"/>
      <w:ind w:left="220"/>
    </w:pPr>
  </w:style>
  <w:style w:type="character" w:styleId="Hyperlink">
    <w:name w:val="Hyperlink"/>
    <w:basedOn w:val="DefaultParagraphFont"/>
    <w:uiPriority w:val="99"/>
    <w:unhideWhenUsed/>
    <w:rsid w:val="001D30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 /><Relationship Id="rId13" Type="http://schemas.openxmlformats.org/officeDocument/2006/relationships/chart" Target="charts/chart6.xml" /><Relationship Id="rId18" Type="http://schemas.openxmlformats.org/officeDocument/2006/relationships/image" Target="media/image3.png" /><Relationship Id="rId3" Type="http://schemas.openxmlformats.org/officeDocument/2006/relationships/styles" Target="styles.xml" /><Relationship Id="rId21" Type="http://schemas.openxmlformats.org/officeDocument/2006/relationships/image" Target="media/image6.png" /><Relationship Id="rId7" Type="http://schemas.openxmlformats.org/officeDocument/2006/relationships/endnotes" Target="endnotes.xml" /><Relationship Id="rId12" Type="http://schemas.openxmlformats.org/officeDocument/2006/relationships/chart" Target="charts/chart5.xml" /><Relationship Id="rId17" Type="http://schemas.openxmlformats.org/officeDocument/2006/relationships/image" Target="media/image2.png" /><Relationship Id="rId2" Type="http://schemas.openxmlformats.org/officeDocument/2006/relationships/numbering" Target="numbering.xml" /><Relationship Id="rId16" Type="http://schemas.openxmlformats.org/officeDocument/2006/relationships/image" Target="media/image1.png" /><Relationship Id="rId20" Type="http://schemas.openxmlformats.org/officeDocument/2006/relationships/image" Target="media/image5.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4.xml" /><Relationship Id="rId24"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chart" Target="charts/chart8.xml" /><Relationship Id="rId23" Type="http://schemas.openxmlformats.org/officeDocument/2006/relationships/fontTable" Target="fontTable.xml" /><Relationship Id="rId10" Type="http://schemas.openxmlformats.org/officeDocument/2006/relationships/chart" Target="charts/chart3.xml" /><Relationship Id="rId19" Type="http://schemas.openxmlformats.org/officeDocument/2006/relationships/image" Target="media/image4.png" /><Relationship Id="rId4" Type="http://schemas.openxmlformats.org/officeDocument/2006/relationships/settings" Target="settings.xml" /><Relationship Id="rId9" Type="http://schemas.openxmlformats.org/officeDocument/2006/relationships/chart" Target="charts/chart2.xml" /><Relationship Id="rId14" Type="http://schemas.openxmlformats.org/officeDocument/2006/relationships/chart" Target="charts/chart7.xml" /><Relationship Id="rId22" Type="http://schemas.openxmlformats.org/officeDocument/2006/relationships/footer" Target="footer1.xml" /></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 /><Relationship Id="rId2" Type="http://schemas.microsoft.com/office/2011/relationships/chartColorStyle" Target="colors8.xml" /><Relationship Id="rId1" Type="http://schemas.microsoft.com/office/2011/relationships/chartStyle" Target="style8.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Liquidity</a:t>
            </a:r>
            <a:r>
              <a:rPr lang="en-GB" baseline="0"/>
              <a:t> Ratios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Current Ratio</c:v>
                </c:pt>
              </c:strCache>
            </c:strRef>
          </c:tx>
          <c:spPr>
            <a:solidFill>
              <a:schemeClr val="accent1"/>
            </a:solidFill>
            <a:ln>
              <a:noFill/>
            </a:ln>
            <a:effectLst/>
          </c:spPr>
          <c:invertIfNegative val="0"/>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0.71</c:v>
                </c:pt>
                <c:pt idx="1">
                  <c:v>0.78</c:v>
                </c:pt>
                <c:pt idx="2">
                  <c:v>0.88</c:v>
                </c:pt>
                <c:pt idx="3">
                  <c:v>0.93</c:v>
                </c:pt>
                <c:pt idx="4">
                  <c:v>1.03</c:v>
                </c:pt>
              </c:numCache>
            </c:numRef>
          </c:val>
          <c:extLst>
            <c:ext xmlns:c16="http://schemas.microsoft.com/office/drawing/2014/chart" uri="{C3380CC4-5D6E-409C-BE32-E72D297353CC}">
              <c16:uniqueId val="{00000000-59BA-4EDE-8731-5457CCF4F852}"/>
            </c:ext>
          </c:extLst>
        </c:ser>
        <c:ser>
          <c:idx val="1"/>
          <c:order val="1"/>
          <c:tx>
            <c:strRef>
              <c:f>Sheet1!$C$1</c:f>
              <c:strCache>
                <c:ptCount val="1"/>
                <c:pt idx="0">
                  <c:v>Acid Test Ratio</c:v>
                </c:pt>
              </c:strCache>
            </c:strRef>
          </c:tx>
          <c:spPr>
            <a:solidFill>
              <a:schemeClr val="accent2"/>
            </a:solidFill>
            <a:ln>
              <a:noFill/>
            </a:ln>
            <a:effectLst/>
          </c:spPr>
          <c:invertIfNegative val="0"/>
          <c:cat>
            <c:numRef>
              <c:f>Sheet1!$A$2:$A$6</c:f>
              <c:numCache>
                <c:formatCode>General</c:formatCode>
                <c:ptCount val="5"/>
                <c:pt idx="0">
                  <c:v>2013</c:v>
                </c:pt>
                <c:pt idx="1">
                  <c:v>2014</c:v>
                </c:pt>
                <c:pt idx="2">
                  <c:v>2015</c:v>
                </c:pt>
                <c:pt idx="3">
                  <c:v>2016</c:v>
                </c:pt>
                <c:pt idx="4">
                  <c:v>2017</c:v>
                </c:pt>
              </c:numCache>
            </c:numRef>
          </c:cat>
          <c:val>
            <c:numRef>
              <c:f>Sheet1!$C$2:$C$6</c:f>
              <c:numCache>
                <c:formatCode>General</c:formatCode>
                <c:ptCount val="5"/>
                <c:pt idx="0">
                  <c:v>0.53</c:v>
                </c:pt>
                <c:pt idx="1">
                  <c:v>0.6</c:v>
                </c:pt>
                <c:pt idx="2">
                  <c:v>0.71</c:v>
                </c:pt>
                <c:pt idx="3">
                  <c:v>0.76</c:v>
                </c:pt>
                <c:pt idx="4">
                  <c:v>0.86</c:v>
                </c:pt>
              </c:numCache>
            </c:numRef>
          </c:val>
          <c:extLst>
            <c:ext xmlns:c16="http://schemas.microsoft.com/office/drawing/2014/chart" uri="{C3380CC4-5D6E-409C-BE32-E72D297353CC}">
              <c16:uniqueId val="{00000001-59BA-4EDE-8731-5457CCF4F852}"/>
            </c:ext>
          </c:extLst>
        </c:ser>
        <c:dLbls>
          <c:showLegendKey val="0"/>
          <c:showVal val="0"/>
          <c:showCatName val="0"/>
          <c:showSerName val="0"/>
          <c:showPercent val="0"/>
          <c:showBubbleSize val="0"/>
        </c:dLbls>
        <c:gapWidth val="219"/>
        <c:overlap val="-27"/>
        <c:axId val="420799216"/>
        <c:axId val="420799632"/>
      </c:barChart>
      <c:catAx>
        <c:axId val="420799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799632"/>
        <c:crosses val="autoZero"/>
        <c:auto val="1"/>
        <c:lblAlgn val="ctr"/>
        <c:lblOffset val="100"/>
        <c:noMultiLvlLbl val="0"/>
      </c:catAx>
      <c:valAx>
        <c:axId val="4207996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20799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Current Ratio</c:v>
                </c:pt>
              </c:strCache>
            </c:strRef>
          </c:tx>
          <c:spPr>
            <a:solidFill>
              <a:schemeClr val="accent1"/>
            </a:solidFill>
            <a:ln>
              <a:noFill/>
            </a:ln>
            <a:effectLst/>
          </c:spPr>
          <c:invertIfNegative val="0"/>
          <c:cat>
            <c:strRef>
              <c:f>Sheet1!$A$2:$A$3</c:f>
              <c:strCache>
                <c:ptCount val="2"/>
                <c:pt idx="0">
                  <c:v>Asda</c:v>
                </c:pt>
                <c:pt idx="1">
                  <c:v>Tesco</c:v>
                </c:pt>
              </c:strCache>
            </c:strRef>
          </c:cat>
          <c:val>
            <c:numRef>
              <c:f>Sheet1!$B$2:$B$3</c:f>
              <c:numCache>
                <c:formatCode>General</c:formatCode>
                <c:ptCount val="2"/>
                <c:pt idx="0">
                  <c:v>1.03</c:v>
                </c:pt>
                <c:pt idx="1">
                  <c:v>0.86</c:v>
                </c:pt>
              </c:numCache>
            </c:numRef>
          </c:val>
          <c:extLst>
            <c:ext xmlns:c16="http://schemas.microsoft.com/office/drawing/2014/chart" uri="{C3380CC4-5D6E-409C-BE32-E72D297353CC}">
              <c16:uniqueId val="{00000000-86EF-4921-89D1-FFCB032A7C06}"/>
            </c:ext>
          </c:extLst>
        </c:ser>
        <c:ser>
          <c:idx val="1"/>
          <c:order val="1"/>
          <c:tx>
            <c:strRef>
              <c:f>Sheet1!$C$1</c:f>
              <c:strCache>
                <c:ptCount val="1"/>
                <c:pt idx="0">
                  <c:v>Acid Test Ratio</c:v>
                </c:pt>
              </c:strCache>
            </c:strRef>
          </c:tx>
          <c:spPr>
            <a:solidFill>
              <a:schemeClr val="accent2"/>
            </a:solidFill>
            <a:ln>
              <a:noFill/>
            </a:ln>
            <a:effectLst/>
          </c:spPr>
          <c:invertIfNegative val="0"/>
          <c:cat>
            <c:strRef>
              <c:f>Sheet1!$A$2:$A$3</c:f>
              <c:strCache>
                <c:ptCount val="2"/>
                <c:pt idx="0">
                  <c:v>Asda</c:v>
                </c:pt>
                <c:pt idx="1">
                  <c:v>Tesco</c:v>
                </c:pt>
              </c:strCache>
            </c:strRef>
          </c:cat>
          <c:val>
            <c:numRef>
              <c:f>Sheet1!$C$2:$C$3</c:f>
              <c:numCache>
                <c:formatCode>General</c:formatCode>
                <c:ptCount val="2"/>
                <c:pt idx="0">
                  <c:v>0.78</c:v>
                </c:pt>
                <c:pt idx="1">
                  <c:v>0.63</c:v>
                </c:pt>
              </c:numCache>
            </c:numRef>
          </c:val>
          <c:extLst>
            <c:ext xmlns:c16="http://schemas.microsoft.com/office/drawing/2014/chart" uri="{C3380CC4-5D6E-409C-BE32-E72D297353CC}">
              <c16:uniqueId val="{00000001-86EF-4921-89D1-FFCB032A7C06}"/>
            </c:ext>
          </c:extLst>
        </c:ser>
        <c:dLbls>
          <c:showLegendKey val="0"/>
          <c:showVal val="0"/>
          <c:showCatName val="0"/>
          <c:showSerName val="0"/>
          <c:showPercent val="0"/>
          <c:showBubbleSize val="0"/>
        </c:dLbls>
        <c:gapWidth val="219"/>
        <c:overlap val="-27"/>
        <c:axId val="1619753648"/>
        <c:axId val="1619754896"/>
      </c:barChart>
      <c:catAx>
        <c:axId val="1619753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754896"/>
        <c:crosses val="autoZero"/>
        <c:auto val="1"/>
        <c:lblAlgn val="ctr"/>
        <c:lblOffset val="100"/>
        <c:noMultiLvlLbl val="0"/>
      </c:catAx>
      <c:valAx>
        <c:axId val="1619754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9753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Profitability Ratio</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Operting Profit Margin</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4.26</c:v>
                </c:pt>
                <c:pt idx="1">
                  <c:v>4.3600000000000003</c:v>
                </c:pt>
                <c:pt idx="2">
                  <c:v>4.67</c:v>
                </c:pt>
                <c:pt idx="3">
                  <c:v>3.9</c:v>
                </c:pt>
                <c:pt idx="4">
                  <c:v>3.31</c:v>
                </c:pt>
              </c:numCache>
            </c:numRef>
          </c:val>
          <c:extLst>
            <c:ext xmlns:c16="http://schemas.microsoft.com/office/drawing/2014/chart" uri="{C3380CC4-5D6E-409C-BE32-E72D297353CC}">
              <c16:uniqueId val="{00000000-D6A9-4971-8A72-C2E38A66350A}"/>
            </c:ext>
          </c:extLst>
        </c:ser>
        <c:ser>
          <c:idx val="1"/>
          <c:order val="1"/>
          <c:tx>
            <c:strRef>
              <c:f>Sheet1!$C$1</c:f>
              <c:strCache>
                <c:ptCount val="1"/>
                <c:pt idx="0">
                  <c:v>Net Profit Margin</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2013</c:v>
                </c:pt>
                <c:pt idx="1">
                  <c:v>2014</c:v>
                </c:pt>
                <c:pt idx="2">
                  <c:v>2015</c:v>
                </c:pt>
                <c:pt idx="3">
                  <c:v>2016</c:v>
                </c:pt>
                <c:pt idx="4">
                  <c:v>2017</c:v>
                </c:pt>
              </c:numCache>
            </c:numRef>
          </c:cat>
          <c:val>
            <c:numRef>
              <c:f>Sheet1!$C$2:$C$6</c:f>
              <c:numCache>
                <c:formatCode>General</c:formatCode>
                <c:ptCount val="5"/>
                <c:pt idx="0">
                  <c:v>3.27</c:v>
                </c:pt>
                <c:pt idx="1">
                  <c:v>3.36</c:v>
                </c:pt>
                <c:pt idx="2">
                  <c:v>3.67</c:v>
                </c:pt>
                <c:pt idx="3">
                  <c:v>3.03</c:v>
                </c:pt>
                <c:pt idx="4">
                  <c:v>3</c:v>
                </c:pt>
              </c:numCache>
            </c:numRef>
          </c:val>
          <c:extLst>
            <c:ext xmlns:c16="http://schemas.microsoft.com/office/drawing/2014/chart" uri="{C3380CC4-5D6E-409C-BE32-E72D297353CC}">
              <c16:uniqueId val="{00000001-D6A9-4971-8A72-C2E38A66350A}"/>
            </c:ext>
          </c:extLst>
        </c:ser>
        <c:ser>
          <c:idx val="2"/>
          <c:order val="2"/>
          <c:tx>
            <c:strRef>
              <c:f>Sheet1!$D$1</c:f>
              <c:strCache>
                <c:ptCount val="1"/>
                <c:pt idx="0">
                  <c:v>Return on Asset</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2013</c:v>
                </c:pt>
                <c:pt idx="1">
                  <c:v>2014</c:v>
                </c:pt>
                <c:pt idx="2">
                  <c:v>2015</c:v>
                </c:pt>
                <c:pt idx="3">
                  <c:v>2016</c:v>
                </c:pt>
                <c:pt idx="4">
                  <c:v>2017</c:v>
                </c:pt>
              </c:numCache>
            </c:numRef>
          </c:cat>
          <c:val>
            <c:numRef>
              <c:f>Sheet1!$D$2:$D$6</c:f>
              <c:numCache>
                <c:formatCode>General</c:formatCode>
                <c:ptCount val="5"/>
                <c:pt idx="0">
                  <c:v>5.59</c:v>
                </c:pt>
                <c:pt idx="1">
                  <c:v>5.27</c:v>
                </c:pt>
                <c:pt idx="2">
                  <c:v>3.03</c:v>
                </c:pt>
                <c:pt idx="3">
                  <c:v>4.16</c:v>
                </c:pt>
                <c:pt idx="4">
                  <c:v>4.05</c:v>
                </c:pt>
              </c:numCache>
            </c:numRef>
          </c:val>
          <c:extLst>
            <c:ext xmlns:c16="http://schemas.microsoft.com/office/drawing/2014/chart" uri="{C3380CC4-5D6E-409C-BE32-E72D297353CC}">
              <c16:uniqueId val="{00000002-D6A9-4971-8A72-C2E38A66350A}"/>
            </c:ext>
          </c:extLst>
        </c:ser>
        <c:ser>
          <c:idx val="3"/>
          <c:order val="3"/>
          <c:tx>
            <c:strRef>
              <c:f>Sheet1!$E$1</c:f>
              <c:strCache>
                <c:ptCount val="1"/>
                <c:pt idx="0">
                  <c:v>Retrun on Capital Employed</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numRef>
              <c:f>Sheet1!$A$2:$A$6</c:f>
              <c:numCache>
                <c:formatCode>General</c:formatCode>
                <c:ptCount val="5"/>
                <c:pt idx="0">
                  <c:v>2013</c:v>
                </c:pt>
                <c:pt idx="1">
                  <c:v>2014</c:v>
                </c:pt>
                <c:pt idx="2">
                  <c:v>2015</c:v>
                </c:pt>
                <c:pt idx="3">
                  <c:v>2016</c:v>
                </c:pt>
                <c:pt idx="4">
                  <c:v>2017</c:v>
                </c:pt>
              </c:numCache>
            </c:numRef>
          </c:cat>
          <c:val>
            <c:numRef>
              <c:f>Sheet1!$E$2:$E$6</c:f>
              <c:numCache>
                <c:formatCode>General</c:formatCode>
                <c:ptCount val="5"/>
                <c:pt idx="0">
                  <c:v>12.06</c:v>
                </c:pt>
                <c:pt idx="1">
                  <c:v>11.07</c:v>
                </c:pt>
                <c:pt idx="2">
                  <c:v>3</c:v>
                </c:pt>
                <c:pt idx="3">
                  <c:v>8.49</c:v>
                </c:pt>
                <c:pt idx="4">
                  <c:v>7.12</c:v>
                </c:pt>
              </c:numCache>
            </c:numRef>
          </c:val>
          <c:extLst>
            <c:ext xmlns:c16="http://schemas.microsoft.com/office/drawing/2014/chart" uri="{C3380CC4-5D6E-409C-BE32-E72D297353CC}">
              <c16:uniqueId val="{00000003-D6A9-4971-8A72-C2E38A66350A}"/>
            </c:ext>
          </c:extLst>
        </c:ser>
        <c:dLbls>
          <c:showLegendKey val="0"/>
          <c:showVal val="0"/>
          <c:showCatName val="0"/>
          <c:showSerName val="0"/>
          <c:showPercent val="0"/>
          <c:showBubbleSize val="0"/>
        </c:dLbls>
        <c:gapWidth val="100"/>
        <c:overlap val="-24"/>
        <c:axId val="139606431"/>
        <c:axId val="139608511"/>
      </c:barChart>
      <c:catAx>
        <c:axId val="139606431"/>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9608511"/>
        <c:crosses val="autoZero"/>
        <c:auto val="1"/>
        <c:lblAlgn val="ctr"/>
        <c:lblOffset val="100"/>
        <c:noMultiLvlLbl val="0"/>
      </c:catAx>
      <c:valAx>
        <c:axId val="139608511"/>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3960643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Operating Profit Margin</c:v>
                </c:pt>
              </c:strCache>
            </c:strRef>
          </c:tx>
          <c:spPr>
            <a:solidFill>
              <a:schemeClr val="accent1"/>
            </a:solidFill>
            <a:ln>
              <a:noFill/>
            </a:ln>
            <a:effectLst/>
          </c:spPr>
          <c:invertIfNegative val="0"/>
          <c:cat>
            <c:strRef>
              <c:f>Sheet1!$A$2:$A$3</c:f>
              <c:strCache>
                <c:ptCount val="2"/>
                <c:pt idx="0">
                  <c:v>Category 1</c:v>
                </c:pt>
                <c:pt idx="1">
                  <c:v>Category 2</c:v>
                </c:pt>
              </c:strCache>
            </c:strRef>
          </c:cat>
          <c:val>
            <c:numRef>
              <c:f>Sheet1!$B$2:$B$3</c:f>
              <c:numCache>
                <c:formatCode>0.00%</c:formatCode>
                <c:ptCount val="2"/>
                <c:pt idx="0">
                  <c:v>3.3099999999999997E-2</c:v>
                </c:pt>
                <c:pt idx="1">
                  <c:v>2.29E-2</c:v>
                </c:pt>
              </c:numCache>
            </c:numRef>
          </c:val>
          <c:extLst>
            <c:ext xmlns:c16="http://schemas.microsoft.com/office/drawing/2014/chart" uri="{C3380CC4-5D6E-409C-BE32-E72D297353CC}">
              <c16:uniqueId val="{00000000-660C-4875-B654-7F1607BA9B5E}"/>
            </c:ext>
          </c:extLst>
        </c:ser>
        <c:ser>
          <c:idx val="1"/>
          <c:order val="1"/>
          <c:tx>
            <c:strRef>
              <c:f>Sheet1!$C$1</c:f>
              <c:strCache>
                <c:ptCount val="1"/>
                <c:pt idx="0">
                  <c:v>Net Profit Margin</c:v>
                </c:pt>
              </c:strCache>
            </c:strRef>
          </c:tx>
          <c:spPr>
            <a:solidFill>
              <a:schemeClr val="accent2"/>
            </a:solidFill>
            <a:ln>
              <a:noFill/>
            </a:ln>
            <a:effectLst/>
          </c:spPr>
          <c:invertIfNegative val="0"/>
          <c:cat>
            <c:strRef>
              <c:f>Sheet1!$A$2:$A$3</c:f>
              <c:strCache>
                <c:ptCount val="2"/>
                <c:pt idx="0">
                  <c:v>Category 1</c:v>
                </c:pt>
                <c:pt idx="1">
                  <c:v>Category 2</c:v>
                </c:pt>
              </c:strCache>
            </c:strRef>
          </c:cat>
          <c:val>
            <c:numRef>
              <c:f>Sheet1!$C$2:$C$3</c:f>
              <c:numCache>
                <c:formatCode>0.00%</c:formatCode>
                <c:ptCount val="2"/>
                <c:pt idx="0" formatCode="0%">
                  <c:v>0.03</c:v>
                </c:pt>
                <c:pt idx="1">
                  <c:v>9.7000000000000003E-3</c:v>
                </c:pt>
              </c:numCache>
            </c:numRef>
          </c:val>
          <c:extLst>
            <c:ext xmlns:c16="http://schemas.microsoft.com/office/drawing/2014/chart" uri="{C3380CC4-5D6E-409C-BE32-E72D297353CC}">
              <c16:uniqueId val="{00000001-660C-4875-B654-7F1607BA9B5E}"/>
            </c:ext>
          </c:extLst>
        </c:ser>
        <c:ser>
          <c:idx val="2"/>
          <c:order val="2"/>
          <c:tx>
            <c:strRef>
              <c:f>Sheet1!$D$1</c:f>
              <c:strCache>
                <c:ptCount val="1"/>
                <c:pt idx="0">
                  <c:v>Return on Asset</c:v>
                </c:pt>
              </c:strCache>
            </c:strRef>
          </c:tx>
          <c:spPr>
            <a:solidFill>
              <a:schemeClr val="accent3"/>
            </a:solidFill>
            <a:ln>
              <a:noFill/>
            </a:ln>
            <a:effectLst/>
          </c:spPr>
          <c:invertIfNegative val="0"/>
          <c:cat>
            <c:strRef>
              <c:f>Sheet1!$A$2:$A$3</c:f>
              <c:strCache>
                <c:ptCount val="2"/>
                <c:pt idx="0">
                  <c:v>Category 1</c:v>
                </c:pt>
                <c:pt idx="1">
                  <c:v>Category 2</c:v>
                </c:pt>
              </c:strCache>
            </c:strRef>
          </c:cat>
          <c:val>
            <c:numRef>
              <c:f>Sheet1!$D$2:$D$3</c:f>
              <c:numCache>
                <c:formatCode>0.00%</c:formatCode>
                <c:ptCount val="2"/>
                <c:pt idx="0">
                  <c:v>4.0500000000000001E-2</c:v>
                </c:pt>
                <c:pt idx="1">
                  <c:v>1.2E-2</c:v>
                </c:pt>
              </c:numCache>
            </c:numRef>
          </c:val>
          <c:extLst>
            <c:ext xmlns:c16="http://schemas.microsoft.com/office/drawing/2014/chart" uri="{C3380CC4-5D6E-409C-BE32-E72D297353CC}">
              <c16:uniqueId val="{00000002-660C-4875-B654-7F1607BA9B5E}"/>
            </c:ext>
          </c:extLst>
        </c:ser>
        <c:ser>
          <c:idx val="3"/>
          <c:order val="3"/>
          <c:tx>
            <c:strRef>
              <c:f>Sheet1!$E$1</c:f>
              <c:strCache>
                <c:ptCount val="1"/>
                <c:pt idx="0">
                  <c:v>Return on Capital Employed</c:v>
                </c:pt>
              </c:strCache>
            </c:strRef>
          </c:tx>
          <c:spPr>
            <a:solidFill>
              <a:schemeClr val="accent4"/>
            </a:solidFill>
            <a:ln>
              <a:noFill/>
            </a:ln>
            <a:effectLst/>
          </c:spPr>
          <c:invertIfNegative val="0"/>
          <c:cat>
            <c:strRef>
              <c:f>Sheet1!$A$2:$A$3</c:f>
              <c:strCache>
                <c:ptCount val="2"/>
                <c:pt idx="0">
                  <c:v>Category 1</c:v>
                </c:pt>
                <c:pt idx="1">
                  <c:v>Category 2</c:v>
                </c:pt>
              </c:strCache>
            </c:strRef>
          </c:cat>
          <c:val>
            <c:numRef>
              <c:f>Sheet1!$E$2:$E$3</c:f>
              <c:numCache>
                <c:formatCode>0.00%</c:formatCode>
                <c:ptCount val="2"/>
                <c:pt idx="0">
                  <c:v>7.1199999999999999E-2</c:v>
                </c:pt>
                <c:pt idx="1">
                  <c:v>2.7699999999999999E-2</c:v>
                </c:pt>
              </c:numCache>
            </c:numRef>
          </c:val>
          <c:extLst>
            <c:ext xmlns:c16="http://schemas.microsoft.com/office/drawing/2014/chart" uri="{C3380CC4-5D6E-409C-BE32-E72D297353CC}">
              <c16:uniqueId val="{00000003-660C-4875-B654-7F1607BA9B5E}"/>
            </c:ext>
          </c:extLst>
        </c:ser>
        <c:dLbls>
          <c:showLegendKey val="0"/>
          <c:showVal val="0"/>
          <c:showCatName val="0"/>
          <c:showSerName val="0"/>
          <c:showPercent val="0"/>
          <c:showBubbleSize val="0"/>
        </c:dLbls>
        <c:gapWidth val="219"/>
        <c:overlap val="-27"/>
        <c:axId val="1767709424"/>
        <c:axId val="1767709008"/>
      </c:barChart>
      <c:catAx>
        <c:axId val="17677094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709008"/>
        <c:crosses val="autoZero"/>
        <c:auto val="1"/>
        <c:lblAlgn val="ctr"/>
        <c:lblOffset val="100"/>
        <c:noMultiLvlLbl val="0"/>
      </c:catAx>
      <c:valAx>
        <c:axId val="17677090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7094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Stock Days</c:v>
                </c:pt>
              </c:strCache>
            </c:strRef>
          </c:tx>
          <c:spPr>
            <a:solidFill>
              <a:schemeClr val="accent1"/>
            </a:solidFill>
            <a:ln>
              <a:noFill/>
            </a:ln>
            <a:effectLst/>
          </c:spPr>
          <c:invertIfNegative val="0"/>
          <c:cat>
            <c:strRef>
              <c:f>Sheet1!$A$2:$A$3</c:f>
              <c:strCache>
                <c:ptCount val="2"/>
                <c:pt idx="0">
                  <c:v>Asda</c:v>
                </c:pt>
                <c:pt idx="1">
                  <c:v>Tesco</c:v>
                </c:pt>
              </c:strCache>
            </c:strRef>
          </c:cat>
          <c:val>
            <c:numRef>
              <c:f>Sheet1!$B$2:$B$3</c:f>
              <c:numCache>
                <c:formatCode>General</c:formatCode>
                <c:ptCount val="2"/>
                <c:pt idx="0">
                  <c:v>25</c:v>
                </c:pt>
                <c:pt idx="1">
                  <c:v>16</c:v>
                </c:pt>
              </c:numCache>
            </c:numRef>
          </c:val>
          <c:extLst>
            <c:ext xmlns:c16="http://schemas.microsoft.com/office/drawing/2014/chart" uri="{C3380CC4-5D6E-409C-BE32-E72D297353CC}">
              <c16:uniqueId val="{00000000-361E-4D4A-8E76-415DE3A4CB77}"/>
            </c:ext>
          </c:extLst>
        </c:ser>
        <c:ser>
          <c:idx val="1"/>
          <c:order val="1"/>
          <c:tx>
            <c:strRef>
              <c:f>Sheet1!$C$1</c:f>
              <c:strCache>
                <c:ptCount val="1"/>
                <c:pt idx="0">
                  <c:v>Debtor Days</c:v>
                </c:pt>
              </c:strCache>
            </c:strRef>
          </c:tx>
          <c:spPr>
            <a:solidFill>
              <a:schemeClr val="accent2"/>
            </a:solidFill>
            <a:ln>
              <a:noFill/>
            </a:ln>
            <a:effectLst/>
          </c:spPr>
          <c:invertIfNegative val="0"/>
          <c:cat>
            <c:strRef>
              <c:f>Sheet1!$A$2:$A$3</c:f>
              <c:strCache>
                <c:ptCount val="2"/>
                <c:pt idx="0">
                  <c:v>Asda</c:v>
                </c:pt>
                <c:pt idx="1">
                  <c:v>Tesco</c:v>
                </c:pt>
              </c:strCache>
            </c:strRef>
          </c:cat>
          <c:val>
            <c:numRef>
              <c:f>Sheet1!$C$2:$C$3</c:f>
              <c:numCache>
                <c:formatCode>General</c:formatCode>
                <c:ptCount val="2"/>
                <c:pt idx="0">
                  <c:v>55</c:v>
                </c:pt>
                <c:pt idx="1">
                  <c:v>10</c:v>
                </c:pt>
              </c:numCache>
            </c:numRef>
          </c:val>
          <c:extLst>
            <c:ext xmlns:c16="http://schemas.microsoft.com/office/drawing/2014/chart" uri="{C3380CC4-5D6E-409C-BE32-E72D297353CC}">
              <c16:uniqueId val="{00000001-361E-4D4A-8E76-415DE3A4CB77}"/>
            </c:ext>
          </c:extLst>
        </c:ser>
        <c:ser>
          <c:idx val="2"/>
          <c:order val="2"/>
          <c:tx>
            <c:strRef>
              <c:f>Sheet1!$D$1</c:f>
              <c:strCache>
                <c:ptCount val="1"/>
                <c:pt idx="0">
                  <c:v>Creitor Days</c:v>
                </c:pt>
              </c:strCache>
            </c:strRef>
          </c:tx>
          <c:spPr>
            <a:solidFill>
              <a:schemeClr val="accent3"/>
            </a:solidFill>
            <a:ln>
              <a:noFill/>
            </a:ln>
            <a:effectLst/>
          </c:spPr>
          <c:invertIfNegative val="0"/>
          <c:cat>
            <c:strRef>
              <c:f>Sheet1!$A$2:$A$3</c:f>
              <c:strCache>
                <c:ptCount val="2"/>
                <c:pt idx="0">
                  <c:v>Asda</c:v>
                </c:pt>
                <c:pt idx="1">
                  <c:v>Tesco</c:v>
                </c:pt>
              </c:strCache>
            </c:strRef>
          </c:cat>
          <c:val>
            <c:numRef>
              <c:f>Sheet1!$D$2:$D$3</c:f>
              <c:numCache>
                <c:formatCode>General</c:formatCode>
                <c:ptCount val="2"/>
                <c:pt idx="0">
                  <c:v>75</c:v>
                </c:pt>
                <c:pt idx="1">
                  <c:v>10</c:v>
                </c:pt>
              </c:numCache>
            </c:numRef>
          </c:val>
          <c:extLst>
            <c:ext xmlns:c16="http://schemas.microsoft.com/office/drawing/2014/chart" uri="{C3380CC4-5D6E-409C-BE32-E72D297353CC}">
              <c16:uniqueId val="{00000003-361E-4D4A-8E76-415DE3A4CB77}"/>
            </c:ext>
          </c:extLst>
        </c:ser>
        <c:dLbls>
          <c:showLegendKey val="0"/>
          <c:showVal val="0"/>
          <c:showCatName val="0"/>
          <c:showSerName val="0"/>
          <c:showPercent val="0"/>
          <c:showBubbleSize val="0"/>
        </c:dLbls>
        <c:gapWidth val="219"/>
        <c:overlap val="-27"/>
        <c:axId val="1767708592"/>
        <c:axId val="1767696112"/>
      </c:barChart>
      <c:catAx>
        <c:axId val="17677085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696112"/>
        <c:crosses val="autoZero"/>
        <c:auto val="1"/>
        <c:lblAlgn val="ctr"/>
        <c:lblOffset val="100"/>
        <c:noMultiLvlLbl val="0"/>
      </c:catAx>
      <c:valAx>
        <c:axId val="17676961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7085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Fiancing Ratios</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5.5484106153397494E-2"/>
          <c:y val="0.14718253968253969"/>
          <c:w val="0.9190529308836396"/>
          <c:h val="0.71363735783027127"/>
        </c:manualLayout>
      </c:layout>
      <c:barChart>
        <c:barDir val="col"/>
        <c:grouping val="clustered"/>
        <c:varyColors val="0"/>
        <c:ser>
          <c:idx val="0"/>
          <c:order val="0"/>
          <c:tx>
            <c:strRef>
              <c:f>Sheet1!$B$1</c:f>
              <c:strCache>
                <c:ptCount val="1"/>
                <c:pt idx="0">
                  <c:v>Gearing Ratio</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Sheet1!$A$2:$A$6</c:f>
              <c:numCache>
                <c:formatCode>General</c:formatCode>
                <c:ptCount val="5"/>
                <c:pt idx="0">
                  <c:v>2013</c:v>
                </c:pt>
                <c:pt idx="1">
                  <c:v>201</c:v>
                </c:pt>
                <c:pt idx="2">
                  <c:v>2015</c:v>
                </c:pt>
                <c:pt idx="3">
                  <c:v>2016</c:v>
                </c:pt>
                <c:pt idx="4">
                  <c:v>2017</c:v>
                </c:pt>
              </c:numCache>
            </c:numRef>
          </c:cat>
          <c:val>
            <c:numRef>
              <c:f>Sheet1!$B$2:$B$6</c:f>
              <c:numCache>
                <c:formatCode>General</c:formatCode>
                <c:ptCount val="5"/>
                <c:pt idx="0">
                  <c:v>0.09</c:v>
                </c:pt>
                <c:pt idx="1">
                  <c:v>0.12</c:v>
                </c:pt>
                <c:pt idx="2">
                  <c:v>0.12</c:v>
                </c:pt>
                <c:pt idx="3">
                  <c:v>0.14000000000000001</c:v>
                </c:pt>
                <c:pt idx="4">
                  <c:v>0.15</c:v>
                </c:pt>
              </c:numCache>
            </c:numRef>
          </c:val>
          <c:extLst>
            <c:ext xmlns:c16="http://schemas.microsoft.com/office/drawing/2014/chart" uri="{C3380CC4-5D6E-409C-BE32-E72D297353CC}">
              <c16:uniqueId val="{00000000-FA5B-4ABF-8556-8F7AD60171BA}"/>
            </c:ext>
          </c:extLst>
        </c:ser>
        <c:ser>
          <c:idx val="1"/>
          <c:order val="1"/>
          <c:tx>
            <c:strRef>
              <c:f>Sheet1!$C$1</c:f>
              <c:strCache>
                <c:ptCount val="1"/>
                <c:pt idx="0">
                  <c:v>Interest Coverage Ratio</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numRef>
              <c:f>Sheet1!$A$2:$A$6</c:f>
              <c:numCache>
                <c:formatCode>General</c:formatCode>
                <c:ptCount val="5"/>
                <c:pt idx="0">
                  <c:v>2013</c:v>
                </c:pt>
                <c:pt idx="1">
                  <c:v>201</c:v>
                </c:pt>
                <c:pt idx="2">
                  <c:v>2015</c:v>
                </c:pt>
                <c:pt idx="3">
                  <c:v>2016</c:v>
                </c:pt>
                <c:pt idx="4">
                  <c:v>2017</c:v>
                </c:pt>
              </c:numCache>
            </c:numRef>
          </c:cat>
          <c:val>
            <c:numRef>
              <c:f>Sheet1!$C$2:$C$6</c:f>
              <c:numCache>
                <c:formatCode>General</c:formatCode>
                <c:ptCount val="5"/>
                <c:pt idx="0">
                  <c:v>12</c:v>
                </c:pt>
                <c:pt idx="1">
                  <c:v>10</c:v>
                </c:pt>
                <c:pt idx="2">
                  <c:v>13</c:v>
                </c:pt>
                <c:pt idx="3">
                  <c:v>11</c:v>
                </c:pt>
                <c:pt idx="4">
                  <c:v>18</c:v>
                </c:pt>
              </c:numCache>
            </c:numRef>
          </c:val>
          <c:extLst>
            <c:ext xmlns:c16="http://schemas.microsoft.com/office/drawing/2014/chart" uri="{C3380CC4-5D6E-409C-BE32-E72D297353CC}">
              <c16:uniqueId val="{00000001-FA5B-4ABF-8556-8F7AD60171BA}"/>
            </c:ext>
          </c:extLst>
        </c:ser>
        <c:dLbls>
          <c:dLblPos val="outEnd"/>
          <c:showLegendKey val="0"/>
          <c:showVal val="1"/>
          <c:showCatName val="0"/>
          <c:showSerName val="0"/>
          <c:showPercent val="0"/>
          <c:showBubbleSize val="0"/>
        </c:dLbls>
        <c:gapWidth val="100"/>
        <c:overlap val="-24"/>
        <c:axId val="1597185744"/>
        <c:axId val="1597187824"/>
      </c:barChart>
      <c:catAx>
        <c:axId val="159718574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7187824"/>
        <c:crosses val="autoZero"/>
        <c:auto val="1"/>
        <c:lblAlgn val="ctr"/>
        <c:lblOffset val="100"/>
        <c:noMultiLvlLbl val="0"/>
      </c:catAx>
      <c:valAx>
        <c:axId val="159718782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5971857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Investor</a:t>
            </a:r>
            <a:r>
              <a:rPr lang="en-US" baseline="0"/>
              <a:t> Ratio</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Earning Per share</c:v>
                </c:pt>
              </c:strCache>
            </c:strRef>
          </c:tx>
          <c:spPr>
            <a:ln w="28575" cap="rnd">
              <a:solidFill>
                <a:schemeClr val="accent1"/>
              </a:solidFill>
              <a:round/>
            </a:ln>
            <a:effectLst/>
          </c:spPr>
          <c:marker>
            <c:symbol val="none"/>
          </c:marker>
          <c:cat>
            <c:numRef>
              <c:f>Sheet1!$A$2:$A$6</c:f>
              <c:numCache>
                <c:formatCode>General</c:formatCode>
                <c:ptCount val="5"/>
                <c:pt idx="0">
                  <c:v>2013</c:v>
                </c:pt>
                <c:pt idx="1">
                  <c:v>2014</c:v>
                </c:pt>
                <c:pt idx="2">
                  <c:v>2015</c:v>
                </c:pt>
                <c:pt idx="3">
                  <c:v>2016</c:v>
                </c:pt>
                <c:pt idx="4">
                  <c:v>2017</c:v>
                </c:pt>
              </c:numCache>
            </c:numRef>
          </c:cat>
          <c:val>
            <c:numRef>
              <c:f>Sheet1!$B$2:$B$6</c:f>
              <c:numCache>
                <c:formatCode>General</c:formatCode>
                <c:ptCount val="5"/>
                <c:pt idx="0">
                  <c:v>0.24</c:v>
                </c:pt>
                <c:pt idx="1">
                  <c:v>0.25</c:v>
                </c:pt>
                <c:pt idx="2">
                  <c:v>0.27</c:v>
                </c:pt>
                <c:pt idx="3">
                  <c:v>0.21</c:v>
                </c:pt>
                <c:pt idx="4">
                  <c:v>0.22</c:v>
                </c:pt>
              </c:numCache>
            </c:numRef>
          </c:val>
          <c:smooth val="0"/>
          <c:extLst>
            <c:ext xmlns:c16="http://schemas.microsoft.com/office/drawing/2014/chart" uri="{C3380CC4-5D6E-409C-BE32-E72D297353CC}">
              <c16:uniqueId val="{00000000-439B-4B41-AFB1-D7C688C85129}"/>
            </c:ext>
          </c:extLst>
        </c:ser>
        <c:dLbls>
          <c:showLegendKey val="0"/>
          <c:showVal val="0"/>
          <c:showCatName val="0"/>
          <c:showSerName val="0"/>
          <c:showPercent val="0"/>
          <c:showBubbleSize val="0"/>
        </c:dLbls>
        <c:smooth val="0"/>
        <c:axId val="1767706928"/>
        <c:axId val="1767695696"/>
      </c:lineChart>
      <c:catAx>
        <c:axId val="1767706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695696"/>
        <c:crosses val="autoZero"/>
        <c:auto val="1"/>
        <c:lblAlgn val="ctr"/>
        <c:lblOffset val="100"/>
        <c:noMultiLvlLbl val="0"/>
      </c:catAx>
      <c:valAx>
        <c:axId val="1767695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706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Earnings Per Share</c:v>
                </c:pt>
              </c:strCache>
            </c:strRef>
          </c:tx>
          <c:spPr>
            <a:solidFill>
              <a:schemeClr val="accent1"/>
            </a:solidFill>
            <a:ln>
              <a:noFill/>
            </a:ln>
            <a:effectLst/>
          </c:spPr>
          <c:invertIfNegative val="0"/>
          <c:cat>
            <c:strRef>
              <c:f>Sheet1!$A$2:$A$3</c:f>
              <c:strCache>
                <c:ptCount val="1"/>
                <c:pt idx="0">
                  <c:v>Asda</c:v>
                </c:pt>
              </c:strCache>
            </c:strRef>
          </c:cat>
          <c:val>
            <c:numRef>
              <c:f>Sheet1!$B$2:$B$3</c:f>
              <c:numCache>
                <c:formatCode>General</c:formatCode>
                <c:ptCount val="2"/>
                <c:pt idx="0">
                  <c:v>4.3</c:v>
                </c:pt>
                <c:pt idx="1">
                  <c:v>2.5</c:v>
                </c:pt>
              </c:numCache>
            </c:numRef>
          </c:val>
          <c:extLst>
            <c:ext xmlns:c16="http://schemas.microsoft.com/office/drawing/2014/chart" uri="{C3380CC4-5D6E-409C-BE32-E72D297353CC}">
              <c16:uniqueId val="{00000000-0773-425C-A60D-1AFC9216E12B}"/>
            </c:ext>
          </c:extLst>
        </c:ser>
        <c:dLbls>
          <c:showLegendKey val="0"/>
          <c:showVal val="0"/>
          <c:showCatName val="0"/>
          <c:showSerName val="0"/>
          <c:showPercent val="0"/>
          <c:showBubbleSize val="0"/>
        </c:dLbls>
        <c:gapWidth val="219"/>
        <c:axId val="1767725648"/>
        <c:axId val="1767726064"/>
      </c:barChart>
      <c:catAx>
        <c:axId val="17677256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726064"/>
        <c:crosses val="autoZero"/>
        <c:auto val="1"/>
        <c:lblAlgn val="ctr"/>
        <c:lblOffset val="100"/>
        <c:noMultiLvlLbl val="0"/>
      </c:catAx>
      <c:valAx>
        <c:axId val="1767726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77256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A7AF20-C134-B940-A7B1-AF9049AEEFE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6408</Words>
  <Characters>36528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angelgruichev318@gmail.com</cp:lastModifiedBy>
  <cp:revision>2</cp:revision>
  <dcterms:created xsi:type="dcterms:W3CDTF">2019-05-03T22:53:00Z</dcterms:created>
  <dcterms:modified xsi:type="dcterms:W3CDTF">2019-05-03T22:53:00Z</dcterms:modified>
</cp:coreProperties>
</file>