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16C094A"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843528">
              <w:rPr>
                <w:b/>
                <w:color w:val="auto"/>
                <w:sz w:val="32"/>
              </w:rPr>
              <w:t>Hannah Morgan</w:t>
            </w:r>
          </w:p>
          <w:p w14:paraId="58374EBA" w14:textId="77777777" w:rsidR="00575A8F" w:rsidRDefault="00575A8F" w:rsidP="00E6298B">
            <w:pPr>
              <w:overflowPunct/>
              <w:autoSpaceDE/>
              <w:autoSpaceDN/>
              <w:adjustRightInd/>
              <w:ind w:right="107"/>
              <w:textAlignment w:val="auto"/>
              <w:rPr>
                <w:b/>
                <w:color w:val="auto"/>
                <w:sz w:val="32"/>
              </w:rPr>
            </w:pPr>
          </w:p>
          <w:p w14:paraId="5CD4292F" w14:textId="12E5B5D0"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843528">
              <w:rPr>
                <w:b/>
                <w:color w:val="auto"/>
                <w:sz w:val="32"/>
              </w:rPr>
              <w:t xml:space="preserve"> 2016280</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0F2A2C">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0F2A2C">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0F2A2C">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0F2A2C">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0F2A2C">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0F2A2C">
      <w:pPr>
        <w:pStyle w:val="ListParagraph"/>
        <w:numPr>
          <w:ilvl w:val="0"/>
          <w:numId w:val="4"/>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0F2A2C">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0F2A2C">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0F2A2C">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0F2A2C">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0F2A2C">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0F2A2C">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w:t>
      </w:r>
      <w:proofErr w:type="gramStart"/>
      <w:r w:rsidRPr="6A581E81">
        <w:rPr>
          <w:rFonts w:eastAsia="Arial"/>
          <w:color w:val="000000" w:themeColor="text1"/>
          <w:sz w:val="24"/>
          <w:szCs w:val="24"/>
        </w:rPr>
        <w:t>you’ve</w:t>
      </w:r>
      <w:proofErr w:type="gramEnd"/>
      <w:r w:rsidRPr="6A581E81">
        <w:rPr>
          <w:rFonts w:eastAsia="Arial"/>
          <w:color w:val="000000" w:themeColor="text1"/>
          <w:sz w:val="24"/>
          <w:szCs w:val="24"/>
        </w:rPr>
        <w:t xml:space="preser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F2A2C"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7560A895">
        <w:rPr>
          <w:rFonts w:eastAsia="Arial"/>
          <w:color w:val="000000" w:themeColor="text1"/>
          <w:sz w:val="24"/>
          <w:szCs w:val="24"/>
        </w:rPr>
        <w:t>conditions;</w:t>
      </w:r>
      <w:proofErr w:type="gramEnd"/>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use this particular document to insert your text / answer within each section of this </w:t>
      </w:r>
      <w:proofErr w:type="gramStart"/>
      <w:r w:rsidRPr="2E5ED9CE">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117C952D" w:rsidR="00AA666E" w:rsidRDefault="00025650" w:rsidP="00E6298B">
      <w:pPr>
        <w:ind w:right="107"/>
        <w:jc w:val="both"/>
        <w:rPr>
          <w:b/>
          <w:sz w:val="24"/>
          <w:szCs w:val="24"/>
        </w:rPr>
      </w:pPr>
      <w:r w:rsidRPr="00025650">
        <w:rPr>
          <w:b/>
          <w:sz w:val="24"/>
          <w:szCs w:val="24"/>
        </w:rPr>
        <w:t>ANSWER:</w:t>
      </w:r>
    </w:p>
    <w:p w14:paraId="7373A40E" w14:textId="36699C95" w:rsidR="00843528" w:rsidRDefault="00843528" w:rsidP="00E6298B">
      <w:pPr>
        <w:ind w:right="107"/>
        <w:jc w:val="both"/>
        <w:rPr>
          <w:b/>
          <w:sz w:val="24"/>
          <w:szCs w:val="24"/>
        </w:rPr>
      </w:pPr>
    </w:p>
    <w:p w14:paraId="0D6F3976" w14:textId="77777777" w:rsidR="00843528" w:rsidRDefault="00843528" w:rsidP="00843528">
      <w:pPr>
        <w:ind w:right="107" w:firstLine="360"/>
        <w:jc w:val="both"/>
        <w:rPr>
          <w:sz w:val="24"/>
          <w:szCs w:val="24"/>
        </w:rPr>
      </w:pPr>
      <w:r>
        <w:rPr>
          <w:sz w:val="24"/>
          <w:szCs w:val="24"/>
        </w:rPr>
        <w:t xml:space="preserve">The intention of this essay is to discuss and compare two coping strategies put in place over the rigorous six months of learning undergone to become a Police Constable, from being attested at the outset of this journey, right the way through to passing out. Even though it was a demanding application process to secure a position as a Police Constable in training, the six months course was a test of one’s determination and ability to succeed. The coping strategies of exercise and cooking implemented throughout this six-month period of 2020 and 2021 enabled a considerable development of personal resilience and restraint over stress levels. Evidently, the world is currently in the clutches of an extraordinary pandemic which continues to affect every aspect of people’s lives. Therefore, it is undeniable that coping strategies have had to be adapted to perform in this current climate. Nevertheless, this is not to say that the coping strategies mentioned in this body of work would not be implemented in a pre-pandemic world, if anything they are robust, credible and relied upon ways to build resilience which will be highlighted throughout this essay. </w:t>
      </w:r>
    </w:p>
    <w:p w14:paraId="7EFC1158" w14:textId="77777777" w:rsidR="00843528" w:rsidRDefault="00843528" w:rsidP="00843528">
      <w:pPr>
        <w:ind w:right="107" w:firstLine="360"/>
        <w:jc w:val="both"/>
        <w:rPr>
          <w:sz w:val="24"/>
          <w:szCs w:val="24"/>
        </w:rPr>
      </w:pPr>
      <w:r>
        <w:rPr>
          <w:sz w:val="24"/>
          <w:szCs w:val="24"/>
        </w:rPr>
        <w:t xml:space="preserve">The first coping strategy applied during these intense six months was that of exercise. Exercise takes on various meanings to different people, making it such an incredible tool for humans to tap into. Participating in any form of workout is a unique experience to an individual and that alone is what makes it such a powerful coping strategy to combat the stresses of life. While actively preforming any form of exercise endorphins are realised into the body causing a chemical reaction, thus allowing the brain to feel at ease and peaceful, forgetting the everyday stresses it is currently faced with. Many studies have been done on the release of endorphins and their effects on the human body, “Elevated serum B-endorphin concentrations induced by exercise have been linked to several psychological and physiological changes, including mood state changes and ‘exercise-induced euphoria’.” (Harbour and Sutton, 1984, p.154-157). Evidently implementing the coping strategy of exercise following a practically exasperating day causes any person’s mood to be elevated to some degree, therefore making it an indisputable tool to have in one’s arsenal to tackle stress levels. </w:t>
      </w:r>
    </w:p>
    <w:p w14:paraId="273266FD" w14:textId="77777777" w:rsidR="00843528" w:rsidRDefault="00843528" w:rsidP="00843528">
      <w:pPr>
        <w:ind w:right="107" w:firstLine="360"/>
        <w:jc w:val="both"/>
        <w:rPr>
          <w:sz w:val="24"/>
          <w:szCs w:val="24"/>
        </w:rPr>
      </w:pPr>
      <w:r>
        <w:rPr>
          <w:sz w:val="24"/>
          <w:szCs w:val="24"/>
        </w:rPr>
        <w:t xml:space="preserve">As previously stated within this essay, the COVID-19 pandemic has had an adverse effect on people’s ability to exercise. Exercise now poses a new challenge that many did not see coming before this colossal life changing crisis. While gyms were the norm for many fitness fanatics, now we find ourselves in unknow territories treading the murky waters trying to find a new way to exercise to cope with stress levels and build resilience. Whether it be yoga in a living room, circuits in a back garden or road running, adapting is crucial to surviving these unprecedented times. Current studies have revealed that human’s ability to acclimatise to these circumstances have allowed for an escalation in physical activity and </w:t>
      </w:r>
      <w:r>
        <w:rPr>
          <w:sz w:val="24"/>
          <w:szCs w:val="24"/>
        </w:rPr>
        <w:lastRenderedPageBreak/>
        <w:t xml:space="preserve">subsequently mood level during the 2020 and seemingly ongoing pandemic. (Brand, </w:t>
      </w:r>
      <w:proofErr w:type="spellStart"/>
      <w:r>
        <w:rPr>
          <w:sz w:val="24"/>
          <w:szCs w:val="24"/>
        </w:rPr>
        <w:t>Timme</w:t>
      </w:r>
      <w:proofErr w:type="spellEnd"/>
      <w:r>
        <w:rPr>
          <w:sz w:val="24"/>
          <w:szCs w:val="24"/>
        </w:rPr>
        <w:t xml:space="preserve"> and Nosrat, 2020). </w:t>
      </w:r>
    </w:p>
    <w:p w14:paraId="53A5C1DD" w14:textId="77777777" w:rsidR="00843528" w:rsidRDefault="00843528" w:rsidP="00843528">
      <w:pPr>
        <w:ind w:right="107" w:firstLine="360"/>
        <w:jc w:val="both"/>
        <w:rPr>
          <w:sz w:val="24"/>
          <w:szCs w:val="24"/>
        </w:rPr>
      </w:pPr>
      <w:r>
        <w:rPr>
          <w:sz w:val="24"/>
          <w:szCs w:val="24"/>
        </w:rPr>
        <w:t>Furthermore, Borton’s reflective model allows for a deeper understanding of the partnership of exercise and stress relief on an individual. The purpose of a reflective model is to allow for a superior understanding of one’s self, “the students engagement in reflection can assist them in making sense of themselves, their learning experience and preparation for the future”. (Lucas,2012, p.166). According to Borton’s reflective model, the initial question one must ask themselves is “what happened”, pinpointing the exact event that caused the acceleration of stress levels during the initial six-month Police Constable training period. The daunting realisation that the first exam was drawing ever close in December 2020 was a poignant aspect that contributed to ever mounting stress levels. The pressure to succeed and pass the exam to an exceptional standard began to creep into one’s mind. Subsequently, the second question to ask is “so what”, enabling a deeper understanding of the issue and considering potential avenues to deal with it. Recognising that the first exam was a trigger for stress was the first step in taking control of the situation and realising its importance. Being in control of this stress trigger allowed for options of what to do next to calmly be considered without losing all control of the situation resulting in the feeling of hope being all but lost.  Lastly Borton’s final question “now what” was next to be brought into play. The problem has been identified, delved into and actions are set to overcome it in three simple steps allowing stress levels to subside as control is regained. Since the exam was the catalyst for multiplying stress levels a personal action plan was produced and executed through relentless revision sprinkled with exercise breaks to keep the mind feeling calm and in total control of the situation.</w:t>
      </w:r>
    </w:p>
    <w:p w14:paraId="190B1FD7" w14:textId="77777777" w:rsidR="00843528" w:rsidRDefault="00843528" w:rsidP="00843528">
      <w:pPr>
        <w:ind w:right="107" w:firstLine="360"/>
        <w:jc w:val="both"/>
        <w:rPr>
          <w:sz w:val="24"/>
          <w:szCs w:val="24"/>
        </w:rPr>
      </w:pPr>
      <w:r>
        <w:rPr>
          <w:sz w:val="24"/>
          <w:szCs w:val="24"/>
        </w:rPr>
        <w:t xml:space="preserve">In comparison, the second coping strategy applied during these rigorous six months was that of cooking. While this strategy is the opposite to strenuous physical exercise, one simply reads from a book or article and follows a set of instructions while rooted in the same place, that does not mean it is any less valuable. The relationship of cooking and food go hand in hand and have a vast meaning to each person. One’s connection with food is profoundly personal, thus its evident that this is also true of cooking. The process of cooking allows a person’s brain to switch off and become solely fixated on the task at hand, for the duration of the process nothing else matters other than the creation of a culinary masterpiece. “You have to </w:t>
      </w:r>
      <w:proofErr w:type="spellStart"/>
      <w:r>
        <w:rPr>
          <w:sz w:val="24"/>
          <w:szCs w:val="24"/>
        </w:rPr>
        <w:t>breath</w:t>
      </w:r>
      <w:proofErr w:type="spellEnd"/>
      <w:r>
        <w:rPr>
          <w:sz w:val="24"/>
          <w:szCs w:val="24"/>
        </w:rPr>
        <w:t xml:space="preserve"> through it. You have to take care. You can’t just drift off and mince parsley if you want to keep your fingers.” (Tamarkin, Epicurious, 2020). Therefore, it is evident that the minds capability to focus completely on following a step-by-step recipe allows the brain to switch off and daily stress to fade away. Thus, the decision to dive headfirst into a recipe and ultimately creating a glorious feast is a marvellous tool to use after an especially stressful day. Furthermore, it is a process one can undertake and feel they have accomplished something by the end of it, stress has been revealed and an indulgence meal has been created. </w:t>
      </w:r>
    </w:p>
    <w:p w14:paraId="5AD14BCD" w14:textId="59496E88" w:rsidR="00843528" w:rsidRDefault="00843528" w:rsidP="00843528">
      <w:pPr>
        <w:ind w:right="107" w:firstLine="360"/>
        <w:jc w:val="both"/>
        <w:rPr>
          <w:sz w:val="24"/>
          <w:szCs w:val="24"/>
        </w:rPr>
      </w:pPr>
      <w:r>
        <w:rPr>
          <w:sz w:val="24"/>
          <w:szCs w:val="24"/>
        </w:rPr>
        <w:t xml:space="preserve">The use of Borton’s reflection model further demonstrates the success of cooking as an effective stress relief mechanism. The common purpose of a reflection model in the eyes of many is, “A skill of being able to look at situations in order to understand what has been learnt and what future learning needs to occur.” (Jackson, </w:t>
      </w:r>
      <w:proofErr w:type="spellStart"/>
      <w:r>
        <w:rPr>
          <w:sz w:val="24"/>
          <w:szCs w:val="24"/>
        </w:rPr>
        <w:t>Thurgate</w:t>
      </w:r>
      <w:proofErr w:type="spellEnd"/>
      <w:r>
        <w:rPr>
          <w:sz w:val="24"/>
          <w:szCs w:val="24"/>
        </w:rPr>
        <w:t xml:space="preserve">, 2011, p.39). The initial question to ask one’s self “what happened” allowing the trigger for stress to be uncovered. An additional stress trigger during the initial six months classroom training period was the post-Christmas realisation that exam two was swiftly approaching. Combining this with the intensifying burden to accomplish a better examination result than that of exam one. The next question to address if that of “so what”, allowing a deeper grasp of the situation and a superior understanding of the mindset one is currently in. The pressure to preform to a higher level than that seen in exam one is a personal stress one has created but it is not </w:t>
      </w:r>
      <w:r>
        <w:rPr>
          <w:sz w:val="24"/>
          <w:szCs w:val="24"/>
        </w:rPr>
        <w:lastRenderedPageBreak/>
        <w:t xml:space="preserve">unachievable. The goal was achieved in the December 2020 examination and there is no doubt that it could be reached again. Self-belief is a tool to be utilised when faced with a situation like this, a two-month time scale is such a short period of time, the mind can do again what it did not 58 days before. The final question </w:t>
      </w:r>
      <w:proofErr w:type="spellStart"/>
      <w:r>
        <w:rPr>
          <w:sz w:val="24"/>
          <w:szCs w:val="24"/>
        </w:rPr>
        <w:t>Borton</w:t>
      </w:r>
      <w:proofErr w:type="spellEnd"/>
      <w:r>
        <w:rPr>
          <w:sz w:val="24"/>
          <w:szCs w:val="24"/>
        </w:rPr>
        <w:t xml:space="preserve"> requires to be asked is “now what”, what process needs to take place to achieve this goal but also to control the stress that had </w:t>
      </w:r>
      <w:r>
        <w:rPr>
          <w:sz w:val="24"/>
          <w:szCs w:val="24"/>
        </w:rPr>
        <w:t>begun</w:t>
      </w:r>
      <w:r>
        <w:rPr>
          <w:sz w:val="24"/>
          <w:szCs w:val="24"/>
        </w:rPr>
        <w:t xml:space="preserve"> to creep its way in. One must simply take control by repeating the process that occurred during early December 2020. It has been successful implemented before therefore it can again. A positive mental outlook allows this to be achieved and a plan to be implemented. The rigorous undertaking of revision must begin once again, whilst always breaking the cycle with regular cooking breaks as a tool to de-stress and ultimately succeed. </w:t>
      </w:r>
    </w:p>
    <w:p w14:paraId="2A55E95E" w14:textId="712240E7" w:rsidR="00843528" w:rsidRDefault="00843528" w:rsidP="00843528">
      <w:pPr>
        <w:ind w:right="107" w:firstLine="360"/>
        <w:jc w:val="both"/>
        <w:rPr>
          <w:sz w:val="24"/>
          <w:szCs w:val="24"/>
        </w:rPr>
      </w:pPr>
      <w:r>
        <w:rPr>
          <w:sz w:val="24"/>
          <w:szCs w:val="24"/>
        </w:rPr>
        <w:t xml:space="preserve">As a final observation, coping strategies implemented to build resilience and minimise stress are vast and deeply intimate, nevertheless there is always a strategy to apply to any given situation and that is what is truly remarkable. This essay compares two strategies to alleviate stress, but it emphasizes how one is no greater than the other, it is a profoundly personal choice and that is what is so extraordinary. There is no right or wrong but only what works for the individuals mind. Thus, it is evident that tools that can be used to alleviate the tensions and pressures of the workplace are vast and the possibilities are endless depending on the mind that choses to use them. </w:t>
      </w:r>
    </w:p>
    <w:p w14:paraId="7E8EC413" w14:textId="46051A24" w:rsidR="00843528" w:rsidRDefault="00843528" w:rsidP="00843528">
      <w:pPr>
        <w:ind w:right="107" w:firstLine="360"/>
        <w:jc w:val="both"/>
        <w:rPr>
          <w:sz w:val="24"/>
          <w:szCs w:val="24"/>
        </w:rPr>
      </w:pPr>
    </w:p>
    <w:p w14:paraId="4CC8C00D" w14:textId="291458BD" w:rsidR="00843528" w:rsidRDefault="00843528" w:rsidP="00843528">
      <w:pPr>
        <w:ind w:right="107" w:firstLine="360"/>
        <w:jc w:val="both"/>
        <w:rPr>
          <w:sz w:val="24"/>
          <w:szCs w:val="24"/>
        </w:rPr>
      </w:pPr>
      <w:r>
        <w:rPr>
          <w:sz w:val="24"/>
          <w:szCs w:val="24"/>
        </w:rPr>
        <w:t>Word count: 1486</w:t>
      </w:r>
    </w:p>
    <w:p w14:paraId="0CA8BE66" w14:textId="77777777" w:rsidR="00843528" w:rsidRPr="00025650" w:rsidRDefault="00843528" w:rsidP="00E6298B">
      <w:pPr>
        <w:ind w:right="107"/>
        <w:jc w:val="both"/>
        <w:rPr>
          <w:b/>
          <w:sz w:val="24"/>
          <w:szCs w:val="24"/>
        </w:rPr>
      </w:pP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w:t>
            </w:r>
            <w:proofErr w:type="gramStart"/>
            <w:r w:rsidRPr="28A9B94D">
              <w:rPr>
                <w:sz w:val="24"/>
                <w:szCs w:val="24"/>
              </w:rPr>
              <w:t>e.g.</w:t>
            </w:r>
            <w:proofErr w:type="gramEnd"/>
            <w:r w:rsidRPr="28A9B94D">
              <w:rPr>
                <w:sz w:val="24"/>
                <w:szCs w:val="24"/>
              </w:rPr>
              <w:t xml:space="preserve">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47B471AF" w:rsidR="003B2A14" w:rsidRDefault="003B2A14" w:rsidP="00E6298B">
      <w:pPr>
        <w:ind w:right="107"/>
        <w:jc w:val="both"/>
        <w:rPr>
          <w:b/>
          <w:sz w:val="24"/>
          <w:szCs w:val="24"/>
        </w:rPr>
      </w:pPr>
      <w:r w:rsidRPr="00450C83">
        <w:rPr>
          <w:b/>
          <w:sz w:val="24"/>
          <w:szCs w:val="24"/>
        </w:rPr>
        <w:t>ANSWER:</w:t>
      </w:r>
    </w:p>
    <w:p w14:paraId="707A12B3" w14:textId="162C4BD9" w:rsidR="00843528" w:rsidRDefault="00843528" w:rsidP="00E6298B">
      <w:pPr>
        <w:ind w:right="107"/>
        <w:jc w:val="both"/>
        <w:rPr>
          <w:b/>
          <w:sz w:val="24"/>
          <w:szCs w:val="24"/>
        </w:rPr>
      </w:pPr>
    </w:p>
    <w:p w14:paraId="45B6386F" w14:textId="77777777" w:rsidR="00843528" w:rsidRDefault="00843528" w:rsidP="00843528">
      <w:pPr>
        <w:ind w:right="107" w:firstLine="720"/>
        <w:jc w:val="both"/>
        <w:rPr>
          <w:sz w:val="24"/>
          <w:szCs w:val="24"/>
        </w:rPr>
      </w:pPr>
      <w:r>
        <w:rPr>
          <w:sz w:val="24"/>
          <w:szCs w:val="24"/>
        </w:rPr>
        <w:t>The intention of this essay is to critically assess a policing incident that occurred involving conflict using Gibb’s reflective cycle. Conflict is a multifaceted concept, consequently it varies depending on the individuals involved. Thus, it is evident that one must have an expansive array of tools in order to deal with any form conflict takes. The Cambridge Dictionary defines conflict as, “An active disagreement between people with opposing opinions or principles” (</w:t>
      </w:r>
      <w:r w:rsidRPr="00BB70DA">
        <w:rPr>
          <w:i/>
          <w:iCs/>
          <w:sz w:val="24"/>
          <w:szCs w:val="24"/>
        </w:rPr>
        <w:t>The</w:t>
      </w:r>
      <w:r>
        <w:rPr>
          <w:i/>
          <w:iCs/>
          <w:sz w:val="24"/>
          <w:szCs w:val="24"/>
        </w:rPr>
        <w:t xml:space="preserve"> </w:t>
      </w:r>
      <w:r w:rsidRPr="00BB70DA">
        <w:rPr>
          <w:i/>
          <w:iCs/>
          <w:sz w:val="24"/>
          <w:szCs w:val="24"/>
        </w:rPr>
        <w:t>Cambridge Dictionary</w:t>
      </w:r>
      <w:r>
        <w:rPr>
          <w:sz w:val="24"/>
          <w:szCs w:val="24"/>
        </w:rPr>
        <w:t xml:space="preserve">,1995, Conflict entry). Therefore, it is clear to see why Police officers are confronted with conflict daily. Throughout this body of work Gibb’s reflection cycle will be applied to allow for a greater awareness of the incident being examined. A reflection tool like Gibb’s reflection cycle is a key instrument in self-evaluation, it is a structure that can aid personal reflection, and this will be showcased within this essay. </w:t>
      </w:r>
    </w:p>
    <w:p w14:paraId="7A9FE099" w14:textId="77777777" w:rsidR="00843528" w:rsidRDefault="00843528" w:rsidP="00843528">
      <w:pPr>
        <w:ind w:right="107"/>
        <w:jc w:val="both"/>
        <w:rPr>
          <w:sz w:val="24"/>
          <w:szCs w:val="24"/>
        </w:rPr>
      </w:pPr>
      <w:r>
        <w:rPr>
          <w:sz w:val="24"/>
          <w:szCs w:val="24"/>
        </w:rPr>
        <w:tab/>
        <w:t xml:space="preserve">The incident in question revolves around a theft of a card machine from a chain coffee shop in a city centre. The occurrence originally started as a routine diary car entry to take a statement from the coffee shop owner, concerning the theft of a card machine a couple of days prior. However, the circumstances rapidly changed, emphasizing the ever-adapting role of a Police Officer. After watching the CCTV footage of the theft occur and whilst making general enquires with the manager in relation to her victim statement, the male offender who stole the card machine earlier that week made a reappearance in the shopping centre. A security guard on duty was able to give a positive identification of the male subject. </w:t>
      </w:r>
      <w:r>
        <w:rPr>
          <w:sz w:val="24"/>
          <w:szCs w:val="24"/>
        </w:rPr>
        <w:lastRenderedPageBreak/>
        <w:t xml:space="preserve">Consequently, a diary car appointment swiftly transformed into an arrest for theft. Approaching the male who had gingerly enter the very same coffee shop, a slight language barrier became apparent and he appeared visibly confused. When asked to provide his details for the purpose of a PNC check the male understood but refused to comply, subsequently this led to no understanding of the background of the offender and the potential dangers of the situation. It was evident that the offender was considered vulnerable due to his inability to comprehend what was going, as well as displaying characteristics of schizophrenia. The male showcased various personalities in the small amount of time he was restrained and placed under arrest. As the caution was recited and handcuff were produced, the male rapidly changed and began to demonstrate signs of passive aggression, both verbally and physically. Incoherent shrieking ensued, alongside frantic lashing out of limbs in the hope to evade the grasps of the Police. This promptly became a public safety issue, as crowds began to gather to see what the disturbance was. Due to this the male was restrained against a wall to stop him lashing out or escaping and he was cuffed to the rear for his own personal safety as well as that of the Police and general public. The offender was transported to custody in a van and appeared calm upon arrival, however this only lasted long enough to ascertain his name and details. From his details his warning markers were produced, and the severity of the situation became abundantly clear. The young male had warning markers for violence towards police, links to terrorism, weapons, concealing and mental health. Due to this, an appropriate adult’s presence was needed to strip search the male, resulting in a two-hour cell watch until the appropriate adult’s arrival. During this period, the subject displayed several different personalities ranging from calm and collected to evil and enraged recalling his links to terrorism. However once inside the cell the male offender did not physical attempt to lass out again, he exhibited his aggression through his choice in vocabulary and his views towards women.  </w:t>
      </w:r>
    </w:p>
    <w:p w14:paraId="62784B76" w14:textId="77777777" w:rsidR="00843528" w:rsidRDefault="00843528" w:rsidP="00843528">
      <w:pPr>
        <w:ind w:right="107"/>
        <w:jc w:val="both"/>
        <w:rPr>
          <w:sz w:val="24"/>
          <w:szCs w:val="24"/>
        </w:rPr>
      </w:pPr>
      <w:r>
        <w:rPr>
          <w:sz w:val="24"/>
          <w:szCs w:val="24"/>
        </w:rPr>
        <w:tab/>
        <w:t xml:space="preserve">It is unmistakable from the intel gathered that a crime has been committed in this incident and the resulting arrest is justified and lawful. The victims account of the incident from her statement combined with the viewing of the CCTV and the positive identification of the male subject from the security guard provides a robust belief that the male is the suspect in this theft case. Section one of the theft Act 1968 defines theft as, “A person is guilty of theft if he dishonestly appropriates property belonging to another with the intention of permanently depriving the other of it”. (section 1(1) of the </w:t>
      </w:r>
      <w:r w:rsidRPr="0058119F">
        <w:rPr>
          <w:i/>
          <w:iCs/>
          <w:sz w:val="24"/>
          <w:szCs w:val="24"/>
        </w:rPr>
        <w:t>Theft Act 1968</w:t>
      </w:r>
      <w:r>
        <w:rPr>
          <w:sz w:val="24"/>
          <w:szCs w:val="24"/>
        </w:rPr>
        <w:t>). Accompany this legislation with the points to prove for the offence which are as follows: dishonestly, appropriate, property, belonging to another and intention to permanently deprive the other of it. Ultimately there is no doubt that the male subject in the eyes of the law has committed the offence of theft.</w:t>
      </w:r>
    </w:p>
    <w:p w14:paraId="3BF3CDB3" w14:textId="77777777" w:rsidR="00843528" w:rsidRPr="00622D70" w:rsidRDefault="00843528" w:rsidP="00843528">
      <w:pPr>
        <w:ind w:right="107"/>
        <w:jc w:val="both"/>
        <w:rPr>
          <w:color w:val="FF0000"/>
          <w:sz w:val="24"/>
          <w:szCs w:val="24"/>
        </w:rPr>
      </w:pPr>
      <w:r>
        <w:rPr>
          <w:color w:val="FF0000"/>
          <w:sz w:val="24"/>
          <w:szCs w:val="24"/>
        </w:rPr>
        <w:tab/>
        <w:t xml:space="preserve"> </w:t>
      </w:r>
      <w:r>
        <w:rPr>
          <w:sz w:val="24"/>
          <w:szCs w:val="24"/>
        </w:rPr>
        <w:t xml:space="preserve">Furthermore, the use of force implemented during this incident is justifiable in several different ways. The National decision-making model is a tool all Police officers use daily. At the heart of the model stands the code of ethics, followed closely by: Gathering information and intelligence, assess threat and risk and develop a working strategy, consider powers and policies, identify options and contingencies and finally </w:t>
      </w:r>
      <w:proofErr w:type="gramStart"/>
      <w:r>
        <w:rPr>
          <w:sz w:val="24"/>
          <w:szCs w:val="24"/>
        </w:rPr>
        <w:t>take action</w:t>
      </w:r>
      <w:proofErr w:type="gramEnd"/>
      <w:r>
        <w:rPr>
          <w:sz w:val="24"/>
          <w:szCs w:val="24"/>
        </w:rPr>
        <w:t xml:space="preserve"> and review what happened. Evidently this tool is used in each situation a Police officer finds themselves in, if followed correctly the NDM is there to protect officers and provide them with the best possible outcome of a situation. Thus, the justification to use force in this incident falls under the ‘assess threat and risk and develop a working strategy’ section of the National decision-making model. Undeniably in this incident a crime has been committed, and the male subject required apprehending. As stated, the male subject was confused but compliant when confronted, signalling that at that current time no force was necessary. However, as the incident developed so too did the male’s actions resulting in the need for force to be implemented to regain control of the situation, not only for the male’s safety but for that of </w:t>
      </w:r>
      <w:r>
        <w:rPr>
          <w:sz w:val="24"/>
          <w:szCs w:val="24"/>
        </w:rPr>
        <w:lastRenderedPageBreak/>
        <w:t xml:space="preserve">the Police officers and the general public at the scene. The male was pushed against a wall to stop him aggressively lashing out further. Section 117 of the Police and Criminal Evidence Act </w:t>
      </w:r>
      <w:r w:rsidRPr="00BA051D">
        <w:rPr>
          <w:sz w:val="22"/>
          <w:szCs w:val="22"/>
        </w:rPr>
        <w:t xml:space="preserve">1984 (PACE) </w:t>
      </w:r>
      <w:r w:rsidRPr="00C3290A">
        <w:rPr>
          <w:sz w:val="24"/>
          <w:szCs w:val="24"/>
        </w:rPr>
        <w:t>states that,</w:t>
      </w:r>
      <w:r w:rsidRPr="00BA051D">
        <w:rPr>
          <w:sz w:val="22"/>
          <w:szCs w:val="22"/>
        </w:rPr>
        <w:t xml:space="preserve"> </w:t>
      </w:r>
    </w:p>
    <w:p w14:paraId="13273215" w14:textId="77777777" w:rsidR="00843528" w:rsidRPr="00BA051D" w:rsidRDefault="00843528" w:rsidP="00843528">
      <w:pPr>
        <w:ind w:right="107" w:firstLine="360"/>
        <w:jc w:val="both"/>
        <w:rPr>
          <w:sz w:val="22"/>
          <w:szCs w:val="22"/>
        </w:rPr>
      </w:pPr>
      <w:r w:rsidRPr="00BA051D">
        <w:rPr>
          <w:sz w:val="22"/>
          <w:szCs w:val="22"/>
        </w:rPr>
        <w:t>“Where any provision of this Act-</w:t>
      </w:r>
    </w:p>
    <w:p w14:paraId="61B9123D" w14:textId="77777777" w:rsidR="00843528" w:rsidRPr="00BA051D" w:rsidRDefault="00843528" w:rsidP="000F2A2C">
      <w:pPr>
        <w:pStyle w:val="ListParagraph"/>
        <w:numPr>
          <w:ilvl w:val="0"/>
          <w:numId w:val="5"/>
        </w:numPr>
        <w:ind w:right="107"/>
        <w:jc w:val="both"/>
        <w:rPr>
          <w:sz w:val="22"/>
          <w:szCs w:val="22"/>
        </w:rPr>
      </w:pPr>
      <w:r w:rsidRPr="00BA051D">
        <w:rPr>
          <w:sz w:val="22"/>
          <w:szCs w:val="22"/>
        </w:rPr>
        <w:t xml:space="preserve">Confers a power on a constable; and </w:t>
      </w:r>
    </w:p>
    <w:p w14:paraId="13FD9A5C" w14:textId="77777777" w:rsidR="00843528" w:rsidRPr="00BA051D" w:rsidRDefault="00843528" w:rsidP="000F2A2C">
      <w:pPr>
        <w:pStyle w:val="ListParagraph"/>
        <w:numPr>
          <w:ilvl w:val="0"/>
          <w:numId w:val="5"/>
        </w:numPr>
        <w:ind w:right="107"/>
        <w:jc w:val="both"/>
        <w:rPr>
          <w:sz w:val="22"/>
          <w:szCs w:val="22"/>
        </w:rPr>
      </w:pPr>
      <w:r w:rsidRPr="00BA051D">
        <w:rPr>
          <w:sz w:val="22"/>
          <w:szCs w:val="22"/>
        </w:rPr>
        <w:t>Does not provide that the power may only be exercised with the consent of some person, other than a Police officer,</w:t>
      </w:r>
    </w:p>
    <w:p w14:paraId="031779FE" w14:textId="77777777" w:rsidR="00843528" w:rsidRDefault="00843528" w:rsidP="00843528">
      <w:pPr>
        <w:ind w:left="360" w:right="107"/>
        <w:jc w:val="both"/>
        <w:rPr>
          <w:sz w:val="24"/>
          <w:szCs w:val="24"/>
        </w:rPr>
      </w:pPr>
      <w:r w:rsidRPr="00BA051D">
        <w:rPr>
          <w:sz w:val="22"/>
          <w:szCs w:val="22"/>
        </w:rPr>
        <w:t>The Officer may use reasonable force, if necessary, in the exercise of the power”.</w:t>
      </w:r>
      <w:r>
        <w:rPr>
          <w:sz w:val="24"/>
          <w:szCs w:val="24"/>
        </w:rPr>
        <w:t xml:space="preserve"> (Section 117 of </w:t>
      </w:r>
      <w:r>
        <w:rPr>
          <w:i/>
          <w:iCs/>
          <w:sz w:val="24"/>
          <w:szCs w:val="24"/>
        </w:rPr>
        <w:t xml:space="preserve">The Police and Criminal Evidence Act </w:t>
      </w:r>
      <w:r>
        <w:rPr>
          <w:sz w:val="24"/>
          <w:szCs w:val="24"/>
        </w:rPr>
        <w:t xml:space="preserve">1984). Therefore, the use of force used on the male in this incident was not only justifiable, due to the fact that it was processed through the National Decision-making model, but it was also lawful as it falls under the above-mentioned section of PACE. </w:t>
      </w:r>
    </w:p>
    <w:p w14:paraId="36AFAC16" w14:textId="77777777" w:rsidR="00843528" w:rsidRDefault="00843528" w:rsidP="00843528">
      <w:pPr>
        <w:ind w:right="107" w:firstLine="720"/>
        <w:jc w:val="both"/>
        <w:rPr>
          <w:color w:val="auto"/>
          <w:sz w:val="24"/>
          <w:szCs w:val="24"/>
        </w:rPr>
      </w:pPr>
      <w:r>
        <w:rPr>
          <w:color w:val="auto"/>
          <w:sz w:val="24"/>
          <w:szCs w:val="24"/>
        </w:rPr>
        <w:t>For the duration of the incident the application of fundamental elements of communication were implemented. These will now be broken down to evaluate the outcome they are able to have on a situation. The speed of speech within a conversation can have a considerable influence on the outcome of the incident, “Our speed of speech has a major influence on how we are perceived during a conflict situation. The faster we speak the more reactive we tend to be”. (How to use your voice tone, speed and pitch to manage conflict? The Conflict training Company, 2021). Consequently, it is apparent that the slower the speech is conveyed the more time one has to think but also the more time the person who is being spoken to has to comprehend what is happening to them and to adjust themselves accordingly. Additionally, a strong, slow speech is perceived as having a tight control of the situation at hand. This is true of the incident in question, the apparent lack of understanding by the male subject resulted in the slowing down of the pace of spoken communication rather than ceasing to speak to the individual at all. Resulting in the male being able to grasp some aspects of what was happening and ultimately going to happen to him. Facial expression is another key component in communication. One’s speech and facial expression need to align to create a harmonious outcome of a situation. “Negotiators’ visual access to each other’s non-verbal behaviour fosters a dyadic state of rapport that facilitates mutual co-operation”. (</w:t>
      </w:r>
      <w:proofErr w:type="spellStart"/>
      <w:r>
        <w:rPr>
          <w:color w:val="auto"/>
          <w:sz w:val="24"/>
          <w:szCs w:val="24"/>
        </w:rPr>
        <w:t>Drolet</w:t>
      </w:r>
      <w:proofErr w:type="spellEnd"/>
      <w:r>
        <w:rPr>
          <w:color w:val="auto"/>
          <w:sz w:val="24"/>
          <w:szCs w:val="24"/>
        </w:rPr>
        <w:t xml:space="preserve"> and Morris, 2000, p.26). Consequently, a Police officer presenting an offender with a stern facial demeanour when requiring action to be taken is a fantastic technique to implement in specific situations, that will almost certainly gain the result needed. However, in a post-pandemic world where facemasks are the new normal, this becomes almost impossible to execute. Police officers today only have their eyes and eyebrows visible to the public resulting in a far more dynamic approach to facial expressions and ultimately a more limited yield of results. In the case of the above theft, facial expressions were implemented via intensely staring the male subject in the eyes when engaged in conversation, however the result of this approach had little effect on the situation as this was the only part of the face on display. Therefore, the male had little to no idea what emotion was being conveyed to him at that time. </w:t>
      </w:r>
    </w:p>
    <w:p w14:paraId="0C69A549" w14:textId="77777777" w:rsidR="00843528" w:rsidRDefault="00843528" w:rsidP="00843528">
      <w:pPr>
        <w:ind w:right="107" w:firstLine="720"/>
        <w:jc w:val="both"/>
        <w:rPr>
          <w:color w:val="auto"/>
          <w:sz w:val="24"/>
          <w:szCs w:val="24"/>
        </w:rPr>
      </w:pPr>
      <w:r>
        <w:rPr>
          <w:color w:val="auto"/>
          <w:sz w:val="24"/>
          <w:szCs w:val="24"/>
        </w:rPr>
        <w:t xml:space="preserve">By placing this incident through Gibb’s model of reflation a genuine awareness of the success and failures of the occurrence can truly be understood. Resulting in clear learning points going forward. The first stage of Gibb’s model of reflection asks for an honest description of the incident that is being reflected upon. The description should include both positive and negative aspects in order to gain a genuine understanding of what needs to happen next. This is the start of the reflection process that has the potential to mould the individual into the best version of themselves and as Police officers this is of the up most importance. One must truly understand the role in order to help others to the highest standard. “Reflection should be embedded into professional behaviour for providing high-quality care”.  (Smith. J, Roberts. R, 2015, 222). While the role of an officer is to uphold the </w:t>
      </w:r>
      <w:r>
        <w:rPr>
          <w:color w:val="auto"/>
          <w:sz w:val="24"/>
          <w:szCs w:val="24"/>
        </w:rPr>
        <w:lastRenderedPageBreak/>
        <w:t xml:space="preserve">law, it is also to provide care to those in need. Thus, an instrument like Gibb’s reflection cycle is invaluable. </w:t>
      </w:r>
    </w:p>
    <w:p w14:paraId="4BF68B1B" w14:textId="77777777" w:rsidR="00843528" w:rsidRDefault="00843528" w:rsidP="00843528">
      <w:pPr>
        <w:ind w:right="107" w:firstLine="720"/>
        <w:jc w:val="both"/>
        <w:rPr>
          <w:color w:val="auto"/>
          <w:sz w:val="24"/>
          <w:szCs w:val="24"/>
        </w:rPr>
      </w:pPr>
    </w:p>
    <w:p w14:paraId="4C435D61" w14:textId="77777777" w:rsidR="00843528" w:rsidRDefault="00843528" w:rsidP="00843528">
      <w:pPr>
        <w:ind w:right="107" w:firstLine="720"/>
        <w:jc w:val="both"/>
        <w:rPr>
          <w:color w:val="auto"/>
          <w:sz w:val="24"/>
          <w:szCs w:val="24"/>
        </w:rPr>
      </w:pPr>
      <w:r>
        <w:rPr>
          <w:color w:val="auto"/>
          <w:sz w:val="24"/>
          <w:szCs w:val="24"/>
        </w:rPr>
        <w:t xml:space="preserve">The second stage in Gibb’s cycle is titled feelings, what thoughts and feeling are encountered during the incident in question. Being able to process the feelings one goes through during an incident can greatly aid their understanding of the situation and furthermore their ability in further situations. </w:t>
      </w:r>
      <w:r w:rsidRPr="005E2B21">
        <w:rPr>
          <w:color w:val="333333"/>
          <w:sz w:val="24"/>
          <w:szCs w:val="24"/>
        </w:rPr>
        <w:t xml:space="preserve">“Reflection related to one’s own work may, therefore, enhance professional performance by improving insight and helping to connect/convert knowledge into practice” (Berglund, </w:t>
      </w:r>
      <w:proofErr w:type="spellStart"/>
      <w:r w:rsidRPr="005E2B21">
        <w:rPr>
          <w:color w:val="333333"/>
          <w:sz w:val="24"/>
          <w:szCs w:val="24"/>
        </w:rPr>
        <w:t>Sjögren</w:t>
      </w:r>
      <w:proofErr w:type="spellEnd"/>
      <w:r w:rsidRPr="005E2B21">
        <w:rPr>
          <w:color w:val="333333"/>
          <w:sz w:val="24"/>
          <w:szCs w:val="24"/>
        </w:rPr>
        <w:t xml:space="preserve">, and </w:t>
      </w:r>
      <w:proofErr w:type="spellStart"/>
      <w:r w:rsidRPr="005E2B21">
        <w:rPr>
          <w:color w:val="333333"/>
          <w:sz w:val="24"/>
          <w:szCs w:val="24"/>
        </w:rPr>
        <w:t>Ekesbergh</w:t>
      </w:r>
      <w:proofErr w:type="spellEnd"/>
      <w:r w:rsidRPr="005E2B21">
        <w:rPr>
          <w:color w:val="333333"/>
          <w:sz w:val="24"/>
          <w:szCs w:val="24"/>
        </w:rPr>
        <w:t> </w:t>
      </w:r>
      <w:hyperlink r:id="rId20" w:history="1">
        <w:r w:rsidRPr="005E2B21">
          <w:rPr>
            <w:color w:val="10147E"/>
            <w:sz w:val="24"/>
            <w:szCs w:val="24"/>
            <w:u w:val="single"/>
          </w:rPr>
          <w:t>2012</w:t>
        </w:r>
      </w:hyperlink>
      <w:r w:rsidRPr="005E2B21">
        <w:rPr>
          <w:color w:val="333333"/>
          <w:sz w:val="24"/>
          <w:szCs w:val="24"/>
        </w:rPr>
        <w:t>,</w:t>
      </w:r>
      <w:r>
        <w:rPr>
          <w:color w:val="333333"/>
          <w:sz w:val="24"/>
          <w:szCs w:val="24"/>
        </w:rPr>
        <w:t xml:space="preserve"> </w:t>
      </w:r>
      <w:r w:rsidRPr="005E2B21">
        <w:rPr>
          <w:color w:val="333333"/>
          <w:sz w:val="24"/>
          <w:szCs w:val="24"/>
        </w:rPr>
        <w:t>154).</w:t>
      </w:r>
      <w:r>
        <w:rPr>
          <w:color w:val="auto"/>
          <w:sz w:val="24"/>
          <w:szCs w:val="24"/>
        </w:rPr>
        <w:t xml:space="preserve">During the incident regarding the theft of the card machine, one felt clueless as to what the male was capable of. It was evident that the male subject was violent and being unable to get positive conformation of the individual and his potential warning markers left an uneasy feeling lingering over the situation. One simply had to do the best they possibly could, to restrain the male and get him to a safe place in a timely manner. While it is not ideal to have no information regard the individual one is dealing with, it is not uncommon, thus the Police officer in that situation must do the best they possible can, to control the situation in rapid time to allow for everyone involved to remain safe. This can lead to feelings of dread and uncertainty, however these feeling can be used effectively to get the situation controlled. </w:t>
      </w:r>
    </w:p>
    <w:p w14:paraId="4F623285" w14:textId="18747780" w:rsidR="00843528" w:rsidRDefault="00843528" w:rsidP="00843528">
      <w:pPr>
        <w:ind w:right="107" w:firstLine="720"/>
        <w:jc w:val="both"/>
        <w:rPr>
          <w:color w:val="auto"/>
          <w:sz w:val="24"/>
          <w:szCs w:val="24"/>
        </w:rPr>
      </w:pPr>
      <w:r>
        <w:rPr>
          <w:color w:val="auto"/>
          <w:sz w:val="24"/>
          <w:szCs w:val="24"/>
        </w:rPr>
        <w:t>Evaluation is the next phase of Gibb’s reflection cycle. This is a crucial stage in understanding the outcome of the situation. One must be objective in this step to truly gain results from this cycle. “By reflecting, and learning to do it reflectively, the professional can gain a scene of how a method or his or her actions can be improved upon when a similar situation arises”. (</w:t>
      </w:r>
      <w:proofErr w:type="spellStart"/>
      <w:r>
        <w:rPr>
          <w:color w:val="auto"/>
          <w:sz w:val="24"/>
          <w:szCs w:val="24"/>
        </w:rPr>
        <w:t>Yanfei</w:t>
      </w:r>
      <w:proofErr w:type="spellEnd"/>
      <w:r>
        <w:rPr>
          <w:color w:val="auto"/>
          <w:sz w:val="24"/>
          <w:szCs w:val="24"/>
        </w:rPr>
        <w:t xml:space="preserve">, L, </w:t>
      </w:r>
      <w:proofErr w:type="spellStart"/>
      <w:r>
        <w:rPr>
          <w:color w:val="auto"/>
          <w:sz w:val="24"/>
          <w:szCs w:val="24"/>
        </w:rPr>
        <w:t>Weiju</w:t>
      </w:r>
      <w:proofErr w:type="spellEnd"/>
      <w:r>
        <w:rPr>
          <w:color w:val="auto"/>
          <w:sz w:val="24"/>
          <w:szCs w:val="24"/>
        </w:rPr>
        <w:t xml:space="preserve">, C, </w:t>
      </w:r>
      <w:proofErr w:type="spellStart"/>
      <w:r>
        <w:rPr>
          <w:color w:val="auto"/>
          <w:sz w:val="24"/>
          <w:szCs w:val="24"/>
        </w:rPr>
        <w:t>Cuiging</w:t>
      </w:r>
      <w:proofErr w:type="spellEnd"/>
      <w:r>
        <w:rPr>
          <w:color w:val="auto"/>
          <w:sz w:val="24"/>
          <w:szCs w:val="24"/>
        </w:rPr>
        <w:t xml:space="preserve"> L, </w:t>
      </w:r>
      <w:proofErr w:type="spellStart"/>
      <w:r>
        <w:rPr>
          <w:color w:val="auto"/>
          <w:sz w:val="24"/>
          <w:szCs w:val="24"/>
        </w:rPr>
        <w:t>Minping</w:t>
      </w:r>
      <w:proofErr w:type="spellEnd"/>
      <w:r>
        <w:rPr>
          <w:color w:val="auto"/>
          <w:sz w:val="24"/>
          <w:szCs w:val="24"/>
        </w:rPr>
        <w:t xml:space="preserve"> D, 2020, p74) Thus, it is apparent that in order to benefit from this reflection cycle one must be open and frank regarding both the positive and negatives of their performance. In relation to the incident involving the theft of the card machine, the approach of slowing down speech to the male appeared to aid in his understanding of the situation to some degree, this should be considered a positive to come from that situation. Another positive would be the swift handling of restraining the individual against the wall to stop any further potential public safety issues. Upon realising that the male suffered from mental health this called for a revaluation of the situation and how it should be delt with. While mental health is an enormous issue today and it needs to be delt with accordingly, this </w:t>
      </w:r>
      <w:r w:rsidR="004B753E">
        <w:rPr>
          <w:color w:val="auto"/>
          <w:sz w:val="24"/>
          <w:szCs w:val="24"/>
        </w:rPr>
        <w:t>cannot</w:t>
      </w:r>
      <w:r>
        <w:rPr>
          <w:color w:val="auto"/>
          <w:sz w:val="24"/>
          <w:szCs w:val="24"/>
        </w:rPr>
        <w:t xml:space="preserve"> be used to shy away from the issue at hand. The male subject had committed and offence requiring an arrest to occur. One should not want to shy away from that because the burden of mental health has been brought into the situation. Thus, a negative of the situation is allowing the males mental health to overshadow what needed to be done. One must always address the situation at hand first and anything else can be delt with whilst the offender is in custody.  </w:t>
      </w:r>
    </w:p>
    <w:p w14:paraId="053901D2" w14:textId="77777777" w:rsidR="00843528" w:rsidRDefault="00843528" w:rsidP="00843528">
      <w:pPr>
        <w:ind w:right="107" w:firstLine="720"/>
        <w:jc w:val="both"/>
        <w:rPr>
          <w:color w:val="auto"/>
          <w:sz w:val="24"/>
          <w:szCs w:val="24"/>
        </w:rPr>
      </w:pPr>
      <w:r>
        <w:rPr>
          <w:color w:val="auto"/>
          <w:sz w:val="24"/>
          <w:szCs w:val="24"/>
        </w:rPr>
        <w:t xml:space="preserve">The finale step in Gibb’s reflection cycle is conclusion. One must summarise their findings from placing the incident in question through the cycle and decide what is to be done next. From the cycle a greater understanding of one’s role should have emerged, enabling a range of tactics to be added to one’s arsenal of what to do and possibly what not to do, moving forward in similar situations. </w:t>
      </w:r>
    </w:p>
    <w:p w14:paraId="77077F2C" w14:textId="77777777" w:rsidR="00843528" w:rsidRDefault="00843528" w:rsidP="00843528">
      <w:pPr>
        <w:ind w:right="107" w:firstLine="720"/>
        <w:jc w:val="both"/>
        <w:rPr>
          <w:color w:val="auto"/>
          <w:sz w:val="24"/>
          <w:szCs w:val="24"/>
        </w:rPr>
      </w:pPr>
      <w:r>
        <w:rPr>
          <w:color w:val="auto"/>
          <w:sz w:val="24"/>
          <w:szCs w:val="24"/>
        </w:rPr>
        <w:t xml:space="preserve">Finally, it may be concluded that the use of a reflection theory or cycle can only benefit one’s ability to prosper. Taking the time post incident to reflect on what occurred, openly and honestly, allows for a superior understanding of one’s strengths and weaknesses. Hence, this allows for the pinpointing of what areas need to be worked on and ultimately producing a check list of areas to concentrate on to become a better Police officer when confronted with conflict. No two incident of conflict are ever the same, however this becomes irrelevant when they are processed through a reflective cycle. Hence the importance of educating </w:t>
      </w:r>
      <w:r>
        <w:rPr>
          <w:color w:val="auto"/>
          <w:sz w:val="24"/>
          <w:szCs w:val="24"/>
        </w:rPr>
        <w:lastRenderedPageBreak/>
        <w:t xml:space="preserve">one’s self on their performance in each situation, aiding to their confidence and capacity to flourish within the Police Force.  </w:t>
      </w:r>
    </w:p>
    <w:p w14:paraId="3C66902F" w14:textId="63C8CF2A" w:rsidR="00843528" w:rsidRPr="00843528" w:rsidRDefault="00843528" w:rsidP="00E6298B">
      <w:pPr>
        <w:ind w:right="107"/>
        <w:jc w:val="both"/>
        <w:rPr>
          <w:bCs/>
          <w:sz w:val="24"/>
          <w:szCs w:val="24"/>
        </w:rPr>
      </w:pPr>
    </w:p>
    <w:p w14:paraId="29C075C5" w14:textId="7F74F7DB" w:rsidR="00843528" w:rsidRPr="00843528" w:rsidRDefault="00843528" w:rsidP="00E6298B">
      <w:pPr>
        <w:ind w:right="107"/>
        <w:jc w:val="both"/>
        <w:rPr>
          <w:bCs/>
          <w:sz w:val="24"/>
          <w:szCs w:val="24"/>
        </w:rPr>
      </w:pPr>
      <w:r w:rsidRPr="00843528">
        <w:rPr>
          <w:bCs/>
          <w:sz w:val="24"/>
          <w:szCs w:val="24"/>
        </w:rPr>
        <w:t>Word Count:</w:t>
      </w:r>
      <w:r>
        <w:rPr>
          <w:bCs/>
          <w:sz w:val="24"/>
          <w:szCs w:val="24"/>
        </w:rPr>
        <w:t xml:space="preserve"> 2415.</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6FA6536A" w:rsidR="00112751" w:rsidRDefault="00112751" w:rsidP="00E6298B">
      <w:pPr>
        <w:ind w:right="107"/>
        <w:jc w:val="both"/>
        <w:rPr>
          <w:b/>
          <w:sz w:val="24"/>
          <w:szCs w:val="24"/>
        </w:rPr>
      </w:pPr>
      <w:r w:rsidRPr="00450C83">
        <w:rPr>
          <w:b/>
          <w:sz w:val="24"/>
          <w:szCs w:val="24"/>
        </w:rPr>
        <w:t>ANSWER:</w:t>
      </w:r>
    </w:p>
    <w:p w14:paraId="5ADB0FB4" w14:textId="20F65285" w:rsidR="00843528" w:rsidRDefault="00843528" w:rsidP="00E6298B">
      <w:pPr>
        <w:ind w:right="107"/>
        <w:jc w:val="both"/>
        <w:rPr>
          <w:b/>
          <w:sz w:val="24"/>
          <w:szCs w:val="24"/>
        </w:rPr>
      </w:pPr>
    </w:p>
    <w:p w14:paraId="3B2C1644" w14:textId="77777777" w:rsidR="00843528" w:rsidRDefault="00843528" w:rsidP="00843528">
      <w:pPr>
        <w:ind w:firstLine="720"/>
      </w:pPr>
      <w:r>
        <w:t xml:space="preserve">The intention of this essay is to examine a policing incident in which one played a significant role with the service user involved. The incident in question is going to be critically assessed with the aid of John’s model for structural reflection, enabling an extensive understanding of the severity of the situation. John’s model for structural reflection will exhibit what worked well to aid in the success of the incident but it will also enable an understanding of areas that did not work well, that perhaps require enhanced work. Furthermore, this essay will demonstrate how policing values have been employed throughout the incident in question, and how policies and procedures put in place have been used to aid the occurrence. The occurrence revolves around detaining a Young Women and her experience with section 136 of the Mental Health Act. Mental health is an issue that is at the forefront of Modern-Day Policing, thus a concern regarding a person’s mental health should be taken with the upmost importance as it can play a fundamental role in the ferocity of any situation. </w:t>
      </w:r>
    </w:p>
    <w:p w14:paraId="255F1402" w14:textId="77777777" w:rsidR="00843528" w:rsidRDefault="00843528" w:rsidP="00843528">
      <w:r>
        <w:tab/>
        <w:t xml:space="preserve">The occurrence centres around a call received from a Young Women declaring that she was going to jump of a bridge in the town centre. Upon being placed into the log for this call initial checks were evidently the next step. Accumulating as much information surrounding the incident will assist in being able to successfully de-escalate it. Consequently, the control room were asked to check ‘Niche’ for any information on the Young Women involved and to provide a PNC check for the individual. This should generate enough basic information on the Young Women to enable a picture to be built of the situation one is going to be walking into. Furthermore, this information gathered can successfully be placed through the ‘NDM’ and provide one with a basic plan of action when arriving at the scene. Evidently when at the scene more information is going to be gathered and as a result placed through the ‘NDM’ yet again, resulting in a different outcome, hence one must be vigilant as to the ever-changing situation. </w:t>
      </w:r>
    </w:p>
    <w:p w14:paraId="4B8F5A61" w14:textId="77777777" w:rsidR="00843528" w:rsidRDefault="00843528" w:rsidP="00843528">
      <w:r>
        <w:tab/>
        <w:t xml:space="preserve">Once this knowledge was obtained, the Young Women was located near the bridge, with her bike in tow, she was sat slumped on a step with her head in her hands and looking fiercely distressed. </w:t>
      </w:r>
    </w:p>
    <w:p w14:paraId="558B2A48" w14:textId="77777777" w:rsidR="00843528" w:rsidRDefault="00843528" w:rsidP="00843528">
      <w:r>
        <w:t xml:space="preserve">To the right of the subject was a small pile of her own sick, indicating that she had consumed either alcohol or drugs. She later acknowledged that this was due to the one Budweiser she had drunk earlier in the evening and the ten cigarettes she smoked that day. The Young Women was reluctant to give across any information regarding herself and her current situation. She only announced that she had been detained by Police Officers </w:t>
      </w:r>
      <w:r>
        <w:lastRenderedPageBreak/>
        <w:t>and taken to Hospital the previous night for her own safety. The Women went on to reveal that she would not be going back to the hospital this evening and would not return home to her accommodation, instead she was going to jump off the bridge to commit suicide. She could not give any reason as to why she was feeling this way, rather she kept refusing the options that were presented to her. After declining to be taken home and declaring that if she went home, she would only leave again, one was faced with no other option than to ring the Approved Mental Health Practitioner on duty. This was not an easy decision to make, as the result of the phone conversation was obvious, the vulnerable Young Women would be going back to the hospital. The choice was no longer hers, as her safety was vital. As an officer for Gwent Police, one has a duty of care for the public, while this helpless Young Women may not see that at this moment in time, we must do what is best for her in this situation and ultimately offer her the help she needs to navigate a way out of the mindset that she currently finds herself in.  After conversing with the Approved Mental Health Practitioner, the phone was handed to the Young Women in the hope that the AMHP could potentially change her mind.  However, the Women remained adamant that she was not going home or to the hospital, rather she was going to commit suicide when the Police were no longer present. Consequently, being left with no other option, the women was detained under section 136 of the Mental Health Act.</w:t>
      </w:r>
    </w:p>
    <w:p w14:paraId="56E1ED56" w14:textId="77777777" w:rsidR="00843528" w:rsidRDefault="00843528" w:rsidP="00843528">
      <w:pPr>
        <w:ind w:firstLine="720"/>
      </w:pPr>
      <w:r>
        <w:t xml:space="preserve"> Upon arrival at the Hospital, the severity of the Women mental health became abundantly clear. The nurse on duty indicated that the women had been at the facility the previous night and while she appeared calm at first the situation quickly deteriorated. The Female subject attempted suicide while at the Hospital by creating a noose out of ligature and attempting to drown herself. As well as becoming so aggressive with staff that she had to be detailed for two hours straight during the night. The depiction of the female from less that twenty-four hours before seemed a far cry from the withdrawn female currently on display in the hospital holding room. Due to how hostile the patient was the nurse was unwilling to be left alone with her without the presence of Police Officers. Procedure declares that when a person is detained under section 136 of the Mental Health act, the Mental Health App must be used on ones Samsung device. This is a form full of information gathered by the Police and Hospital staff which is sent over to ‘Niche’. Upon taking the time to follow this procedure and complete the form in as much detail as possible, one was able to obtain a greater understanding of the mental state of the Young Women. Consequently, the form should enable any officer encountering the subject again to have a better awareness of the vulnerability of the Women and the help she so greatly requires. </w:t>
      </w:r>
    </w:p>
    <w:p w14:paraId="345AECA3" w14:textId="77777777" w:rsidR="00843528" w:rsidRDefault="00843528" w:rsidP="00843528">
      <w:pPr>
        <w:ind w:firstLine="720"/>
      </w:pPr>
      <w:r>
        <w:t>The stubbornness of the Women was evident and appeared childlike, this was especially apparent when she refused to be searched for an hour. Providing the first indication that set alarm bells ringing as to the description of the Women that was detained the previous evening. The potential for the situation to escalate at this stage was balancing on a knives edge. Since up until this point in the evening one was able to build a fantastic repour with the Young Women, this was able to be used to one’s benefit. Remaining calm and knowing that one had nothing but time, persuasion tactics came into play to achieve the goal of searching the vulnerable women without having to use force. Eventually, after much persuasion she gave in and allowed the Police to search her persons, seizing anything that she could potentially use to harm herself. The Young Women then proceeded to sit contently watching a programme on her phone and refused to engage in any form of conversation before relief came.</w:t>
      </w:r>
    </w:p>
    <w:p w14:paraId="1F34EE60" w14:textId="77777777" w:rsidR="00843528" w:rsidRDefault="00843528" w:rsidP="00843528">
      <w:r>
        <w:tab/>
        <w:t xml:space="preserve">The Young Women was detained under section 136 of the Mental Health Act 1983, which states that, </w:t>
      </w:r>
    </w:p>
    <w:p w14:paraId="4CA9A574" w14:textId="77777777" w:rsidR="00843528" w:rsidRDefault="00843528" w:rsidP="00843528">
      <w:pPr>
        <w:ind w:firstLine="360"/>
      </w:pPr>
      <w:r>
        <w:t>“If a person appears to a constable to be suffering from mental disorder and to be in immediate need of care or control, the constable may, if he thinks it necessary to do so in the interests of that person or for the protection of other persons-</w:t>
      </w:r>
    </w:p>
    <w:p w14:paraId="233D1F0C" w14:textId="77777777" w:rsidR="00843528" w:rsidRDefault="00843528" w:rsidP="000F2A2C">
      <w:pPr>
        <w:pStyle w:val="ListParagraph"/>
        <w:numPr>
          <w:ilvl w:val="0"/>
          <w:numId w:val="6"/>
        </w:numPr>
      </w:pPr>
      <w:r>
        <w:t xml:space="preserve">Remove the person to a place of safety within the meaning of section 135, or </w:t>
      </w:r>
    </w:p>
    <w:p w14:paraId="7ADCC2E8" w14:textId="77777777" w:rsidR="00843528" w:rsidRDefault="00843528" w:rsidP="000F2A2C">
      <w:pPr>
        <w:pStyle w:val="ListParagraph"/>
        <w:numPr>
          <w:ilvl w:val="0"/>
          <w:numId w:val="6"/>
        </w:numPr>
      </w:pPr>
      <w:r>
        <w:t xml:space="preserve">If the person is already at a place of safety within the meaning of that section, keep the person at that place or remove the person to another place of safety”. (Section 136 of </w:t>
      </w:r>
      <w:r w:rsidRPr="0024305A">
        <w:rPr>
          <w:i/>
          <w:iCs/>
        </w:rPr>
        <w:t>The Mental Health</w:t>
      </w:r>
      <w:r>
        <w:t xml:space="preserve"> Act 1983). </w:t>
      </w:r>
    </w:p>
    <w:p w14:paraId="022E3D4A" w14:textId="77777777" w:rsidR="00843528" w:rsidRDefault="00843528" w:rsidP="00843528">
      <w:r>
        <w:t xml:space="preserve">Therefore, it is evident that the Young Women was detained lawfully and taken to a place of safety for her own protection. Section 136 of the Mental Health Act allows for a Police Office to detain a person who appears to be in the need of immediate care or control for up to 24 hours, which was the case with the Female subject. </w:t>
      </w:r>
    </w:p>
    <w:p w14:paraId="42F1EEDD" w14:textId="77777777" w:rsidR="00843528" w:rsidRDefault="00843528" w:rsidP="00843528">
      <w:r>
        <w:tab/>
        <w:t xml:space="preserve">The Female subject in this occurrence evidently suffers with her mental health. She is diagnosed with Dyslexia which can influence the way in which she chooses to interact with others within society, not just her ability to read and write. “The neurocognitive influences on dyslexia are also multifactorial and involve phonological processing deficits as well as weakness in other oral language skills and processing speed”. (Peterson. R, Pennington. B, 2015) Therefore, adjustments need to be made when dealing with the subject, to maximise the result of the situation. Being able to recognize that what a Police Officer is saying may not resonate with the service user, is key in valuing all members of society.  Rather than taking the lack of comprehension as an attitude problem or a lack of respect towards the Police Force from the individual, it needs to be considered that there could be a plethora of reasons for this. Regarding the occurrence within this essay, a technique implemented to break the barrier in the hope of the Young Women understanding what </w:t>
      </w:r>
      <w:r>
        <w:lastRenderedPageBreak/>
        <w:t xml:space="preserve">was going to happen to her was to slow down when engaging with her, in terms of both language, speech and movement. By choosing to use basic language and slowing down one’s pace of speech, it allowed the young women that extra time to comprehend what was being asked of her. Due to the fact that the Young Subject was a similar age to one’s self, a repour was effortless to create. Keeping the individual engaged in conversation on route to the hospital allowed all her attention to be focused on the conversation rather than where she was being taken. Encouraging the Young Female to remain calm as opposed to her anxiety building the closer, she gets to her final destination.  </w:t>
      </w:r>
    </w:p>
    <w:p w14:paraId="566569DB" w14:textId="4F3668FF" w:rsidR="00843528" w:rsidRDefault="00843528" w:rsidP="00843528">
      <w:pPr>
        <w:ind w:firstLine="720"/>
        <w:rPr>
          <w:lang w:val="en"/>
        </w:rPr>
      </w:pPr>
      <w:r>
        <w:t xml:space="preserve">Additionally, by not making any sudden movements it creates a calmer environment where the individual can feel safe and allows her to feel more inclined to speak to Officers. The Young Women involved in this incident also has suicidal tendances, this is apparent from the type of call that she generated but also from her PNC record which states that she has attempted suicide on numerous occasions in the past. The individual attempting suicide indicates what kind of mental state she is currently enduring, and that help is crucial to aid her recovery process. Suicide is not something to be taken lightly, it is a spectacle that still needs to be truly understood. </w:t>
      </w:r>
      <w:r>
        <w:rPr>
          <w:lang w:val="en"/>
        </w:rPr>
        <w:t>“Suicide is a highly complex and multifaceted phenomenon, with many contributing and facilitating variables. It may be determined by the interaction between various factors, such as neurobiology, personal and family history, stressful events, and sociocultural environment”. (</w:t>
      </w:r>
      <w:proofErr w:type="spellStart"/>
      <w:r>
        <w:rPr>
          <w:lang w:val="en"/>
        </w:rPr>
        <w:t>Turecki</w:t>
      </w:r>
      <w:proofErr w:type="spellEnd"/>
      <w:r>
        <w:rPr>
          <w:lang w:val="en"/>
        </w:rPr>
        <w:t xml:space="preserve"> G, Brent DA, 2016). Evidently, suicide is a complicated issue that takes on different forms for </w:t>
      </w:r>
      <w:proofErr w:type="gramStart"/>
      <w:r>
        <w:rPr>
          <w:lang w:val="en"/>
        </w:rPr>
        <w:t>each individual</w:t>
      </w:r>
      <w:proofErr w:type="gramEnd"/>
      <w:r>
        <w:rPr>
          <w:lang w:val="en"/>
        </w:rPr>
        <w:t xml:space="preserve">. Nevertheless, this is not to say that those individuals are any less valued within </w:t>
      </w:r>
      <w:r w:rsidR="004B753E">
        <w:rPr>
          <w:lang w:val="en"/>
        </w:rPr>
        <w:t>today’s</w:t>
      </w:r>
      <w:r>
        <w:rPr>
          <w:lang w:val="en"/>
        </w:rPr>
        <w:t xml:space="preserve"> society. Thus, when dealing with the Young Female in this occurrence it was crucial to address her experience with suicide rather than to shy away from them. Being able to comprehend the subject’s current mind set as to why she was feeling that suicide was the only option for her, is being able to understand the individual’s current requirements and ultimately offer her the correct </w:t>
      </w:r>
      <w:proofErr w:type="gramStart"/>
      <w:r w:rsidR="004B753E">
        <w:rPr>
          <w:lang w:val="en"/>
        </w:rPr>
        <w:t>help</w:t>
      </w:r>
      <w:r>
        <w:rPr>
          <w:lang w:val="en"/>
        </w:rPr>
        <w:t xml:space="preserve"> </w:t>
      </w:r>
      <w:r w:rsidR="004B753E">
        <w:rPr>
          <w:lang w:val="en"/>
        </w:rPr>
        <w:t>out</w:t>
      </w:r>
      <w:proofErr w:type="gramEnd"/>
      <w:r w:rsidR="004B753E">
        <w:rPr>
          <w:lang w:val="en"/>
        </w:rPr>
        <w:t xml:space="preserve"> </w:t>
      </w:r>
      <w:r>
        <w:rPr>
          <w:lang w:val="en"/>
        </w:rPr>
        <w:t xml:space="preserve">of this situation. </w:t>
      </w:r>
    </w:p>
    <w:p w14:paraId="0B9AD1AD" w14:textId="30240DF7" w:rsidR="00843528" w:rsidRDefault="00843528" w:rsidP="00843528">
      <w:pPr>
        <w:ind w:firstLine="720"/>
        <w:rPr>
          <w:lang w:val="en"/>
        </w:rPr>
      </w:pPr>
      <w:r>
        <w:rPr>
          <w:lang w:val="en"/>
        </w:rPr>
        <w:t xml:space="preserve">By utilizing Johns model for reflection, it will allow a deeper understanding of one’s thoughts and emotion during the incident in question. A model of reflection is an instrument for self- improvement; however, it will only truly work if one if honest about the situation in which they want to reflect upon. “By placing self at the core of the learning process of self-inquiry, commitment and responsibility are foremost in the reflective lens”. (John’s, 2002, p.1958) Thus, in accordance with Johns model one must first consider what thoughts and emotions they processed during the incident in question. The Young Women involved in this incident struck an emotional chord with oneself since she was the same age, highlighting that mental health has no boundaries when it </w:t>
      </w:r>
      <w:r>
        <w:rPr>
          <w:lang w:val="en"/>
        </w:rPr>
        <w:t>comes</w:t>
      </w:r>
      <w:r>
        <w:rPr>
          <w:lang w:val="en"/>
        </w:rPr>
        <w:t xml:space="preserve"> to who it can affect. Due to this one’s thought process was simple, this woman is vulnerable, and Gwent Police have a duty of care for her. By speaking to the subject, the way in which one would speak to a group of girlfriends, barriers were dropped, and the vulnerable female was able to reciprocate the bound that was being built. Thus, allowing the female to co-operate in transporting her to a place of safety for her own protection. Following this, John model asks to look outwards, what issues seemed important during the event, and what issues seem important now. Regarding an event involving Mental Health the issues one is faced at the time will also align with those issues that remain important post-event. During the occurrence with the Vulnerable Women, the top focus was to prevent the subject from going ahead with her plan of committing suicide. While this was achieved it simply does not mean the problem is resolved. Mental Health and suicide go hand in hand, post event care is paramount in this situation, if this young girl is not properly cared for, next time she may not be so lucky. </w:t>
      </w:r>
    </w:p>
    <w:p w14:paraId="23FFC93F" w14:textId="2A0ADED6" w:rsidR="00843528" w:rsidRDefault="00843528" w:rsidP="00843528">
      <w:pPr>
        <w:ind w:firstLine="720"/>
        <w:rPr>
          <w:lang w:val="en"/>
        </w:rPr>
      </w:pPr>
      <w:r>
        <w:rPr>
          <w:lang w:val="en"/>
        </w:rPr>
        <w:t xml:space="preserve">In conclusion, one has learnt through this incident just how much of a multifaceted topic Mental Health is and how much it effects the general public, resulting in the knock-on effect it has on Gwent Police officer’s ability to do their job. While some individuals </w:t>
      </w:r>
      <w:proofErr w:type="gramStart"/>
      <w:r>
        <w:rPr>
          <w:lang w:val="en"/>
        </w:rPr>
        <w:t>in today’s society</w:t>
      </w:r>
      <w:proofErr w:type="gramEnd"/>
      <w:r>
        <w:rPr>
          <w:lang w:val="en"/>
        </w:rPr>
        <w:t xml:space="preserve"> use Mental Health as a cry for attention, others are seriously suffering and need medical care for their own personal safety. Hence the vital role Gwent Police play in being the gateway to provide those needing help with available avenues to seek what they are after. While one may deal with Mental Health on every call of their shift that day, they </w:t>
      </w:r>
      <w:r>
        <w:rPr>
          <w:lang w:val="en"/>
        </w:rPr>
        <w:t>cannot</w:t>
      </w:r>
      <w:r>
        <w:rPr>
          <w:lang w:val="en"/>
        </w:rPr>
        <w:t xml:space="preserve"> generalize and make a personal decision as to the extent that a subject is suffering. Every issue regarding Mental Health must be taken seriously and the correct procedure followed. Moreover, the use of a reflection model tied in with a topic such as Mental Health allows for a wider understanding of a largely still un-known issue, that is ultimately only beneficial to everyone involved.  </w:t>
      </w:r>
    </w:p>
    <w:p w14:paraId="13BE3474" w14:textId="02EEFA72" w:rsidR="00843528" w:rsidRDefault="00843528" w:rsidP="00843528">
      <w:pPr>
        <w:ind w:firstLine="720"/>
        <w:rPr>
          <w:lang w:val="en"/>
        </w:rPr>
      </w:pPr>
    </w:p>
    <w:p w14:paraId="250A92A6" w14:textId="278EE9ED" w:rsidR="00843528" w:rsidRDefault="00843528" w:rsidP="00843528">
      <w:pPr>
        <w:ind w:firstLine="720"/>
        <w:rPr>
          <w:lang w:val="en"/>
        </w:rPr>
      </w:pPr>
      <w:r>
        <w:rPr>
          <w:lang w:val="en"/>
        </w:rPr>
        <w:t>Word Count:</w:t>
      </w:r>
      <w:r w:rsidR="001F6C65">
        <w:rPr>
          <w:lang w:val="en"/>
        </w:rPr>
        <w:t xml:space="preserve"> 2388</w:t>
      </w:r>
    </w:p>
    <w:p w14:paraId="24C881E6" w14:textId="77777777" w:rsidR="00843528" w:rsidRPr="00450C83" w:rsidRDefault="00843528" w:rsidP="00E6298B">
      <w:pPr>
        <w:ind w:right="107"/>
        <w:jc w:val="both"/>
        <w:rPr>
          <w:b/>
          <w:sz w:val="24"/>
          <w:szCs w:val="24"/>
        </w:rPr>
      </w:pP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3C6ABA7C" w:rsidR="006C7CA5" w:rsidRDefault="006C7CA5" w:rsidP="00E6298B">
      <w:pPr>
        <w:ind w:right="107"/>
        <w:jc w:val="both"/>
        <w:rPr>
          <w:b/>
          <w:sz w:val="24"/>
          <w:szCs w:val="24"/>
        </w:rPr>
      </w:pPr>
      <w:r w:rsidRPr="00450C83">
        <w:rPr>
          <w:b/>
          <w:sz w:val="24"/>
          <w:szCs w:val="24"/>
        </w:rPr>
        <w:t>ANSWER:</w:t>
      </w:r>
    </w:p>
    <w:p w14:paraId="6580EBAE" w14:textId="1DDE71BE" w:rsidR="001F6C65" w:rsidRDefault="001F6C65" w:rsidP="00E6298B">
      <w:pPr>
        <w:ind w:right="107"/>
        <w:jc w:val="both"/>
        <w:rPr>
          <w:b/>
          <w:sz w:val="24"/>
          <w:szCs w:val="24"/>
        </w:rPr>
      </w:pPr>
    </w:p>
    <w:p w14:paraId="1290EB16" w14:textId="77777777" w:rsidR="001F6C65" w:rsidRPr="00BF3624" w:rsidRDefault="001F6C65" w:rsidP="001F6C65">
      <w:pPr>
        <w:ind w:firstLine="720"/>
      </w:pPr>
      <w:r>
        <w:t>The objective of this essay is to critically assess a policing incident where one has chosen to implement their discretion as appose to the application of Police powers of arrest. The Oxford dictionary defines discretion as, “The freedom to decide what should be done in a particular situation”. (</w:t>
      </w:r>
      <w:r>
        <w:rPr>
          <w:i/>
          <w:iCs/>
        </w:rPr>
        <w:t xml:space="preserve">The Oxford Dictionary, </w:t>
      </w:r>
      <w:r>
        <w:t xml:space="preserve">1884, Discretion entry) Therefore it is evident the immense importance of discretion to a Police Officer of Gwent. The application of one’s discretion should not be taken lightly; the National Decision Model should always be used to determine that the utilization of discretion in any given situation is justified and necessary. The purpose of the National Decision-making model is to allow a Police officer to produce a rational for what one did during a situation and to justify one’s actions in that incident. The National decision- making model is to be meticulously followed, thereby producing a safety blanket for an Officers actions in any occurrence. Additionally, this essay will use </w:t>
      </w:r>
      <w:r w:rsidRPr="004330FB">
        <w:rPr>
          <w:color w:val="202124"/>
          <w:shd w:val="clear" w:color="auto" w:fill="FFFFFF"/>
        </w:rPr>
        <w:t xml:space="preserve">Schön </w:t>
      </w:r>
      <w:r>
        <w:rPr>
          <w:color w:val="202124"/>
          <w:shd w:val="clear" w:color="auto" w:fill="FFFFFF"/>
        </w:rPr>
        <w:t xml:space="preserve">reflection model to determine what one was able to learn for this incident, both positively and negatively. Schon’s view on reflection encourages one’s self to reflect after the event as a pose to during, in order to determine how one’s prior knowledge of teaching could have dictated the experience one has had. </w:t>
      </w:r>
    </w:p>
    <w:p w14:paraId="5C9775D8" w14:textId="77777777" w:rsidR="001F6C65" w:rsidRDefault="001F6C65" w:rsidP="001F6C65">
      <w:pPr>
        <w:rPr>
          <w:color w:val="202124"/>
          <w:shd w:val="clear" w:color="auto" w:fill="FFFFFF"/>
        </w:rPr>
      </w:pPr>
    </w:p>
    <w:p w14:paraId="3990CAEB" w14:textId="07CA7821" w:rsidR="001F6C65" w:rsidRDefault="001F6C65" w:rsidP="001F6C65">
      <w:pPr>
        <w:rPr>
          <w:color w:val="202124"/>
          <w:shd w:val="clear" w:color="auto" w:fill="FFFFFF"/>
        </w:rPr>
      </w:pPr>
      <w:r>
        <w:rPr>
          <w:color w:val="202124"/>
          <w:shd w:val="clear" w:color="auto" w:fill="FFFFFF"/>
        </w:rPr>
        <w:tab/>
        <w:t xml:space="preserve">Upon receiving a call regarding a female refusing to leave the premises in which she was no longer wanted, one began to assess what crime could have been potentially committed in this occurrence and what options had presented themselves. Once arrived at the scene this became abundantly clear. An intoxicated, vulnerable women was refusing to leave a male’s home, the female in question was visibly stressed and getting agitated as time progressed. Due to the fact that the situation was fragile and there were clear signs that it would only escalate if a decision were not promptly made, a breach of the peace was a viable option. A Breach of the peace is defined as, “Harm is done or is likely to </w:t>
      </w:r>
      <w:r w:rsidR="004B753E">
        <w:rPr>
          <w:color w:val="202124"/>
          <w:shd w:val="clear" w:color="auto" w:fill="FFFFFF"/>
        </w:rPr>
        <w:t>be</w:t>
      </w:r>
      <w:r>
        <w:rPr>
          <w:color w:val="202124"/>
          <w:shd w:val="clear" w:color="auto" w:fill="FFFFFF"/>
        </w:rPr>
        <w:t xml:space="preserve"> done to a person, or to his property in his presence, or he is in fear of being harmed through assault, affray riot or other disturbance”. (Breach of the Peace, </w:t>
      </w:r>
      <w:r>
        <w:rPr>
          <w:i/>
          <w:iCs/>
          <w:color w:val="202124"/>
          <w:shd w:val="clear" w:color="auto" w:fill="FFFFFF"/>
        </w:rPr>
        <w:t>Common Law</w:t>
      </w:r>
      <w:r>
        <w:rPr>
          <w:color w:val="202124"/>
          <w:shd w:val="clear" w:color="auto" w:fill="FFFFFF"/>
        </w:rPr>
        <w:t xml:space="preserve">). Nevertheless, engaging with the intoxicated female in an authoritative tone allowed her to focus on the instructions being given to her and she realised the implications of her action’s, resulting in her willingly leaving the property with no arrest needing to be made. However, this was not the end of this occurrence, once outside of the property the female intoxication state became abundantly apparent, due to </w:t>
      </w:r>
      <w:r>
        <w:rPr>
          <w:color w:val="202124"/>
          <w:shd w:val="clear" w:color="auto" w:fill="FFFFFF"/>
        </w:rPr>
        <w:lastRenderedPageBreak/>
        <w:t xml:space="preserve">this she was loitering on the street directly outside the property in which she had just been removed, refusing to move and shouting obscenities to members of the public. Consequently, the female subject was now committing the offence of Drunk and Disorderly, which is defined as, “Any person who in any public place is guilty, while drunk, of disorderly behaviour”. (Section 91 of the </w:t>
      </w:r>
      <w:r>
        <w:rPr>
          <w:i/>
          <w:iCs/>
          <w:color w:val="202124"/>
          <w:shd w:val="clear" w:color="auto" w:fill="FFFFFF"/>
        </w:rPr>
        <w:t xml:space="preserve">Criminal justice Act, </w:t>
      </w:r>
      <w:r>
        <w:rPr>
          <w:color w:val="202124"/>
          <w:shd w:val="clear" w:color="auto" w:fill="FFFFFF"/>
        </w:rPr>
        <w:t xml:space="preserve">1967).  Due to the fact previously in the evening the female followed instructions given by one’s self, the same approach was applied to this incident as it yielded results. When the vulnerable female was told in a slow and controlled manner, with unwavering eye contact, that should she not leave this area and return to the property at any point tonight she would be arrested for being Drunk and Disorderly she realised the implication of her action and moved herself on. Luckily, no further call was received from the female subject, therefore discretion was successfully implemented in the occurrence again. Had one received a further call concerning the inebriated female, she would have been arrested on the spot without hesitation. The rational for this would have been that the earlier execution of discretion evidently did not work, and the female would have to face the consequence. </w:t>
      </w:r>
    </w:p>
    <w:p w14:paraId="02C55EFC" w14:textId="77777777" w:rsidR="001F6C65" w:rsidRDefault="001F6C65" w:rsidP="001F6C65">
      <w:pPr>
        <w:rPr>
          <w:color w:val="202124"/>
          <w:shd w:val="clear" w:color="auto" w:fill="FFFFFF"/>
        </w:rPr>
      </w:pPr>
      <w:r>
        <w:rPr>
          <w:color w:val="202124"/>
          <w:shd w:val="clear" w:color="auto" w:fill="FFFFFF"/>
        </w:rPr>
        <w:tab/>
        <w:t xml:space="preserve">One’s capability to use discretion within this incident can be warranted via the National Decision-making model. The National Decision-making model has six key aspects which are as follows: gathering information and intelligence, assess risk and threat and develop a working strategy, consider powers and policy, identify options and contingency, take action and review. These six key elements are bound together by the code of ethics, which is at the heart of every Police made decision. This model allows for Gwent Police officers to place any situation that one finds themselves in through the model and it will generate the most viable outcome. Due to the fact that situations Police officers find themselves in change at such a rapid pace, it is normal for a situation to be placed through the National Decision-making model a number of time and it to generate a different outcome at every point.  One was able to rational the use of discretion as appose to arrest in this occurrence with the aid of the National Decision- making model. While a Breach of the Peace had the potential of occurring within the premises, one was able to stop this from taking place by engaging and reasoning with the vulnerable women. The vocabulary implemented during this stern discussion resonated with the intoxicated female, as she was then prepared to leave the premises of her own accord therefore achieving the necessary outcome of the situation and ultimately avoiding arrest and using any kind of unnecessary force. Furthermore, an arrest for drunk and disorderly would have been required should the female have not reacted in that way prior to being removed from the premises. From considering the women’s reaction to one’s presence and how she positively responded to Police demands, this became a viable option again to deal with the drunk and disorderly occurrence one was next faced with, all of which was placed through the National Decision-making model prior to being executed. </w:t>
      </w:r>
    </w:p>
    <w:p w14:paraId="68D99334" w14:textId="77777777" w:rsidR="001F6C65" w:rsidRDefault="001F6C65" w:rsidP="001F6C65">
      <w:pPr>
        <w:rPr>
          <w:color w:val="202124"/>
          <w:shd w:val="clear" w:color="auto" w:fill="FFFFFF"/>
        </w:rPr>
      </w:pPr>
      <w:r>
        <w:rPr>
          <w:color w:val="202124"/>
          <w:shd w:val="clear" w:color="auto" w:fill="FFFFFF"/>
        </w:rPr>
        <w:tab/>
        <w:t>The art of utilizing one’s discretion may appear straightforward on the surface but as one takes a closer look the water is far murkier than previously thought. An example being, an elderly man driving without a seat belt, which is an offence, states that he was rushing to the hospital due to the fact his wife has had a sudden heart attack, one lets him on his way with a harsh warning not to do it again. It is completely plausible that the elderly man could be telling the truth, however being in the profession of the Police, it is more than apparent that people lie on a daily basis and every statement should be taken with caution. Thus, should the next person stopped for committing the offence of not wearing a seat belt be let off with just a stern warning as well. What if that next person was a young ethnic minority male, who has intel to suggest he is part of a drug dealing gang in the local area and uses his car to distribute the drugs in question. Is it plausible to give this male a lecture about the benefits of wearing a seatbelt and send him on his way, exactly like the elderly gentleman? Absolutely not, however they have committed the exact same offence. Therefore, it is evident that the weight of the situation must be justified in order for one’s discretion to be implemented.</w:t>
      </w:r>
    </w:p>
    <w:p w14:paraId="7DF131CB" w14:textId="77777777" w:rsidR="001F6C65" w:rsidRPr="003735F8" w:rsidRDefault="001F6C65" w:rsidP="001F6C65">
      <w:pPr>
        <w:rPr>
          <w:color w:val="FF0000"/>
          <w:shd w:val="clear" w:color="auto" w:fill="FFFFFF"/>
        </w:rPr>
      </w:pPr>
      <w:r>
        <w:rPr>
          <w:color w:val="202124"/>
          <w:shd w:val="clear" w:color="auto" w:fill="FFFFFF"/>
        </w:rPr>
        <w:tab/>
      </w:r>
      <w:r w:rsidRPr="00FA5BE7">
        <w:rPr>
          <w:color w:val="auto"/>
          <w:shd w:val="clear" w:color="auto" w:fill="FFFFFF"/>
        </w:rPr>
        <w:t>Moreover, the implementation of an officer’s discretion can be a powerful tool. It can assist in an officer’s ability to appear more human. Due to the fact that Police officers are seen as gate keepers of the law, upholding it at every opportunity, the ability to use discretion as appose to the law can go a long way with service users</w:t>
      </w:r>
      <w:r>
        <w:rPr>
          <w:color w:val="auto"/>
          <w:shd w:val="clear" w:color="auto" w:fill="FFFFFF"/>
        </w:rPr>
        <w:t xml:space="preserve"> of today.</w:t>
      </w:r>
    </w:p>
    <w:p w14:paraId="29102BEA" w14:textId="77777777" w:rsidR="001F6C65" w:rsidRDefault="001F6C65" w:rsidP="001F6C65">
      <w:pPr>
        <w:ind w:firstLine="720"/>
        <w:rPr>
          <w:color w:val="202124"/>
          <w:shd w:val="clear" w:color="auto" w:fill="FFFFFF"/>
        </w:rPr>
      </w:pPr>
      <w:r>
        <w:rPr>
          <w:color w:val="202124"/>
          <w:shd w:val="clear" w:color="auto" w:fill="FFFFFF"/>
        </w:rPr>
        <w:t xml:space="preserve"> It is clear that the potential for un-conscious bias can go hand in hand with the application of discretion.  Unconscious bias is present in every aspect of life today, whether those applying it are aware or not, however for a Police Officer it is more prevalent and needs to be stopped prior to implementation. However, that is easier said than done when un-conscious bias is examined on a greater level. </w:t>
      </w:r>
    </w:p>
    <w:p w14:paraId="6C716A86" w14:textId="77777777" w:rsidR="001F6C65" w:rsidRDefault="001F6C65" w:rsidP="001F6C65">
      <w:pPr>
        <w:ind w:firstLine="720"/>
        <w:rPr>
          <w:color w:val="202124"/>
          <w:shd w:val="clear" w:color="auto" w:fill="FFFFFF"/>
        </w:rPr>
      </w:pPr>
      <w:r>
        <w:rPr>
          <w:color w:val="202124"/>
          <w:shd w:val="clear" w:color="auto" w:fill="FFFFFF"/>
        </w:rPr>
        <w:t>“There is another crucial component that affects our decisions and actions towards others: implicit bias. An implicit bias is any prejudice that has formed unintentionally and without our direct knowledge- and it can often contradict our explicit beliefs and behaviours. Usually, it reflects a mixture of personal experience, attitudes around us as we have grown up, and our wider exposure to society and culture – including the books we read, television we watch and news we follow”. (Wen, 2020)</w:t>
      </w:r>
    </w:p>
    <w:p w14:paraId="56109190" w14:textId="77777777" w:rsidR="001F6C65" w:rsidRPr="00D87062" w:rsidRDefault="001F6C65" w:rsidP="001F6C65">
      <w:pPr>
        <w:rPr>
          <w:color w:val="202124"/>
          <w:shd w:val="clear" w:color="auto" w:fill="FFFFFF"/>
        </w:rPr>
      </w:pPr>
      <w:r>
        <w:rPr>
          <w:color w:val="202124"/>
          <w:shd w:val="clear" w:color="auto" w:fill="FFFFFF"/>
        </w:rPr>
        <w:tab/>
        <w:t xml:space="preserve">Due to the fact that unconscious-bias is ingrained into each individual, the notion of actively shutting it down in relation to decision making becomes that much tougher. As a Police officer one must now ask themselves at every decision-making stage in the National decision-making model, if the decision one has come to has any unconscious-bias connotations, if the answer is yes then the decision is not a viable option. </w:t>
      </w:r>
      <w:r>
        <w:rPr>
          <w:color w:val="202124"/>
          <w:shd w:val="clear" w:color="auto" w:fill="FFFFFF"/>
        </w:rPr>
        <w:lastRenderedPageBreak/>
        <w:t xml:space="preserve">This is paramount as the code of ethic lies at the heart of the National decision-making model. The code documents how every member of society should be treated fairly, regardless of their background or history with the Police and with the upmost compassion and respect. </w:t>
      </w:r>
    </w:p>
    <w:p w14:paraId="54AD16F4" w14:textId="77777777" w:rsidR="001F6C65" w:rsidRDefault="001F6C65" w:rsidP="001F6C65">
      <w:pPr>
        <w:rPr>
          <w:color w:val="202124"/>
          <w:shd w:val="clear" w:color="auto" w:fill="FFFFFF"/>
        </w:rPr>
      </w:pPr>
      <w:r>
        <w:rPr>
          <w:color w:val="202124"/>
          <w:shd w:val="clear" w:color="auto" w:fill="FFFFFF"/>
        </w:rPr>
        <w:tab/>
      </w:r>
    </w:p>
    <w:p w14:paraId="0F568016" w14:textId="20D93608" w:rsidR="001F6C65" w:rsidRDefault="001F6C65" w:rsidP="001F6C65">
      <w:pPr>
        <w:rPr>
          <w:color w:val="202124"/>
          <w:shd w:val="clear" w:color="auto" w:fill="FFFFFF"/>
        </w:rPr>
      </w:pPr>
      <w:r>
        <w:rPr>
          <w:color w:val="202124"/>
          <w:shd w:val="clear" w:color="auto" w:fill="FFFFFF"/>
        </w:rPr>
        <w:tab/>
        <w:t xml:space="preserve">The use of Schon’s reflection model can aid in the understanding of this occurrence on a superior level. The purpose of Schon’s reflection model unlike others, is to reflect after the event as an alternative to reflection during the occurrence. Schon’s argues that this is an excellent learning technique, which leaves the pupil with much more to gain. “Schon proposes a fundamental reorganisation of the ways in which we think about professional practise and the relationship of theory to practise. He reconstructs the epistemology of practise, removing it from its inferior status in relation to theory”. (Munby and Russell, 2006, 71). The enormous advantage of reflecting on an occurrence post event is that one can </w:t>
      </w:r>
      <w:r w:rsidR="004B753E">
        <w:rPr>
          <w:color w:val="202124"/>
          <w:shd w:val="clear" w:color="auto" w:fill="FFFFFF"/>
        </w:rPr>
        <w:t>assess</w:t>
      </w:r>
      <w:r>
        <w:rPr>
          <w:color w:val="202124"/>
          <w:shd w:val="clear" w:color="auto" w:fill="FFFFFF"/>
        </w:rPr>
        <w:t xml:space="preserve"> the entire event from start to finish as one seamless event. Creating the ability to focus on areas that need to be worked on. In comparison to reflecting on decisions made in the real time of an occurrence can ultimately result in overthinking about the issue at hand and cause focus to drift. Thereby, leaving a Police officer in a vulnerable position in a potentially dangerous incident. Evidently, if one can rectify an error in a real time situation, this should be utterly encouraged but not to the detriment of one’s safety and the safety of other service users. </w:t>
      </w:r>
    </w:p>
    <w:p w14:paraId="047C7F9F" w14:textId="130E7B47" w:rsidR="001F6C65" w:rsidRDefault="001F6C65" w:rsidP="001F6C65">
      <w:pPr>
        <w:rPr>
          <w:color w:val="202124"/>
          <w:shd w:val="clear" w:color="auto" w:fill="FFFFFF"/>
        </w:rPr>
      </w:pPr>
      <w:r>
        <w:rPr>
          <w:color w:val="202124"/>
          <w:shd w:val="clear" w:color="auto" w:fill="FFFFFF"/>
        </w:rPr>
        <w:tab/>
        <w:t xml:space="preserve">By using Schon’s reflection model in regard to this particular incident, one can be provided with an overview of the event as well as pointers. Schon’s model of reflection is unique due to the fact that it does not have multiple stages to its reflection, rather it is the difference of reflecting post event rather than throughout. The pair of events that created this particular occurrence worked together seamlessly, allowing for the same action to be taken in each instant. In regard to the initial call of removing a woman from premises that she was not welcome at, there are many </w:t>
      </w:r>
      <w:r>
        <w:rPr>
          <w:color w:val="202124"/>
          <w:shd w:val="clear" w:color="auto" w:fill="FFFFFF"/>
        </w:rPr>
        <w:t>areas</w:t>
      </w:r>
      <w:r>
        <w:rPr>
          <w:color w:val="202124"/>
          <w:shd w:val="clear" w:color="auto" w:fill="FFFFFF"/>
        </w:rPr>
        <w:t xml:space="preserve"> in which to reflect upon. One encouraging result from the occurrence is that one was able to de-escalate the situation by purely using verbal as opposed to any other hands-on tactics. Evidently the intoxicated female was distressed, however she displayed the capacity to comprehend what one was saying. Thus, the intoxicated female following instructions and left the premises with the aid of the Police. Thereby showcasing the strength of one’s verbal communication abilities. Additionally, the repetition of this technique outside the property worked well on the vulnerable female due to the fact that her mood had considerably diminished, and she was showing to be calmer and more at ease. She was able to take on board the fact that she would be committing an offense should she not move on. Her capability to comprehend and uphold a conversation, allowed for one to clarify the law to her and how close she was to breaking it.    </w:t>
      </w:r>
    </w:p>
    <w:p w14:paraId="3738B002" w14:textId="77777777" w:rsidR="001F6C65" w:rsidRDefault="001F6C65" w:rsidP="001F6C65">
      <w:pPr>
        <w:rPr>
          <w:color w:val="202124"/>
          <w:shd w:val="clear" w:color="auto" w:fill="FFFFFF"/>
        </w:rPr>
      </w:pPr>
      <w:r>
        <w:rPr>
          <w:color w:val="202124"/>
          <w:shd w:val="clear" w:color="auto" w:fill="FFFFFF"/>
        </w:rPr>
        <w:tab/>
        <w:t xml:space="preserve">In contrast a learning point from this occurrence would be that putting hands on the intoxicated female to usher her out of the premises should have occurred sooner. This is due to the fact that doing this could have had the potential to shock the female and de-escalate the situation rapidly. Furthermore, one should not be afraid to put hands on a person. One was taught at training school that hands should only be put upon a member of the public if they are being arrested, however the professional development unit has taught one that that is simply not the case. Therefore, when entering into a scenario similar to this once again, one would get hands on as swiftly as possible in order to take control of the event that is evolving. </w:t>
      </w:r>
    </w:p>
    <w:p w14:paraId="14C50DE0" w14:textId="2D9C0419" w:rsidR="001F6C65" w:rsidRDefault="001F6C65" w:rsidP="001F6C65">
      <w:pPr>
        <w:rPr>
          <w:color w:val="202124"/>
          <w:shd w:val="clear" w:color="auto" w:fill="FFFFFF"/>
        </w:rPr>
      </w:pPr>
      <w:r>
        <w:rPr>
          <w:color w:val="202124"/>
          <w:shd w:val="clear" w:color="auto" w:fill="FFFFFF"/>
        </w:rPr>
        <w:tab/>
        <w:t xml:space="preserve">To conclude, one’s choice to execute discretion should not be taken lightly. While it is a fantastic apparatus to implement in an appropriate situation, it should not be used where the power of arrest is necessary. Furthermore, one should not use discretion in order to evade paperwork that goes hand in hand with an arrest. It must be remembered that one’s choice to use discretion can only be used if it can be justified through the National-Decision making model. Therefore, it is evident that the National decision-making model is the most important instrument available to a Gwent Police officer, without it nothing else would operate the way in which it is required. </w:t>
      </w:r>
    </w:p>
    <w:p w14:paraId="5555FA7D" w14:textId="5E776B38" w:rsidR="001F6C65" w:rsidRDefault="001F6C65" w:rsidP="001F6C65">
      <w:pPr>
        <w:rPr>
          <w:color w:val="202124"/>
          <w:shd w:val="clear" w:color="auto" w:fill="FFFFFF"/>
        </w:rPr>
      </w:pPr>
    </w:p>
    <w:p w14:paraId="26592D12" w14:textId="21D6FDCC" w:rsidR="001F6C65" w:rsidRDefault="001F6C65" w:rsidP="001F6C65">
      <w:pPr>
        <w:rPr>
          <w:color w:val="202124"/>
          <w:shd w:val="clear" w:color="auto" w:fill="FFFFFF"/>
        </w:rPr>
      </w:pPr>
      <w:r>
        <w:rPr>
          <w:color w:val="202124"/>
          <w:shd w:val="clear" w:color="auto" w:fill="FFFFFF"/>
        </w:rPr>
        <w:t>Word Count: 2252.</w:t>
      </w:r>
    </w:p>
    <w:p w14:paraId="79BE3F57" w14:textId="77777777" w:rsidR="001F6C65" w:rsidRPr="00450C83" w:rsidRDefault="001F6C65" w:rsidP="00E6298B">
      <w:pPr>
        <w:ind w:right="107"/>
        <w:jc w:val="both"/>
        <w:rPr>
          <w:b/>
          <w:sz w:val="24"/>
          <w:szCs w:val="24"/>
        </w:rPr>
      </w:pP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CA1461" w:rsidRDefault="00575A8F" w:rsidP="00CA1461">
            <w:pPr>
              <w:ind w:right="107"/>
              <w:jc w:val="center"/>
            </w:pPr>
          </w:p>
          <w:p w14:paraId="32CBB0C5" w14:textId="661D5719" w:rsidR="00575A8F" w:rsidRPr="00CA1461" w:rsidRDefault="00CA1461" w:rsidP="00CA1461">
            <w:pPr>
              <w:ind w:right="107"/>
              <w:jc w:val="center"/>
            </w:pPr>
            <w:r w:rsidRPr="00CA1461">
              <w:t>Dealing with conflict (E.G public order offences)</w:t>
            </w: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0E020341" w:rsidR="00575A8F" w:rsidRPr="00CA1461" w:rsidRDefault="00CA1461" w:rsidP="00CA1461">
            <w:pPr>
              <w:ind w:right="107"/>
              <w:jc w:val="center"/>
            </w:pPr>
            <w:r w:rsidRPr="00CA1461">
              <w:t>Due to the fact I have gone through my training process, both in the training school and in the PDU during a pandemic, conflict has been significantly reduced. Therefore, I have dealt with many situations of verbal conflict but not physical. I feel that the time that I am being placed out on shift coincides with the time where bars, nightlife and restaurants are opening up, which should result in more public order issues in the city centre. Ultimately to get more hands-on experience in dealing with conflict situations, I now need to actively call out to attend calls with any possibility of public order occurring.</w:t>
            </w:r>
          </w:p>
        </w:tc>
        <w:tc>
          <w:tcPr>
            <w:tcW w:w="2426" w:type="dxa"/>
            <w:shd w:val="clear" w:color="auto" w:fill="auto"/>
          </w:tcPr>
          <w:p w14:paraId="6F2EF39C" w14:textId="0FB0DB86" w:rsidR="00575A8F" w:rsidRPr="00CA1461" w:rsidRDefault="00CA1461" w:rsidP="00CA1461">
            <w:pPr>
              <w:ind w:right="107"/>
              <w:jc w:val="center"/>
            </w:pPr>
            <w:r w:rsidRPr="00CA1461">
              <w:t>Taking part in city safe on a Friday and Saturday night now that the city centre is more open, is more likely to result in me dealing with conflict and public order offences.</w:t>
            </w:r>
          </w:p>
        </w:tc>
        <w:tc>
          <w:tcPr>
            <w:tcW w:w="2426" w:type="dxa"/>
            <w:shd w:val="clear" w:color="auto" w:fill="auto"/>
          </w:tcPr>
          <w:p w14:paraId="3851D535" w14:textId="0EE26193" w:rsidR="28A9B94D" w:rsidRPr="00CA1461" w:rsidRDefault="00CA1461" w:rsidP="00CA1461">
            <w:pPr>
              <w:jc w:val="center"/>
            </w:pPr>
            <w:r w:rsidRPr="00CA1461">
              <w:t>Within the next 3 months.</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CA1461" w:rsidRDefault="00575A8F" w:rsidP="00CA1461">
            <w:pPr>
              <w:ind w:right="107"/>
              <w:jc w:val="center"/>
            </w:pPr>
          </w:p>
          <w:p w14:paraId="529CC96B" w14:textId="514054FB" w:rsidR="00575A8F" w:rsidRPr="00CA1461" w:rsidRDefault="00CA1461" w:rsidP="00CA1461">
            <w:pPr>
              <w:ind w:right="107"/>
              <w:jc w:val="center"/>
            </w:pPr>
            <w:r w:rsidRPr="00CA1461">
              <w:t>Improving my NICHE skills.</w:t>
            </w: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029BC954" w:rsidR="00575A8F" w:rsidRPr="008C3571" w:rsidRDefault="008C3571" w:rsidP="008C3571">
            <w:pPr>
              <w:ind w:right="107"/>
              <w:jc w:val="center"/>
            </w:pPr>
            <w:r w:rsidRPr="008C3571">
              <w:t xml:space="preserve">NICHE is the system that Policing paperwork centres around. Being so new to Police and therefore new to using the system can be very overwhelming. Being in the PDU we have had experience with using NICHE but not on the level as I will when I am out on shift. I feel like I have a basic understanding of how to navigate my way around NICHE, but I need to gain further </w:t>
            </w:r>
            <w:r w:rsidRPr="008C3571">
              <w:lastRenderedPageBreak/>
              <w:t xml:space="preserve">experience with the system as I will be using it every day. Therefore, the only way for </w:t>
            </w:r>
            <w:r w:rsidR="00CC21F3" w:rsidRPr="008C3571">
              <w:t>me</w:t>
            </w:r>
            <w:r w:rsidRPr="008C3571">
              <w:t xml:space="preserve"> to improve my ability, is to not shy away from paperwork and take the lead when completing it, rather than let others offer to do it for me. Obviously, going out onto shift will require me to use NICHE daily, thus resulting in my ability to use the system to improve dramatically.</w:t>
            </w:r>
          </w:p>
        </w:tc>
        <w:tc>
          <w:tcPr>
            <w:tcW w:w="2426" w:type="dxa"/>
            <w:shd w:val="clear" w:color="auto" w:fill="auto"/>
          </w:tcPr>
          <w:p w14:paraId="7A4C9A77" w14:textId="689AEB0F" w:rsidR="00575A8F" w:rsidRPr="008C3571" w:rsidRDefault="008C3571" w:rsidP="008C3571">
            <w:pPr>
              <w:ind w:right="107"/>
              <w:jc w:val="center"/>
            </w:pPr>
            <w:r w:rsidRPr="008C3571">
              <w:lastRenderedPageBreak/>
              <w:t xml:space="preserve">I know that my shift would always be happy to answer any questions I have regarding issues with NICHE. However, I have to make sure that when they show me anything to do with NICHE that I actively following the instructions myself rather than allowing them to take over. I also feel that I can support myself with this development area, as I </w:t>
            </w:r>
            <w:r w:rsidRPr="008C3571">
              <w:lastRenderedPageBreak/>
              <w:t>will be using the system daily resulting in my understanding of the system growing at a rapid pace.</w:t>
            </w:r>
          </w:p>
        </w:tc>
        <w:tc>
          <w:tcPr>
            <w:tcW w:w="2426" w:type="dxa"/>
            <w:shd w:val="clear" w:color="auto" w:fill="auto"/>
          </w:tcPr>
          <w:p w14:paraId="003BC03B" w14:textId="05CA53FF" w:rsidR="28A9B94D" w:rsidRPr="008C3571" w:rsidRDefault="008C3571" w:rsidP="00BB526D">
            <w:pPr>
              <w:pStyle w:val="NoSpacing"/>
            </w:pPr>
            <w:r w:rsidRPr="008C3571">
              <w:lastRenderedPageBreak/>
              <w:t>Within the next 6 months (However this is a development area that will constantly improve throughout my career)</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2559EA68" w:rsidR="00575A8F" w:rsidRPr="008C3571" w:rsidRDefault="008C3571" w:rsidP="008C3571">
            <w:pPr>
              <w:ind w:right="107"/>
              <w:jc w:val="center"/>
            </w:pPr>
            <w:r w:rsidRPr="008C3571">
              <w:t>Improving my understanding and ability to complete Case Files.</w:t>
            </w: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21B0020D" w:rsidR="00575A8F" w:rsidRPr="00CC21F3" w:rsidRDefault="008C3571" w:rsidP="00CC21F3">
            <w:pPr>
              <w:ind w:right="107"/>
              <w:jc w:val="center"/>
            </w:pPr>
            <w:r w:rsidRPr="00CC21F3">
              <w:t xml:space="preserve">I have not yet completed a full Case file in my training up to this point. The thought of a Case File appears very overwhelming as they appear to be a lot of work and very time consuming when trying to juggle so many other aspects of the job. </w:t>
            </w:r>
            <w:r w:rsidR="00CC21F3" w:rsidRPr="00CC21F3">
              <w:t>However,</w:t>
            </w:r>
            <w:r w:rsidRPr="00CC21F3">
              <w:t xml:space="preserve"> I know that this is part of Policing and I should not be afraid of Case Files. By picking up more complect crimes when out on shift, this will allow me to have to complete more Case Files resulting in me having a better understand of Case Files. </w:t>
            </w:r>
            <w:r w:rsidR="00CC21F3" w:rsidRPr="00CC21F3">
              <w:t>Furthermore,</w:t>
            </w:r>
            <w:r w:rsidRPr="00CC21F3">
              <w:t xml:space="preserve"> by doing this it will allow me to seek advice from others regarding Files and </w:t>
            </w:r>
            <w:r w:rsidR="00CC21F3" w:rsidRPr="00CC21F3">
              <w:t>allow my skills in this area to progress.</w:t>
            </w:r>
          </w:p>
        </w:tc>
        <w:tc>
          <w:tcPr>
            <w:tcW w:w="2426" w:type="dxa"/>
            <w:shd w:val="clear" w:color="auto" w:fill="auto"/>
          </w:tcPr>
          <w:p w14:paraId="76B2A824" w14:textId="0706F9BF" w:rsidR="00575A8F" w:rsidRPr="008C3571" w:rsidRDefault="008C3571" w:rsidP="008C3571">
            <w:pPr>
              <w:ind w:right="107"/>
              <w:jc w:val="center"/>
            </w:pPr>
            <w:r w:rsidRPr="008C3571">
              <w:t>Completing an attachment with the Case files team will give me a greater understanding of Case Files and the best practise when completing them. I also know that I could ask my sergeant for any help regarding completing a Case File and also anyone on my shift.</w:t>
            </w:r>
          </w:p>
        </w:tc>
        <w:tc>
          <w:tcPr>
            <w:tcW w:w="2426" w:type="dxa"/>
            <w:shd w:val="clear" w:color="auto" w:fill="auto"/>
          </w:tcPr>
          <w:p w14:paraId="185B2EE5" w14:textId="1C2E131D" w:rsidR="28A9B94D" w:rsidRPr="00CC21F3" w:rsidRDefault="00CC21F3" w:rsidP="00CC21F3">
            <w:pPr>
              <w:jc w:val="center"/>
            </w:pPr>
            <w:r w:rsidRPr="00CC21F3">
              <w:t>With in the next 6 months (However, again this is an area of development that will constantly improve throughout my career)</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1485CC53"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BFC4C37" w14:textId="4904BF6F" w:rsidR="00843528" w:rsidRDefault="00843528" w:rsidP="00E6298B">
      <w:pPr>
        <w:keepNext/>
        <w:spacing w:before="240" w:after="60"/>
        <w:ind w:right="107"/>
        <w:jc w:val="both"/>
        <w:rPr>
          <w:sz w:val="24"/>
          <w:szCs w:val="24"/>
        </w:rPr>
      </w:pPr>
    </w:p>
    <w:p w14:paraId="2B9DA38D" w14:textId="60864B5E" w:rsidR="00843528" w:rsidRPr="00843528" w:rsidRDefault="00843528" w:rsidP="00843528">
      <w:pPr>
        <w:ind w:right="107"/>
      </w:pPr>
      <w:r w:rsidRPr="00843528">
        <w:t xml:space="preserve">Harbour, E and Sutton, J. (1984) </w:t>
      </w:r>
      <w:r w:rsidRPr="00843528">
        <w:rPr>
          <w:i/>
          <w:iCs/>
        </w:rPr>
        <w:t xml:space="preserve">Sports Medicine. </w:t>
      </w:r>
      <w:r w:rsidRPr="00843528">
        <w:t>1</w:t>
      </w:r>
      <w:r w:rsidRPr="00843528">
        <w:rPr>
          <w:vertAlign w:val="superscript"/>
        </w:rPr>
        <w:t>st</w:t>
      </w:r>
      <w:r w:rsidRPr="00843528">
        <w:t xml:space="preserve"> </w:t>
      </w:r>
      <w:proofErr w:type="spellStart"/>
      <w:r w:rsidRPr="00843528">
        <w:t>edn</w:t>
      </w:r>
      <w:proofErr w:type="spellEnd"/>
      <w:r w:rsidRPr="00843528">
        <w:t>. Switzerland: Springer Nature.</w:t>
      </w:r>
    </w:p>
    <w:p w14:paraId="1B0648C4" w14:textId="77777777" w:rsidR="00843528" w:rsidRPr="00843528" w:rsidRDefault="00843528" w:rsidP="00843528">
      <w:pPr>
        <w:ind w:right="107"/>
      </w:pPr>
    </w:p>
    <w:p w14:paraId="599831E9" w14:textId="5B224518" w:rsidR="00843528" w:rsidRPr="00843528" w:rsidRDefault="00843528" w:rsidP="00843528">
      <w:pPr>
        <w:ind w:right="107"/>
        <w:rPr>
          <w:i/>
          <w:iCs/>
        </w:rPr>
      </w:pPr>
      <w:r w:rsidRPr="00843528">
        <w:t xml:space="preserve">Brand, R, </w:t>
      </w:r>
      <w:proofErr w:type="spellStart"/>
      <w:r w:rsidRPr="00843528">
        <w:t>Timme</w:t>
      </w:r>
      <w:proofErr w:type="spellEnd"/>
      <w:r w:rsidRPr="00843528">
        <w:t xml:space="preserve"> S and Nosrat S (2020) When Pandemic Hits: Exercise Frequency and Subjective Well-Being During COVID-19 Pandemic. </w:t>
      </w:r>
      <w:r w:rsidRPr="00843528">
        <w:rPr>
          <w:i/>
          <w:iCs/>
        </w:rPr>
        <w:t>Front. Psychol. 11:570567. DOI 10.3389/fpsyg.2020.570567.</w:t>
      </w:r>
    </w:p>
    <w:p w14:paraId="4CC184E8" w14:textId="77777777" w:rsidR="00843528" w:rsidRPr="00843528" w:rsidRDefault="00843528" w:rsidP="00843528">
      <w:pPr>
        <w:ind w:right="107"/>
        <w:rPr>
          <w:i/>
          <w:iCs/>
        </w:rPr>
      </w:pPr>
    </w:p>
    <w:p w14:paraId="3EBFA1BE" w14:textId="3714944B" w:rsidR="00843528" w:rsidRPr="00843528" w:rsidRDefault="00843528" w:rsidP="00843528">
      <w:pPr>
        <w:ind w:right="107"/>
      </w:pPr>
      <w:r w:rsidRPr="00843528">
        <w:t xml:space="preserve">Lucas, P. (2012) </w:t>
      </w:r>
      <w:r w:rsidRPr="00843528">
        <w:rPr>
          <w:i/>
          <w:iCs/>
        </w:rPr>
        <w:t xml:space="preserve">Critical reflection. What do we really </w:t>
      </w:r>
      <w:proofErr w:type="gramStart"/>
      <w:r w:rsidRPr="00843528">
        <w:rPr>
          <w:i/>
          <w:iCs/>
        </w:rPr>
        <w:t>mean?</w:t>
      </w:r>
      <w:r w:rsidRPr="00843528">
        <w:t>,</w:t>
      </w:r>
      <w:proofErr w:type="gramEnd"/>
      <w:r w:rsidRPr="00843528">
        <w:t xml:space="preserve"> Australian Collaborative Education Network (ACEN) National Conference Deakin University, Geelong, 2012.</w:t>
      </w:r>
    </w:p>
    <w:p w14:paraId="2B89DD2F" w14:textId="77777777" w:rsidR="00843528" w:rsidRPr="00843528" w:rsidRDefault="00843528" w:rsidP="00843528">
      <w:pPr>
        <w:ind w:right="107"/>
      </w:pPr>
    </w:p>
    <w:p w14:paraId="58ACD7A7" w14:textId="62F7290B" w:rsidR="00843528" w:rsidRPr="00843528" w:rsidRDefault="00843528" w:rsidP="00843528">
      <w:pPr>
        <w:ind w:right="107"/>
      </w:pPr>
      <w:r w:rsidRPr="00843528">
        <w:t xml:space="preserve">Tamarkin, D, Epicurious, (2020), </w:t>
      </w:r>
      <w:hyperlink r:id="rId21" w:history="1">
        <w:r w:rsidRPr="00843528">
          <w:rPr>
            <w:rStyle w:val="Hyperlink"/>
            <w:i/>
            <w:iCs/>
          </w:rPr>
          <w:t>www.epicurious.com</w:t>
        </w:r>
      </w:hyperlink>
      <w:r w:rsidRPr="00843528">
        <w:rPr>
          <w:i/>
          <w:iCs/>
        </w:rPr>
        <w:t xml:space="preserve">, </w:t>
      </w:r>
      <w:hyperlink r:id="rId22" w:history="1">
        <w:r w:rsidRPr="00843528">
          <w:rPr>
            <w:color w:val="0000FF"/>
            <w:u w:val="single"/>
          </w:rPr>
          <w:t>Will Cooking Really Help Us Feel Less Stressed? | Epicurious</w:t>
        </w:r>
      </w:hyperlink>
      <w:r w:rsidRPr="00843528">
        <w:t xml:space="preserve">, (Accessed: 05/04/2021).  </w:t>
      </w:r>
    </w:p>
    <w:p w14:paraId="3EEE6416" w14:textId="77777777" w:rsidR="00843528" w:rsidRPr="00843528" w:rsidRDefault="00843528" w:rsidP="00843528">
      <w:pPr>
        <w:ind w:right="107"/>
      </w:pPr>
    </w:p>
    <w:p w14:paraId="79DA1581" w14:textId="29212A1C" w:rsidR="00843528" w:rsidRPr="00843528" w:rsidRDefault="00843528" w:rsidP="00843528">
      <w:pPr>
        <w:ind w:right="107"/>
      </w:pPr>
      <w:r w:rsidRPr="00843528">
        <w:t xml:space="preserve">Jackson, C and </w:t>
      </w:r>
      <w:proofErr w:type="spellStart"/>
      <w:r w:rsidRPr="00843528">
        <w:t>Thurgate</w:t>
      </w:r>
      <w:proofErr w:type="spellEnd"/>
      <w:r w:rsidRPr="00843528">
        <w:t xml:space="preserve">, C. (2011), </w:t>
      </w:r>
      <w:r w:rsidRPr="00843528">
        <w:rPr>
          <w:i/>
          <w:iCs/>
        </w:rPr>
        <w:t xml:space="preserve">Workplace Learning </w:t>
      </w:r>
      <w:proofErr w:type="gramStart"/>
      <w:r w:rsidRPr="00843528">
        <w:rPr>
          <w:i/>
          <w:iCs/>
        </w:rPr>
        <w:t>In</w:t>
      </w:r>
      <w:proofErr w:type="gramEnd"/>
      <w:r w:rsidRPr="00843528">
        <w:rPr>
          <w:i/>
          <w:iCs/>
        </w:rPr>
        <w:t xml:space="preserve"> Health And Social Care: A Students Guide, </w:t>
      </w:r>
      <w:r w:rsidRPr="00843528">
        <w:t xml:space="preserve">U.K: McGraw-Hill Education. </w:t>
      </w:r>
    </w:p>
    <w:p w14:paraId="78593788" w14:textId="11B44190" w:rsidR="00843528" w:rsidRDefault="00843528" w:rsidP="00843528">
      <w:pPr>
        <w:ind w:right="107"/>
        <w:rPr>
          <w:sz w:val="24"/>
          <w:szCs w:val="24"/>
        </w:rPr>
      </w:pPr>
    </w:p>
    <w:p w14:paraId="07EEDC93" w14:textId="77777777" w:rsidR="00843528" w:rsidRPr="00900C9A" w:rsidRDefault="00843528" w:rsidP="00843528">
      <w:pPr>
        <w:ind w:right="107"/>
        <w:jc w:val="both"/>
      </w:pPr>
      <w:r>
        <w:t xml:space="preserve">Walters, E, 1995, Conflict entry, </w:t>
      </w:r>
      <w:r>
        <w:rPr>
          <w:i/>
          <w:iCs/>
        </w:rPr>
        <w:t>The Cambridge Dictionary,</w:t>
      </w:r>
      <w:r>
        <w:t xml:space="preserve"> Cambridge University Press, Cambridge. </w:t>
      </w:r>
    </w:p>
    <w:p w14:paraId="7190A53A" w14:textId="77777777" w:rsidR="00843528" w:rsidRPr="0058119F" w:rsidRDefault="00843528" w:rsidP="00843528">
      <w:pPr>
        <w:ind w:right="107"/>
        <w:jc w:val="both"/>
      </w:pPr>
    </w:p>
    <w:p w14:paraId="551F9A41" w14:textId="77777777" w:rsidR="00843528" w:rsidRDefault="00843528" w:rsidP="00843528">
      <w:pPr>
        <w:ind w:right="107"/>
        <w:jc w:val="both"/>
      </w:pPr>
      <w:r w:rsidRPr="0058119F">
        <w:rPr>
          <w:i/>
          <w:iCs/>
        </w:rPr>
        <w:t>Theft Act 1968</w:t>
      </w:r>
      <w:r w:rsidRPr="0058119F">
        <w:t xml:space="preserve">, </w:t>
      </w:r>
      <w:r>
        <w:t>S</w:t>
      </w:r>
      <w:r w:rsidRPr="0058119F">
        <w:t xml:space="preserve">ection 1(1). Available at: </w:t>
      </w:r>
      <w:hyperlink r:id="rId23" w:history="1">
        <w:r w:rsidRPr="00777E3D">
          <w:rPr>
            <w:rStyle w:val="Hyperlink"/>
          </w:rPr>
          <w:t>https://www.legislation.gov.uk/ukpga/1968/60/section/1</w:t>
        </w:r>
      </w:hyperlink>
      <w:r>
        <w:t xml:space="preserve"> (Accessed: 21 April 2021)</w:t>
      </w:r>
    </w:p>
    <w:p w14:paraId="386D96F1" w14:textId="77777777" w:rsidR="00843528" w:rsidRDefault="00843528" w:rsidP="00843528">
      <w:pPr>
        <w:ind w:right="107"/>
        <w:jc w:val="both"/>
      </w:pPr>
    </w:p>
    <w:p w14:paraId="5F446188" w14:textId="77777777" w:rsidR="00843528" w:rsidRDefault="00843528" w:rsidP="00843528">
      <w:pPr>
        <w:ind w:right="107"/>
      </w:pPr>
      <w:r w:rsidRPr="00F24A5E">
        <w:rPr>
          <w:i/>
          <w:iCs/>
        </w:rPr>
        <w:t xml:space="preserve">The Police and Criminal Evidence Act 1984, </w:t>
      </w:r>
      <w:r w:rsidRPr="00F24A5E">
        <w:t>Section 117. Available</w:t>
      </w:r>
      <w:r>
        <w:t xml:space="preserve"> </w:t>
      </w:r>
      <w:r w:rsidRPr="00F24A5E">
        <w:t>at</w:t>
      </w:r>
      <w:r>
        <w:t xml:space="preserve">: </w:t>
      </w:r>
      <w:hyperlink r:id="rId24" w:history="1">
        <w:r w:rsidRPr="00134F6A">
          <w:rPr>
            <w:rStyle w:val="Hyperlink"/>
          </w:rPr>
          <w:t>https://www.legislation.gov.uk/ukpga/1984/60/section/117</w:t>
        </w:r>
      </w:hyperlink>
      <w:r w:rsidRPr="00F24A5E">
        <w:t xml:space="preserve"> (Accessed: 23 April 2021)</w:t>
      </w:r>
    </w:p>
    <w:p w14:paraId="5D5E9145" w14:textId="77777777" w:rsidR="00843528" w:rsidRDefault="00843528" w:rsidP="00843528">
      <w:pPr>
        <w:ind w:right="107"/>
      </w:pPr>
    </w:p>
    <w:p w14:paraId="0FF7EF5E" w14:textId="77777777" w:rsidR="00843528" w:rsidRDefault="00843528" w:rsidP="00843528">
      <w:pPr>
        <w:ind w:right="107"/>
        <w:rPr>
          <w:color w:val="auto"/>
        </w:rPr>
      </w:pPr>
      <w:r>
        <w:t xml:space="preserve">The Conflict Training Company (2021), </w:t>
      </w:r>
      <w:r w:rsidRPr="00D45740">
        <w:rPr>
          <w:i/>
          <w:iCs/>
          <w:color w:val="auto"/>
        </w:rPr>
        <w:t>How to use your voice tone, speed and pitch to manage conflict?</w:t>
      </w:r>
      <w:r w:rsidRPr="00D45740">
        <w:rPr>
          <w:color w:val="auto"/>
        </w:rPr>
        <w:t xml:space="preserve"> </w:t>
      </w:r>
      <w:r>
        <w:rPr>
          <w:color w:val="auto"/>
        </w:rPr>
        <w:t>Available at:</w:t>
      </w:r>
      <w:r w:rsidRPr="00D45740">
        <w:t xml:space="preserve"> </w:t>
      </w:r>
      <w:hyperlink r:id="rId25" w:history="1">
        <w:r w:rsidRPr="00D45740">
          <w:rPr>
            <w:color w:val="0000FF"/>
            <w:u w:val="single"/>
          </w:rPr>
          <w:t>Managing Conflict - The Conflict Training Company (conflict-training.co.uk)</w:t>
        </w:r>
      </w:hyperlink>
      <w:r>
        <w:t xml:space="preserve"> (Accessed: 24 April 2021)</w:t>
      </w:r>
      <w:r>
        <w:rPr>
          <w:color w:val="auto"/>
        </w:rPr>
        <w:t xml:space="preserve"> </w:t>
      </w:r>
    </w:p>
    <w:p w14:paraId="35A6A0D2" w14:textId="77777777" w:rsidR="00843528" w:rsidRDefault="00843528" w:rsidP="00843528">
      <w:pPr>
        <w:ind w:right="107"/>
        <w:rPr>
          <w:color w:val="auto"/>
        </w:rPr>
      </w:pPr>
    </w:p>
    <w:p w14:paraId="5474708E" w14:textId="77777777" w:rsidR="00843528" w:rsidRDefault="00843528" w:rsidP="00843528">
      <w:pPr>
        <w:ind w:right="107"/>
        <w:rPr>
          <w:color w:val="auto"/>
        </w:rPr>
      </w:pPr>
      <w:proofErr w:type="spellStart"/>
      <w:r>
        <w:rPr>
          <w:color w:val="auto"/>
        </w:rPr>
        <w:t>Drolet</w:t>
      </w:r>
      <w:proofErr w:type="spellEnd"/>
      <w:r>
        <w:rPr>
          <w:color w:val="auto"/>
        </w:rPr>
        <w:t>, A and Morris, M (2000), ‘Rapport in Conflict Resolution: Accounting for How Face-to-Face Contact Fosters Mutual Cooperation in Mixed-Motive Conflicts’,</w:t>
      </w:r>
      <w:r>
        <w:rPr>
          <w:i/>
          <w:iCs/>
          <w:color w:val="auto"/>
        </w:rPr>
        <w:t xml:space="preserve"> Journal of Experimental Social Psychology, </w:t>
      </w:r>
      <w:r>
        <w:rPr>
          <w:color w:val="auto"/>
        </w:rPr>
        <w:t>Vol.36, Issue 1, pages 26-50.</w:t>
      </w:r>
    </w:p>
    <w:p w14:paraId="120ED061" w14:textId="77777777" w:rsidR="00843528" w:rsidRDefault="00843528" w:rsidP="00843528">
      <w:pPr>
        <w:ind w:right="107"/>
        <w:rPr>
          <w:color w:val="auto"/>
        </w:rPr>
      </w:pPr>
    </w:p>
    <w:p w14:paraId="5D5CD614" w14:textId="77777777" w:rsidR="00843528" w:rsidRDefault="00843528" w:rsidP="00843528">
      <w:pPr>
        <w:ind w:right="107"/>
        <w:rPr>
          <w:color w:val="auto"/>
        </w:rPr>
      </w:pPr>
      <w:r>
        <w:rPr>
          <w:color w:val="auto"/>
        </w:rPr>
        <w:t xml:space="preserve">Smith, J, Roberts, R, (2015), </w:t>
      </w:r>
      <w:r>
        <w:rPr>
          <w:i/>
          <w:iCs/>
          <w:color w:val="auto"/>
        </w:rPr>
        <w:t xml:space="preserve">Vital signs for Nurses: An introduction to clinical observations, </w:t>
      </w:r>
      <w:r>
        <w:rPr>
          <w:color w:val="auto"/>
        </w:rPr>
        <w:t xml:space="preserve">Oxford: Wiley-Blackwell. </w:t>
      </w:r>
    </w:p>
    <w:p w14:paraId="4D8DA9FC" w14:textId="77777777" w:rsidR="00843528" w:rsidRDefault="00843528" w:rsidP="00843528">
      <w:pPr>
        <w:ind w:right="107"/>
        <w:rPr>
          <w:color w:val="auto"/>
        </w:rPr>
      </w:pPr>
    </w:p>
    <w:p w14:paraId="4EBF17E4" w14:textId="77777777" w:rsidR="00843528" w:rsidRDefault="00843528" w:rsidP="00843528">
      <w:pPr>
        <w:ind w:right="107"/>
        <w:rPr>
          <w:color w:val="333333"/>
        </w:rPr>
      </w:pPr>
      <w:r w:rsidRPr="00CD28A0">
        <w:rPr>
          <w:color w:val="333333"/>
        </w:rPr>
        <w:t xml:space="preserve">Berglund, </w:t>
      </w:r>
      <w:proofErr w:type="spellStart"/>
      <w:r w:rsidRPr="00CD28A0">
        <w:rPr>
          <w:color w:val="333333"/>
        </w:rPr>
        <w:t>Sjögren</w:t>
      </w:r>
      <w:proofErr w:type="spellEnd"/>
      <w:r w:rsidRPr="00CD28A0">
        <w:rPr>
          <w:color w:val="333333"/>
        </w:rPr>
        <w:t xml:space="preserve">, and </w:t>
      </w:r>
      <w:proofErr w:type="spellStart"/>
      <w:r w:rsidRPr="00CD28A0">
        <w:rPr>
          <w:color w:val="333333"/>
        </w:rPr>
        <w:t>Ekesbergh</w:t>
      </w:r>
      <w:proofErr w:type="spellEnd"/>
      <w:r>
        <w:rPr>
          <w:color w:val="333333"/>
        </w:rPr>
        <w:t xml:space="preserve">, (2012),’Reflect and learn together- when two supervisors interact in the learning support process of nurse education’, </w:t>
      </w:r>
      <w:r>
        <w:rPr>
          <w:i/>
          <w:iCs/>
          <w:color w:val="333333"/>
        </w:rPr>
        <w:t xml:space="preserve">Journal of Nursing Management, </w:t>
      </w:r>
      <w:r>
        <w:rPr>
          <w:color w:val="333333"/>
        </w:rPr>
        <w:t xml:space="preserve">Volume 20, Issue 2, 152-158. </w:t>
      </w:r>
    </w:p>
    <w:p w14:paraId="14045C86" w14:textId="77777777" w:rsidR="00843528" w:rsidRDefault="00843528" w:rsidP="00843528">
      <w:pPr>
        <w:ind w:right="107"/>
        <w:rPr>
          <w:color w:val="333333"/>
        </w:rPr>
      </w:pPr>
    </w:p>
    <w:p w14:paraId="065E3A3A" w14:textId="6BFFD8AC" w:rsidR="00843528" w:rsidRDefault="00843528" w:rsidP="00843528">
      <w:pPr>
        <w:ind w:right="107"/>
        <w:rPr>
          <w:color w:val="auto"/>
        </w:rPr>
      </w:pPr>
      <w:proofErr w:type="spellStart"/>
      <w:r w:rsidRPr="000470EB">
        <w:rPr>
          <w:color w:val="auto"/>
        </w:rPr>
        <w:t>Yanfei</w:t>
      </w:r>
      <w:proofErr w:type="spellEnd"/>
      <w:r w:rsidRPr="000470EB">
        <w:rPr>
          <w:color w:val="auto"/>
        </w:rPr>
        <w:t xml:space="preserve">, L, </w:t>
      </w:r>
      <w:proofErr w:type="spellStart"/>
      <w:r w:rsidRPr="000470EB">
        <w:rPr>
          <w:color w:val="auto"/>
        </w:rPr>
        <w:t>Weiju</w:t>
      </w:r>
      <w:proofErr w:type="spellEnd"/>
      <w:r w:rsidRPr="000470EB">
        <w:rPr>
          <w:color w:val="auto"/>
        </w:rPr>
        <w:t xml:space="preserve">, C, </w:t>
      </w:r>
      <w:proofErr w:type="spellStart"/>
      <w:r w:rsidRPr="000470EB">
        <w:rPr>
          <w:color w:val="auto"/>
        </w:rPr>
        <w:t>Cuiging</w:t>
      </w:r>
      <w:proofErr w:type="spellEnd"/>
      <w:r w:rsidRPr="000470EB">
        <w:rPr>
          <w:color w:val="auto"/>
        </w:rPr>
        <w:t xml:space="preserve"> L, </w:t>
      </w:r>
      <w:proofErr w:type="spellStart"/>
      <w:r w:rsidRPr="000470EB">
        <w:rPr>
          <w:color w:val="auto"/>
        </w:rPr>
        <w:t>Minping</w:t>
      </w:r>
      <w:proofErr w:type="spellEnd"/>
      <w:r w:rsidRPr="000470EB">
        <w:rPr>
          <w:color w:val="auto"/>
        </w:rPr>
        <w:t xml:space="preserve"> D,</w:t>
      </w:r>
      <w:r>
        <w:rPr>
          <w:color w:val="auto"/>
        </w:rPr>
        <w:t xml:space="preserve"> (2020),’Nurses’ Psychological Feelings About the Application of Gibbs Reflective Cycle of Adverse Events, </w:t>
      </w:r>
      <w:r>
        <w:rPr>
          <w:i/>
          <w:iCs/>
          <w:color w:val="auto"/>
        </w:rPr>
        <w:t xml:space="preserve">American Journal of nursing Science, </w:t>
      </w:r>
      <w:r>
        <w:rPr>
          <w:color w:val="auto"/>
        </w:rPr>
        <w:t>Volume 9, Issue 2, 74-78.</w:t>
      </w:r>
    </w:p>
    <w:p w14:paraId="51282091" w14:textId="0B762BAD" w:rsidR="001F6C65" w:rsidRDefault="001F6C65" w:rsidP="00843528">
      <w:pPr>
        <w:ind w:right="107"/>
        <w:rPr>
          <w:color w:val="auto"/>
        </w:rPr>
      </w:pPr>
    </w:p>
    <w:p w14:paraId="08706D6B" w14:textId="77777777" w:rsidR="001F6C65" w:rsidRDefault="001F6C65" w:rsidP="001F6C65">
      <w:r w:rsidRPr="00DF417C">
        <w:rPr>
          <w:i/>
          <w:iCs/>
        </w:rPr>
        <w:t xml:space="preserve">The Mental Health Act 1983, </w:t>
      </w:r>
      <w:r w:rsidRPr="00DF417C">
        <w:t>Section 136. Available at:</w:t>
      </w:r>
      <w:r>
        <w:t xml:space="preserve"> </w:t>
      </w:r>
      <w:hyperlink r:id="rId26" w:history="1">
        <w:r>
          <w:rPr>
            <w:rStyle w:val="Hyperlink"/>
          </w:rPr>
          <w:t>Mental Health Act 1983 (legislation.gov.uk)</w:t>
        </w:r>
      </w:hyperlink>
      <w:r>
        <w:t>, (Accessed: 4 May 2021)</w:t>
      </w:r>
    </w:p>
    <w:p w14:paraId="5C226A40" w14:textId="77777777" w:rsidR="001F6C65" w:rsidRDefault="001F6C65" w:rsidP="001F6C65"/>
    <w:p w14:paraId="2F5304EC" w14:textId="77777777" w:rsidR="001F6C65" w:rsidRDefault="001F6C65" w:rsidP="001F6C65">
      <w:pPr>
        <w:rPr>
          <w:lang w:val="en"/>
        </w:rPr>
      </w:pPr>
      <w:r>
        <w:t xml:space="preserve">Peterson. R and Pennington. B, (2015), ‘Annual Review of Clinical Psychology’, </w:t>
      </w:r>
      <w:r>
        <w:rPr>
          <w:i/>
          <w:iCs/>
        </w:rPr>
        <w:t xml:space="preserve">Developmental Dyslexia, </w:t>
      </w:r>
      <w:r>
        <w:t xml:space="preserve">Peterson R and Pennington B, Available at: </w:t>
      </w:r>
      <w:hyperlink r:id="rId27" w:history="1">
        <w:r>
          <w:rPr>
            <w:rStyle w:val="Hyperlink"/>
            <w:lang w:val="en"/>
          </w:rPr>
          <w:t>https://doi.org/10.1146/annurev-clinpsy-032814-112842</w:t>
        </w:r>
      </w:hyperlink>
      <w:r>
        <w:rPr>
          <w:lang w:val="en"/>
        </w:rPr>
        <w:t>, (Accessed date: 4 May 2021)</w:t>
      </w:r>
    </w:p>
    <w:p w14:paraId="1EF0AC40" w14:textId="77777777" w:rsidR="001F6C65" w:rsidRDefault="001F6C65" w:rsidP="001F6C65">
      <w:pPr>
        <w:rPr>
          <w:lang w:val="en"/>
        </w:rPr>
      </w:pPr>
    </w:p>
    <w:p w14:paraId="120CD6EA" w14:textId="77777777" w:rsidR="001F6C65" w:rsidRDefault="001F6C65" w:rsidP="001F6C65">
      <w:pPr>
        <w:rPr>
          <w:lang w:val="en"/>
        </w:rPr>
      </w:pPr>
      <w:proofErr w:type="spellStart"/>
      <w:r>
        <w:rPr>
          <w:lang w:val="en"/>
        </w:rPr>
        <w:t>Turecki</w:t>
      </w:r>
      <w:proofErr w:type="spellEnd"/>
      <w:r>
        <w:rPr>
          <w:lang w:val="en"/>
        </w:rPr>
        <w:t xml:space="preserve"> G, Brent DA, (2016), ‘Suicide and suicidal behavior’,</w:t>
      </w:r>
      <w:r>
        <w:rPr>
          <w:i/>
          <w:iCs/>
          <w:lang w:val="en"/>
        </w:rPr>
        <w:t xml:space="preserve"> The Lancet,</w:t>
      </w:r>
      <w:r>
        <w:rPr>
          <w:lang w:val="en"/>
        </w:rPr>
        <w:t xml:space="preserve"> </w:t>
      </w:r>
      <w:proofErr w:type="spellStart"/>
      <w:r>
        <w:rPr>
          <w:lang w:val="en"/>
        </w:rPr>
        <w:t>Turecki</w:t>
      </w:r>
      <w:proofErr w:type="spellEnd"/>
      <w:r>
        <w:rPr>
          <w:lang w:val="en"/>
        </w:rPr>
        <w:t xml:space="preserve"> G, Brent DA, Available at: </w:t>
      </w:r>
      <w:hyperlink r:id="rId28" w:history="1">
        <w:r w:rsidRPr="005646DE">
          <w:rPr>
            <w:rStyle w:val="Hyperlink"/>
            <w:lang w:val="en"/>
          </w:rPr>
          <w:t>https://www.sciencedirect.com/science/article/abs/pii/S0140673615002342</w:t>
        </w:r>
      </w:hyperlink>
      <w:r>
        <w:rPr>
          <w:lang w:val="en"/>
        </w:rPr>
        <w:t xml:space="preserve"> (Accessed date: 5 May 2021)</w:t>
      </w:r>
    </w:p>
    <w:p w14:paraId="119D8350" w14:textId="77777777" w:rsidR="001F6C65" w:rsidRDefault="001F6C65" w:rsidP="001F6C65">
      <w:pPr>
        <w:rPr>
          <w:lang w:val="en"/>
        </w:rPr>
      </w:pPr>
    </w:p>
    <w:p w14:paraId="62C33F4B" w14:textId="2C250B6B" w:rsidR="001F6C65" w:rsidRDefault="001F6C65" w:rsidP="001F6C65">
      <w:pPr>
        <w:rPr>
          <w:lang w:val="en"/>
        </w:rPr>
      </w:pPr>
      <w:r>
        <w:rPr>
          <w:lang w:val="en"/>
        </w:rPr>
        <w:t xml:space="preserve">John’s. </w:t>
      </w:r>
      <w:proofErr w:type="gramStart"/>
      <w:r>
        <w:rPr>
          <w:lang w:val="en"/>
        </w:rPr>
        <w:t>C,(</w:t>
      </w:r>
      <w:proofErr w:type="gramEnd"/>
      <w:r>
        <w:rPr>
          <w:lang w:val="en"/>
        </w:rPr>
        <w:t xml:space="preserve">2002), </w:t>
      </w:r>
      <w:r>
        <w:rPr>
          <w:i/>
          <w:iCs/>
          <w:lang w:val="en"/>
        </w:rPr>
        <w:t>Guided Reflection, A narrative approach to advancing professional practice,</w:t>
      </w:r>
      <w:r>
        <w:rPr>
          <w:lang w:val="en"/>
        </w:rPr>
        <w:t xml:space="preserve"> 2</w:t>
      </w:r>
      <w:r w:rsidRPr="00BB5385">
        <w:rPr>
          <w:vertAlign w:val="superscript"/>
          <w:lang w:val="en"/>
        </w:rPr>
        <w:t>nd</w:t>
      </w:r>
      <w:r>
        <w:rPr>
          <w:lang w:val="en"/>
        </w:rPr>
        <w:t xml:space="preserve"> Edition, Wiley Blackwell. </w:t>
      </w:r>
    </w:p>
    <w:p w14:paraId="2433D786" w14:textId="73DFE660" w:rsidR="001F6C65" w:rsidRDefault="001F6C65" w:rsidP="001F6C65">
      <w:pPr>
        <w:rPr>
          <w:lang w:val="en"/>
        </w:rPr>
      </w:pPr>
    </w:p>
    <w:p w14:paraId="12CF50FC" w14:textId="77777777" w:rsidR="001F6C65" w:rsidRDefault="001F6C65" w:rsidP="001F6C65">
      <w:r>
        <w:t xml:space="preserve">Minor, W, 1884, Discretion entry, </w:t>
      </w:r>
      <w:r>
        <w:rPr>
          <w:i/>
          <w:iCs/>
        </w:rPr>
        <w:t xml:space="preserve">The Oxford Dictionary, </w:t>
      </w:r>
      <w:r>
        <w:t xml:space="preserve">Oxford University Press, Oxford. </w:t>
      </w:r>
    </w:p>
    <w:p w14:paraId="3662981B" w14:textId="77777777" w:rsidR="001F6C65" w:rsidRDefault="001F6C65" w:rsidP="001F6C65"/>
    <w:p w14:paraId="7F72255D" w14:textId="77777777" w:rsidR="001F6C65" w:rsidRDefault="001F6C65" w:rsidP="001F6C65">
      <w:r>
        <w:rPr>
          <w:i/>
          <w:iCs/>
        </w:rPr>
        <w:t xml:space="preserve">Common Law, </w:t>
      </w:r>
      <w:r>
        <w:t xml:space="preserve">Breach of the Peace. </w:t>
      </w:r>
    </w:p>
    <w:p w14:paraId="59104DA8" w14:textId="77777777" w:rsidR="001F6C65" w:rsidRDefault="001F6C65" w:rsidP="001F6C65"/>
    <w:p w14:paraId="617FFD05" w14:textId="77777777" w:rsidR="001F6C65" w:rsidRDefault="001F6C65" w:rsidP="001F6C65">
      <w:r>
        <w:rPr>
          <w:i/>
          <w:iCs/>
        </w:rPr>
        <w:t xml:space="preserve">Criminal Justice Act 1967, </w:t>
      </w:r>
      <w:r>
        <w:t xml:space="preserve">Section 91, Available At: </w:t>
      </w:r>
      <w:hyperlink r:id="rId29" w:history="1">
        <w:r>
          <w:rPr>
            <w:rStyle w:val="Hyperlink"/>
          </w:rPr>
          <w:t>Criminal Justice Act 1967 (legislation.gov.uk)</w:t>
        </w:r>
      </w:hyperlink>
      <w:r>
        <w:t>, (Accessed on: 29</w:t>
      </w:r>
      <w:r w:rsidRPr="00617BB0">
        <w:rPr>
          <w:vertAlign w:val="superscript"/>
        </w:rPr>
        <w:t>th</w:t>
      </w:r>
      <w:r>
        <w:t xml:space="preserve"> May 2021).</w:t>
      </w:r>
    </w:p>
    <w:p w14:paraId="061AA49A" w14:textId="77777777" w:rsidR="001F6C65" w:rsidRDefault="001F6C65" w:rsidP="001F6C65"/>
    <w:p w14:paraId="47295E1E" w14:textId="77777777" w:rsidR="001F6C65" w:rsidRDefault="001F6C65" w:rsidP="001F6C65">
      <w:r>
        <w:t xml:space="preserve">BBC (2020), ‘Is it possible to rid Police Officers of bias?’, </w:t>
      </w:r>
      <w:r>
        <w:rPr>
          <w:i/>
          <w:iCs/>
        </w:rPr>
        <w:t>BBC Future,</w:t>
      </w:r>
      <w:r>
        <w:t xml:space="preserve"> 28</w:t>
      </w:r>
      <w:r w:rsidRPr="00B0510E">
        <w:rPr>
          <w:vertAlign w:val="superscript"/>
        </w:rPr>
        <w:t>th</w:t>
      </w:r>
      <w:r>
        <w:t xml:space="preserve"> August 2020. Available At: </w:t>
      </w:r>
      <w:hyperlink r:id="rId30" w:history="1">
        <w:r w:rsidRPr="00715F37">
          <w:rPr>
            <w:rStyle w:val="Hyperlink"/>
          </w:rPr>
          <w:t>http://www.bbc.com/future/article/20200827-is-it-possible-to-rid-police-officers-of-bias</w:t>
        </w:r>
      </w:hyperlink>
      <w:r>
        <w:t xml:space="preserve"> (Accessed </w:t>
      </w:r>
      <w:proofErr w:type="gramStart"/>
      <w:r>
        <w:t>on:</w:t>
      </w:r>
      <w:proofErr w:type="gramEnd"/>
      <w:r>
        <w:t xml:space="preserve"> 3</w:t>
      </w:r>
      <w:r w:rsidRPr="00B0510E">
        <w:rPr>
          <w:vertAlign w:val="superscript"/>
        </w:rPr>
        <w:t>rd</w:t>
      </w:r>
      <w:r>
        <w:t xml:space="preserve"> of June 2021).</w:t>
      </w:r>
    </w:p>
    <w:p w14:paraId="190C8B41" w14:textId="77777777" w:rsidR="001F6C65" w:rsidRDefault="001F6C65" w:rsidP="001F6C65"/>
    <w:p w14:paraId="1146F4BD" w14:textId="77777777" w:rsidR="001F6C65" w:rsidRPr="000C698F" w:rsidRDefault="001F6C65" w:rsidP="001F6C65">
      <w:r>
        <w:t xml:space="preserve">Munby, H and Russell, </w:t>
      </w:r>
      <w:proofErr w:type="gramStart"/>
      <w:r>
        <w:t>T,(</w:t>
      </w:r>
      <w:proofErr w:type="gramEnd"/>
      <w:r>
        <w:t xml:space="preserve">2006), ‘Educating the reflective teacher: an essay review of two books by Donald Schon’, </w:t>
      </w:r>
      <w:r>
        <w:rPr>
          <w:i/>
          <w:iCs/>
        </w:rPr>
        <w:t xml:space="preserve">Journal of Curriculum Studies, </w:t>
      </w:r>
      <w:r>
        <w:t>Vol. 21, Issue 1, pages 71-80.</w:t>
      </w:r>
    </w:p>
    <w:p w14:paraId="6F95E1A4" w14:textId="77777777" w:rsidR="001F6C65" w:rsidRPr="00BB5385" w:rsidRDefault="001F6C65" w:rsidP="001F6C65">
      <w:pPr>
        <w:rPr>
          <w:lang w:val="en"/>
        </w:rPr>
      </w:pPr>
    </w:p>
    <w:p w14:paraId="4F764CE3" w14:textId="77777777" w:rsidR="001F6C65" w:rsidRPr="006A14BE" w:rsidRDefault="001F6C65" w:rsidP="00843528">
      <w:pPr>
        <w:ind w:right="107"/>
        <w:rPr>
          <w:color w:val="auto"/>
        </w:rPr>
      </w:pPr>
    </w:p>
    <w:p w14:paraId="4B43ED2E" w14:textId="77777777" w:rsidR="00843528" w:rsidRPr="00843528" w:rsidRDefault="00843528" w:rsidP="00843528">
      <w:pPr>
        <w:ind w:right="107"/>
        <w:rPr>
          <w:sz w:val="24"/>
          <w:szCs w:val="24"/>
        </w:rPr>
      </w:pPr>
    </w:p>
    <w:p w14:paraId="5630DD10" w14:textId="77777777" w:rsidR="00843528" w:rsidRPr="00270EEB" w:rsidRDefault="00843528" w:rsidP="00E6298B">
      <w:pPr>
        <w:keepNext/>
        <w:spacing w:before="240" w:after="60"/>
        <w:ind w:right="107"/>
        <w:jc w:val="both"/>
        <w:rPr>
          <w:b/>
          <w:sz w:val="24"/>
          <w:szCs w:val="24"/>
        </w:rPr>
      </w:pP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 xml:space="preserve">By signing the section </w:t>
      </w:r>
      <w:proofErr w:type="gramStart"/>
      <w:r w:rsidRPr="2E5ED9CE">
        <w:rPr>
          <w:rFonts w:eastAsia="Arial"/>
          <w:i/>
          <w:iCs/>
          <w:sz w:val="24"/>
          <w:szCs w:val="24"/>
        </w:rPr>
        <w:t>below</w:t>
      </w:r>
      <w:proofErr w:type="gramEnd"/>
      <w:r w:rsidRPr="2E5ED9CE">
        <w:rPr>
          <w:rFonts w:eastAsia="Arial"/>
          <w:i/>
          <w:iCs/>
          <w:sz w:val="24"/>
          <w:szCs w:val="24"/>
        </w:rPr>
        <w:t xml:space="preserve">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w:t>
      </w:r>
      <w:proofErr w:type="gramStart"/>
      <w:r w:rsidRPr="28A9B94D">
        <w:rPr>
          <w:rFonts w:eastAsia="Arial"/>
          <w:sz w:val="24"/>
          <w:szCs w:val="24"/>
        </w:rPr>
        <w:t>to</w:t>
      </w:r>
      <w:proofErr w:type="gramEnd"/>
      <w:r w:rsidRPr="28A9B94D">
        <w:rPr>
          <w:rFonts w:eastAsia="Arial"/>
          <w:sz w:val="24"/>
          <w:szCs w:val="24"/>
        </w:rPr>
        <w:t xml:space="preserve"> the regulations. </w:t>
      </w:r>
    </w:p>
    <w:p w14:paraId="7858FF3E" w14:textId="624D4466" w:rsidR="28A9B94D" w:rsidRDefault="28A9B94D">
      <w:r w:rsidRPr="28A9B94D">
        <w:rPr>
          <w:rFonts w:eastAsia="Arial"/>
          <w:b/>
          <w:bCs/>
          <w:sz w:val="24"/>
          <w:szCs w:val="24"/>
        </w:rPr>
        <w:t xml:space="preserve"> </w:t>
      </w:r>
    </w:p>
    <w:p w14:paraId="01A8D117" w14:textId="55E435CD" w:rsidR="28A9B94D" w:rsidRDefault="28A9B94D" w:rsidP="28A9B94D">
      <w:pPr>
        <w:jc w:val="both"/>
      </w:pPr>
      <w:r w:rsidRPr="2E5ED9CE">
        <w:rPr>
          <w:rFonts w:eastAsia="Arial"/>
          <w:sz w:val="24"/>
          <w:szCs w:val="24"/>
        </w:rPr>
        <w:t>Signed</w:t>
      </w:r>
      <w:r w:rsidR="001F6C65">
        <w:rPr>
          <w:rFonts w:eastAsia="Arial"/>
          <w:sz w:val="24"/>
          <w:szCs w:val="24"/>
        </w:rPr>
        <w:t>: Hannah Cathryn Morgan</w:t>
      </w:r>
      <w:r w:rsidRPr="2E5ED9CE">
        <w:rPr>
          <w:rFonts w:eastAsia="Arial"/>
          <w:sz w:val="24"/>
          <w:szCs w:val="24"/>
        </w:rPr>
        <w:t xml:space="preserve">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538BFC0C" w:rsidR="28A9B94D" w:rsidRDefault="28A9B94D" w:rsidP="28A9B94D">
      <w:pPr>
        <w:jc w:val="both"/>
      </w:pPr>
      <w:r w:rsidRPr="28A9B94D">
        <w:rPr>
          <w:rFonts w:eastAsia="Arial"/>
          <w:sz w:val="24"/>
          <w:szCs w:val="24"/>
        </w:rPr>
        <w:t xml:space="preserve">Date: </w:t>
      </w:r>
      <w:r w:rsidR="001F6C65">
        <w:rPr>
          <w:rFonts w:eastAsia="Arial"/>
          <w:sz w:val="24"/>
          <w:szCs w:val="24"/>
        </w:rPr>
        <w:t xml:space="preserve"> 17/06/2021</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491CC0" w14:textId="77777777" w:rsidR="000F2A2C" w:rsidRDefault="000F2A2C">
      <w:r>
        <w:separator/>
      </w:r>
    </w:p>
  </w:endnote>
  <w:endnote w:type="continuationSeparator" w:id="0">
    <w:p w14:paraId="01151261" w14:textId="77777777" w:rsidR="000F2A2C" w:rsidRDefault="000F2A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2EF642" w14:textId="77777777" w:rsidR="000F2A2C" w:rsidRDefault="000F2A2C">
      <w:r>
        <w:separator/>
      </w:r>
    </w:p>
  </w:footnote>
  <w:footnote w:type="continuationSeparator" w:id="0">
    <w:p w14:paraId="39FACC27" w14:textId="77777777" w:rsidR="000F2A2C" w:rsidRDefault="000F2A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5B2809"/>
    <w:multiLevelType w:val="hybridMultilevel"/>
    <w:tmpl w:val="D38AD47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454E14CF"/>
    <w:multiLevelType w:val="hybridMultilevel"/>
    <w:tmpl w:val="90A2F94E"/>
    <w:lvl w:ilvl="0" w:tplc="279E240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5"/>
  </w:num>
  <w:num w:numId="5">
    <w:abstractNumId w:val="0"/>
  </w:num>
  <w:num w:numId="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3"/>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2A2C"/>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1F6C65"/>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37798"/>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B753E"/>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14BB"/>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528"/>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3571"/>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26D"/>
    <w:rsid w:val="00BB5EAA"/>
    <w:rsid w:val="00BB5F11"/>
    <w:rsid w:val="00BC04FA"/>
    <w:rsid w:val="00BC1C22"/>
    <w:rsid w:val="00BC460B"/>
    <w:rsid w:val="00BC5725"/>
    <w:rsid w:val="00BD30B1"/>
    <w:rsid w:val="00BE0F7B"/>
    <w:rsid w:val="00BE10C2"/>
    <w:rsid w:val="00C01D14"/>
    <w:rsid w:val="00C025B4"/>
    <w:rsid w:val="00C146E7"/>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7507A"/>
    <w:rsid w:val="00C8089F"/>
    <w:rsid w:val="00C836CC"/>
    <w:rsid w:val="00C87A74"/>
    <w:rsid w:val="00C92C71"/>
    <w:rsid w:val="00C93F8F"/>
    <w:rsid w:val="00CA1461"/>
    <w:rsid w:val="00CA3593"/>
    <w:rsid w:val="00CB143A"/>
    <w:rsid w:val="00CB258E"/>
    <w:rsid w:val="00CB3C8F"/>
    <w:rsid w:val="00CC02F1"/>
    <w:rsid w:val="00CC11A6"/>
    <w:rsid w:val="00CC135E"/>
    <w:rsid w:val="00CC21F3"/>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04C"/>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Spacing">
    <w:name w:val="No Spacing"/>
    <w:uiPriority w:val="1"/>
    <w:qFormat/>
    <w:rsid w:val="00BB526D"/>
    <w:pPr>
      <w:overflowPunct w:val="0"/>
      <w:autoSpaceDE w:val="0"/>
      <w:autoSpaceDN w:val="0"/>
      <w:adjustRightInd w:val="0"/>
      <w:textAlignment w:val="baseline"/>
    </w:pPr>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legislation.gov.uk/ukpga/1983/20/section/136" TargetMode="External"/><Relationship Id="rId3" Type="http://schemas.openxmlformats.org/officeDocument/2006/relationships/customXml" Target="../customXml/item3.xml"/><Relationship Id="rId21" Type="http://schemas.openxmlformats.org/officeDocument/2006/relationships/hyperlink" Target="http://www.epicurious.com"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conflict-training.co.uk/how-to-use-your-voice-tone-speed-and-pitch-to-manage-conflict/"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tandfonline.com/doi/full/10.1080/00131881.2020.1711790" TargetMode="External"/><Relationship Id="rId29" Type="http://schemas.openxmlformats.org/officeDocument/2006/relationships/hyperlink" Target="https://www.legislation.gov.uk/ukpga/1967/80/section/9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1984/60/section/117"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legislation.gov.uk/ukpga/1968/60/section/1" TargetMode="External"/><Relationship Id="rId28" Type="http://schemas.openxmlformats.org/officeDocument/2006/relationships/hyperlink" Target="https://www.sciencedirect.com/science/article/abs/pii/S0140673615002342"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epicurious.com/expert-advice/will-cooking-really-help-us-feel-less-stressed-article" TargetMode="External"/><Relationship Id="rId27" Type="http://schemas.openxmlformats.org/officeDocument/2006/relationships/hyperlink" Target="https://doi.org/10.1146/annurev-clinpsy-032814-112842" TargetMode="External"/><Relationship Id="rId30" Type="http://schemas.openxmlformats.org/officeDocument/2006/relationships/hyperlink" Target="http://www.bbc.com/future/article/20200827-is-it-possible-to-rid-police-officers-of-bi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10428</Words>
  <Characters>59445</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Morgan, Hannah</cp:lastModifiedBy>
  <cp:revision>2</cp:revision>
  <cp:lastPrinted>2019-08-13T11:47:00Z</cp:lastPrinted>
  <dcterms:created xsi:type="dcterms:W3CDTF">2021-06-17T16:12:00Z</dcterms:created>
  <dcterms:modified xsi:type="dcterms:W3CDTF">2021-06-17T16:12:00Z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