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57F3A" w14:textId="61CA0660" w:rsidR="00A048A5" w:rsidRDefault="00A048A5" w:rsidP="00A048A5">
      <w:pPr>
        <w:spacing w:after="0" w:line="360" w:lineRule="auto"/>
        <w:jc w:val="center"/>
        <w:rPr>
          <w:rFonts w:ascii="Arial" w:hAnsi="Arial" w:cs="Arial"/>
          <w:b/>
          <w:sz w:val="24"/>
          <w:szCs w:val="24"/>
        </w:rPr>
      </w:pPr>
      <w:r w:rsidRPr="00117EC1">
        <w:rPr>
          <w:rFonts w:ascii="Arial" w:hAnsi="Arial" w:cs="Arial"/>
          <w:b/>
          <w:sz w:val="24"/>
          <w:szCs w:val="24"/>
        </w:rPr>
        <w:t>LCLM</w:t>
      </w:r>
      <w:r>
        <w:rPr>
          <w:rFonts w:ascii="Arial" w:hAnsi="Arial" w:cs="Arial"/>
          <w:b/>
          <w:sz w:val="24"/>
          <w:szCs w:val="24"/>
        </w:rPr>
        <w:t>600</w:t>
      </w:r>
      <w:r>
        <w:rPr>
          <w:rFonts w:ascii="Arial" w:hAnsi="Arial" w:cs="Arial"/>
          <w:b/>
          <w:sz w:val="24"/>
          <w:szCs w:val="24"/>
        </w:rPr>
        <w:t>1</w:t>
      </w:r>
      <w:r>
        <w:rPr>
          <w:rFonts w:ascii="Arial" w:hAnsi="Arial" w:cs="Arial"/>
          <w:b/>
          <w:sz w:val="24"/>
          <w:szCs w:val="24"/>
        </w:rPr>
        <w:t xml:space="preserve"> – </w:t>
      </w:r>
      <w:r w:rsidRPr="00A048A5">
        <w:rPr>
          <w:rFonts w:ascii="Arial" w:eastAsia="Times New Roman" w:hAnsi="Arial" w:cs="Arial"/>
          <w:b/>
          <w:lang w:eastAsia="en-GB"/>
        </w:rPr>
        <w:t>Strategic Management for Business</w:t>
      </w:r>
    </w:p>
    <w:p w14:paraId="679EADE8" w14:textId="77777777" w:rsidR="00A048A5" w:rsidRDefault="00A048A5" w:rsidP="00A048A5">
      <w:pPr>
        <w:spacing w:after="0" w:line="360" w:lineRule="auto"/>
        <w:jc w:val="center"/>
        <w:rPr>
          <w:rFonts w:ascii="Arial" w:hAnsi="Arial" w:cs="Arial"/>
          <w:b/>
          <w:sz w:val="24"/>
          <w:szCs w:val="24"/>
        </w:rPr>
      </w:pPr>
    </w:p>
    <w:p w14:paraId="4D829551" w14:textId="77777777" w:rsidR="00A048A5" w:rsidRDefault="00A048A5" w:rsidP="00A048A5">
      <w:pPr>
        <w:spacing w:after="0" w:line="360" w:lineRule="auto"/>
        <w:jc w:val="center"/>
        <w:rPr>
          <w:rFonts w:ascii="Arial" w:hAnsi="Arial" w:cs="Arial"/>
          <w:b/>
          <w:sz w:val="24"/>
          <w:szCs w:val="24"/>
        </w:rPr>
      </w:pPr>
    </w:p>
    <w:p w14:paraId="25A71DD1" w14:textId="77777777" w:rsidR="00A048A5" w:rsidRDefault="00A048A5" w:rsidP="00A048A5">
      <w:pPr>
        <w:spacing w:after="0" w:line="360" w:lineRule="auto"/>
        <w:jc w:val="center"/>
        <w:rPr>
          <w:rFonts w:ascii="Arial" w:hAnsi="Arial" w:cs="Arial"/>
          <w:b/>
          <w:sz w:val="24"/>
          <w:szCs w:val="24"/>
        </w:rPr>
      </w:pPr>
    </w:p>
    <w:p w14:paraId="172FA927" w14:textId="77777777" w:rsidR="00A048A5" w:rsidRDefault="00A048A5" w:rsidP="00A048A5">
      <w:pPr>
        <w:spacing w:after="0" w:line="360" w:lineRule="auto"/>
        <w:jc w:val="center"/>
        <w:rPr>
          <w:rFonts w:ascii="Arial" w:hAnsi="Arial" w:cs="Arial"/>
          <w:b/>
          <w:sz w:val="24"/>
          <w:szCs w:val="24"/>
        </w:rPr>
      </w:pPr>
    </w:p>
    <w:p w14:paraId="1A7908EC" w14:textId="77777777" w:rsidR="00A048A5" w:rsidRDefault="00A048A5" w:rsidP="00A048A5">
      <w:pPr>
        <w:spacing w:after="0" w:line="360" w:lineRule="auto"/>
        <w:jc w:val="center"/>
        <w:rPr>
          <w:rFonts w:ascii="Arial" w:hAnsi="Arial" w:cs="Arial"/>
          <w:b/>
          <w:sz w:val="24"/>
          <w:szCs w:val="24"/>
        </w:rPr>
      </w:pPr>
    </w:p>
    <w:p w14:paraId="305811B7" w14:textId="77777777" w:rsidR="00A048A5" w:rsidRDefault="00A048A5" w:rsidP="00A048A5">
      <w:pPr>
        <w:spacing w:after="0" w:line="360" w:lineRule="auto"/>
        <w:jc w:val="center"/>
        <w:rPr>
          <w:rFonts w:ascii="Arial" w:hAnsi="Arial" w:cs="Arial"/>
          <w:b/>
          <w:sz w:val="24"/>
          <w:szCs w:val="24"/>
        </w:rPr>
      </w:pPr>
    </w:p>
    <w:p w14:paraId="3DAC5400" w14:textId="77777777" w:rsidR="00A048A5" w:rsidRDefault="00A048A5" w:rsidP="00A048A5">
      <w:pPr>
        <w:spacing w:after="0" w:line="360" w:lineRule="auto"/>
        <w:jc w:val="center"/>
        <w:rPr>
          <w:rFonts w:ascii="Arial" w:hAnsi="Arial" w:cs="Arial"/>
          <w:b/>
          <w:sz w:val="24"/>
          <w:szCs w:val="24"/>
        </w:rPr>
      </w:pPr>
    </w:p>
    <w:p w14:paraId="30D1D372" w14:textId="2EADB105" w:rsidR="00A048A5" w:rsidRPr="00A048A5" w:rsidRDefault="00A048A5" w:rsidP="00A048A5">
      <w:pPr>
        <w:spacing w:after="0" w:line="360" w:lineRule="auto"/>
        <w:jc w:val="center"/>
        <w:rPr>
          <w:rFonts w:ascii="Arial" w:hAnsi="Arial" w:cs="Arial"/>
          <w:b/>
          <w:i/>
          <w:iCs/>
          <w:sz w:val="36"/>
          <w:szCs w:val="36"/>
          <w:u w:val="single"/>
        </w:rPr>
      </w:pPr>
      <w:r>
        <w:rPr>
          <w:rFonts w:ascii="Arial" w:hAnsi="Arial" w:cs="Arial"/>
          <w:b/>
          <w:sz w:val="36"/>
          <w:szCs w:val="36"/>
        </w:rPr>
        <w:t>C1</w:t>
      </w:r>
      <w:r w:rsidRPr="00F807FE">
        <w:rPr>
          <w:rFonts w:ascii="Arial" w:hAnsi="Arial" w:cs="Arial"/>
          <w:b/>
          <w:sz w:val="36"/>
          <w:szCs w:val="36"/>
        </w:rPr>
        <w:t xml:space="preserve">: </w:t>
      </w:r>
      <w:r w:rsidRPr="00A048A5">
        <w:rPr>
          <w:rFonts w:ascii="Arial" w:hAnsi="Arial" w:cs="Arial"/>
          <w:b/>
          <w:i/>
          <w:iCs/>
          <w:sz w:val="36"/>
          <w:szCs w:val="36"/>
          <w:u w:val="single"/>
        </w:rPr>
        <w:t>Individual Report</w:t>
      </w:r>
      <w:r>
        <w:rPr>
          <w:rFonts w:ascii="Arial" w:hAnsi="Arial" w:cs="Arial"/>
          <w:b/>
          <w:i/>
          <w:iCs/>
          <w:sz w:val="36"/>
          <w:szCs w:val="36"/>
          <w:u w:val="single"/>
        </w:rPr>
        <w:t xml:space="preserve"> – An analysis for key strategic recommendations for CHH Conex </w:t>
      </w:r>
      <w:r w:rsidRPr="00A048A5">
        <w:rPr>
          <w:rFonts w:ascii="Arial" w:hAnsi="Arial" w:cs="Arial"/>
          <w:b/>
          <w:bCs/>
          <w:i/>
          <w:iCs/>
          <w:sz w:val="36"/>
          <w:szCs w:val="36"/>
          <w:u w:val="single"/>
        </w:rPr>
        <w:t>for future developments and implementation</w:t>
      </w:r>
    </w:p>
    <w:p w14:paraId="171F5886" w14:textId="7CA980F8" w:rsidR="00A048A5" w:rsidRPr="00F807FE" w:rsidRDefault="00A048A5" w:rsidP="00A048A5">
      <w:pPr>
        <w:spacing w:after="0" w:line="360" w:lineRule="auto"/>
        <w:jc w:val="center"/>
        <w:rPr>
          <w:rFonts w:ascii="Arial" w:hAnsi="Arial" w:cs="Arial"/>
          <w:b/>
          <w:i/>
          <w:iCs/>
          <w:sz w:val="36"/>
          <w:szCs w:val="36"/>
          <w:u w:val="single"/>
        </w:rPr>
      </w:pPr>
    </w:p>
    <w:p w14:paraId="2893BBF6" w14:textId="77777777" w:rsidR="00A048A5" w:rsidRDefault="00A048A5" w:rsidP="00A048A5">
      <w:pPr>
        <w:spacing w:after="0" w:line="360" w:lineRule="auto"/>
        <w:jc w:val="center"/>
        <w:rPr>
          <w:rFonts w:ascii="Arial" w:hAnsi="Arial" w:cs="Arial"/>
          <w:b/>
          <w:sz w:val="24"/>
          <w:szCs w:val="24"/>
        </w:rPr>
      </w:pPr>
    </w:p>
    <w:p w14:paraId="469E9772" w14:textId="77777777" w:rsidR="00A048A5" w:rsidRDefault="00A048A5" w:rsidP="00A048A5">
      <w:pPr>
        <w:spacing w:after="0" w:line="360" w:lineRule="auto"/>
        <w:jc w:val="center"/>
        <w:rPr>
          <w:rFonts w:ascii="Arial" w:hAnsi="Arial" w:cs="Arial"/>
          <w:b/>
          <w:sz w:val="24"/>
          <w:szCs w:val="24"/>
        </w:rPr>
      </w:pPr>
    </w:p>
    <w:p w14:paraId="4D24CA67" w14:textId="77777777" w:rsidR="00A048A5" w:rsidRDefault="00A048A5" w:rsidP="00A048A5">
      <w:pPr>
        <w:spacing w:after="0" w:line="360" w:lineRule="auto"/>
        <w:jc w:val="center"/>
        <w:rPr>
          <w:rFonts w:ascii="Arial" w:hAnsi="Arial" w:cs="Arial"/>
          <w:b/>
          <w:sz w:val="24"/>
          <w:szCs w:val="24"/>
        </w:rPr>
      </w:pPr>
    </w:p>
    <w:p w14:paraId="1775B107" w14:textId="77777777" w:rsidR="00A048A5" w:rsidRDefault="00A048A5" w:rsidP="00A048A5">
      <w:pPr>
        <w:spacing w:after="0" w:line="360" w:lineRule="auto"/>
        <w:jc w:val="center"/>
        <w:rPr>
          <w:rFonts w:ascii="Arial" w:hAnsi="Arial" w:cs="Arial"/>
          <w:b/>
          <w:sz w:val="24"/>
          <w:szCs w:val="24"/>
        </w:rPr>
      </w:pPr>
      <w:r>
        <w:rPr>
          <w:rFonts w:ascii="Arial" w:hAnsi="Arial" w:cs="Arial"/>
          <w:b/>
          <w:sz w:val="24"/>
          <w:szCs w:val="24"/>
        </w:rPr>
        <w:t xml:space="preserve">Student: </w:t>
      </w:r>
      <w:r w:rsidRPr="00117EC1">
        <w:rPr>
          <w:rFonts w:ascii="Arial" w:hAnsi="Arial" w:cs="Arial"/>
          <w:sz w:val="24"/>
          <w:szCs w:val="24"/>
        </w:rPr>
        <w:t>Dumitru Alexandru Dumitru</w:t>
      </w:r>
    </w:p>
    <w:p w14:paraId="19152AB1" w14:textId="77777777" w:rsidR="00A048A5" w:rsidRDefault="00A048A5" w:rsidP="00A048A5">
      <w:pPr>
        <w:spacing w:after="0" w:line="360" w:lineRule="auto"/>
        <w:jc w:val="center"/>
        <w:rPr>
          <w:rFonts w:ascii="Arial" w:hAnsi="Arial" w:cs="Arial"/>
          <w:sz w:val="24"/>
          <w:szCs w:val="24"/>
        </w:rPr>
      </w:pPr>
      <w:r>
        <w:rPr>
          <w:rFonts w:ascii="Arial" w:hAnsi="Arial" w:cs="Arial"/>
          <w:b/>
          <w:sz w:val="24"/>
          <w:szCs w:val="24"/>
        </w:rPr>
        <w:t xml:space="preserve">Student ID: </w:t>
      </w:r>
      <w:r w:rsidRPr="00117EC1">
        <w:rPr>
          <w:rFonts w:ascii="Arial" w:hAnsi="Arial" w:cs="Arial"/>
          <w:sz w:val="24"/>
          <w:szCs w:val="24"/>
        </w:rPr>
        <w:t>2309588</w:t>
      </w:r>
    </w:p>
    <w:p w14:paraId="28B57045" w14:textId="77777777" w:rsidR="004171D6" w:rsidRDefault="004171D6"/>
    <w:p w14:paraId="23599A53" w14:textId="77777777" w:rsidR="00A048A5" w:rsidRDefault="00A048A5"/>
    <w:p w14:paraId="7DFA4258" w14:textId="77777777" w:rsidR="00A048A5" w:rsidRDefault="00A048A5"/>
    <w:p w14:paraId="41112A2E" w14:textId="77777777" w:rsidR="00A048A5" w:rsidRDefault="00A048A5"/>
    <w:p w14:paraId="774E9AC8" w14:textId="77777777" w:rsidR="00A048A5" w:rsidRDefault="00A048A5"/>
    <w:p w14:paraId="725F49FC" w14:textId="77777777" w:rsidR="00A048A5" w:rsidRDefault="00A048A5"/>
    <w:p w14:paraId="1DD81266" w14:textId="77777777" w:rsidR="00A048A5" w:rsidRDefault="00A048A5"/>
    <w:p w14:paraId="00E85B73" w14:textId="77777777" w:rsidR="00A048A5" w:rsidRDefault="00A048A5"/>
    <w:p w14:paraId="0B7F4744" w14:textId="77777777" w:rsidR="00A048A5" w:rsidRDefault="00A048A5"/>
    <w:p w14:paraId="50DDFAA4" w14:textId="77777777" w:rsidR="00A048A5" w:rsidRDefault="00A048A5"/>
    <w:p w14:paraId="46766C50"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sectPr w:rsidR="00603D24">
          <w:footerReference w:type="default" r:id="rId7"/>
          <w:pgSz w:w="12240" w:h="15840"/>
          <w:pgMar w:top="1440" w:right="1440" w:bottom="1440" w:left="1440" w:header="720" w:footer="720" w:gutter="0"/>
          <w:cols w:space="720"/>
          <w:docGrid w:linePitch="360"/>
        </w:sectPr>
      </w:pPr>
      <w:bookmarkStart w:id="0" w:name="_Toc211889215"/>
    </w:p>
    <w:p w14:paraId="6A434E9D" w14:textId="1D2059CF" w:rsidR="00A048A5" w:rsidRDefault="00A048A5" w:rsidP="00A048A5">
      <w:pPr>
        <w:pStyle w:val="Heading1"/>
        <w:spacing w:before="0" w:after="0" w:line="360" w:lineRule="auto"/>
        <w:jc w:val="center"/>
        <w:rPr>
          <w:rFonts w:ascii="Arial" w:hAnsi="Arial" w:cs="Arial"/>
          <w:b/>
          <w:bCs/>
          <w:color w:val="000000" w:themeColor="text1"/>
          <w:sz w:val="24"/>
          <w:szCs w:val="24"/>
        </w:rPr>
      </w:pPr>
      <w:r w:rsidRPr="00A048A5">
        <w:rPr>
          <w:rFonts w:ascii="Arial" w:hAnsi="Arial" w:cs="Arial"/>
          <w:b/>
          <w:bCs/>
          <w:color w:val="000000" w:themeColor="text1"/>
          <w:sz w:val="24"/>
          <w:szCs w:val="24"/>
        </w:rPr>
        <w:lastRenderedPageBreak/>
        <w:t>Executive summary</w:t>
      </w:r>
      <w:bookmarkEnd w:id="0"/>
    </w:p>
    <w:p w14:paraId="1697E421" w14:textId="77777777" w:rsidR="00742688" w:rsidRDefault="00742688" w:rsidP="00742688"/>
    <w:p w14:paraId="59A3885A" w14:textId="77777777" w:rsidR="00603D24" w:rsidRDefault="00603D24" w:rsidP="00603D24">
      <w:pPr>
        <w:spacing w:after="0" w:line="360" w:lineRule="auto"/>
        <w:ind w:firstLine="720"/>
        <w:jc w:val="both"/>
        <w:rPr>
          <w:rFonts w:ascii="Arial" w:hAnsi="Arial" w:cs="Arial"/>
        </w:rPr>
      </w:pPr>
      <w:r w:rsidRPr="00603D24">
        <w:rPr>
          <w:rFonts w:ascii="Arial" w:hAnsi="Arial" w:cs="Arial"/>
        </w:rPr>
        <w:t>CHH Conex Ltd is one of the leading UK-based manufacturers of copper and brass plumbing fittings, valves, and piping systems for domestic, commercial, and industrial applications. Founded in Birmingham, it has a strong presence worldwide based on quality engineering, reliability and innovation. The report gives a detailed strategy analysis regarding CHH Conex’s present direction, market positioning, and opportunities for future growth globally under changing trends with regards to technology and environment.</w:t>
      </w:r>
    </w:p>
    <w:p w14:paraId="02E2F9AA" w14:textId="77777777" w:rsidR="00603D24" w:rsidRDefault="00603D24" w:rsidP="00603D24">
      <w:pPr>
        <w:spacing w:after="0" w:line="360" w:lineRule="auto"/>
        <w:ind w:firstLine="720"/>
        <w:jc w:val="both"/>
        <w:rPr>
          <w:rFonts w:ascii="Arial" w:hAnsi="Arial" w:cs="Arial"/>
        </w:rPr>
      </w:pPr>
      <w:r w:rsidRPr="00603D24">
        <w:rPr>
          <w:rFonts w:ascii="Arial" w:hAnsi="Arial" w:cs="Arial"/>
        </w:rPr>
        <w:t>It analyses the alignment of long-term goals with the mission, vision, and strategic objectives of the organisation. A critical analysis combines internal competencies and external challenges towards competitiveness in plumbing, HVAC, and construction supply industries through a SWOT analysis, Value Chain, PESTEL, and Porter’s Five Forces.</w:t>
      </w:r>
    </w:p>
    <w:p w14:paraId="2209D00C" w14:textId="77777777" w:rsidR="00603D24" w:rsidRDefault="00603D24" w:rsidP="00603D24">
      <w:pPr>
        <w:spacing w:after="0" w:line="360" w:lineRule="auto"/>
        <w:ind w:firstLine="720"/>
        <w:jc w:val="both"/>
        <w:rPr>
          <w:rFonts w:ascii="Arial" w:hAnsi="Arial" w:cs="Arial"/>
        </w:rPr>
      </w:pPr>
      <w:r w:rsidRPr="00603D24">
        <w:rPr>
          <w:rFonts w:ascii="Arial" w:hAnsi="Arial" w:cs="Arial"/>
        </w:rPr>
        <w:t>Using a hybrid approach to growth through international expansion, digital transformation, and innovation of sustainable manufacturing summarized in strategic options for growth using Porter’s Generic Strategies, the Ansoff Matrix, and Bowman’s Strategic Clock this paper will help CHH Conex strengthen operational efficiency improvements that are currently underway inside the company enter new markets addresses environmental regulation as a requirement towards improved profitability.</w:t>
      </w:r>
    </w:p>
    <w:p w14:paraId="776F8C03" w14:textId="75D907B6" w:rsidR="00603D24" w:rsidRDefault="00603D24" w:rsidP="00603D24">
      <w:pPr>
        <w:spacing w:after="0" w:line="360" w:lineRule="auto"/>
        <w:ind w:firstLine="720"/>
        <w:jc w:val="both"/>
        <w:rPr>
          <w:rFonts w:ascii="Arial" w:hAnsi="Arial" w:cs="Arial"/>
        </w:rPr>
      </w:pPr>
      <w:r w:rsidRPr="00603D24">
        <w:rPr>
          <w:rFonts w:ascii="Arial" w:hAnsi="Arial" w:cs="Arial"/>
        </w:rPr>
        <w:t>It, therefore, finally identifies key decision-makers and implementers through a stakeholder analysis using Mendelow’s Matrix and a RACI framework. Practical recommendations for sustainable growth, enhanced competitiveness, and long-term value creation in the global market are provided at the end of the report.</w:t>
      </w:r>
    </w:p>
    <w:p w14:paraId="429A27DB" w14:textId="77777777" w:rsidR="00603D24" w:rsidRDefault="00603D24" w:rsidP="00603D24">
      <w:pPr>
        <w:spacing w:after="0" w:line="360" w:lineRule="auto"/>
        <w:ind w:firstLine="720"/>
        <w:jc w:val="both"/>
        <w:rPr>
          <w:rFonts w:ascii="Arial" w:hAnsi="Arial" w:cs="Arial"/>
        </w:rPr>
      </w:pPr>
    </w:p>
    <w:p w14:paraId="76C04384" w14:textId="77777777" w:rsidR="00603D24" w:rsidRDefault="00603D24" w:rsidP="00603D24">
      <w:pPr>
        <w:spacing w:after="0" w:line="360" w:lineRule="auto"/>
        <w:ind w:firstLine="720"/>
        <w:jc w:val="both"/>
        <w:rPr>
          <w:rFonts w:ascii="Arial" w:hAnsi="Arial" w:cs="Arial"/>
        </w:rPr>
      </w:pPr>
    </w:p>
    <w:p w14:paraId="7B797CEB" w14:textId="77777777" w:rsidR="00603D24" w:rsidRDefault="00603D24" w:rsidP="00603D24">
      <w:pPr>
        <w:spacing w:after="0" w:line="360" w:lineRule="auto"/>
        <w:ind w:firstLine="720"/>
        <w:jc w:val="both"/>
        <w:rPr>
          <w:rFonts w:ascii="Arial" w:hAnsi="Arial" w:cs="Arial"/>
        </w:rPr>
      </w:pPr>
    </w:p>
    <w:p w14:paraId="495D9FFB" w14:textId="77777777" w:rsidR="00603D24" w:rsidRDefault="00603D24" w:rsidP="00603D24">
      <w:pPr>
        <w:spacing w:after="0" w:line="360" w:lineRule="auto"/>
        <w:ind w:firstLine="720"/>
        <w:jc w:val="both"/>
        <w:rPr>
          <w:rFonts w:ascii="Arial" w:hAnsi="Arial" w:cs="Arial"/>
        </w:rPr>
      </w:pPr>
    </w:p>
    <w:p w14:paraId="551CBC67" w14:textId="77777777" w:rsidR="00603D24" w:rsidRDefault="00603D24" w:rsidP="00603D24">
      <w:pPr>
        <w:spacing w:after="0" w:line="360" w:lineRule="auto"/>
        <w:ind w:firstLine="720"/>
        <w:jc w:val="both"/>
        <w:rPr>
          <w:rFonts w:ascii="Arial" w:hAnsi="Arial" w:cs="Arial"/>
        </w:rPr>
      </w:pPr>
    </w:p>
    <w:p w14:paraId="7480A2CD" w14:textId="77777777" w:rsidR="00603D24" w:rsidRDefault="00603D24" w:rsidP="00603D24">
      <w:pPr>
        <w:spacing w:after="0" w:line="360" w:lineRule="auto"/>
        <w:ind w:firstLine="720"/>
        <w:jc w:val="both"/>
        <w:rPr>
          <w:rFonts w:ascii="Arial" w:hAnsi="Arial" w:cs="Arial"/>
        </w:rPr>
      </w:pPr>
    </w:p>
    <w:p w14:paraId="467042E7" w14:textId="77777777" w:rsidR="00603D24" w:rsidRDefault="00603D24" w:rsidP="00603D24">
      <w:pPr>
        <w:spacing w:after="0" w:line="360" w:lineRule="auto"/>
        <w:ind w:firstLine="720"/>
        <w:jc w:val="both"/>
        <w:rPr>
          <w:rFonts w:ascii="Arial" w:hAnsi="Arial" w:cs="Arial"/>
        </w:rPr>
      </w:pPr>
    </w:p>
    <w:p w14:paraId="767C73CA" w14:textId="77777777" w:rsidR="00603D24" w:rsidRDefault="00603D24" w:rsidP="00603D24">
      <w:pPr>
        <w:spacing w:after="0" w:line="360" w:lineRule="auto"/>
        <w:ind w:firstLine="720"/>
        <w:jc w:val="both"/>
        <w:rPr>
          <w:rFonts w:ascii="Arial" w:hAnsi="Arial" w:cs="Arial"/>
        </w:rPr>
      </w:pPr>
    </w:p>
    <w:p w14:paraId="196F226B" w14:textId="77777777" w:rsidR="00603D24" w:rsidRDefault="00603D24" w:rsidP="00603D24">
      <w:pPr>
        <w:spacing w:after="0" w:line="360" w:lineRule="auto"/>
        <w:ind w:firstLine="720"/>
        <w:jc w:val="both"/>
        <w:rPr>
          <w:rFonts w:ascii="Arial" w:hAnsi="Arial" w:cs="Arial"/>
        </w:rPr>
      </w:pPr>
    </w:p>
    <w:p w14:paraId="1F60115F" w14:textId="77777777" w:rsidR="00603D24" w:rsidRDefault="00603D24" w:rsidP="00603D24">
      <w:pPr>
        <w:spacing w:after="0" w:line="360" w:lineRule="auto"/>
        <w:ind w:firstLine="720"/>
        <w:jc w:val="both"/>
        <w:rPr>
          <w:rFonts w:ascii="Arial" w:hAnsi="Arial" w:cs="Arial"/>
        </w:rPr>
      </w:pPr>
    </w:p>
    <w:p w14:paraId="32F9B5DE" w14:textId="77777777" w:rsidR="00603D24" w:rsidRDefault="00603D24" w:rsidP="00603D24">
      <w:pPr>
        <w:spacing w:after="0" w:line="360" w:lineRule="auto"/>
        <w:ind w:firstLine="720"/>
        <w:jc w:val="both"/>
        <w:rPr>
          <w:rFonts w:ascii="Arial" w:hAnsi="Arial" w:cs="Arial"/>
        </w:rPr>
      </w:pPr>
    </w:p>
    <w:p w14:paraId="3AD46052" w14:textId="77777777" w:rsidR="00603D24" w:rsidRDefault="00603D24" w:rsidP="00603D24">
      <w:pPr>
        <w:spacing w:after="0" w:line="360" w:lineRule="auto"/>
        <w:ind w:firstLine="720"/>
        <w:jc w:val="both"/>
        <w:rPr>
          <w:rFonts w:ascii="Arial" w:hAnsi="Arial" w:cs="Arial"/>
        </w:rPr>
      </w:pPr>
    </w:p>
    <w:sdt>
      <w:sdtPr>
        <w:id w:val="-1422721629"/>
        <w:docPartObj>
          <w:docPartGallery w:val="Table of Contents"/>
          <w:docPartUnique/>
        </w:docPartObj>
      </w:sdtPr>
      <w:sdtEndPr>
        <w:rPr>
          <w:rFonts w:asciiTheme="minorHAnsi" w:eastAsiaTheme="minorEastAsia" w:hAnsiTheme="minorHAnsi" w:cstheme="minorBidi"/>
          <w:b/>
          <w:bCs/>
          <w:noProof/>
          <w:color w:val="auto"/>
          <w:sz w:val="22"/>
          <w:szCs w:val="22"/>
          <w:lang w:val="en-GB"/>
        </w:rPr>
      </w:sdtEndPr>
      <w:sdtContent>
        <w:p w14:paraId="2B6A7D37" w14:textId="3F17E3A0" w:rsidR="00603D24" w:rsidRDefault="00603D24" w:rsidP="00603D24">
          <w:pPr>
            <w:pStyle w:val="TOCHeading"/>
            <w:spacing w:before="0" w:line="360" w:lineRule="auto"/>
            <w:jc w:val="center"/>
            <w:rPr>
              <w:rFonts w:ascii="Arial" w:hAnsi="Arial" w:cs="Arial"/>
              <w:b/>
              <w:bCs/>
              <w:color w:val="000000" w:themeColor="text1"/>
            </w:rPr>
          </w:pPr>
          <w:r w:rsidRPr="00603D24">
            <w:rPr>
              <w:rFonts w:ascii="Arial" w:hAnsi="Arial" w:cs="Arial"/>
              <w:b/>
              <w:bCs/>
              <w:color w:val="000000" w:themeColor="text1"/>
            </w:rPr>
            <w:t>Contents</w:t>
          </w:r>
        </w:p>
        <w:p w14:paraId="262C5D07" w14:textId="77777777" w:rsidR="00603D24" w:rsidRPr="00603D24" w:rsidRDefault="00603D24" w:rsidP="00603D24">
          <w:pPr>
            <w:rPr>
              <w:lang w:val="en-US"/>
            </w:rPr>
          </w:pPr>
        </w:p>
        <w:p w14:paraId="457EF9A1" w14:textId="3E6658B2" w:rsidR="00603D24" w:rsidRDefault="00603D24">
          <w:pPr>
            <w:pStyle w:val="TOC1"/>
            <w:tabs>
              <w:tab w:val="right" w:leader="dot" w:pos="9350"/>
            </w:tabs>
            <w:rPr>
              <w:noProof/>
            </w:rPr>
          </w:pPr>
          <w:r>
            <w:fldChar w:fldCharType="begin"/>
          </w:r>
          <w:r>
            <w:instrText xml:space="preserve"> TOC \o "1-3" \h \z \u </w:instrText>
          </w:r>
          <w:r>
            <w:fldChar w:fldCharType="separate"/>
          </w:r>
          <w:hyperlink w:anchor="_Toc211889215" w:history="1">
            <w:r w:rsidRPr="00C33590">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_Toc211889215 \h </w:instrText>
            </w:r>
            <w:r>
              <w:rPr>
                <w:noProof/>
                <w:webHidden/>
              </w:rPr>
            </w:r>
            <w:r>
              <w:rPr>
                <w:noProof/>
                <w:webHidden/>
              </w:rPr>
              <w:fldChar w:fldCharType="separate"/>
            </w:r>
            <w:r>
              <w:rPr>
                <w:noProof/>
                <w:webHidden/>
              </w:rPr>
              <w:t>2</w:t>
            </w:r>
            <w:r>
              <w:rPr>
                <w:noProof/>
                <w:webHidden/>
              </w:rPr>
              <w:fldChar w:fldCharType="end"/>
            </w:r>
          </w:hyperlink>
        </w:p>
        <w:p w14:paraId="333B67D6" w14:textId="0BE0EA78" w:rsidR="00603D24" w:rsidRDefault="00603D24">
          <w:pPr>
            <w:pStyle w:val="TOC1"/>
            <w:tabs>
              <w:tab w:val="right" w:leader="dot" w:pos="9350"/>
            </w:tabs>
            <w:rPr>
              <w:noProof/>
            </w:rPr>
          </w:pPr>
          <w:hyperlink w:anchor="_Toc211889216" w:history="1">
            <w:r w:rsidRPr="00C3359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_Toc211889216 \h </w:instrText>
            </w:r>
            <w:r>
              <w:rPr>
                <w:noProof/>
                <w:webHidden/>
              </w:rPr>
            </w:r>
            <w:r>
              <w:rPr>
                <w:noProof/>
                <w:webHidden/>
              </w:rPr>
              <w:fldChar w:fldCharType="separate"/>
            </w:r>
            <w:r>
              <w:rPr>
                <w:noProof/>
                <w:webHidden/>
              </w:rPr>
              <w:t>4</w:t>
            </w:r>
            <w:r>
              <w:rPr>
                <w:noProof/>
                <w:webHidden/>
              </w:rPr>
              <w:fldChar w:fldCharType="end"/>
            </w:r>
          </w:hyperlink>
        </w:p>
        <w:p w14:paraId="090B4820" w14:textId="7B1B3F1A" w:rsidR="00603D24" w:rsidRDefault="00603D24">
          <w:pPr>
            <w:pStyle w:val="TOC1"/>
            <w:tabs>
              <w:tab w:val="right" w:leader="dot" w:pos="9350"/>
            </w:tabs>
            <w:rPr>
              <w:noProof/>
            </w:rPr>
          </w:pPr>
          <w:hyperlink w:anchor="_Toc211889217" w:history="1">
            <w:r w:rsidRPr="00C33590">
              <w:rPr>
                <w:rStyle w:val="Hyperlink"/>
                <w:rFonts w:ascii="Arial" w:hAnsi="Arial" w:cs="Arial"/>
                <w:b/>
                <w:bCs/>
                <w:noProof/>
              </w:rPr>
              <w:t>Strategic Direction and Goals</w:t>
            </w:r>
            <w:r>
              <w:rPr>
                <w:noProof/>
                <w:webHidden/>
              </w:rPr>
              <w:tab/>
            </w:r>
            <w:r>
              <w:rPr>
                <w:noProof/>
                <w:webHidden/>
              </w:rPr>
              <w:fldChar w:fldCharType="begin"/>
            </w:r>
            <w:r>
              <w:rPr>
                <w:noProof/>
                <w:webHidden/>
              </w:rPr>
              <w:instrText xml:space="preserve"> PAGEREF _Toc211889217 \h </w:instrText>
            </w:r>
            <w:r>
              <w:rPr>
                <w:noProof/>
                <w:webHidden/>
              </w:rPr>
            </w:r>
            <w:r>
              <w:rPr>
                <w:noProof/>
                <w:webHidden/>
              </w:rPr>
              <w:fldChar w:fldCharType="separate"/>
            </w:r>
            <w:r>
              <w:rPr>
                <w:noProof/>
                <w:webHidden/>
              </w:rPr>
              <w:t>5</w:t>
            </w:r>
            <w:r>
              <w:rPr>
                <w:noProof/>
                <w:webHidden/>
              </w:rPr>
              <w:fldChar w:fldCharType="end"/>
            </w:r>
          </w:hyperlink>
        </w:p>
        <w:p w14:paraId="10DA9CC4" w14:textId="38E39D6A" w:rsidR="00603D24" w:rsidRDefault="00603D24">
          <w:pPr>
            <w:pStyle w:val="TOC1"/>
            <w:tabs>
              <w:tab w:val="right" w:leader="dot" w:pos="9350"/>
            </w:tabs>
            <w:rPr>
              <w:noProof/>
            </w:rPr>
          </w:pPr>
          <w:hyperlink w:anchor="_Toc211889218" w:history="1">
            <w:r w:rsidRPr="00C33590">
              <w:rPr>
                <w:rStyle w:val="Hyperlink"/>
                <w:rFonts w:ascii="Arial" w:hAnsi="Arial" w:cs="Arial"/>
                <w:b/>
                <w:bCs/>
                <w:noProof/>
              </w:rPr>
              <w:t>Internal Environmental Analysis</w:t>
            </w:r>
            <w:r>
              <w:rPr>
                <w:noProof/>
                <w:webHidden/>
              </w:rPr>
              <w:tab/>
            </w:r>
            <w:r>
              <w:rPr>
                <w:noProof/>
                <w:webHidden/>
              </w:rPr>
              <w:fldChar w:fldCharType="begin"/>
            </w:r>
            <w:r>
              <w:rPr>
                <w:noProof/>
                <w:webHidden/>
              </w:rPr>
              <w:instrText xml:space="preserve"> PAGEREF _Toc211889218 \h </w:instrText>
            </w:r>
            <w:r>
              <w:rPr>
                <w:noProof/>
                <w:webHidden/>
              </w:rPr>
            </w:r>
            <w:r>
              <w:rPr>
                <w:noProof/>
                <w:webHidden/>
              </w:rPr>
              <w:fldChar w:fldCharType="separate"/>
            </w:r>
            <w:r>
              <w:rPr>
                <w:noProof/>
                <w:webHidden/>
              </w:rPr>
              <w:t>6</w:t>
            </w:r>
            <w:r>
              <w:rPr>
                <w:noProof/>
                <w:webHidden/>
              </w:rPr>
              <w:fldChar w:fldCharType="end"/>
            </w:r>
          </w:hyperlink>
        </w:p>
        <w:p w14:paraId="2DBCB3F7" w14:textId="10DB1B77" w:rsidR="00603D24" w:rsidRDefault="00603D24">
          <w:pPr>
            <w:pStyle w:val="TOC1"/>
            <w:tabs>
              <w:tab w:val="right" w:leader="dot" w:pos="9350"/>
            </w:tabs>
            <w:rPr>
              <w:noProof/>
            </w:rPr>
          </w:pPr>
          <w:hyperlink w:anchor="_Toc211889219" w:history="1">
            <w:r w:rsidRPr="00C33590">
              <w:rPr>
                <w:rStyle w:val="Hyperlink"/>
                <w:rFonts w:ascii="Arial" w:hAnsi="Arial" w:cs="Arial"/>
                <w:b/>
                <w:bCs/>
                <w:noProof/>
              </w:rPr>
              <w:t>External Environmental Analysis</w:t>
            </w:r>
            <w:r>
              <w:rPr>
                <w:noProof/>
                <w:webHidden/>
              </w:rPr>
              <w:tab/>
            </w:r>
            <w:r>
              <w:rPr>
                <w:noProof/>
                <w:webHidden/>
              </w:rPr>
              <w:fldChar w:fldCharType="begin"/>
            </w:r>
            <w:r>
              <w:rPr>
                <w:noProof/>
                <w:webHidden/>
              </w:rPr>
              <w:instrText xml:space="preserve"> PAGEREF _Toc211889219 \h </w:instrText>
            </w:r>
            <w:r>
              <w:rPr>
                <w:noProof/>
                <w:webHidden/>
              </w:rPr>
            </w:r>
            <w:r>
              <w:rPr>
                <w:noProof/>
                <w:webHidden/>
              </w:rPr>
              <w:fldChar w:fldCharType="separate"/>
            </w:r>
            <w:r>
              <w:rPr>
                <w:noProof/>
                <w:webHidden/>
              </w:rPr>
              <w:t>7</w:t>
            </w:r>
            <w:r>
              <w:rPr>
                <w:noProof/>
                <w:webHidden/>
              </w:rPr>
              <w:fldChar w:fldCharType="end"/>
            </w:r>
          </w:hyperlink>
        </w:p>
        <w:p w14:paraId="3B50DD61" w14:textId="2191AA7D" w:rsidR="00603D24" w:rsidRDefault="00603D24">
          <w:pPr>
            <w:pStyle w:val="TOC1"/>
            <w:tabs>
              <w:tab w:val="right" w:leader="dot" w:pos="9350"/>
            </w:tabs>
            <w:rPr>
              <w:noProof/>
            </w:rPr>
          </w:pPr>
          <w:hyperlink w:anchor="_Toc211889220" w:history="1">
            <w:r w:rsidRPr="00C33590">
              <w:rPr>
                <w:rStyle w:val="Hyperlink"/>
                <w:rFonts w:ascii="Arial" w:hAnsi="Arial" w:cs="Arial"/>
                <w:b/>
                <w:bCs/>
                <w:noProof/>
              </w:rPr>
              <w:t>Strategic Growth Choices and New Sustainable Strategy</w:t>
            </w:r>
            <w:r>
              <w:rPr>
                <w:noProof/>
                <w:webHidden/>
              </w:rPr>
              <w:tab/>
            </w:r>
            <w:r>
              <w:rPr>
                <w:noProof/>
                <w:webHidden/>
              </w:rPr>
              <w:fldChar w:fldCharType="begin"/>
            </w:r>
            <w:r>
              <w:rPr>
                <w:noProof/>
                <w:webHidden/>
              </w:rPr>
              <w:instrText xml:space="preserve"> PAGEREF _Toc211889220 \h </w:instrText>
            </w:r>
            <w:r>
              <w:rPr>
                <w:noProof/>
                <w:webHidden/>
              </w:rPr>
            </w:r>
            <w:r>
              <w:rPr>
                <w:noProof/>
                <w:webHidden/>
              </w:rPr>
              <w:fldChar w:fldCharType="separate"/>
            </w:r>
            <w:r>
              <w:rPr>
                <w:noProof/>
                <w:webHidden/>
              </w:rPr>
              <w:t>8</w:t>
            </w:r>
            <w:r>
              <w:rPr>
                <w:noProof/>
                <w:webHidden/>
              </w:rPr>
              <w:fldChar w:fldCharType="end"/>
            </w:r>
          </w:hyperlink>
        </w:p>
        <w:p w14:paraId="28499321" w14:textId="5DF90D2D" w:rsidR="00603D24" w:rsidRDefault="00603D24">
          <w:pPr>
            <w:pStyle w:val="TOC1"/>
            <w:tabs>
              <w:tab w:val="right" w:leader="dot" w:pos="9350"/>
            </w:tabs>
            <w:rPr>
              <w:noProof/>
            </w:rPr>
          </w:pPr>
          <w:hyperlink w:anchor="_Toc211889221" w:history="1">
            <w:r w:rsidRPr="00C33590">
              <w:rPr>
                <w:rStyle w:val="Hyperlink"/>
                <w:rFonts w:ascii="Arial" w:hAnsi="Arial" w:cs="Arial"/>
                <w:b/>
                <w:bCs/>
                <w:noProof/>
              </w:rPr>
              <w:t>Stakeholder Analysis and RACI Matrix</w:t>
            </w:r>
            <w:r>
              <w:rPr>
                <w:noProof/>
                <w:webHidden/>
              </w:rPr>
              <w:tab/>
            </w:r>
            <w:r>
              <w:rPr>
                <w:noProof/>
                <w:webHidden/>
              </w:rPr>
              <w:fldChar w:fldCharType="begin"/>
            </w:r>
            <w:r>
              <w:rPr>
                <w:noProof/>
                <w:webHidden/>
              </w:rPr>
              <w:instrText xml:space="preserve"> PAGEREF _Toc211889221 \h </w:instrText>
            </w:r>
            <w:r>
              <w:rPr>
                <w:noProof/>
                <w:webHidden/>
              </w:rPr>
            </w:r>
            <w:r>
              <w:rPr>
                <w:noProof/>
                <w:webHidden/>
              </w:rPr>
              <w:fldChar w:fldCharType="separate"/>
            </w:r>
            <w:r>
              <w:rPr>
                <w:noProof/>
                <w:webHidden/>
              </w:rPr>
              <w:t>11</w:t>
            </w:r>
            <w:r>
              <w:rPr>
                <w:noProof/>
                <w:webHidden/>
              </w:rPr>
              <w:fldChar w:fldCharType="end"/>
            </w:r>
          </w:hyperlink>
        </w:p>
        <w:p w14:paraId="299E1801" w14:textId="3561DF0A" w:rsidR="00603D24" w:rsidRDefault="00603D24">
          <w:pPr>
            <w:pStyle w:val="TOC1"/>
            <w:tabs>
              <w:tab w:val="right" w:leader="dot" w:pos="9350"/>
            </w:tabs>
            <w:rPr>
              <w:noProof/>
            </w:rPr>
          </w:pPr>
          <w:hyperlink w:anchor="_Toc211889222" w:history="1">
            <w:r w:rsidRPr="00C33590">
              <w:rPr>
                <w:rStyle w:val="Hyperlink"/>
                <w:rFonts w:ascii="Arial" w:hAnsi="Arial" w:cs="Arial"/>
                <w:b/>
                <w:bCs/>
                <w:noProof/>
              </w:rPr>
              <w:t>Strategic Recommendations</w:t>
            </w:r>
            <w:r>
              <w:rPr>
                <w:noProof/>
                <w:webHidden/>
              </w:rPr>
              <w:tab/>
            </w:r>
            <w:r>
              <w:rPr>
                <w:noProof/>
                <w:webHidden/>
              </w:rPr>
              <w:fldChar w:fldCharType="begin"/>
            </w:r>
            <w:r>
              <w:rPr>
                <w:noProof/>
                <w:webHidden/>
              </w:rPr>
              <w:instrText xml:space="preserve"> PAGEREF _Toc211889222 \h </w:instrText>
            </w:r>
            <w:r>
              <w:rPr>
                <w:noProof/>
                <w:webHidden/>
              </w:rPr>
            </w:r>
            <w:r>
              <w:rPr>
                <w:noProof/>
                <w:webHidden/>
              </w:rPr>
              <w:fldChar w:fldCharType="separate"/>
            </w:r>
            <w:r>
              <w:rPr>
                <w:noProof/>
                <w:webHidden/>
              </w:rPr>
              <w:t>13</w:t>
            </w:r>
            <w:r>
              <w:rPr>
                <w:noProof/>
                <w:webHidden/>
              </w:rPr>
              <w:fldChar w:fldCharType="end"/>
            </w:r>
          </w:hyperlink>
        </w:p>
        <w:p w14:paraId="310BAEFD" w14:textId="1BECAC4E" w:rsidR="00603D24" w:rsidRDefault="00603D24">
          <w:pPr>
            <w:pStyle w:val="TOC1"/>
            <w:tabs>
              <w:tab w:val="right" w:leader="dot" w:pos="9350"/>
            </w:tabs>
            <w:rPr>
              <w:noProof/>
            </w:rPr>
          </w:pPr>
          <w:hyperlink w:anchor="_Toc211889223" w:history="1">
            <w:r w:rsidRPr="00C3359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_Toc211889223 \h </w:instrText>
            </w:r>
            <w:r>
              <w:rPr>
                <w:noProof/>
                <w:webHidden/>
              </w:rPr>
            </w:r>
            <w:r>
              <w:rPr>
                <w:noProof/>
                <w:webHidden/>
              </w:rPr>
              <w:fldChar w:fldCharType="separate"/>
            </w:r>
            <w:r>
              <w:rPr>
                <w:noProof/>
                <w:webHidden/>
              </w:rPr>
              <w:t>14</w:t>
            </w:r>
            <w:r>
              <w:rPr>
                <w:noProof/>
                <w:webHidden/>
              </w:rPr>
              <w:fldChar w:fldCharType="end"/>
            </w:r>
          </w:hyperlink>
        </w:p>
        <w:p w14:paraId="2844E479" w14:textId="107FDE18" w:rsidR="00603D24" w:rsidRDefault="00603D24">
          <w:pPr>
            <w:pStyle w:val="TOC1"/>
            <w:tabs>
              <w:tab w:val="right" w:leader="dot" w:pos="9350"/>
            </w:tabs>
            <w:rPr>
              <w:noProof/>
            </w:rPr>
          </w:pPr>
          <w:hyperlink w:anchor="_Toc211889224" w:history="1">
            <w:r w:rsidRPr="00C3359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_Toc211889224 \h </w:instrText>
            </w:r>
            <w:r>
              <w:rPr>
                <w:noProof/>
                <w:webHidden/>
              </w:rPr>
            </w:r>
            <w:r>
              <w:rPr>
                <w:noProof/>
                <w:webHidden/>
              </w:rPr>
              <w:fldChar w:fldCharType="separate"/>
            </w:r>
            <w:r>
              <w:rPr>
                <w:noProof/>
                <w:webHidden/>
              </w:rPr>
              <w:t>15</w:t>
            </w:r>
            <w:r>
              <w:rPr>
                <w:noProof/>
                <w:webHidden/>
              </w:rPr>
              <w:fldChar w:fldCharType="end"/>
            </w:r>
          </w:hyperlink>
        </w:p>
        <w:p w14:paraId="2F5276B5" w14:textId="3B1F6950" w:rsidR="00603D24" w:rsidRDefault="00603D24">
          <w:r>
            <w:rPr>
              <w:b/>
              <w:bCs/>
              <w:noProof/>
            </w:rPr>
            <w:fldChar w:fldCharType="end"/>
          </w:r>
        </w:p>
      </w:sdtContent>
    </w:sdt>
    <w:p w14:paraId="4A6B6569" w14:textId="77777777" w:rsidR="00603D24" w:rsidRPr="00603D24" w:rsidRDefault="00603D24" w:rsidP="00603D24">
      <w:pPr>
        <w:spacing w:after="0" w:line="360" w:lineRule="auto"/>
        <w:ind w:firstLine="720"/>
        <w:jc w:val="both"/>
        <w:rPr>
          <w:rFonts w:ascii="Arial" w:hAnsi="Arial" w:cs="Arial"/>
        </w:rPr>
      </w:pPr>
    </w:p>
    <w:p w14:paraId="0F786F6B" w14:textId="77777777" w:rsidR="00742688" w:rsidRPr="00742688" w:rsidRDefault="00742688" w:rsidP="00742688"/>
    <w:p w14:paraId="059FD60B"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bookmarkStart w:id="1" w:name="_Toc211889216"/>
    </w:p>
    <w:p w14:paraId="23F4868E"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42884374"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43301234"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07619E0F"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52CB8012" w14:textId="77777777" w:rsidR="00603D24" w:rsidRDefault="00603D24" w:rsidP="00603D24"/>
    <w:p w14:paraId="7CE7F863" w14:textId="77777777" w:rsidR="00603D24" w:rsidRDefault="00603D24" w:rsidP="00603D24"/>
    <w:p w14:paraId="6F08DD94" w14:textId="77777777" w:rsidR="00603D24" w:rsidRDefault="00603D24" w:rsidP="00603D24"/>
    <w:p w14:paraId="47732BB5" w14:textId="77777777" w:rsidR="00603D24" w:rsidRDefault="00603D24" w:rsidP="00603D24"/>
    <w:p w14:paraId="1124485C" w14:textId="77777777" w:rsidR="00603D24" w:rsidRDefault="00603D24" w:rsidP="00603D24"/>
    <w:p w14:paraId="66C12EAC"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56C5EECF" w14:textId="77777777" w:rsidR="00603D24" w:rsidRDefault="00603D24" w:rsidP="00A048A5">
      <w:pPr>
        <w:pStyle w:val="Heading1"/>
        <w:spacing w:before="0" w:after="0" w:line="360" w:lineRule="auto"/>
        <w:jc w:val="center"/>
        <w:rPr>
          <w:rFonts w:ascii="Arial" w:hAnsi="Arial" w:cs="Arial"/>
          <w:b/>
          <w:bCs/>
          <w:color w:val="000000" w:themeColor="text1"/>
          <w:sz w:val="24"/>
          <w:szCs w:val="24"/>
        </w:rPr>
      </w:pPr>
    </w:p>
    <w:p w14:paraId="01E3570B" w14:textId="77777777" w:rsidR="00603D24" w:rsidRPr="00603D24" w:rsidRDefault="00603D24" w:rsidP="00603D24"/>
    <w:p w14:paraId="22646A21" w14:textId="1C2872B9" w:rsidR="00A048A5" w:rsidRDefault="00A048A5" w:rsidP="00A048A5">
      <w:pPr>
        <w:pStyle w:val="Heading1"/>
        <w:spacing w:before="0" w:after="0" w:line="360" w:lineRule="auto"/>
        <w:jc w:val="center"/>
        <w:rPr>
          <w:rFonts w:ascii="Arial" w:hAnsi="Arial" w:cs="Arial"/>
          <w:b/>
          <w:bCs/>
          <w:color w:val="000000" w:themeColor="text1"/>
          <w:sz w:val="24"/>
          <w:szCs w:val="24"/>
        </w:rPr>
      </w:pPr>
      <w:r w:rsidRPr="00A048A5">
        <w:rPr>
          <w:rFonts w:ascii="Arial" w:hAnsi="Arial" w:cs="Arial"/>
          <w:b/>
          <w:bCs/>
          <w:color w:val="000000" w:themeColor="text1"/>
          <w:sz w:val="24"/>
          <w:szCs w:val="24"/>
        </w:rPr>
        <w:lastRenderedPageBreak/>
        <w:t>Introduction</w:t>
      </w:r>
      <w:bookmarkEnd w:id="1"/>
    </w:p>
    <w:p w14:paraId="192858AE" w14:textId="77777777" w:rsidR="00742688" w:rsidRDefault="00742688" w:rsidP="00742688"/>
    <w:p w14:paraId="04697BF0" w14:textId="77777777" w:rsidR="00603D24" w:rsidRDefault="00603D24" w:rsidP="00603D24">
      <w:pPr>
        <w:spacing w:after="0" w:line="360" w:lineRule="auto"/>
        <w:ind w:firstLine="720"/>
        <w:jc w:val="both"/>
        <w:rPr>
          <w:rFonts w:ascii="Arial" w:hAnsi="Arial" w:cs="Arial"/>
        </w:rPr>
      </w:pPr>
      <w:r w:rsidRPr="00603D24">
        <w:rPr>
          <w:rFonts w:ascii="Arial" w:hAnsi="Arial" w:cs="Arial"/>
        </w:rPr>
        <w:t>CHH Conex Ltd manufactures in the UK and exports worldwide precision copper and brass plumbing fittings, valves, and piping systems for HVAC markets. Heating, Ventilation, Birmingham-based founding member of the IBP Group distributes its products into domestic, commercial, and industrial markets across more than 60 countries. The product portfolio contains solder ring fittings; compression fittings; press-fit systems; accessories to high building/plumbing sector quality standards.</w:t>
      </w:r>
    </w:p>
    <w:p w14:paraId="31589F68" w14:textId="77777777" w:rsidR="00603D24" w:rsidRDefault="00603D24" w:rsidP="00603D24">
      <w:pPr>
        <w:spacing w:after="0" w:line="360" w:lineRule="auto"/>
        <w:ind w:firstLine="720"/>
        <w:jc w:val="both"/>
        <w:rPr>
          <w:rFonts w:ascii="Arial" w:hAnsi="Arial" w:cs="Arial"/>
        </w:rPr>
      </w:pPr>
      <w:r w:rsidRPr="00603D24">
        <w:rPr>
          <w:rFonts w:ascii="Arial" w:hAnsi="Arial" w:cs="Arial"/>
        </w:rPr>
        <w:t>CHH Conex runs a business-to-business (B2B) model selling to wholesalers, distributors, and construction companies but not direct retail consumers. Its core business model highlights engineering excellence, lean manufacturing, and continuous product innovation supported by advanced metallurgy know-how and global distribution channels. What makes CHH Conex different is a sustainability commitment, products that are dependable and flexible with international building codes and environmental regulations, as the codes evolve.</w:t>
      </w:r>
    </w:p>
    <w:p w14:paraId="784F03DF" w14:textId="0529D838" w:rsidR="00603D24" w:rsidRPr="00603D24" w:rsidRDefault="00603D24" w:rsidP="00603D24">
      <w:pPr>
        <w:spacing w:after="0" w:line="360" w:lineRule="auto"/>
        <w:ind w:firstLine="720"/>
        <w:jc w:val="both"/>
        <w:rPr>
          <w:rFonts w:ascii="Arial" w:hAnsi="Arial" w:cs="Arial"/>
        </w:rPr>
      </w:pPr>
      <w:r w:rsidRPr="00603D24">
        <w:rPr>
          <w:rFonts w:ascii="Arial" w:hAnsi="Arial" w:cs="Arial"/>
        </w:rPr>
        <w:t>The company's strategic uniqueness remains in the blending of heritage craftsmanship with digital transformation, permitting automation and advanced materials science to sustain cost efficiency and consistency of the products. This report details how companies similar to CHH Conex can capitalize on their manufacturing strength to improve global competitiveness through innovation, digitalization, and environmentally sustainable growth strategies in a rapidly changing industry landscape.</w:t>
      </w:r>
    </w:p>
    <w:p w14:paraId="0E3E6D5B" w14:textId="77777777" w:rsidR="00603D24" w:rsidRDefault="00603D24" w:rsidP="00742688"/>
    <w:p w14:paraId="09A69CBF" w14:textId="77777777" w:rsidR="00603D24" w:rsidRDefault="00603D24" w:rsidP="00742688"/>
    <w:p w14:paraId="160582B1" w14:textId="77777777" w:rsidR="00603D24" w:rsidRDefault="00603D24" w:rsidP="00742688"/>
    <w:p w14:paraId="477C4454" w14:textId="77777777" w:rsidR="00603D24" w:rsidRDefault="00603D24" w:rsidP="00742688"/>
    <w:p w14:paraId="0B271191" w14:textId="77777777" w:rsidR="00603D24" w:rsidRDefault="00603D24" w:rsidP="00742688"/>
    <w:p w14:paraId="10979E23" w14:textId="77777777" w:rsidR="00603D24" w:rsidRDefault="00603D24" w:rsidP="00742688"/>
    <w:p w14:paraId="7CD29D56" w14:textId="77777777" w:rsidR="00603D24" w:rsidRDefault="00603D24" w:rsidP="00742688"/>
    <w:p w14:paraId="7AE18DA6" w14:textId="77777777" w:rsidR="00603D24" w:rsidRDefault="00603D24" w:rsidP="00742688"/>
    <w:p w14:paraId="4F6BFA6C" w14:textId="77777777" w:rsidR="00603D24" w:rsidRPr="00742688" w:rsidRDefault="00603D24" w:rsidP="00742688"/>
    <w:p w14:paraId="14A87BDE" w14:textId="6A680654"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2" w:name="_Toc211889217"/>
      <w:r w:rsidRPr="00A048A5">
        <w:rPr>
          <w:rFonts w:ascii="Arial" w:hAnsi="Arial" w:cs="Arial"/>
          <w:b/>
          <w:bCs/>
          <w:color w:val="000000" w:themeColor="text1"/>
          <w:sz w:val="24"/>
          <w:szCs w:val="24"/>
        </w:rPr>
        <w:lastRenderedPageBreak/>
        <w:t>Strategic Direction and Goals</w:t>
      </w:r>
      <w:bookmarkEnd w:id="2"/>
    </w:p>
    <w:p w14:paraId="6B96B3FC" w14:textId="77777777" w:rsidR="00742688" w:rsidRDefault="00742688" w:rsidP="00742688"/>
    <w:p w14:paraId="272229AA" w14:textId="77777777" w:rsidR="00603D24" w:rsidRDefault="00603D24" w:rsidP="00603D24">
      <w:pPr>
        <w:spacing w:after="0" w:line="360" w:lineRule="auto"/>
        <w:ind w:firstLine="720"/>
        <w:jc w:val="both"/>
        <w:rPr>
          <w:rFonts w:ascii="Arial" w:hAnsi="Arial" w:cs="Arial"/>
        </w:rPr>
      </w:pPr>
      <w:r w:rsidRPr="00603D24">
        <w:rPr>
          <w:rFonts w:ascii="Arial" w:hAnsi="Arial" w:cs="Arial"/>
        </w:rPr>
        <w:t>CHH Conex’s current strategic direction is centred on delivering high-quality, reliable and sustainable engineering solutions for the global plumbing and HVAC industry. The organisation’s direction is guided by its vision, mission and strategic objectives which collectively focus on innovation, customer satisfaction and sustainability.</w:t>
      </w:r>
    </w:p>
    <w:p w14:paraId="26DF0F1B" w14:textId="77777777" w:rsidR="00603D24" w:rsidRDefault="00603D24" w:rsidP="00603D24">
      <w:pPr>
        <w:spacing w:after="0" w:line="360" w:lineRule="auto"/>
        <w:ind w:firstLine="720"/>
        <w:jc w:val="both"/>
        <w:rPr>
          <w:rFonts w:ascii="Arial" w:hAnsi="Arial" w:cs="Arial"/>
        </w:rPr>
      </w:pPr>
      <w:r w:rsidRPr="00603D24">
        <w:rPr>
          <w:rFonts w:ascii="Arial" w:hAnsi="Arial" w:cs="Arial"/>
        </w:rPr>
        <w:t>Vision: To be the global leader in plumbing and HVAC connection systems, recognised for engineering excellence, product reliability and sustainable manufacturing practices.</w:t>
      </w:r>
    </w:p>
    <w:p w14:paraId="75743F19" w14:textId="77777777" w:rsidR="00603D24" w:rsidRDefault="00603D24" w:rsidP="00603D24">
      <w:pPr>
        <w:spacing w:after="0" w:line="360" w:lineRule="auto"/>
        <w:ind w:firstLine="720"/>
        <w:jc w:val="both"/>
        <w:rPr>
          <w:rFonts w:ascii="Arial" w:hAnsi="Arial" w:cs="Arial"/>
        </w:rPr>
      </w:pPr>
      <w:r w:rsidRPr="00603D24">
        <w:rPr>
          <w:rFonts w:ascii="Arial" w:hAnsi="Arial" w:cs="Arial"/>
        </w:rPr>
        <w:t>Deliver innovative connection solutions that improve the performance, safety and sustainability of global plumbing and heating systems with value creation for customers, employees and stakeholders.</w:t>
      </w:r>
    </w:p>
    <w:p w14:paraId="0667B224" w14:textId="77777777" w:rsidR="00603D24" w:rsidRDefault="00603D24" w:rsidP="00603D24">
      <w:pPr>
        <w:spacing w:after="0" w:line="360" w:lineRule="auto"/>
        <w:ind w:firstLine="720"/>
        <w:jc w:val="both"/>
        <w:rPr>
          <w:rFonts w:ascii="Arial" w:hAnsi="Arial" w:cs="Arial"/>
        </w:rPr>
      </w:pPr>
      <w:r w:rsidRPr="00603D24">
        <w:rPr>
          <w:rFonts w:ascii="Arial" w:hAnsi="Arial" w:cs="Arial"/>
        </w:rPr>
        <w:t>CHH Conex’s strategic objectives are set in line with its long-term ambition of keeping it competitive through innovation, operational efficiency and global reach. They include:</w:t>
      </w:r>
    </w:p>
    <w:p w14:paraId="2CFC1242" w14:textId="77777777" w:rsidR="00603D24" w:rsidRDefault="00603D24" w:rsidP="00603D24">
      <w:pPr>
        <w:spacing w:after="0" w:line="360" w:lineRule="auto"/>
        <w:ind w:firstLine="720"/>
        <w:jc w:val="both"/>
        <w:rPr>
          <w:rFonts w:ascii="Arial" w:hAnsi="Arial" w:cs="Arial"/>
        </w:rPr>
      </w:pPr>
      <w:r w:rsidRPr="00603D24">
        <w:rPr>
          <w:rFonts w:ascii="Arial" w:hAnsi="Arial" w:cs="Arial"/>
        </w:rPr>
        <w:t>Increasing international market share with particular focus on Europe, Middle East and emerging economies of Asia.</w:t>
      </w:r>
    </w:p>
    <w:p w14:paraId="696825C2" w14:textId="77777777" w:rsidR="00603D24" w:rsidRDefault="00603D24" w:rsidP="00603D24">
      <w:pPr>
        <w:spacing w:after="0" w:line="360" w:lineRule="auto"/>
        <w:ind w:firstLine="720"/>
        <w:jc w:val="both"/>
        <w:rPr>
          <w:rFonts w:ascii="Arial" w:hAnsi="Arial" w:cs="Arial"/>
        </w:rPr>
      </w:pPr>
      <w:r w:rsidRPr="00603D24">
        <w:rPr>
          <w:rFonts w:ascii="Arial" w:hAnsi="Arial" w:cs="Arial"/>
        </w:rPr>
        <w:t>Further advancing digital transformation across design, production and logistics processes.</w:t>
      </w:r>
    </w:p>
    <w:p w14:paraId="2D9D439F" w14:textId="77777777" w:rsidR="00603D24" w:rsidRDefault="00603D24" w:rsidP="00603D24">
      <w:pPr>
        <w:spacing w:after="0" w:line="360" w:lineRule="auto"/>
        <w:ind w:firstLine="720"/>
        <w:jc w:val="both"/>
        <w:rPr>
          <w:rFonts w:ascii="Arial" w:hAnsi="Arial" w:cs="Arial"/>
        </w:rPr>
      </w:pPr>
      <w:r w:rsidRPr="00603D24">
        <w:rPr>
          <w:rFonts w:ascii="Arial" w:hAnsi="Arial" w:cs="Arial"/>
        </w:rPr>
        <w:t>Maintaining sustainability with low emissions by recycling and developing eco and efficient products.</w:t>
      </w:r>
    </w:p>
    <w:p w14:paraId="075ECFF5" w14:textId="77777777" w:rsidR="00603D24" w:rsidRDefault="00603D24" w:rsidP="00603D24">
      <w:pPr>
        <w:spacing w:after="0" w:line="360" w:lineRule="auto"/>
        <w:ind w:firstLine="720"/>
        <w:jc w:val="both"/>
        <w:rPr>
          <w:rFonts w:ascii="Arial" w:hAnsi="Arial" w:cs="Arial"/>
        </w:rPr>
      </w:pPr>
      <w:r w:rsidRPr="00603D24">
        <w:rPr>
          <w:rFonts w:ascii="Arial" w:hAnsi="Arial" w:cs="Arial"/>
        </w:rPr>
        <w:t>Building better relationships with customers through quality assurance and reliability in supplying chains.</w:t>
      </w:r>
    </w:p>
    <w:p w14:paraId="12958D14" w14:textId="77777777" w:rsidR="00603D24" w:rsidRDefault="00603D24" w:rsidP="00603D24">
      <w:pPr>
        <w:spacing w:after="0" w:line="360" w:lineRule="auto"/>
        <w:ind w:firstLine="720"/>
        <w:jc w:val="both"/>
        <w:rPr>
          <w:rFonts w:ascii="Arial" w:hAnsi="Arial" w:cs="Arial"/>
        </w:rPr>
      </w:pPr>
      <w:r w:rsidRPr="00603D24">
        <w:rPr>
          <w:rFonts w:ascii="Arial" w:hAnsi="Arial" w:cs="Arial"/>
        </w:rPr>
        <w:t>Becoming more profitable through optimising costs and setting the differentiation based on values of products.</w:t>
      </w:r>
    </w:p>
    <w:p w14:paraId="24D52A3F" w14:textId="0AF85AF3" w:rsidR="00603D24" w:rsidRPr="00603D24" w:rsidRDefault="00603D24" w:rsidP="00603D24">
      <w:pPr>
        <w:spacing w:after="0" w:line="360" w:lineRule="auto"/>
        <w:ind w:firstLine="720"/>
        <w:jc w:val="both"/>
        <w:rPr>
          <w:rFonts w:ascii="Arial" w:hAnsi="Arial" w:cs="Arial"/>
        </w:rPr>
      </w:pPr>
      <w:r w:rsidRPr="00603D24">
        <w:rPr>
          <w:rFonts w:ascii="Arial" w:hAnsi="Arial" w:cs="Arial"/>
        </w:rPr>
        <w:t xml:space="preserve">The company’s strategy reflects the evolution from an enterprise establishing manufacturing as somewhat enabled toward that of a techno-sustainability business model (Grant, 2019). Enabled through further automation artificial intelligence AI and big data analytics CHH Conex drives enhanced accuracy within manufacturing minimal waste plus predictive maintenance. However, environmental responsibility develops this company as a forward-thinking brand in an industry that has become more regulated with carbon reduction targets placed on it (Kotler </w:t>
      </w:r>
      <w:r>
        <w:rPr>
          <w:rFonts w:ascii="Arial" w:hAnsi="Arial" w:cs="Arial"/>
        </w:rPr>
        <w:t>and</w:t>
      </w:r>
      <w:r w:rsidRPr="00603D24">
        <w:rPr>
          <w:rFonts w:ascii="Arial" w:hAnsi="Arial" w:cs="Arial"/>
        </w:rPr>
        <w:t xml:space="preserve"> Keller, 2022).</w:t>
      </w:r>
    </w:p>
    <w:p w14:paraId="6F46339E" w14:textId="77777777" w:rsidR="00603D24" w:rsidRDefault="00603D24" w:rsidP="00742688"/>
    <w:p w14:paraId="521752AC" w14:textId="77777777" w:rsidR="00603D24" w:rsidRPr="00742688" w:rsidRDefault="00603D24" w:rsidP="00742688"/>
    <w:p w14:paraId="03BE0FD9" w14:textId="63A5AE72"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3" w:name="_Toc211889218"/>
      <w:r w:rsidRPr="00A048A5">
        <w:rPr>
          <w:rFonts w:ascii="Arial" w:hAnsi="Arial" w:cs="Arial"/>
          <w:b/>
          <w:bCs/>
          <w:color w:val="000000" w:themeColor="text1"/>
          <w:sz w:val="24"/>
          <w:szCs w:val="24"/>
        </w:rPr>
        <w:lastRenderedPageBreak/>
        <w:t>Internal Environmental Analysis</w:t>
      </w:r>
      <w:bookmarkEnd w:id="3"/>
    </w:p>
    <w:p w14:paraId="4DE93ACA" w14:textId="77777777" w:rsidR="00742688" w:rsidRDefault="00742688" w:rsidP="00742688"/>
    <w:p w14:paraId="7A62E2E1" w14:textId="214414F0" w:rsidR="00603D24" w:rsidRPr="00603D24" w:rsidRDefault="00603D24" w:rsidP="00603D24">
      <w:pPr>
        <w:spacing w:after="0" w:line="360" w:lineRule="auto"/>
        <w:ind w:firstLine="720"/>
        <w:jc w:val="both"/>
        <w:rPr>
          <w:rFonts w:ascii="Arial" w:hAnsi="Arial" w:cs="Arial"/>
        </w:rPr>
      </w:pPr>
      <w:r w:rsidRPr="00603D24">
        <w:rPr>
          <w:rFonts w:ascii="Arial" w:hAnsi="Arial" w:cs="Arial"/>
        </w:rPr>
        <w:t>SWOT analysis</w:t>
      </w:r>
    </w:p>
    <w:p w14:paraId="1E4F06B3" w14:textId="77777777" w:rsidR="00603D24" w:rsidRDefault="008D021C" w:rsidP="00603D24">
      <w:pPr>
        <w:spacing w:after="0" w:line="360" w:lineRule="auto"/>
        <w:ind w:firstLine="720"/>
        <w:jc w:val="both"/>
        <w:rPr>
          <w:rFonts w:ascii="Arial" w:hAnsi="Arial" w:cs="Arial"/>
        </w:rPr>
      </w:pPr>
      <w:r w:rsidRPr="00603D24">
        <w:rPr>
          <w:rFonts w:ascii="Arial" w:hAnsi="Arial" w:cs="Arial"/>
        </w:rPr>
        <w:t>Strengths:</w:t>
      </w:r>
      <w:r w:rsidR="00603D24">
        <w:rPr>
          <w:rFonts w:ascii="Arial" w:hAnsi="Arial" w:cs="Arial"/>
        </w:rPr>
        <w:t xml:space="preserve"> </w:t>
      </w:r>
      <w:r w:rsidRPr="00603D24">
        <w:rPr>
          <w:rFonts w:ascii="Arial" w:hAnsi="Arial" w:cs="Arial"/>
        </w:rPr>
        <w:t>The CHH Conex has more than a hundred years old brand heritage and technical know-how in manufacturing. It controls the product from design, casting, machining, and distribution; all these are made possible through its vertically integrated operations. The company also enjoys advanced R&amp;D and engineering teams that enhance continuous innovation of products plus a global distribution network that makes it reliable with easy market accessibility worldwide</w:t>
      </w:r>
      <w:r w:rsidR="00603D24" w:rsidRPr="00603D24">
        <w:rPr>
          <w:rFonts w:ascii="Arial" w:hAnsi="Arial" w:cs="Arial"/>
        </w:rPr>
        <w:t xml:space="preserve"> </w:t>
      </w:r>
      <w:r w:rsidRPr="00603D24">
        <w:rPr>
          <w:rFonts w:ascii="Arial" w:hAnsi="Arial" w:cs="Arial"/>
        </w:rPr>
        <w:t>(CHH Conex is implementing sustainability practices recycling copper waste energy reduction usage 2019).</w:t>
      </w:r>
    </w:p>
    <w:p w14:paraId="082EA4E3" w14:textId="77777777" w:rsidR="00603D24" w:rsidRDefault="008D021C" w:rsidP="00603D24">
      <w:pPr>
        <w:spacing w:after="0" w:line="360" w:lineRule="auto"/>
        <w:ind w:firstLine="720"/>
        <w:jc w:val="both"/>
        <w:rPr>
          <w:rFonts w:ascii="Arial" w:hAnsi="Arial" w:cs="Arial"/>
        </w:rPr>
      </w:pPr>
      <w:r w:rsidRPr="00603D24">
        <w:rPr>
          <w:rFonts w:ascii="Arial" w:hAnsi="Arial" w:cs="Arial"/>
        </w:rPr>
        <w:t>Weaknesses:</w:t>
      </w:r>
      <w:r w:rsidR="00603D24">
        <w:rPr>
          <w:rFonts w:ascii="Arial" w:hAnsi="Arial" w:cs="Arial"/>
        </w:rPr>
        <w:t xml:space="preserve"> </w:t>
      </w:r>
      <w:r w:rsidRPr="00603D24">
        <w:rPr>
          <w:rFonts w:ascii="Arial" w:hAnsi="Arial" w:cs="Arial"/>
        </w:rPr>
        <w:t>CHH Conex is technically excellent, but the company suffers from a low level of digital maturity. This makes the implementation of automation and analytics difficult in catching up with leading competitors. The company also experiences high dependency on the UK and European markets, hence regional economic fluctuations. Operational costs in energy and material inputs also remain a big challenge (Hill et al., 2021).</w:t>
      </w:r>
    </w:p>
    <w:p w14:paraId="333BAE79" w14:textId="3A5A4AB8" w:rsidR="00603D24" w:rsidRDefault="008D021C" w:rsidP="00603D24">
      <w:pPr>
        <w:spacing w:after="0" w:line="360" w:lineRule="auto"/>
        <w:ind w:firstLine="720"/>
        <w:jc w:val="both"/>
        <w:rPr>
          <w:rFonts w:ascii="Arial" w:hAnsi="Arial" w:cs="Arial"/>
        </w:rPr>
      </w:pPr>
      <w:r w:rsidRPr="00603D24">
        <w:rPr>
          <w:rFonts w:ascii="Arial" w:hAnsi="Arial" w:cs="Arial"/>
        </w:rPr>
        <w:t>Opportunities:</w:t>
      </w:r>
      <w:r w:rsidR="00603D24">
        <w:rPr>
          <w:rFonts w:ascii="Arial" w:hAnsi="Arial" w:cs="Arial"/>
        </w:rPr>
        <w:t xml:space="preserve"> </w:t>
      </w:r>
      <w:r w:rsidRPr="00603D24">
        <w:rPr>
          <w:rFonts w:ascii="Arial" w:hAnsi="Arial" w:cs="Arial"/>
        </w:rPr>
        <w:t xml:space="preserve">Internal improvements in digital transformation—including AI-driven production, predictive maintenance, and IoT-enabled quality control—could enhance operational agility. It can also capitalize on sustainability leadership by marketing eco-certified fittings and low-carbon products (Tidd </w:t>
      </w:r>
      <w:r w:rsidR="00603D24">
        <w:rPr>
          <w:rFonts w:ascii="Arial" w:hAnsi="Arial" w:cs="Arial"/>
        </w:rPr>
        <w:t>and</w:t>
      </w:r>
      <w:r w:rsidRPr="00603D24">
        <w:rPr>
          <w:rFonts w:ascii="Arial" w:hAnsi="Arial" w:cs="Arial"/>
        </w:rPr>
        <w:t xml:space="preserve"> Bessant, 2021).</w:t>
      </w:r>
    </w:p>
    <w:p w14:paraId="01E8ECB2" w14:textId="77777777" w:rsidR="00603D24" w:rsidRDefault="00603D24" w:rsidP="00603D24">
      <w:pPr>
        <w:spacing w:after="0" w:line="360" w:lineRule="auto"/>
        <w:ind w:firstLine="720"/>
        <w:jc w:val="both"/>
        <w:rPr>
          <w:rFonts w:ascii="Arial" w:hAnsi="Arial" w:cs="Arial"/>
        </w:rPr>
      </w:pPr>
      <w:r>
        <w:rPr>
          <w:rFonts w:ascii="Arial" w:hAnsi="Arial" w:cs="Arial"/>
        </w:rPr>
        <w:t>Threats</w:t>
      </w:r>
      <w:r w:rsidR="008D021C" w:rsidRPr="00603D24">
        <w:rPr>
          <w:rFonts w:ascii="Arial" w:hAnsi="Arial" w:cs="Arial"/>
        </w:rPr>
        <w:t>:</w:t>
      </w:r>
    </w:p>
    <w:p w14:paraId="35E29618" w14:textId="77777777" w:rsidR="00603D24" w:rsidRDefault="008D021C" w:rsidP="00603D24">
      <w:pPr>
        <w:spacing w:after="0" w:line="360" w:lineRule="auto"/>
        <w:ind w:firstLine="720"/>
        <w:jc w:val="both"/>
        <w:rPr>
          <w:rFonts w:ascii="Arial" w:hAnsi="Arial" w:cs="Arial"/>
        </w:rPr>
      </w:pPr>
      <w:r w:rsidRPr="00603D24">
        <w:rPr>
          <w:rFonts w:ascii="Arial" w:hAnsi="Arial" w:cs="Arial"/>
        </w:rPr>
        <w:t>Potential risks stem from rising material costs, tightening carbon regulations, and talent shortages in advanced manufacturing.</w:t>
      </w:r>
    </w:p>
    <w:p w14:paraId="35741CF7" w14:textId="77777777" w:rsidR="00603D24" w:rsidRDefault="00603D24" w:rsidP="00603D24">
      <w:pPr>
        <w:spacing w:after="0" w:line="360" w:lineRule="auto"/>
        <w:jc w:val="both"/>
        <w:rPr>
          <w:rFonts w:ascii="Arial" w:hAnsi="Arial" w:cs="Arial"/>
        </w:rPr>
      </w:pPr>
    </w:p>
    <w:p w14:paraId="3D847030" w14:textId="77777777" w:rsidR="00603D24" w:rsidRPr="00603D24" w:rsidRDefault="008D021C" w:rsidP="00603D24">
      <w:pPr>
        <w:spacing w:after="0" w:line="360" w:lineRule="auto"/>
        <w:ind w:firstLine="720"/>
        <w:jc w:val="both"/>
        <w:rPr>
          <w:rFonts w:ascii="Arial" w:hAnsi="Arial" w:cs="Arial"/>
          <w:i/>
          <w:iCs/>
          <w:u w:val="single"/>
        </w:rPr>
      </w:pPr>
      <w:r w:rsidRPr="00603D24">
        <w:rPr>
          <w:rFonts w:ascii="Arial" w:hAnsi="Arial" w:cs="Arial"/>
          <w:i/>
          <w:iCs/>
          <w:u w:val="single"/>
        </w:rPr>
        <w:t>Value Chain Analysis</w:t>
      </w:r>
    </w:p>
    <w:p w14:paraId="3081155F" w14:textId="77777777" w:rsidR="00603D24" w:rsidRDefault="008D021C" w:rsidP="00603D24">
      <w:pPr>
        <w:spacing w:after="0" w:line="360" w:lineRule="auto"/>
        <w:ind w:firstLine="720"/>
        <w:jc w:val="both"/>
        <w:rPr>
          <w:rFonts w:ascii="Arial" w:hAnsi="Arial" w:cs="Arial"/>
        </w:rPr>
      </w:pPr>
      <w:r w:rsidRPr="00603D24">
        <w:rPr>
          <w:rFonts w:ascii="Arial" w:hAnsi="Arial" w:cs="Arial"/>
        </w:rPr>
        <w:t>Apply Porter’s Value Chain, CHH Conex demonstrates strength in its primary activities—notably inbound logistics, operations, and outbound logistics. Its strong supplier relationships ensure a consistent flow of high-grade copper and brass while in-house manufacturing delivers cost efficiency through standardisation. Operations are increasingly automated, though opportunities exist to digitalise further through smart factory systems and data integration (Johnson et al., 2020).</w:t>
      </w:r>
    </w:p>
    <w:p w14:paraId="0BCA7490" w14:textId="77777777" w:rsidR="00603D24" w:rsidRDefault="008D021C" w:rsidP="00603D24">
      <w:pPr>
        <w:spacing w:after="0" w:line="360" w:lineRule="auto"/>
        <w:ind w:firstLine="720"/>
        <w:jc w:val="both"/>
        <w:rPr>
          <w:rFonts w:ascii="Arial" w:hAnsi="Arial" w:cs="Arial"/>
        </w:rPr>
      </w:pPr>
      <w:r w:rsidRPr="00603D24">
        <w:rPr>
          <w:rFonts w:ascii="Arial" w:hAnsi="Arial" w:cs="Arial"/>
        </w:rPr>
        <w:t>In support activities, technology and marketing have been made effective by CHH Conex’s engineering know-how and the branded company. However, IT integration and HR development to improve competitiveness in the future seem to be weak areas that need</w:t>
      </w:r>
      <w:r w:rsidRPr="00603D24">
        <w:rPr>
          <w:rFonts w:ascii="Arial" w:hAnsi="Arial" w:cs="Arial"/>
        </w:rPr>
        <w:t xml:space="preserve"> </w:t>
      </w:r>
      <w:r w:rsidRPr="00603D24">
        <w:rPr>
          <w:rFonts w:ascii="Arial" w:hAnsi="Arial" w:cs="Arial"/>
        </w:rPr>
        <w:t>addressing. ERP systems could enhance such alignments.</w:t>
      </w:r>
    </w:p>
    <w:p w14:paraId="2A254C3C" w14:textId="68C0D623" w:rsidR="008D021C" w:rsidRPr="00603D24" w:rsidRDefault="008D021C" w:rsidP="00603D24">
      <w:pPr>
        <w:spacing w:after="0" w:line="360" w:lineRule="auto"/>
        <w:ind w:firstLine="720"/>
        <w:jc w:val="both"/>
        <w:rPr>
          <w:rFonts w:ascii="Arial" w:hAnsi="Arial" w:cs="Arial"/>
        </w:rPr>
      </w:pPr>
      <w:r w:rsidRPr="00603D24">
        <w:rPr>
          <w:rFonts w:ascii="Arial" w:hAnsi="Arial" w:cs="Arial"/>
        </w:rPr>
        <w:lastRenderedPageBreak/>
        <w:t>The internal environment of CHH Conex is based on operational excellence, technical accuracy, and sustainability awareness. However,</w:t>
      </w:r>
      <w:r w:rsidRPr="00603D24">
        <w:rPr>
          <w:rFonts w:ascii="Arial" w:hAnsi="Arial" w:cs="Arial"/>
        </w:rPr>
        <w:t xml:space="preserve"> </w:t>
      </w:r>
      <w:r w:rsidRPr="00603D24">
        <w:rPr>
          <w:rFonts w:ascii="Arial" w:hAnsi="Arial" w:cs="Arial"/>
        </w:rPr>
        <w:t>in order for long-term strategic growth development to take place,</w:t>
      </w:r>
      <w:r w:rsidRPr="00603D24">
        <w:rPr>
          <w:rFonts w:ascii="Arial" w:hAnsi="Arial" w:cs="Arial"/>
        </w:rPr>
        <w:t xml:space="preserve"> </w:t>
      </w:r>
      <w:r w:rsidRPr="00603D24">
        <w:rPr>
          <w:rFonts w:ascii="Arial" w:hAnsi="Arial" w:cs="Arial"/>
        </w:rPr>
        <w:t xml:space="preserve">it requires deeper digital capability as well as international diversification (Kotler </w:t>
      </w:r>
      <w:r w:rsidR="00603D24">
        <w:rPr>
          <w:rFonts w:ascii="Arial" w:hAnsi="Arial" w:cs="Arial"/>
        </w:rPr>
        <w:t>and</w:t>
      </w:r>
      <w:r w:rsidRPr="00603D24">
        <w:rPr>
          <w:rFonts w:ascii="Arial" w:hAnsi="Arial" w:cs="Arial"/>
        </w:rPr>
        <w:t xml:space="preserve"> Keller 2022).</w:t>
      </w:r>
    </w:p>
    <w:p w14:paraId="2FB72E3D" w14:textId="77777777" w:rsidR="008D021C" w:rsidRPr="00742688" w:rsidRDefault="008D021C" w:rsidP="00742688"/>
    <w:p w14:paraId="66CF11DA" w14:textId="613CCD42"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4" w:name="_Toc211889219"/>
      <w:r w:rsidRPr="00A048A5">
        <w:rPr>
          <w:rFonts w:ascii="Arial" w:hAnsi="Arial" w:cs="Arial"/>
          <w:b/>
          <w:bCs/>
          <w:color w:val="000000" w:themeColor="text1"/>
          <w:sz w:val="24"/>
          <w:szCs w:val="24"/>
        </w:rPr>
        <w:t>External Environmental Analysis</w:t>
      </w:r>
      <w:bookmarkEnd w:id="4"/>
    </w:p>
    <w:p w14:paraId="03B17938" w14:textId="77777777" w:rsidR="00742688" w:rsidRDefault="00742688" w:rsidP="00742688"/>
    <w:p w14:paraId="447792D2" w14:textId="77777777" w:rsidR="008D021C" w:rsidRPr="00603D24" w:rsidRDefault="008D021C" w:rsidP="008D021C">
      <w:pPr>
        <w:spacing w:after="0" w:line="360" w:lineRule="auto"/>
        <w:ind w:firstLine="720"/>
        <w:jc w:val="both"/>
        <w:rPr>
          <w:rFonts w:ascii="Arial" w:hAnsi="Arial" w:cs="Arial"/>
          <w:i/>
          <w:iCs/>
          <w:u w:val="single"/>
        </w:rPr>
      </w:pPr>
      <w:r w:rsidRPr="00603D24">
        <w:rPr>
          <w:rFonts w:ascii="Arial" w:hAnsi="Arial" w:cs="Arial"/>
          <w:i/>
          <w:iCs/>
          <w:u w:val="single"/>
        </w:rPr>
        <w:t>PESTEL Analysis</w:t>
      </w:r>
    </w:p>
    <w:p w14:paraId="42D1D513" w14:textId="77777777" w:rsidR="008D021C" w:rsidRDefault="008D021C" w:rsidP="008D021C">
      <w:pPr>
        <w:spacing w:after="0" w:line="360" w:lineRule="auto"/>
        <w:ind w:firstLine="720"/>
        <w:jc w:val="both"/>
        <w:rPr>
          <w:rFonts w:ascii="Arial" w:hAnsi="Arial" w:cs="Arial"/>
        </w:rPr>
      </w:pPr>
      <w:r w:rsidRPr="008D021C">
        <w:rPr>
          <w:rFonts w:ascii="Arial" w:hAnsi="Arial" w:cs="Arial"/>
        </w:rPr>
        <w:t>Political: The post-Brexit trade policies and import/export tariffs in the supply chain of costs to the manufacturing market access and output of manufactured goods in the UK affect the manufacturing sector. That, however, is very well aligned with CHH Conex’s localisation and sustainability endeavours because green manufacturing- oriented government policies in the UK support “Made in Britain” activities (Grant, 2019).</w:t>
      </w:r>
    </w:p>
    <w:p w14:paraId="1C902403" w14:textId="77777777" w:rsidR="008D021C" w:rsidRDefault="008D021C" w:rsidP="008D021C">
      <w:pPr>
        <w:spacing w:after="0" w:line="360" w:lineRule="auto"/>
        <w:ind w:firstLine="720"/>
        <w:jc w:val="both"/>
        <w:rPr>
          <w:rFonts w:ascii="Arial" w:hAnsi="Arial" w:cs="Arial"/>
        </w:rPr>
      </w:pPr>
      <w:r w:rsidRPr="008D021C">
        <w:rPr>
          <w:rFonts w:ascii="Arial" w:hAnsi="Arial" w:cs="Arial"/>
        </w:rPr>
        <w:t xml:space="preserve">Economic: Volatility of raw materials-prices especially copper and brass directly </w:t>
      </w:r>
      <w:r w:rsidRPr="008D021C">
        <w:rPr>
          <w:rFonts w:ascii="Arial" w:hAnsi="Arial" w:cs="Arial"/>
        </w:rPr>
        <w:t>impact</w:t>
      </w:r>
      <w:r w:rsidRPr="008D021C">
        <w:rPr>
          <w:rFonts w:ascii="Arial" w:hAnsi="Arial" w:cs="Arial"/>
        </w:rPr>
        <w:t xml:space="preserve"> margins. More inflation, energy costs, and </w:t>
      </w:r>
      <w:r w:rsidRPr="008D021C">
        <w:rPr>
          <w:rFonts w:ascii="Arial" w:hAnsi="Arial" w:cs="Arial"/>
        </w:rPr>
        <w:t>labour</w:t>
      </w:r>
      <w:r w:rsidRPr="008D021C">
        <w:rPr>
          <w:rFonts w:ascii="Arial" w:hAnsi="Arial" w:cs="Arial"/>
        </w:rPr>
        <w:t xml:space="preserve"> shortages are eating into the profitability. However, in the long term, increasing global demand for housing and infrastructure is being </w:t>
      </w:r>
      <w:r w:rsidRPr="008D021C">
        <w:rPr>
          <w:rFonts w:ascii="Arial" w:hAnsi="Arial" w:cs="Arial"/>
        </w:rPr>
        <w:t>channelled</w:t>
      </w:r>
      <w:r w:rsidRPr="008D021C">
        <w:rPr>
          <w:rFonts w:ascii="Arial" w:hAnsi="Arial" w:cs="Arial"/>
        </w:rPr>
        <w:t xml:space="preserve"> through HVAC and plumbing industries (Hill et al., 2021).</w:t>
      </w:r>
    </w:p>
    <w:p w14:paraId="6985E549" w14:textId="533748BC" w:rsidR="008D021C" w:rsidRDefault="008D021C" w:rsidP="008D021C">
      <w:pPr>
        <w:spacing w:after="0" w:line="360" w:lineRule="auto"/>
        <w:ind w:firstLine="720"/>
        <w:jc w:val="both"/>
        <w:rPr>
          <w:rFonts w:ascii="Arial" w:hAnsi="Arial" w:cs="Arial"/>
        </w:rPr>
      </w:pPr>
      <w:r w:rsidRPr="008D021C">
        <w:rPr>
          <w:rFonts w:ascii="Arial" w:hAnsi="Arial" w:cs="Arial"/>
        </w:rPr>
        <w:t>Social</w:t>
      </w:r>
      <w:r>
        <w:rPr>
          <w:rFonts w:ascii="Arial" w:hAnsi="Arial" w:cs="Arial"/>
        </w:rPr>
        <w:t>:</w:t>
      </w:r>
      <w:r w:rsidRPr="008D021C">
        <w:rPr>
          <w:rFonts w:ascii="Arial" w:hAnsi="Arial" w:cs="Arial"/>
        </w:rPr>
        <w:t xml:space="preserve"> There is growing end-user and contractor demand for sustainably supplied building materials-and traceable supply chains. CHH Conex implements ethical sourcing and </w:t>
      </w:r>
      <w:r w:rsidRPr="008D021C">
        <w:rPr>
          <w:rFonts w:ascii="Arial" w:hAnsi="Arial" w:cs="Arial"/>
        </w:rPr>
        <w:t>recycles</w:t>
      </w:r>
      <w:r w:rsidRPr="008D021C">
        <w:rPr>
          <w:rFonts w:ascii="Arial" w:hAnsi="Arial" w:cs="Arial"/>
        </w:rPr>
        <w:t xml:space="preserve"> policies that provide a good match parameter fit with evolving customer preference parameters toward environmental responsibility (Kotler &amp; Keller, 2022). Technological. Rapid Industry 4.0 Developments-The new standards of production are being set by fully automated additive manufacturing systems. CHH Conex has to speed up its process of digital adoption for competitiveness and efficiency</w:t>
      </w:r>
      <w:r>
        <w:rPr>
          <w:rFonts w:ascii="Arial" w:hAnsi="Arial" w:cs="Arial"/>
        </w:rPr>
        <w:t xml:space="preserve"> </w:t>
      </w:r>
      <w:r w:rsidRPr="008D021C">
        <w:rPr>
          <w:rFonts w:ascii="Arial" w:hAnsi="Arial" w:cs="Arial"/>
        </w:rPr>
        <w:t xml:space="preserve">(Tidd </w:t>
      </w:r>
      <w:r>
        <w:rPr>
          <w:rFonts w:ascii="Arial" w:hAnsi="Arial" w:cs="Arial"/>
        </w:rPr>
        <w:t>and</w:t>
      </w:r>
      <w:r w:rsidRPr="008D021C">
        <w:rPr>
          <w:rFonts w:ascii="Arial" w:hAnsi="Arial" w:cs="Arial"/>
        </w:rPr>
        <w:t xml:space="preserve"> Bessant, 2021).</w:t>
      </w:r>
    </w:p>
    <w:p w14:paraId="6F8C3974" w14:textId="77777777" w:rsidR="008D021C" w:rsidRDefault="008D021C" w:rsidP="008D021C">
      <w:pPr>
        <w:spacing w:after="0" w:line="360" w:lineRule="auto"/>
        <w:ind w:firstLine="720"/>
        <w:jc w:val="both"/>
        <w:rPr>
          <w:rFonts w:ascii="Arial" w:hAnsi="Arial" w:cs="Arial"/>
        </w:rPr>
      </w:pPr>
      <w:r w:rsidRPr="008D021C">
        <w:rPr>
          <w:rFonts w:ascii="Arial" w:hAnsi="Arial" w:cs="Arial"/>
        </w:rPr>
        <w:t>Legal: Health and safety compliance, material certification and anti-corruption laws across different markets. Global product conformity (for example, ISO, WRAS and REACH) remains essential for market entry.</w:t>
      </w:r>
    </w:p>
    <w:p w14:paraId="48437729" w14:textId="77777777" w:rsidR="008D021C" w:rsidRDefault="008D021C" w:rsidP="008D021C">
      <w:pPr>
        <w:spacing w:after="0" w:line="360" w:lineRule="auto"/>
        <w:ind w:firstLine="720"/>
        <w:jc w:val="both"/>
        <w:rPr>
          <w:rFonts w:ascii="Arial" w:hAnsi="Arial" w:cs="Arial"/>
        </w:rPr>
      </w:pPr>
      <w:r w:rsidRPr="008D021C">
        <w:rPr>
          <w:rFonts w:ascii="Arial" w:hAnsi="Arial" w:cs="Arial"/>
        </w:rPr>
        <w:t>Environmental: Stricter regulations on carbon emissions and waste drive constant investments in eco-efficient technologies and the use of renewable energy. A proactive sustainability strategy places the company at a strong advantage as tightening EU environmental standards in using best available practice precede standards in other markets (Varadarajan, 2020)</w:t>
      </w:r>
      <w:r>
        <w:rPr>
          <w:rFonts w:ascii="Arial" w:hAnsi="Arial" w:cs="Arial"/>
        </w:rPr>
        <w:t>.</w:t>
      </w:r>
    </w:p>
    <w:p w14:paraId="15E7865F" w14:textId="77777777" w:rsidR="008D021C" w:rsidRDefault="008D021C" w:rsidP="008D021C">
      <w:pPr>
        <w:spacing w:after="0" w:line="360" w:lineRule="auto"/>
        <w:ind w:firstLine="720"/>
        <w:jc w:val="both"/>
        <w:rPr>
          <w:rFonts w:ascii="Arial" w:hAnsi="Arial" w:cs="Arial"/>
        </w:rPr>
      </w:pPr>
    </w:p>
    <w:p w14:paraId="072D03D5" w14:textId="77777777" w:rsidR="008D021C" w:rsidRPr="00603D24" w:rsidRDefault="008D021C" w:rsidP="008D021C">
      <w:pPr>
        <w:spacing w:after="0" w:line="360" w:lineRule="auto"/>
        <w:ind w:firstLine="720"/>
        <w:jc w:val="both"/>
        <w:rPr>
          <w:rFonts w:ascii="Arial" w:hAnsi="Arial" w:cs="Arial"/>
          <w:i/>
          <w:iCs/>
          <w:u w:val="single"/>
        </w:rPr>
      </w:pPr>
      <w:r w:rsidRPr="00603D24">
        <w:rPr>
          <w:rFonts w:ascii="Arial" w:hAnsi="Arial" w:cs="Arial"/>
          <w:i/>
          <w:iCs/>
          <w:u w:val="single"/>
        </w:rPr>
        <w:lastRenderedPageBreak/>
        <w:t>Porter’s Five Forces</w:t>
      </w:r>
    </w:p>
    <w:p w14:paraId="6C5BDBF9" w14:textId="77777777" w:rsidR="008D021C" w:rsidRDefault="008D021C" w:rsidP="008D021C">
      <w:pPr>
        <w:spacing w:after="0" w:line="360" w:lineRule="auto"/>
        <w:ind w:firstLine="720"/>
        <w:jc w:val="both"/>
        <w:rPr>
          <w:rFonts w:ascii="Arial" w:hAnsi="Arial" w:cs="Arial"/>
        </w:rPr>
      </w:pPr>
      <w:r w:rsidRPr="008D021C">
        <w:rPr>
          <w:rFonts w:ascii="Arial" w:hAnsi="Arial" w:cs="Arial"/>
        </w:rPr>
        <w:t xml:space="preserve">Competitive Rivalry – High: The main rivals in the plumbing and fittings sector are Pegler Yorkshire, Conex </w:t>
      </w:r>
      <w:proofErr w:type="spellStart"/>
      <w:r w:rsidRPr="008D021C">
        <w:rPr>
          <w:rFonts w:ascii="Arial" w:hAnsi="Arial" w:cs="Arial"/>
        </w:rPr>
        <w:t>Bänninger</w:t>
      </w:r>
      <w:proofErr w:type="spellEnd"/>
      <w:r w:rsidRPr="008D021C">
        <w:rPr>
          <w:rFonts w:ascii="Arial" w:hAnsi="Arial" w:cs="Arial"/>
        </w:rPr>
        <w:t xml:space="preserve">, and </w:t>
      </w:r>
      <w:proofErr w:type="spellStart"/>
      <w:r w:rsidRPr="008D021C">
        <w:rPr>
          <w:rFonts w:ascii="Arial" w:hAnsi="Arial" w:cs="Arial"/>
        </w:rPr>
        <w:t>Geberit</w:t>
      </w:r>
      <w:proofErr w:type="spellEnd"/>
      <w:r w:rsidRPr="008D021C">
        <w:rPr>
          <w:rFonts w:ascii="Arial" w:hAnsi="Arial" w:cs="Arial"/>
        </w:rPr>
        <w:t>. This is a largely crowded industry. Therefore, product differentiation and quality become vital aspects of maintaining margins (Johnson et al., 2020).</w:t>
      </w:r>
    </w:p>
    <w:p w14:paraId="74172741" w14:textId="77777777" w:rsidR="008D021C" w:rsidRDefault="008D021C" w:rsidP="008D021C">
      <w:pPr>
        <w:spacing w:after="0" w:line="360" w:lineRule="auto"/>
        <w:ind w:firstLine="720"/>
        <w:jc w:val="both"/>
        <w:rPr>
          <w:rFonts w:ascii="Arial" w:hAnsi="Arial" w:cs="Arial"/>
        </w:rPr>
      </w:pPr>
      <w:r w:rsidRPr="008D021C">
        <w:rPr>
          <w:rFonts w:ascii="Arial" w:hAnsi="Arial" w:cs="Arial"/>
        </w:rPr>
        <w:t>Threat of New Entrants – Moderate: CHH Conex enjoys protection through high capital requirements and already established brand trust. However, there is potential for market disruption through new digital startups offering 3D-printed fittings.</w:t>
      </w:r>
    </w:p>
    <w:p w14:paraId="07F0F133" w14:textId="77777777" w:rsidR="008D021C" w:rsidRDefault="008D021C" w:rsidP="008D021C">
      <w:pPr>
        <w:spacing w:after="0" w:line="360" w:lineRule="auto"/>
        <w:ind w:firstLine="720"/>
        <w:jc w:val="both"/>
        <w:rPr>
          <w:rFonts w:ascii="Arial" w:hAnsi="Arial" w:cs="Arial"/>
        </w:rPr>
      </w:pPr>
      <w:r w:rsidRPr="008D021C">
        <w:rPr>
          <w:rFonts w:ascii="Arial" w:hAnsi="Arial" w:cs="Arial"/>
        </w:rPr>
        <w:t>Supplier Power – Moderate: The dependence on international suppliers of copper makes the costs vulnerable to price shocks in copper, but long-term contracts with suppliers always lock in any sudden upward volatility for at least a year.</w:t>
      </w:r>
    </w:p>
    <w:p w14:paraId="7C291DDA" w14:textId="77777777" w:rsidR="008D021C" w:rsidRDefault="008D021C" w:rsidP="008D021C">
      <w:pPr>
        <w:spacing w:after="0" w:line="360" w:lineRule="auto"/>
        <w:ind w:firstLine="720"/>
        <w:jc w:val="both"/>
        <w:rPr>
          <w:rFonts w:ascii="Arial" w:hAnsi="Arial" w:cs="Arial"/>
        </w:rPr>
      </w:pPr>
      <w:r w:rsidRPr="008D021C">
        <w:rPr>
          <w:rFonts w:ascii="Arial" w:hAnsi="Arial" w:cs="Arial"/>
        </w:rPr>
        <w:t>Buyer Power – High: Large wholesalers and construction firms comprise the bulk of buyers who constantly demand very competitive prices together with quick deliveries thereby placing strong negotiating leverage on the selling firm.</w:t>
      </w:r>
    </w:p>
    <w:p w14:paraId="029A0569" w14:textId="6FE3405D" w:rsidR="008D021C" w:rsidRDefault="008D021C" w:rsidP="008D021C">
      <w:pPr>
        <w:spacing w:after="0" w:line="360" w:lineRule="auto"/>
        <w:ind w:firstLine="720"/>
        <w:jc w:val="both"/>
      </w:pPr>
      <w:r w:rsidRPr="008D021C">
        <w:rPr>
          <w:rFonts w:ascii="Arial" w:hAnsi="Arial" w:cs="Arial"/>
        </w:rPr>
        <w:t>Threat of Substitutes</w:t>
      </w:r>
      <w:r w:rsidRPr="008D021C">
        <w:t xml:space="preserve"> – Low to Moderate: Alternative materials such as plastics and PEX tubing present substitution risks, though CHH Conex’s precision brass and copper fittings remain superior for durability and safety.</w:t>
      </w:r>
    </w:p>
    <w:p w14:paraId="7EDC5DCC" w14:textId="77777777" w:rsidR="008D021C" w:rsidRPr="00742688" w:rsidRDefault="008D021C" w:rsidP="00742688"/>
    <w:p w14:paraId="1C6633FA" w14:textId="2B2E2058"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5" w:name="_Toc211889220"/>
      <w:r w:rsidRPr="00A048A5">
        <w:rPr>
          <w:rFonts w:ascii="Arial" w:hAnsi="Arial" w:cs="Arial"/>
          <w:b/>
          <w:bCs/>
          <w:color w:val="000000" w:themeColor="text1"/>
          <w:sz w:val="24"/>
          <w:szCs w:val="24"/>
        </w:rPr>
        <w:t>Strategic Growth Choices and New Sustainable Strategy</w:t>
      </w:r>
      <w:bookmarkEnd w:id="5"/>
    </w:p>
    <w:p w14:paraId="4465E30F" w14:textId="77777777" w:rsidR="00742688" w:rsidRDefault="00742688" w:rsidP="00742688"/>
    <w:p w14:paraId="37339F58" w14:textId="77777777" w:rsidR="00C146F8" w:rsidRDefault="00C146F8" w:rsidP="00C146F8">
      <w:pPr>
        <w:spacing w:after="0" w:line="360" w:lineRule="auto"/>
        <w:ind w:firstLine="720"/>
        <w:jc w:val="both"/>
        <w:rPr>
          <w:rFonts w:ascii="Arial" w:hAnsi="Arial" w:cs="Arial"/>
        </w:rPr>
      </w:pPr>
      <w:r w:rsidRPr="00C146F8">
        <w:rPr>
          <w:rFonts w:ascii="Arial" w:hAnsi="Arial" w:cs="Arial"/>
        </w:rPr>
        <w:t>Strategic growth options for CHH Conex Ltd emanate from its strong engineering base, brand reputation, and global market reach. However, to address increasing competition, environmental regulation, and technological disruption-intense impacts on the firm-a multi-dimensional strategy is required comprising international expansion with digital transformation as sustainable manufacturing. Feasible directions are determined by applying Porter’s Generic Strategies together with the Ansoff Matrix and Bowman’s Strategic Clock in this section to outline possible pathways before proposing an integrated long-term growth plan</w:t>
      </w:r>
      <w:r>
        <w:rPr>
          <w:rFonts w:ascii="Arial" w:hAnsi="Arial" w:cs="Arial"/>
        </w:rPr>
        <w:t>.</w:t>
      </w:r>
    </w:p>
    <w:p w14:paraId="6270EA8C" w14:textId="77777777" w:rsidR="00C146F8" w:rsidRDefault="00C146F8" w:rsidP="00C146F8">
      <w:pPr>
        <w:spacing w:after="0" w:line="360" w:lineRule="auto"/>
        <w:ind w:firstLine="720"/>
        <w:jc w:val="both"/>
        <w:rPr>
          <w:rFonts w:ascii="Arial" w:hAnsi="Arial" w:cs="Arial"/>
        </w:rPr>
      </w:pPr>
    </w:p>
    <w:p w14:paraId="6A36E523" w14:textId="5274B5D7" w:rsidR="00C146F8" w:rsidRPr="00C146F8" w:rsidRDefault="00C146F8" w:rsidP="00C146F8">
      <w:pPr>
        <w:spacing w:after="0" w:line="360" w:lineRule="auto"/>
        <w:ind w:firstLine="720"/>
        <w:jc w:val="both"/>
        <w:rPr>
          <w:rFonts w:ascii="Arial" w:hAnsi="Arial" w:cs="Arial"/>
          <w:i/>
          <w:iCs/>
          <w:u w:val="single"/>
        </w:rPr>
      </w:pPr>
      <w:r w:rsidRPr="00C146F8">
        <w:rPr>
          <w:rFonts w:ascii="Arial" w:hAnsi="Arial" w:cs="Arial"/>
          <w:i/>
          <w:iCs/>
          <w:u w:val="single"/>
        </w:rPr>
        <w:t>Porter’s Generic Strategies</w:t>
      </w:r>
    </w:p>
    <w:p w14:paraId="567EB288" w14:textId="77777777" w:rsidR="00C146F8" w:rsidRDefault="00C146F8" w:rsidP="00C146F8">
      <w:pPr>
        <w:spacing w:after="0" w:line="360" w:lineRule="auto"/>
        <w:ind w:firstLine="720"/>
        <w:jc w:val="both"/>
        <w:rPr>
          <w:rFonts w:ascii="Arial" w:hAnsi="Arial" w:cs="Arial"/>
        </w:rPr>
      </w:pPr>
      <w:r w:rsidRPr="00C146F8">
        <w:rPr>
          <w:rFonts w:ascii="Arial" w:hAnsi="Arial" w:cs="Arial"/>
        </w:rPr>
        <w:t xml:space="preserve">According to Porter (1985), there are two basic types of competitive advantage a firm can possess- low cost or differentiation. In addition, he defined three strategic alternatives- cost leadership, differentiation, and focus. Traditionally, CHH Conex has been able to achieve and maintain above-average performance in its highly competitive industry through superior engineering and product reliability. However, it should also pursue a hybrid differentiation-cost </w:t>
      </w:r>
      <w:r w:rsidRPr="00C146F8">
        <w:rPr>
          <w:rFonts w:ascii="Arial" w:hAnsi="Arial" w:cs="Arial"/>
        </w:rPr>
        <w:lastRenderedPageBreak/>
        <w:t>efficiency strategy by leveraging automation, AI-driven production, and lean manufacturing to lower operating costs without compromising quality or sustainability commitments.</w:t>
      </w:r>
      <w:r w:rsidRPr="00C146F8">
        <w:rPr>
          <w:rFonts w:ascii="Arial" w:hAnsi="Arial" w:cs="Arial"/>
        </w:rPr>
        <w:br/>
      </w:r>
      <w:r w:rsidRPr="00C146F8">
        <w:rPr>
          <w:rFonts w:ascii="Arial" w:hAnsi="Arial" w:cs="Arial"/>
        </w:rPr>
        <w:br/>
      </w:r>
    </w:p>
    <w:p w14:paraId="1278E581" w14:textId="43094A93" w:rsidR="00C146F8" w:rsidRPr="00C146F8" w:rsidRDefault="00C146F8" w:rsidP="00C146F8">
      <w:pPr>
        <w:spacing w:after="0" w:line="360" w:lineRule="auto"/>
        <w:ind w:firstLine="720"/>
        <w:jc w:val="both"/>
        <w:rPr>
          <w:rFonts w:ascii="Arial" w:hAnsi="Arial" w:cs="Arial"/>
          <w:i/>
          <w:iCs/>
          <w:u w:val="single"/>
        </w:rPr>
      </w:pPr>
      <w:r w:rsidRPr="00C146F8">
        <w:rPr>
          <w:rFonts w:ascii="Arial" w:hAnsi="Arial" w:cs="Arial"/>
          <w:i/>
          <w:iCs/>
          <w:u w:val="single"/>
        </w:rPr>
        <w:t>Ansoff Matrix</w:t>
      </w:r>
    </w:p>
    <w:p w14:paraId="6927F544" w14:textId="3CF916DB" w:rsidR="00C146F8" w:rsidRDefault="00C146F8" w:rsidP="00C146F8">
      <w:pPr>
        <w:spacing w:after="0" w:line="360" w:lineRule="auto"/>
        <w:ind w:firstLine="720"/>
        <w:jc w:val="both"/>
        <w:rPr>
          <w:rFonts w:ascii="Arial" w:hAnsi="Arial" w:cs="Arial"/>
        </w:rPr>
      </w:pPr>
      <w:r w:rsidRPr="00C146F8">
        <w:rPr>
          <w:rFonts w:ascii="Arial" w:hAnsi="Arial" w:cs="Arial"/>
        </w:rPr>
        <w:t>The Ansoff Matrix highlights four strategic options: market penetration, market development, product development and diversification.</w:t>
      </w:r>
    </w:p>
    <w:p w14:paraId="430AB0F9" w14:textId="2627B1AF" w:rsidR="00C146F8" w:rsidRDefault="00C146F8" w:rsidP="00C146F8">
      <w:pPr>
        <w:spacing w:after="0" w:line="360" w:lineRule="auto"/>
        <w:ind w:firstLine="720"/>
        <w:jc w:val="both"/>
        <w:rPr>
          <w:rFonts w:ascii="Arial" w:hAnsi="Arial" w:cs="Arial"/>
        </w:rPr>
      </w:pPr>
      <w:r w:rsidRPr="00C146F8">
        <w:rPr>
          <w:rFonts w:ascii="Arial" w:hAnsi="Arial" w:cs="Arial"/>
        </w:rPr>
        <w:t xml:space="preserve">Market Penetration: CHH Conex should further penetrate its existing markets by improving digital sales platforms and customer loyalty programs. An AI-based ordering portal for distributors can make the process lean and enhance the user experience (Kotler </w:t>
      </w:r>
      <w:r>
        <w:rPr>
          <w:rFonts w:ascii="Arial" w:hAnsi="Arial" w:cs="Arial"/>
        </w:rPr>
        <w:t>and</w:t>
      </w:r>
      <w:r w:rsidRPr="00C146F8">
        <w:rPr>
          <w:rFonts w:ascii="Arial" w:hAnsi="Arial" w:cs="Arial"/>
        </w:rPr>
        <w:t xml:space="preserve"> Keller, 2022).</w:t>
      </w:r>
    </w:p>
    <w:p w14:paraId="3C72D7CA" w14:textId="77777777" w:rsidR="00C146F8" w:rsidRDefault="00C146F8" w:rsidP="00C146F8">
      <w:pPr>
        <w:spacing w:after="0" w:line="360" w:lineRule="auto"/>
        <w:ind w:firstLine="720"/>
        <w:jc w:val="both"/>
        <w:rPr>
          <w:rFonts w:ascii="Arial" w:hAnsi="Arial" w:cs="Arial"/>
        </w:rPr>
      </w:pPr>
      <w:r w:rsidRPr="00C146F8">
        <w:rPr>
          <w:rFonts w:ascii="Arial" w:hAnsi="Arial" w:cs="Arial"/>
        </w:rPr>
        <w:t>Market Development. Huge opportunities lie within emerging markets of Asia, Middle East, and Africa. A global infrastructure boom and urbanisation will put in demand high quality plumbing and HVAC systems. Local partnerships plus regional distribution hubs can cut logistics costs while cementing market presence (Johnson et al., 2020).</w:t>
      </w:r>
    </w:p>
    <w:p w14:paraId="56AA3555" w14:textId="77777777" w:rsidR="00C146F8" w:rsidRDefault="00C146F8" w:rsidP="00C146F8">
      <w:pPr>
        <w:spacing w:after="0" w:line="360" w:lineRule="auto"/>
        <w:ind w:firstLine="720"/>
        <w:jc w:val="both"/>
        <w:rPr>
          <w:rFonts w:ascii="Arial" w:hAnsi="Arial" w:cs="Arial"/>
        </w:rPr>
      </w:pPr>
      <w:r w:rsidRPr="00C146F8">
        <w:rPr>
          <w:rFonts w:ascii="Arial" w:hAnsi="Arial" w:cs="Arial"/>
        </w:rPr>
        <w:t xml:space="preserve">Product Development: CHH Conex can introduce to the market a line of recycled and low-emission products, besides involving academic institutions and research </w:t>
      </w:r>
      <w:r w:rsidRPr="00C146F8">
        <w:rPr>
          <w:rFonts w:ascii="Arial" w:hAnsi="Arial" w:cs="Arial"/>
        </w:rPr>
        <w:t>centres</w:t>
      </w:r>
      <w:r w:rsidRPr="00C146F8">
        <w:rPr>
          <w:rFonts w:ascii="Arial" w:hAnsi="Arial" w:cs="Arial"/>
        </w:rPr>
        <w:t xml:space="preserve"> in accelerated R&amp;D programs for advanced metallurgical materials and environmentally friendly coatings, green coatings.</w:t>
      </w:r>
    </w:p>
    <w:p w14:paraId="0F7C8A79" w14:textId="39D602EA" w:rsidR="00C146F8" w:rsidRDefault="00C146F8" w:rsidP="00C146F8">
      <w:pPr>
        <w:spacing w:after="0" w:line="360" w:lineRule="auto"/>
        <w:ind w:firstLine="720"/>
        <w:jc w:val="both"/>
        <w:rPr>
          <w:rFonts w:ascii="Arial" w:hAnsi="Arial" w:cs="Arial"/>
        </w:rPr>
      </w:pPr>
      <w:r w:rsidRPr="00C146F8">
        <w:rPr>
          <w:rFonts w:ascii="Arial" w:hAnsi="Arial" w:cs="Arial"/>
        </w:rPr>
        <w:t xml:space="preserve">Diversification: In the long term, CHH Conex may invest in the development of smart water management systems as closely related technologies, thereby adding a digital dimension to traditional products through IoT sensors for leakage detection and pressure monitoring (Tidd </w:t>
      </w:r>
      <w:r>
        <w:rPr>
          <w:rFonts w:ascii="Arial" w:hAnsi="Arial" w:cs="Arial"/>
        </w:rPr>
        <w:t>and</w:t>
      </w:r>
      <w:r w:rsidRPr="00C146F8">
        <w:rPr>
          <w:rFonts w:ascii="Arial" w:hAnsi="Arial" w:cs="Arial"/>
        </w:rPr>
        <w:t xml:space="preserve"> Bessant 2021).</w:t>
      </w:r>
    </w:p>
    <w:p w14:paraId="1BBE43F4" w14:textId="77777777" w:rsidR="00C146F8" w:rsidRDefault="00C146F8" w:rsidP="00C146F8">
      <w:pPr>
        <w:spacing w:after="0" w:line="360" w:lineRule="auto"/>
        <w:ind w:firstLine="720"/>
        <w:jc w:val="both"/>
        <w:rPr>
          <w:rFonts w:ascii="Arial" w:hAnsi="Arial" w:cs="Arial"/>
        </w:rPr>
      </w:pPr>
    </w:p>
    <w:p w14:paraId="60E72747" w14:textId="77777777" w:rsidR="00C146F8" w:rsidRPr="00C146F8" w:rsidRDefault="00C146F8" w:rsidP="00C146F8">
      <w:pPr>
        <w:spacing w:after="0" w:line="360" w:lineRule="auto"/>
        <w:ind w:firstLine="720"/>
        <w:jc w:val="both"/>
        <w:rPr>
          <w:rFonts w:ascii="Arial" w:hAnsi="Arial" w:cs="Arial"/>
          <w:i/>
          <w:iCs/>
          <w:u w:val="single"/>
        </w:rPr>
      </w:pPr>
      <w:r w:rsidRPr="00C146F8">
        <w:rPr>
          <w:rFonts w:ascii="Arial" w:hAnsi="Arial" w:cs="Arial"/>
          <w:i/>
          <w:iCs/>
          <w:u w:val="single"/>
        </w:rPr>
        <w:t>Bowman’s Strategic Clock</w:t>
      </w:r>
    </w:p>
    <w:p w14:paraId="5776FBF5" w14:textId="2BCAE1A2" w:rsidR="00C146F8" w:rsidRPr="00C146F8" w:rsidRDefault="00C146F8" w:rsidP="00C146F8">
      <w:pPr>
        <w:spacing w:after="0" w:line="360" w:lineRule="auto"/>
        <w:ind w:firstLine="720"/>
        <w:jc w:val="both"/>
        <w:rPr>
          <w:rFonts w:ascii="Arial" w:hAnsi="Arial" w:cs="Arial"/>
        </w:rPr>
      </w:pPr>
      <w:r>
        <w:rPr>
          <w:rFonts w:ascii="Arial" w:hAnsi="Arial" w:cs="Arial"/>
        </w:rPr>
        <w:t xml:space="preserve">This strategy </w:t>
      </w:r>
      <w:r w:rsidRPr="00C146F8">
        <w:rPr>
          <w:rFonts w:ascii="Arial" w:hAnsi="Arial" w:cs="Arial"/>
        </w:rPr>
        <w:t>refines Porter’s theory by mapping competitive positions based on price and perceived value (Varadarajan, 2020). CHH Conex should position itself at “Hybrid Position (Strategy 3)” of delivering high value for a moderate cost through technological innovation plus sustainability branding. By promoting eco-certified and digitally traceable fittings, both premium as well as price-conscious customers can be attracted. The hybrid positioning strategy makes the firm flexible during sudden market changes and enables the firm to protect itself from low-cost new entrants into the market as well as high-end niche competitors (Grant, 2019).</w:t>
      </w:r>
    </w:p>
    <w:p w14:paraId="06F5F220" w14:textId="77777777" w:rsidR="00C146F8" w:rsidRDefault="00C146F8" w:rsidP="00742688"/>
    <w:p w14:paraId="6449EA93" w14:textId="77777777" w:rsidR="00603D24" w:rsidRDefault="00603D24" w:rsidP="00742688"/>
    <w:p w14:paraId="5671D445" w14:textId="77777777" w:rsidR="008D021C" w:rsidRPr="008D021C" w:rsidRDefault="008D021C" w:rsidP="008D021C">
      <w:pPr>
        <w:spacing w:after="0" w:line="360" w:lineRule="auto"/>
        <w:ind w:firstLine="720"/>
        <w:jc w:val="both"/>
        <w:rPr>
          <w:rFonts w:ascii="Arial" w:hAnsi="Arial" w:cs="Arial"/>
          <w:i/>
          <w:iCs/>
          <w:u w:val="single"/>
        </w:rPr>
      </w:pPr>
      <w:r w:rsidRPr="008D021C">
        <w:rPr>
          <w:rFonts w:ascii="Arial" w:hAnsi="Arial" w:cs="Arial"/>
          <w:i/>
          <w:iCs/>
          <w:u w:val="single"/>
        </w:rPr>
        <w:lastRenderedPageBreak/>
        <w:t>Proposed Sustainable Long-Term Strategy: Digital Green Expansion Strategy</w:t>
      </w:r>
    </w:p>
    <w:p w14:paraId="38203196" w14:textId="2D0FE94E" w:rsidR="008D021C" w:rsidRDefault="008D021C" w:rsidP="008D021C">
      <w:pPr>
        <w:spacing w:after="0" w:line="360" w:lineRule="auto"/>
        <w:ind w:firstLine="720"/>
        <w:jc w:val="both"/>
        <w:rPr>
          <w:rFonts w:ascii="Arial" w:hAnsi="Arial" w:cs="Arial"/>
        </w:rPr>
      </w:pPr>
      <w:r w:rsidRPr="008D021C">
        <w:rPr>
          <w:rFonts w:ascii="Arial" w:hAnsi="Arial" w:cs="Arial"/>
        </w:rPr>
        <w:t xml:space="preserve">From the foregoing analyses a hybrid long-term sustainable strategy is proposed, which integrates internationalisation, digitalisation and sustainability: the Digital Green Expansion </w:t>
      </w:r>
      <w:proofErr w:type="gramStart"/>
      <w:r w:rsidRPr="008D021C">
        <w:rPr>
          <w:rFonts w:ascii="Arial" w:hAnsi="Arial" w:cs="Arial"/>
        </w:rPr>
        <w:t>Strategy .</w:t>
      </w:r>
      <w:proofErr w:type="gramEnd"/>
      <w:r w:rsidRPr="008D021C">
        <w:rPr>
          <w:rFonts w:ascii="Arial" w:hAnsi="Arial" w:cs="Arial"/>
        </w:rPr>
        <w:t xml:space="preserve"> This would involve </w:t>
      </w:r>
    </w:p>
    <w:p w14:paraId="26E06549" w14:textId="77777777" w:rsidR="008D021C" w:rsidRDefault="008D021C" w:rsidP="008D021C">
      <w:pPr>
        <w:spacing w:after="0" w:line="360" w:lineRule="auto"/>
        <w:ind w:firstLine="720"/>
        <w:jc w:val="both"/>
        <w:rPr>
          <w:rFonts w:ascii="Arial" w:hAnsi="Arial" w:cs="Arial"/>
        </w:rPr>
      </w:pPr>
      <w:r w:rsidRPr="008D021C">
        <w:rPr>
          <w:rFonts w:ascii="Arial" w:hAnsi="Arial" w:cs="Arial"/>
        </w:rPr>
        <w:t xml:space="preserve">Digitalisation: Implementation of Industry 4.0 “Smart Factory” ecosystem comprising AI, IoT, robotics and ERP integration. Predictive maintenance and </w:t>
      </w:r>
      <w:proofErr w:type="spellStart"/>
      <w:r w:rsidRPr="008D021C">
        <w:rPr>
          <w:rFonts w:ascii="Arial" w:hAnsi="Arial" w:cs="Arial"/>
        </w:rPr>
        <w:t>realtime</w:t>
      </w:r>
      <w:proofErr w:type="spellEnd"/>
      <w:r w:rsidRPr="008D021C">
        <w:rPr>
          <w:rFonts w:ascii="Arial" w:hAnsi="Arial" w:cs="Arial"/>
        </w:rPr>
        <w:t xml:space="preserve"> production analytics should reduce downtime and wastage to uplift productivity by a maximum of 20% (Tidd &amp; Bessant, 2021).</w:t>
      </w:r>
    </w:p>
    <w:p w14:paraId="126A625F" w14:textId="77777777" w:rsidR="008D021C" w:rsidRDefault="008D021C" w:rsidP="008D021C">
      <w:pPr>
        <w:spacing w:after="0" w:line="360" w:lineRule="auto"/>
        <w:ind w:firstLine="720"/>
        <w:jc w:val="both"/>
        <w:rPr>
          <w:rFonts w:ascii="Arial" w:hAnsi="Arial" w:cs="Arial"/>
        </w:rPr>
      </w:pPr>
      <w:r w:rsidRPr="008D021C">
        <w:rPr>
          <w:rFonts w:ascii="Arial" w:hAnsi="Arial" w:cs="Arial"/>
        </w:rPr>
        <w:t>Sustainable Manufacturing: Increase investment in circular economy projects by recycling copper waste, using renewable energy, and producing green alloys. This will improve adherence to global ESG codes and make the company more appealing to environmentally aware B2B purchasers (Johnson et al., 2020).</w:t>
      </w:r>
    </w:p>
    <w:p w14:paraId="51A98F20" w14:textId="77777777" w:rsidR="008D021C" w:rsidRDefault="008D021C" w:rsidP="008D021C">
      <w:pPr>
        <w:spacing w:after="0" w:line="360" w:lineRule="auto"/>
        <w:ind w:firstLine="720"/>
        <w:jc w:val="both"/>
        <w:rPr>
          <w:rFonts w:ascii="Arial" w:hAnsi="Arial" w:cs="Arial"/>
        </w:rPr>
      </w:pPr>
      <w:r w:rsidRPr="008D021C">
        <w:rPr>
          <w:rFonts w:ascii="Arial" w:hAnsi="Arial" w:cs="Arial"/>
        </w:rPr>
        <w:t>International Expansion: Deepen presence in the Middle East and Asia-Pacific through current trade connections while forming local joint ventures. Construction activity is high in these markets with low competition from well-established premium fitting suppliers.</w:t>
      </w:r>
    </w:p>
    <w:p w14:paraId="15B62811" w14:textId="77777777" w:rsidR="008D021C" w:rsidRDefault="008D021C" w:rsidP="008D021C">
      <w:pPr>
        <w:spacing w:after="0" w:line="360" w:lineRule="auto"/>
        <w:ind w:firstLine="720"/>
        <w:jc w:val="both"/>
        <w:rPr>
          <w:rFonts w:ascii="Arial" w:hAnsi="Arial" w:cs="Arial"/>
        </w:rPr>
      </w:pPr>
      <w:r w:rsidRPr="008D021C">
        <w:rPr>
          <w:rFonts w:ascii="Arial" w:hAnsi="Arial" w:cs="Arial"/>
        </w:rPr>
        <w:t xml:space="preserve">Product Innovation: Introduce a </w:t>
      </w:r>
      <w:proofErr w:type="spellStart"/>
      <w:r w:rsidRPr="008D021C">
        <w:rPr>
          <w:rFonts w:ascii="Arial" w:hAnsi="Arial" w:cs="Arial"/>
        </w:rPr>
        <w:t>SmartFlow</w:t>
      </w:r>
      <w:proofErr w:type="spellEnd"/>
      <w:r w:rsidRPr="008D021C">
        <w:rPr>
          <w:rFonts w:ascii="Arial" w:hAnsi="Arial" w:cs="Arial"/>
        </w:rPr>
        <w:t xml:space="preserve"> product range. IoT sensors shall be integrated to monitor pressure, leakage, and energy use. This makes the offering in line with the global smart infrastructure wave and hence distinctly positions CHH Conex from legacy manufacturers (Kotler &amp; Keller, 2022).</w:t>
      </w:r>
    </w:p>
    <w:p w14:paraId="177E1580" w14:textId="20E6602C" w:rsidR="008D021C" w:rsidRDefault="008D021C" w:rsidP="008D021C">
      <w:pPr>
        <w:spacing w:after="0" w:line="360" w:lineRule="auto"/>
        <w:ind w:firstLine="720"/>
        <w:jc w:val="both"/>
        <w:rPr>
          <w:rFonts w:ascii="Arial" w:hAnsi="Arial" w:cs="Arial"/>
        </w:rPr>
      </w:pPr>
      <w:r w:rsidRPr="008D021C">
        <w:rPr>
          <w:rFonts w:ascii="Arial" w:hAnsi="Arial" w:cs="Arial"/>
        </w:rPr>
        <w:t>Brand Modernisation: CHH Conex is to be rebranded as a green and digital leader in HVAC and plumbing systems through focused digital marketing campaigns and sustainability reporting transparency</w:t>
      </w:r>
      <w:r>
        <w:rPr>
          <w:rFonts w:ascii="Arial" w:hAnsi="Arial" w:cs="Arial"/>
        </w:rPr>
        <w:t>.</w:t>
      </w:r>
    </w:p>
    <w:p w14:paraId="5B4E59A5" w14:textId="77777777" w:rsidR="008D021C" w:rsidRDefault="008D021C" w:rsidP="008D021C">
      <w:pPr>
        <w:spacing w:after="0" w:line="360" w:lineRule="auto"/>
        <w:ind w:firstLine="720"/>
        <w:jc w:val="both"/>
        <w:rPr>
          <w:rFonts w:ascii="Arial" w:hAnsi="Arial" w:cs="Arial"/>
        </w:rPr>
      </w:pPr>
    </w:p>
    <w:p w14:paraId="320EC327" w14:textId="77777777" w:rsidR="008D021C" w:rsidRPr="008D021C" w:rsidRDefault="008D021C" w:rsidP="008D021C">
      <w:pPr>
        <w:spacing w:after="0" w:line="360" w:lineRule="auto"/>
        <w:ind w:firstLine="720"/>
        <w:jc w:val="both"/>
        <w:rPr>
          <w:i/>
          <w:iCs/>
          <w:u w:val="single"/>
        </w:rPr>
      </w:pPr>
      <w:r w:rsidRPr="008D021C">
        <w:rPr>
          <w:rFonts w:ascii="Arial" w:hAnsi="Arial" w:cs="Arial"/>
          <w:i/>
          <w:iCs/>
          <w:u w:val="single"/>
        </w:rPr>
        <w:t>Sustainability and Long-Term Impact</w:t>
      </w:r>
    </w:p>
    <w:p w14:paraId="43A685F0" w14:textId="77777777" w:rsidR="008D021C" w:rsidRDefault="008D021C" w:rsidP="008D021C">
      <w:pPr>
        <w:spacing w:after="0" w:line="360" w:lineRule="auto"/>
        <w:ind w:firstLine="720"/>
        <w:jc w:val="both"/>
        <w:rPr>
          <w:rFonts w:ascii="Arial" w:hAnsi="Arial" w:cs="Arial"/>
        </w:rPr>
      </w:pPr>
      <w:r w:rsidRPr="008D021C">
        <w:rPr>
          <w:rFonts w:ascii="Arial" w:hAnsi="Arial" w:cs="Arial"/>
        </w:rPr>
        <w:t>The Digital Green Expansion Strategy creates sustainability in the long run by integrating environmental, techno- logical, and economic resilience. Through digitalization, CHH Conex improves operational efficiency; through green manufacturing it ensures adherence to global sustain- ability requirements; and through market expansion it maintains future revenue streams (Grant, 2019). This integrated approach is in line with the UN Sustainable Development Goals (SDG 9: Industry, Innovation and Infrastructure) and places the company at the forefront of leading the transition toward environmentally responsible construction solutions.</w:t>
      </w:r>
    </w:p>
    <w:p w14:paraId="63AB9F26" w14:textId="57C1DF76" w:rsidR="008D021C" w:rsidRPr="008D021C" w:rsidRDefault="008D021C" w:rsidP="008D021C">
      <w:pPr>
        <w:spacing w:after="0" w:line="360" w:lineRule="auto"/>
        <w:ind w:firstLine="720"/>
        <w:jc w:val="both"/>
        <w:rPr>
          <w:rFonts w:ascii="Arial" w:hAnsi="Arial" w:cs="Arial"/>
        </w:rPr>
      </w:pPr>
      <w:r w:rsidRPr="008D021C">
        <w:rPr>
          <w:rFonts w:ascii="Arial" w:hAnsi="Arial" w:cs="Arial"/>
        </w:rPr>
        <w:t>Through innovation and responsible development, CHH Conex will turn the company from an old-school fittings manufacturer into a digitally-enabled, sustainability-driven global enterprise with long-term competitive advantage and stakeholder confidence.</w:t>
      </w:r>
    </w:p>
    <w:p w14:paraId="680A14C9" w14:textId="77777777" w:rsidR="008D021C" w:rsidRPr="00742688" w:rsidRDefault="008D021C" w:rsidP="00742688"/>
    <w:p w14:paraId="05EBBE14" w14:textId="5D87D300"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6" w:name="_Toc211889221"/>
      <w:r w:rsidRPr="00A048A5">
        <w:rPr>
          <w:rFonts w:ascii="Arial" w:hAnsi="Arial" w:cs="Arial"/>
          <w:b/>
          <w:bCs/>
          <w:color w:val="000000" w:themeColor="text1"/>
          <w:sz w:val="24"/>
          <w:szCs w:val="24"/>
        </w:rPr>
        <w:t>Stakeholder Analysis and RACI Matrix</w:t>
      </w:r>
      <w:bookmarkEnd w:id="6"/>
    </w:p>
    <w:p w14:paraId="77C90E14" w14:textId="77777777" w:rsidR="00742688" w:rsidRDefault="00742688" w:rsidP="00742688"/>
    <w:p w14:paraId="37DF74CE" w14:textId="77777777" w:rsidR="00C146F8" w:rsidRDefault="00C146F8" w:rsidP="00C146F8">
      <w:pPr>
        <w:spacing w:after="0" w:line="360" w:lineRule="auto"/>
        <w:ind w:firstLine="720"/>
        <w:jc w:val="both"/>
        <w:rPr>
          <w:rFonts w:ascii="Arial" w:hAnsi="Arial" w:cs="Arial"/>
        </w:rPr>
      </w:pPr>
      <w:r w:rsidRPr="00C146F8">
        <w:rPr>
          <w:rFonts w:ascii="Arial" w:hAnsi="Arial" w:cs="Arial"/>
        </w:rPr>
        <w:t>Strategic change at CHH Conex Ltd. will be predicated on the careful management of stakeholder expectations and the realignment of power dynamics. Apart from the fact that stakeholders’ interests always affect the formulation of a proposed strategy, they are also reflected in its implementation–in this case, a Digital Green Expansion Strategy integrating international expansion, digital transformation, and sustainability.</w:t>
      </w:r>
    </w:p>
    <w:p w14:paraId="5BDBBA18" w14:textId="77777777" w:rsidR="00C146F8" w:rsidRDefault="00C146F8" w:rsidP="00C146F8">
      <w:pPr>
        <w:spacing w:after="0" w:line="360" w:lineRule="auto"/>
        <w:ind w:firstLine="720"/>
        <w:jc w:val="both"/>
        <w:rPr>
          <w:rFonts w:ascii="Arial" w:hAnsi="Arial" w:cs="Arial"/>
        </w:rPr>
      </w:pPr>
    </w:p>
    <w:p w14:paraId="7F4CEACC" w14:textId="77777777" w:rsidR="00C146F8" w:rsidRPr="00C146F8" w:rsidRDefault="00C146F8" w:rsidP="00C146F8">
      <w:pPr>
        <w:spacing w:after="0" w:line="360" w:lineRule="auto"/>
        <w:ind w:firstLine="720"/>
        <w:jc w:val="both"/>
        <w:rPr>
          <w:rFonts w:ascii="Arial" w:hAnsi="Arial" w:cs="Arial"/>
          <w:i/>
          <w:iCs/>
          <w:u w:val="single"/>
        </w:rPr>
      </w:pPr>
      <w:r w:rsidRPr="00C146F8">
        <w:rPr>
          <w:rFonts w:ascii="Arial" w:hAnsi="Arial" w:cs="Arial"/>
          <w:i/>
          <w:iCs/>
          <w:u w:val="single"/>
        </w:rPr>
        <w:t>Mendelow’s matrix: Stakeholder influence and interest</w:t>
      </w:r>
    </w:p>
    <w:p w14:paraId="59BA1538" w14:textId="00DB7CBC" w:rsidR="00C146F8" w:rsidRDefault="00C146F8" w:rsidP="00C146F8">
      <w:pPr>
        <w:spacing w:after="0" w:line="360" w:lineRule="auto"/>
        <w:ind w:firstLine="720"/>
        <w:jc w:val="both"/>
        <w:rPr>
          <w:rFonts w:ascii="Arial" w:hAnsi="Arial" w:cs="Arial"/>
        </w:rPr>
      </w:pPr>
      <w:r w:rsidRPr="00C146F8">
        <w:rPr>
          <w:rFonts w:ascii="Arial" w:hAnsi="Arial" w:cs="Arial"/>
        </w:rPr>
        <w:t>High power / High interest (Key players):</w:t>
      </w:r>
    </w:p>
    <w:p w14:paraId="5B34A29A" w14:textId="77777777" w:rsidR="00C146F8" w:rsidRDefault="00C146F8" w:rsidP="00C146F8">
      <w:pPr>
        <w:spacing w:after="0" w:line="360" w:lineRule="auto"/>
        <w:ind w:firstLine="720"/>
        <w:jc w:val="both"/>
        <w:rPr>
          <w:rFonts w:ascii="Arial" w:hAnsi="Arial" w:cs="Arial"/>
        </w:rPr>
      </w:pPr>
      <w:r w:rsidRPr="00C146F8">
        <w:rPr>
          <w:rFonts w:ascii="Arial" w:hAnsi="Arial" w:cs="Arial"/>
        </w:rPr>
        <w:t>Board of directors and senior management: They are responsible for making decisions on resource allocations. They have a key role in supporting commitments to fund new technology and pursuing international expansion (Johnson et al., 2020).</w:t>
      </w:r>
    </w:p>
    <w:p w14:paraId="1F08C885" w14:textId="0E360D1B" w:rsidR="00C146F8" w:rsidRDefault="00C146F8" w:rsidP="00C146F8">
      <w:pPr>
        <w:spacing w:after="0" w:line="360" w:lineRule="auto"/>
        <w:ind w:firstLine="720"/>
        <w:jc w:val="both"/>
        <w:rPr>
          <w:rFonts w:ascii="Arial" w:hAnsi="Arial" w:cs="Arial"/>
        </w:rPr>
      </w:pPr>
      <w:r w:rsidRPr="00C146F8">
        <w:rPr>
          <w:rFonts w:ascii="Arial" w:hAnsi="Arial" w:cs="Arial"/>
        </w:rPr>
        <w:t xml:space="preserve">Customers (distributors and contractors): They demand products that are sustainable and of high quality at low costs. Their demands directly influence the design of the product and innovation priorities (Kotler </w:t>
      </w:r>
      <w:r>
        <w:rPr>
          <w:rFonts w:ascii="Arial" w:hAnsi="Arial" w:cs="Arial"/>
        </w:rPr>
        <w:t>and</w:t>
      </w:r>
      <w:r w:rsidRPr="00C146F8">
        <w:rPr>
          <w:rFonts w:ascii="Arial" w:hAnsi="Arial" w:cs="Arial"/>
        </w:rPr>
        <w:t xml:space="preserve"> Keller, 2022).</w:t>
      </w:r>
    </w:p>
    <w:p w14:paraId="1EDCA589" w14:textId="77777777" w:rsidR="00C146F8" w:rsidRDefault="00C146F8" w:rsidP="00C146F8">
      <w:pPr>
        <w:spacing w:after="0" w:line="360" w:lineRule="auto"/>
        <w:ind w:firstLine="720"/>
        <w:jc w:val="both"/>
        <w:rPr>
          <w:rFonts w:ascii="Arial" w:hAnsi="Arial" w:cs="Arial"/>
        </w:rPr>
      </w:pPr>
      <w:r w:rsidRPr="00C146F8">
        <w:rPr>
          <w:rFonts w:ascii="Arial" w:hAnsi="Arial" w:cs="Arial"/>
        </w:rPr>
        <w:t>High power/Low interest:</w:t>
      </w:r>
    </w:p>
    <w:p w14:paraId="78C604B3" w14:textId="77777777" w:rsidR="00C146F8" w:rsidRDefault="00C146F8" w:rsidP="00C146F8">
      <w:pPr>
        <w:spacing w:after="0" w:line="360" w:lineRule="auto"/>
        <w:ind w:firstLine="720"/>
        <w:jc w:val="both"/>
        <w:rPr>
          <w:rFonts w:ascii="Arial" w:hAnsi="Arial" w:cs="Arial"/>
        </w:rPr>
      </w:pPr>
      <w:r w:rsidRPr="00C146F8">
        <w:rPr>
          <w:rFonts w:ascii="Arial" w:hAnsi="Arial" w:cs="Arial"/>
        </w:rPr>
        <w:t>Regulatory Authorities: Their influence is more on operational compliance through environmental and safety standards. They have minimal intervention in the operations.</w:t>
      </w:r>
    </w:p>
    <w:p w14:paraId="0AE8F969" w14:textId="77777777" w:rsidR="00C146F8" w:rsidRDefault="00C146F8" w:rsidP="00C146F8">
      <w:pPr>
        <w:spacing w:after="0" w:line="360" w:lineRule="auto"/>
        <w:ind w:firstLine="720"/>
        <w:jc w:val="both"/>
        <w:rPr>
          <w:rFonts w:ascii="Arial" w:hAnsi="Arial" w:cs="Arial"/>
        </w:rPr>
      </w:pPr>
      <w:r w:rsidRPr="00C146F8">
        <w:rPr>
          <w:rFonts w:ascii="Arial" w:hAnsi="Arial" w:cs="Arial"/>
        </w:rPr>
        <w:t>Financial Institutions / Investors: They provide capital for expansion. Their main focus, however, is on returns and compliance with ESG metrics.</w:t>
      </w:r>
    </w:p>
    <w:p w14:paraId="4ECA932F" w14:textId="4C7D56B4" w:rsidR="00C146F8" w:rsidRDefault="00C146F8" w:rsidP="00C146F8">
      <w:pPr>
        <w:spacing w:after="0" w:line="360" w:lineRule="auto"/>
        <w:ind w:firstLine="720"/>
        <w:jc w:val="both"/>
        <w:rPr>
          <w:rFonts w:ascii="Arial" w:hAnsi="Arial" w:cs="Arial"/>
        </w:rPr>
      </w:pPr>
      <w:r w:rsidRPr="00C146F8">
        <w:rPr>
          <w:rFonts w:ascii="Arial" w:hAnsi="Arial" w:cs="Arial"/>
        </w:rPr>
        <w:t>Low Power / High Interest:</w:t>
      </w:r>
    </w:p>
    <w:p w14:paraId="18E673BF" w14:textId="77777777" w:rsidR="00C146F8" w:rsidRDefault="00C146F8" w:rsidP="00C146F8">
      <w:pPr>
        <w:spacing w:after="0" w:line="360" w:lineRule="auto"/>
        <w:ind w:firstLine="720"/>
        <w:jc w:val="both"/>
        <w:rPr>
          <w:rFonts w:ascii="Arial" w:hAnsi="Arial" w:cs="Arial"/>
        </w:rPr>
      </w:pPr>
      <w:r w:rsidRPr="00C146F8">
        <w:rPr>
          <w:rFonts w:ascii="Arial" w:hAnsi="Arial" w:cs="Arial"/>
        </w:rPr>
        <w:t>Employees: Highly interested in job security and digital upskilling. Have low decision-making power. Employee engagement is vital to foster a culture of innovation (Grant, 2019).</w:t>
      </w:r>
    </w:p>
    <w:p w14:paraId="77E67861" w14:textId="77777777" w:rsidR="00C146F8" w:rsidRDefault="00C146F8" w:rsidP="00C146F8">
      <w:pPr>
        <w:spacing w:after="0" w:line="360" w:lineRule="auto"/>
        <w:ind w:firstLine="720"/>
        <w:jc w:val="both"/>
        <w:rPr>
          <w:rFonts w:ascii="Arial" w:hAnsi="Arial" w:cs="Arial"/>
        </w:rPr>
      </w:pPr>
      <w:r w:rsidRPr="00C146F8">
        <w:rPr>
          <w:rFonts w:ascii="Arial" w:hAnsi="Arial" w:cs="Arial"/>
        </w:rPr>
        <w:t>Suppliers: that depend on CHH Conex for regular contracts should also abide by sustainability sourcing policies.</w:t>
      </w:r>
    </w:p>
    <w:p w14:paraId="5F300D86" w14:textId="77777777" w:rsidR="00C146F8" w:rsidRDefault="00C146F8" w:rsidP="00C146F8">
      <w:pPr>
        <w:spacing w:after="0" w:line="360" w:lineRule="auto"/>
        <w:ind w:firstLine="720"/>
        <w:jc w:val="both"/>
        <w:rPr>
          <w:rFonts w:ascii="Arial" w:hAnsi="Arial" w:cs="Arial"/>
        </w:rPr>
      </w:pPr>
      <w:r w:rsidRPr="00C146F8">
        <w:rPr>
          <w:rFonts w:ascii="Arial" w:hAnsi="Arial" w:cs="Arial"/>
        </w:rPr>
        <w:t>Low Power / Low Interest:</w:t>
      </w:r>
    </w:p>
    <w:p w14:paraId="26C550FB" w14:textId="77777777" w:rsidR="00C146F8" w:rsidRDefault="00C146F8" w:rsidP="00C146F8">
      <w:pPr>
        <w:spacing w:after="0" w:line="360" w:lineRule="auto"/>
        <w:ind w:firstLine="720"/>
        <w:jc w:val="both"/>
        <w:rPr>
          <w:rFonts w:ascii="Arial" w:hAnsi="Arial" w:cs="Arial"/>
        </w:rPr>
      </w:pPr>
      <w:r w:rsidRPr="00C146F8">
        <w:rPr>
          <w:rFonts w:ascii="Arial" w:hAnsi="Arial" w:cs="Arial"/>
        </w:rPr>
        <w:t>Local community and NGO: corporate responsibility, environmental impact, and ethical manufacturing. Good engagement creates reputation and brand equity.</w:t>
      </w:r>
    </w:p>
    <w:p w14:paraId="059C1519" w14:textId="77777777" w:rsidR="00C146F8" w:rsidRDefault="00C146F8" w:rsidP="00C146F8">
      <w:pPr>
        <w:spacing w:after="0" w:line="360" w:lineRule="auto"/>
        <w:ind w:firstLine="720"/>
        <w:jc w:val="both"/>
        <w:rPr>
          <w:rFonts w:ascii="Arial" w:hAnsi="Arial" w:cs="Arial"/>
        </w:rPr>
      </w:pPr>
      <w:r w:rsidRPr="00C146F8">
        <w:rPr>
          <w:rFonts w:ascii="Arial" w:hAnsi="Arial" w:cs="Arial"/>
        </w:rPr>
        <w:t>Stakeholder Expectations and Alignment. Each stakeholder group has specific expectations that define the strategic choices for CHH Conex. The workforce expects digital upskilling and job security in an automated environment of operations. Management wants low-</w:t>
      </w:r>
      <w:r w:rsidRPr="00C146F8">
        <w:rPr>
          <w:rFonts w:ascii="Arial" w:hAnsi="Arial" w:cs="Arial"/>
        </w:rPr>
        <w:lastRenderedPageBreak/>
        <w:t>cost, eco-friendly certified fittings delivered on time. Investors want long-term profits with ESG compliance; Regulators want total compliance with Health, Safety &amp; Environmental standards (Hill et al., 2021). Suppliers want fair trading agreements and long-term relationships; Local community wants transparency and environmentally friendly employment practices.</w:t>
      </w:r>
    </w:p>
    <w:p w14:paraId="163D9A49" w14:textId="2F4CFE79" w:rsidR="005511CF" w:rsidRDefault="00C146F8" w:rsidP="00C146F8">
      <w:pPr>
        <w:spacing w:after="0" w:line="360" w:lineRule="auto"/>
        <w:ind w:firstLine="720"/>
        <w:jc w:val="both"/>
        <w:rPr>
          <w:rFonts w:ascii="Arial" w:hAnsi="Arial" w:cs="Arial"/>
        </w:rPr>
      </w:pPr>
      <w:r w:rsidRPr="00C146F8">
        <w:rPr>
          <w:rFonts w:ascii="Arial" w:hAnsi="Arial" w:cs="Arial"/>
        </w:rPr>
        <w:t xml:space="preserve">Lack of interest in alignment may result in resistance, operational inefficiencies, or reputational damage. Therefore, CHH Conex must implement a stakeholder engagement strategy based on transparent communication, participatory planning, and performance reporting (Tidd </w:t>
      </w:r>
      <w:r>
        <w:rPr>
          <w:rFonts w:ascii="Arial" w:hAnsi="Arial" w:cs="Arial"/>
        </w:rPr>
        <w:t>and</w:t>
      </w:r>
      <w:r w:rsidRPr="00C146F8">
        <w:rPr>
          <w:rFonts w:ascii="Arial" w:hAnsi="Arial" w:cs="Arial"/>
        </w:rPr>
        <w:t xml:space="preserve"> Bessant, 2021).</w:t>
      </w:r>
    </w:p>
    <w:p w14:paraId="3045D8EA" w14:textId="77777777" w:rsidR="00C146F8" w:rsidRDefault="00C146F8" w:rsidP="00C146F8">
      <w:pPr>
        <w:spacing w:after="0" w:line="360" w:lineRule="auto"/>
        <w:jc w:val="both"/>
        <w:rPr>
          <w:rFonts w:ascii="Arial" w:hAnsi="Arial" w:cs="Arial"/>
        </w:rPr>
      </w:pPr>
    </w:p>
    <w:p w14:paraId="73FC4F71" w14:textId="77777777" w:rsidR="00C146F8" w:rsidRPr="00C146F8" w:rsidRDefault="00C146F8" w:rsidP="00C146F8">
      <w:pPr>
        <w:spacing w:after="0" w:line="360" w:lineRule="auto"/>
        <w:jc w:val="center"/>
        <w:rPr>
          <w:rFonts w:ascii="Arial" w:hAnsi="Arial" w:cs="Arial"/>
          <w:i/>
          <w:iCs/>
          <w:u w:val="single"/>
          <w:lang w:val="en-US"/>
        </w:rPr>
      </w:pPr>
      <w:r w:rsidRPr="00C146F8">
        <w:rPr>
          <w:rFonts w:ascii="Arial" w:hAnsi="Arial" w:cs="Arial"/>
          <w:i/>
          <w:iCs/>
          <w:u w:val="single"/>
          <w:lang w:val="en-US"/>
        </w:rPr>
        <w:t>RACI Matrix for Strategy Implementation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76"/>
        <w:gridCol w:w="1596"/>
        <w:gridCol w:w="1543"/>
        <w:gridCol w:w="2002"/>
        <w:gridCol w:w="1633"/>
      </w:tblGrid>
      <w:tr w:rsidR="00C146F8" w:rsidRPr="00C146F8" w14:paraId="00A88790" w14:textId="77777777" w:rsidTr="00C146F8">
        <w:trPr>
          <w:tblHeader/>
          <w:tblCellSpacing w:w="15" w:type="dxa"/>
        </w:trPr>
        <w:tc>
          <w:tcPr>
            <w:tcW w:w="0" w:type="auto"/>
            <w:vAlign w:val="center"/>
            <w:hideMark/>
          </w:tcPr>
          <w:p w14:paraId="3180978A" w14:textId="77777777" w:rsidR="00C146F8" w:rsidRPr="00C146F8" w:rsidRDefault="00C146F8" w:rsidP="00C146F8">
            <w:pPr>
              <w:spacing w:after="0" w:line="360" w:lineRule="auto"/>
              <w:jc w:val="both"/>
              <w:rPr>
                <w:rFonts w:ascii="Arial" w:hAnsi="Arial" w:cs="Arial"/>
                <w:b/>
                <w:bCs/>
                <w:lang w:val="en-US"/>
              </w:rPr>
            </w:pPr>
            <w:r w:rsidRPr="00C146F8">
              <w:rPr>
                <w:rFonts w:ascii="Arial" w:hAnsi="Arial" w:cs="Arial"/>
                <w:b/>
                <w:bCs/>
                <w:lang w:val="en-US"/>
              </w:rPr>
              <w:t>Key Activities</w:t>
            </w:r>
          </w:p>
        </w:tc>
        <w:tc>
          <w:tcPr>
            <w:tcW w:w="0" w:type="auto"/>
            <w:vAlign w:val="center"/>
            <w:hideMark/>
          </w:tcPr>
          <w:p w14:paraId="2D425BC8" w14:textId="77777777" w:rsidR="00C146F8" w:rsidRPr="00C146F8" w:rsidRDefault="00C146F8" w:rsidP="00C146F8">
            <w:pPr>
              <w:spacing w:after="0" w:line="360" w:lineRule="auto"/>
              <w:jc w:val="both"/>
              <w:rPr>
                <w:rFonts w:ascii="Arial" w:hAnsi="Arial" w:cs="Arial"/>
                <w:b/>
                <w:bCs/>
                <w:lang w:val="en-US"/>
              </w:rPr>
            </w:pPr>
            <w:r w:rsidRPr="00C146F8">
              <w:rPr>
                <w:rFonts w:ascii="Arial" w:hAnsi="Arial" w:cs="Arial"/>
                <w:b/>
                <w:bCs/>
                <w:lang w:val="en-US"/>
              </w:rPr>
              <w:t>Responsible (R)</w:t>
            </w:r>
          </w:p>
        </w:tc>
        <w:tc>
          <w:tcPr>
            <w:tcW w:w="0" w:type="auto"/>
            <w:vAlign w:val="center"/>
            <w:hideMark/>
          </w:tcPr>
          <w:p w14:paraId="65C7C88B" w14:textId="77777777" w:rsidR="00C146F8" w:rsidRPr="00C146F8" w:rsidRDefault="00C146F8" w:rsidP="00C146F8">
            <w:pPr>
              <w:spacing w:after="0" w:line="360" w:lineRule="auto"/>
              <w:jc w:val="both"/>
              <w:rPr>
                <w:rFonts w:ascii="Arial" w:hAnsi="Arial" w:cs="Arial"/>
                <w:b/>
                <w:bCs/>
                <w:lang w:val="en-US"/>
              </w:rPr>
            </w:pPr>
            <w:r w:rsidRPr="00C146F8">
              <w:rPr>
                <w:rFonts w:ascii="Arial" w:hAnsi="Arial" w:cs="Arial"/>
                <w:b/>
                <w:bCs/>
                <w:lang w:val="en-US"/>
              </w:rPr>
              <w:t>Accountable (A)</w:t>
            </w:r>
          </w:p>
        </w:tc>
        <w:tc>
          <w:tcPr>
            <w:tcW w:w="0" w:type="auto"/>
            <w:vAlign w:val="center"/>
            <w:hideMark/>
          </w:tcPr>
          <w:p w14:paraId="3C6561E0" w14:textId="77777777" w:rsidR="00C146F8" w:rsidRPr="00C146F8" w:rsidRDefault="00C146F8" w:rsidP="00C146F8">
            <w:pPr>
              <w:spacing w:after="0" w:line="360" w:lineRule="auto"/>
              <w:jc w:val="both"/>
              <w:rPr>
                <w:rFonts w:ascii="Arial" w:hAnsi="Arial" w:cs="Arial"/>
                <w:b/>
                <w:bCs/>
                <w:lang w:val="en-US"/>
              </w:rPr>
            </w:pPr>
            <w:r w:rsidRPr="00C146F8">
              <w:rPr>
                <w:rFonts w:ascii="Arial" w:hAnsi="Arial" w:cs="Arial"/>
                <w:b/>
                <w:bCs/>
                <w:lang w:val="en-US"/>
              </w:rPr>
              <w:t>Consulted (C)</w:t>
            </w:r>
          </w:p>
        </w:tc>
        <w:tc>
          <w:tcPr>
            <w:tcW w:w="0" w:type="auto"/>
            <w:vAlign w:val="center"/>
            <w:hideMark/>
          </w:tcPr>
          <w:p w14:paraId="18689F00" w14:textId="77777777" w:rsidR="00C146F8" w:rsidRPr="00C146F8" w:rsidRDefault="00C146F8" w:rsidP="00C146F8">
            <w:pPr>
              <w:spacing w:after="0" w:line="360" w:lineRule="auto"/>
              <w:jc w:val="both"/>
              <w:rPr>
                <w:rFonts w:ascii="Arial" w:hAnsi="Arial" w:cs="Arial"/>
                <w:b/>
                <w:bCs/>
                <w:lang w:val="en-US"/>
              </w:rPr>
            </w:pPr>
            <w:r w:rsidRPr="00C146F8">
              <w:rPr>
                <w:rFonts w:ascii="Arial" w:hAnsi="Arial" w:cs="Arial"/>
                <w:b/>
                <w:bCs/>
                <w:lang w:val="en-US"/>
              </w:rPr>
              <w:t>Informed (I)</w:t>
            </w:r>
          </w:p>
        </w:tc>
      </w:tr>
      <w:tr w:rsidR="00C146F8" w:rsidRPr="00C146F8" w14:paraId="7902CC65" w14:textId="77777777" w:rsidTr="00C146F8">
        <w:trPr>
          <w:tblCellSpacing w:w="15" w:type="dxa"/>
        </w:trPr>
        <w:tc>
          <w:tcPr>
            <w:tcW w:w="0" w:type="auto"/>
            <w:vAlign w:val="center"/>
            <w:hideMark/>
          </w:tcPr>
          <w:p w14:paraId="5C655A81"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Digital transformation and ERP integration</w:t>
            </w:r>
          </w:p>
        </w:tc>
        <w:tc>
          <w:tcPr>
            <w:tcW w:w="0" w:type="auto"/>
            <w:vAlign w:val="center"/>
            <w:hideMark/>
          </w:tcPr>
          <w:p w14:paraId="374DF3BC"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IT Director</w:t>
            </w:r>
          </w:p>
        </w:tc>
        <w:tc>
          <w:tcPr>
            <w:tcW w:w="0" w:type="auto"/>
            <w:vAlign w:val="center"/>
            <w:hideMark/>
          </w:tcPr>
          <w:p w14:paraId="448C55AE"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CEO</w:t>
            </w:r>
          </w:p>
        </w:tc>
        <w:tc>
          <w:tcPr>
            <w:tcW w:w="0" w:type="auto"/>
            <w:vAlign w:val="center"/>
            <w:hideMark/>
          </w:tcPr>
          <w:p w14:paraId="56BFBAA4"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Operations Manager, Finance Director</w:t>
            </w:r>
          </w:p>
        </w:tc>
        <w:tc>
          <w:tcPr>
            <w:tcW w:w="0" w:type="auto"/>
            <w:vAlign w:val="center"/>
            <w:hideMark/>
          </w:tcPr>
          <w:p w14:paraId="14681BE5"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Employees</w:t>
            </w:r>
          </w:p>
        </w:tc>
      </w:tr>
      <w:tr w:rsidR="00C146F8" w:rsidRPr="00C146F8" w14:paraId="6BFBFC88" w14:textId="77777777" w:rsidTr="00C146F8">
        <w:trPr>
          <w:tblCellSpacing w:w="15" w:type="dxa"/>
        </w:trPr>
        <w:tc>
          <w:tcPr>
            <w:tcW w:w="0" w:type="auto"/>
            <w:vAlign w:val="center"/>
            <w:hideMark/>
          </w:tcPr>
          <w:p w14:paraId="7B684556"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Sustainable product innovation (</w:t>
            </w:r>
            <w:proofErr w:type="spellStart"/>
            <w:r w:rsidRPr="00C146F8">
              <w:rPr>
                <w:rFonts w:ascii="Arial" w:hAnsi="Arial" w:cs="Arial"/>
                <w:lang w:val="en-US"/>
              </w:rPr>
              <w:t>SmartFlow</w:t>
            </w:r>
            <w:proofErr w:type="spellEnd"/>
            <w:r w:rsidRPr="00C146F8">
              <w:rPr>
                <w:rFonts w:ascii="Arial" w:hAnsi="Arial" w:cs="Arial"/>
                <w:lang w:val="en-US"/>
              </w:rPr>
              <w:t xml:space="preserve"> line)</w:t>
            </w:r>
          </w:p>
        </w:tc>
        <w:tc>
          <w:tcPr>
            <w:tcW w:w="0" w:type="auto"/>
            <w:vAlign w:val="center"/>
            <w:hideMark/>
          </w:tcPr>
          <w:p w14:paraId="6A38DDD0"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R&amp;D Manager</w:t>
            </w:r>
          </w:p>
        </w:tc>
        <w:tc>
          <w:tcPr>
            <w:tcW w:w="0" w:type="auto"/>
            <w:vAlign w:val="center"/>
            <w:hideMark/>
          </w:tcPr>
          <w:p w14:paraId="22A27238"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CTO</w:t>
            </w:r>
          </w:p>
        </w:tc>
        <w:tc>
          <w:tcPr>
            <w:tcW w:w="0" w:type="auto"/>
            <w:vAlign w:val="center"/>
            <w:hideMark/>
          </w:tcPr>
          <w:p w14:paraId="4D049946"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Marketing, Supply Chain</w:t>
            </w:r>
          </w:p>
        </w:tc>
        <w:tc>
          <w:tcPr>
            <w:tcW w:w="0" w:type="auto"/>
            <w:vAlign w:val="center"/>
            <w:hideMark/>
          </w:tcPr>
          <w:p w14:paraId="4478DE7B"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Customers</w:t>
            </w:r>
          </w:p>
        </w:tc>
      </w:tr>
      <w:tr w:rsidR="00C146F8" w:rsidRPr="00C146F8" w14:paraId="0BA16796" w14:textId="77777777" w:rsidTr="00C146F8">
        <w:trPr>
          <w:tblCellSpacing w:w="15" w:type="dxa"/>
        </w:trPr>
        <w:tc>
          <w:tcPr>
            <w:tcW w:w="0" w:type="auto"/>
            <w:vAlign w:val="center"/>
            <w:hideMark/>
          </w:tcPr>
          <w:p w14:paraId="3D13E42B"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International expansion and partnerships</w:t>
            </w:r>
          </w:p>
        </w:tc>
        <w:tc>
          <w:tcPr>
            <w:tcW w:w="0" w:type="auto"/>
            <w:vAlign w:val="center"/>
            <w:hideMark/>
          </w:tcPr>
          <w:p w14:paraId="3F251BB7"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Export Manager</w:t>
            </w:r>
          </w:p>
        </w:tc>
        <w:tc>
          <w:tcPr>
            <w:tcW w:w="0" w:type="auto"/>
            <w:vAlign w:val="center"/>
            <w:hideMark/>
          </w:tcPr>
          <w:p w14:paraId="0DA50A02"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Managing Director</w:t>
            </w:r>
          </w:p>
        </w:tc>
        <w:tc>
          <w:tcPr>
            <w:tcW w:w="0" w:type="auto"/>
            <w:vAlign w:val="center"/>
            <w:hideMark/>
          </w:tcPr>
          <w:p w14:paraId="0F7DAFFE"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Legal, Finance</w:t>
            </w:r>
          </w:p>
        </w:tc>
        <w:tc>
          <w:tcPr>
            <w:tcW w:w="0" w:type="auto"/>
            <w:vAlign w:val="center"/>
            <w:hideMark/>
          </w:tcPr>
          <w:p w14:paraId="63D55EC4"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Regional Distributors</w:t>
            </w:r>
          </w:p>
        </w:tc>
      </w:tr>
      <w:tr w:rsidR="00C146F8" w:rsidRPr="00C146F8" w14:paraId="5FC5B1DF" w14:textId="77777777" w:rsidTr="00C146F8">
        <w:trPr>
          <w:tblCellSpacing w:w="15" w:type="dxa"/>
        </w:trPr>
        <w:tc>
          <w:tcPr>
            <w:tcW w:w="0" w:type="auto"/>
            <w:vAlign w:val="center"/>
            <w:hideMark/>
          </w:tcPr>
          <w:p w14:paraId="4A0FABED"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ESG compliance and sustainability reporting</w:t>
            </w:r>
          </w:p>
        </w:tc>
        <w:tc>
          <w:tcPr>
            <w:tcW w:w="0" w:type="auto"/>
            <w:vAlign w:val="center"/>
            <w:hideMark/>
          </w:tcPr>
          <w:p w14:paraId="5643730C"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Sustainability Officer</w:t>
            </w:r>
          </w:p>
        </w:tc>
        <w:tc>
          <w:tcPr>
            <w:tcW w:w="0" w:type="auto"/>
            <w:vAlign w:val="center"/>
            <w:hideMark/>
          </w:tcPr>
          <w:p w14:paraId="74A165ED"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COO</w:t>
            </w:r>
          </w:p>
        </w:tc>
        <w:tc>
          <w:tcPr>
            <w:tcW w:w="0" w:type="auto"/>
            <w:vAlign w:val="center"/>
            <w:hideMark/>
          </w:tcPr>
          <w:p w14:paraId="6ED03BBE"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Quality Assurance, HR</w:t>
            </w:r>
          </w:p>
        </w:tc>
        <w:tc>
          <w:tcPr>
            <w:tcW w:w="0" w:type="auto"/>
            <w:vAlign w:val="center"/>
            <w:hideMark/>
          </w:tcPr>
          <w:p w14:paraId="4590D199"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Regulators, NGOs</w:t>
            </w:r>
          </w:p>
        </w:tc>
      </w:tr>
      <w:tr w:rsidR="00C146F8" w:rsidRPr="00C146F8" w14:paraId="1C16C16A" w14:textId="77777777" w:rsidTr="00C146F8">
        <w:trPr>
          <w:tblCellSpacing w:w="15" w:type="dxa"/>
        </w:trPr>
        <w:tc>
          <w:tcPr>
            <w:tcW w:w="0" w:type="auto"/>
            <w:vAlign w:val="center"/>
            <w:hideMark/>
          </w:tcPr>
          <w:p w14:paraId="3E45A94E"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Employee training and digital upskilling</w:t>
            </w:r>
          </w:p>
        </w:tc>
        <w:tc>
          <w:tcPr>
            <w:tcW w:w="0" w:type="auto"/>
            <w:vAlign w:val="center"/>
            <w:hideMark/>
          </w:tcPr>
          <w:p w14:paraId="117CE164"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HR Manager</w:t>
            </w:r>
          </w:p>
        </w:tc>
        <w:tc>
          <w:tcPr>
            <w:tcW w:w="0" w:type="auto"/>
            <w:vAlign w:val="center"/>
            <w:hideMark/>
          </w:tcPr>
          <w:p w14:paraId="7EDF7AD0"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COO</w:t>
            </w:r>
          </w:p>
        </w:tc>
        <w:tc>
          <w:tcPr>
            <w:tcW w:w="0" w:type="auto"/>
            <w:vAlign w:val="center"/>
            <w:hideMark/>
          </w:tcPr>
          <w:p w14:paraId="5E777453"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Department Heads</w:t>
            </w:r>
          </w:p>
        </w:tc>
        <w:tc>
          <w:tcPr>
            <w:tcW w:w="0" w:type="auto"/>
            <w:vAlign w:val="center"/>
            <w:hideMark/>
          </w:tcPr>
          <w:p w14:paraId="27B66A3F"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All Staff</w:t>
            </w:r>
          </w:p>
        </w:tc>
      </w:tr>
      <w:tr w:rsidR="00C146F8" w:rsidRPr="00C146F8" w14:paraId="6BC8CF16" w14:textId="77777777" w:rsidTr="00C146F8">
        <w:trPr>
          <w:tblCellSpacing w:w="15" w:type="dxa"/>
        </w:trPr>
        <w:tc>
          <w:tcPr>
            <w:tcW w:w="0" w:type="auto"/>
            <w:vAlign w:val="center"/>
            <w:hideMark/>
          </w:tcPr>
          <w:p w14:paraId="3006C0C6"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Marketing and rebranding (Digital Green campaign)</w:t>
            </w:r>
          </w:p>
        </w:tc>
        <w:tc>
          <w:tcPr>
            <w:tcW w:w="0" w:type="auto"/>
            <w:vAlign w:val="center"/>
            <w:hideMark/>
          </w:tcPr>
          <w:p w14:paraId="0E1E276D"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Marketing Manager</w:t>
            </w:r>
          </w:p>
        </w:tc>
        <w:tc>
          <w:tcPr>
            <w:tcW w:w="0" w:type="auto"/>
            <w:vAlign w:val="center"/>
            <w:hideMark/>
          </w:tcPr>
          <w:p w14:paraId="35DB3C9E"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CEO</w:t>
            </w:r>
          </w:p>
        </w:tc>
        <w:tc>
          <w:tcPr>
            <w:tcW w:w="0" w:type="auto"/>
            <w:vAlign w:val="center"/>
            <w:hideMark/>
          </w:tcPr>
          <w:p w14:paraId="36B13FD5"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R&amp;D, Sales</w:t>
            </w:r>
          </w:p>
        </w:tc>
        <w:tc>
          <w:tcPr>
            <w:tcW w:w="0" w:type="auto"/>
            <w:vAlign w:val="center"/>
            <w:hideMark/>
          </w:tcPr>
          <w:p w14:paraId="48EA9E54"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Customers, Investors</w:t>
            </w:r>
          </w:p>
        </w:tc>
      </w:tr>
      <w:tr w:rsidR="00C146F8" w:rsidRPr="00C146F8" w14:paraId="25A4EF85" w14:textId="77777777" w:rsidTr="00C146F8">
        <w:trPr>
          <w:tblCellSpacing w:w="15" w:type="dxa"/>
        </w:trPr>
        <w:tc>
          <w:tcPr>
            <w:tcW w:w="0" w:type="auto"/>
            <w:vAlign w:val="center"/>
            <w:hideMark/>
          </w:tcPr>
          <w:p w14:paraId="11BD5F47"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Financial performance tracking and reporting</w:t>
            </w:r>
          </w:p>
        </w:tc>
        <w:tc>
          <w:tcPr>
            <w:tcW w:w="0" w:type="auto"/>
            <w:vAlign w:val="center"/>
            <w:hideMark/>
          </w:tcPr>
          <w:p w14:paraId="28FCEA01"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Finance Director</w:t>
            </w:r>
          </w:p>
        </w:tc>
        <w:tc>
          <w:tcPr>
            <w:tcW w:w="0" w:type="auto"/>
            <w:vAlign w:val="center"/>
            <w:hideMark/>
          </w:tcPr>
          <w:p w14:paraId="09A9FF95"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CEO</w:t>
            </w:r>
          </w:p>
        </w:tc>
        <w:tc>
          <w:tcPr>
            <w:tcW w:w="0" w:type="auto"/>
            <w:vAlign w:val="center"/>
            <w:hideMark/>
          </w:tcPr>
          <w:p w14:paraId="59BEBB16"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Board of Directors</w:t>
            </w:r>
          </w:p>
        </w:tc>
        <w:tc>
          <w:tcPr>
            <w:tcW w:w="0" w:type="auto"/>
            <w:vAlign w:val="center"/>
            <w:hideMark/>
          </w:tcPr>
          <w:p w14:paraId="051C3188" w14:textId="77777777" w:rsidR="00C146F8" w:rsidRPr="00C146F8" w:rsidRDefault="00C146F8" w:rsidP="00C146F8">
            <w:pPr>
              <w:spacing w:after="0" w:line="360" w:lineRule="auto"/>
              <w:jc w:val="both"/>
              <w:rPr>
                <w:rFonts w:ascii="Arial" w:hAnsi="Arial" w:cs="Arial"/>
                <w:lang w:val="en-US"/>
              </w:rPr>
            </w:pPr>
            <w:r w:rsidRPr="00C146F8">
              <w:rPr>
                <w:rFonts w:ascii="Arial" w:hAnsi="Arial" w:cs="Arial"/>
                <w:lang w:val="en-US"/>
              </w:rPr>
              <w:t>Shareholders</w:t>
            </w:r>
          </w:p>
        </w:tc>
      </w:tr>
    </w:tbl>
    <w:p w14:paraId="35558AE3" w14:textId="77777777" w:rsidR="00C146F8" w:rsidRPr="00C146F8" w:rsidRDefault="00C146F8" w:rsidP="00C146F8">
      <w:pPr>
        <w:spacing w:after="0" w:line="360" w:lineRule="auto"/>
        <w:jc w:val="both"/>
        <w:rPr>
          <w:rFonts w:ascii="Arial" w:hAnsi="Arial" w:cs="Arial"/>
        </w:rPr>
      </w:pPr>
    </w:p>
    <w:p w14:paraId="139F5BF8" w14:textId="77777777" w:rsidR="00C146F8" w:rsidRDefault="00C146F8" w:rsidP="00C146F8">
      <w:pPr>
        <w:spacing w:after="0" w:line="360" w:lineRule="auto"/>
        <w:ind w:firstLine="720"/>
        <w:jc w:val="both"/>
        <w:rPr>
          <w:rFonts w:ascii="Arial" w:hAnsi="Arial" w:cs="Arial"/>
        </w:rPr>
      </w:pPr>
      <w:r w:rsidRPr="00C146F8">
        <w:rPr>
          <w:rFonts w:ascii="Arial" w:hAnsi="Arial" w:cs="Arial"/>
        </w:rPr>
        <w:t xml:space="preserve">Critical Evaluation: Communication strategies should prioritize top management, customers, and investors as highly influential stakeholders according to Mendelow’s Matrix. The use of the RACI Matrix will clarify roles and ensure accountability by preventing conflicts over </w:t>
      </w:r>
      <w:r w:rsidRPr="00C146F8">
        <w:rPr>
          <w:rFonts w:ascii="Arial" w:hAnsi="Arial" w:cs="Arial"/>
        </w:rPr>
        <w:lastRenderedPageBreak/>
        <w:t>duplication. Responsible regular feedback between Responsible and Consulted stakeholders can align innovation and reduce resistance to change (Varadarajan, 2020).</w:t>
      </w:r>
    </w:p>
    <w:p w14:paraId="51435766" w14:textId="656B2934" w:rsidR="00C146F8" w:rsidRPr="00C146F8" w:rsidRDefault="00C146F8" w:rsidP="00C146F8">
      <w:pPr>
        <w:spacing w:after="0" w:line="360" w:lineRule="auto"/>
        <w:ind w:firstLine="720"/>
        <w:jc w:val="both"/>
        <w:rPr>
          <w:rFonts w:ascii="Arial" w:hAnsi="Arial" w:cs="Arial"/>
        </w:rPr>
      </w:pPr>
      <w:r w:rsidRPr="00C146F8">
        <w:rPr>
          <w:rFonts w:ascii="Arial" w:hAnsi="Arial" w:cs="Arial"/>
        </w:rPr>
        <w:t xml:space="preserve">For the long-term sustainability of CHH Conex, stakeholder collaboration should be institutionalized within its governance structure to promote continuous dialogue and transparency in ethics. Effective management of stakeholders will smooth the ease of implementation and retrace trust, corporate reputation, and strategic resilience in the changing global market place (Tidd </w:t>
      </w:r>
      <w:r>
        <w:rPr>
          <w:rFonts w:ascii="Arial" w:hAnsi="Arial" w:cs="Arial"/>
        </w:rPr>
        <w:t>and</w:t>
      </w:r>
      <w:r w:rsidRPr="00C146F8">
        <w:rPr>
          <w:rFonts w:ascii="Arial" w:hAnsi="Arial" w:cs="Arial"/>
        </w:rPr>
        <w:t xml:space="preserve"> Bessant, 2021).</w:t>
      </w:r>
    </w:p>
    <w:p w14:paraId="3A289BA3" w14:textId="77777777" w:rsidR="00C146F8" w:rsidRPr="00C146F8" w:rsidRDefault="00C146F8" w:rsidP="00742688">
      <w:pPr>
        <w:rPr>
          <w:lang w:val="en-US"/>
        </w:rPr>
      </w:pPr>
    </w:p>
    <w:p w14:paraId="07B36234" w14:textId="406E8B50"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7" w:name="_Toc211889222"/>
      <w:r w:rsidRPr="00A048A5">
        <w:rPr>
          <w:rFonts w:ascii="Arial" w:hAnsi="Arial" w:cs="Arial"/>
          <w:b/>
          <w:bCs/>
          <w:color w:val="000000" w:themeColor="text1"/>
          <w:sz w:val="24"/>
          <w:szCs w:val="24"/>
        </w:rPr>
        <w:t>Strategic Recommendations</w:t>
      </w:r>
      <w:bookmarkEnd w:id="7"/>
    </w:p>
    <w:p w14:paraId="39E13D9F" w14:textId="77777777" w:rsidR="00742688" w:rsidRDefault="00742688" w:rsidP="00742688"/>
    <w:p w14:paraId="1AF59E65" w14:textId="77777777" w:rsidR="005511CF" w:rsidRDefault="005511CF" w:rsidP="005511CF">
      <w:pPr>
        <w:spacing w:after="0" w:line="360" w:lineRule="auto"/>
        <w:ind w:firstLine="720"/>
        <w:jc w:val="both"/>
        <w:rPr>
          <w:rFonts w:ascii="Arial" w:hAnsi="Arial" w:cs="Arial"/>
        </w:rPr>
      </w:pPr>
      <w:r w:rsidRPr="005511CF">
        <w:rPr>
          <w:rFonts w:ascii="Arial" w:hAnsi="Arial" w:cs="Arial"/>
        </w:rPr>
        <w:t>Based on the results of this strategic analysis, it is recommended to CHH Conex Ltd. a gradual implementation plan of its Digital Green Expansion Strategy sustaining growth through innovation, internationalization, and operational efficiency.</w:t>
      </w:r>
    </w:p>
    <w:p w14:paraId="0A64140F" w14:textId="0D8211B3" w:rsidR="005511CF" w:rsidRDefault="005511CF" w:rsidP="005511CF">
      <w:pPr>
        <w:spacing w:after="0" w:line="360" w:lineRule="auto"/>
        <w:ind w:firstLine="720"/>
        <w:jc w:val="both"/>
        <w:rPr>
          <w:rFonts w:ascii="Arial" w:hAnsi="Arial" w:cs="Arial"/>
        </w:rPr>
      </w:pPr>
      <w:r w:rsidRPr="005511CF">
        <w:rPr>
          <w:rFonts w:ascii="Arial" w:hAnsi="Arial" w:cs="Arial"/>
        </w:rPr>
        <w:t>Accelerate Digital Transformation: CHH Conex must place top priority on making investments in Industry 4.0 IoT, robotics, and predictive analytics to improve productivity and cost efficiency of operations. An ERP implementation will drive better cross-departmental collaboration and visibility of financial and supply chain information</w:t>
      </w:r>
      <w:r>
        <w:rPr>
          <w:rFonts w:ascii="Arial" w:hAnsi="Arial" w:cs="Arial"/>
        </w:rPr>
        <w:t xml:space="preserve"> </w:t>
      </w:r>
      <w:r w:rsidRPr="005511CF">
        <w:rPr>
          <w:rFonts w:ascii="Arial" w:hAnsi="Arial" w:cs="Arial"/>
        </w:rPr>
        <w:t xml:space="preserve">(Tidd </w:t>
      </w:r>
      <w:r>
        <w:rPr>
          <w:rFonts w:ascii="Arial" w:hAnsi="Arial" w:cs="Arial"/>
        </w:rPr>
        <w:t>and</w:t>
      </w:r>
      <w:r w:rsidRPr="005511CF">
        <w:rPr>
          <w:rFonts w:ascii="Arial" w:hAnsi="Arial" w:cs="Arial"/>
        </w:rPr>
        <w:t xml:space="preserve"> Bessant, 2021). Innovation capability can be enhanced through technology partner and academic institution collaborations, which will also help in the upskilling of employees.</w:t>
      </w:r>
    </w:p>
    <w:p w14:paraId="620B78F8" w14:textId="77777777" w:rsidR="005511CF" w:rsidRDefault="005511CF" w:rsidP="005511CF">
      <w:pPr>
        <w:spacing w:after="0" w:line="360" w:lineRule="auto"/>
        <w:ind w:firstLine="720"/>
        <w:jc w:val="both"/>
        <w:rPr>
          <w:rFonts w:ascii="Arial" w:hAnsi="Arial" w:cs="Arial"/>
        </w:rPr>
      </w:pPr>
      <w:r w:rsidRPr="005511CF">
        <w:rPr>
          <w:rFonts w:ascii="Arial" w:hAnsi="Arial" w:cs="Arial"/>
        </w:rPr>
        <w:t>Embed Sustainability into Core Operations: The firm should integrate green manufacturing principles across its value chain by adopting renewable energy, recycling metal scrap, and developing eco-certified product lines. This will enforce compliance with global ESG standards that articulate a strong brand differentiation in environmentally conscious markets (Hill et al., 2021).</w:t>
      </w:r>
    </w:p>
    <w:p w14:paraId="538DD03B" w14:textId="77777777" w:rsidR="005511CF" w:rsidRDefault="005511CF" w:rsidP="005511CF">
      <w:pPr>
        <w:spacing w:after="0" w:line="360" w:lineRule="auto"/>
        <w:ind w:firstLine="720"/>
        <w:jc w:val="both"/>
        <w:rPr>
          <w:rFonts w:ascii="Arial" w:hAnsi="Arial" w:cs="Arial"/>
        </w:rPr>
      </w:pPr>
      <w:r w:rsidRPr="005511CF">
        <w:rPr>
          <w:rFonts w:ascii="Arial" w:hAnsi="Arial" w:cs="Arial"/>
        </w:rPr>
        <w:t>Pursue International Market Expansion: To mitigate dependence on the UK and European markets, CHH Conex should establish regional hubs in Asia-Pacific and the Middle East, focusing on markets with growing infrastructure demand. Joint ventures with local distributors can enhance market entry efficiency and regulatory alignment (Grant, 2019).</w:t>
      </w:r>
    </w:p>
    <w:p w14:paraId="280AB606" w14:textId="3DF5DAF2" w:rsidR="005511CF" w:rsidRDefault="005511CF" w:rsidP="005511CF">
      <w:pPr>
        <w:spacing w:after="0" w:line="360" w:lineRule="auto"/>
        <w:ind w:firstLine="720"/>
        <w:jc w:val="both"/>
        <w:rPr>
          <w:rFonts w:ascii="Arial" w:hAnsi="Arial" w:cs="Arial"/>
        </w:rPr>
      </w:pPr>
      <w:r w:rsidRPr="005511CF">
        <w:rPr>
          <w:rFonts w:ascii="Arial" w:hAnsi="Arial" w:cs="Arial"/>
        </w:rPr>
        <w:t>Enhance Stakeholder Involvement: Develop a well-organized stakeholder communication plan using the RACI (Responsible, Accountable, Consulted, Informed) framework to support transparent and accountable decision-making processes. Roll out employee engagement programs and online training courses to help align culture throughout the transformation (Johnson et al., 2020).</w:t>
      </w:r>
    </w:p>
    <w:p w14:paraId="4D4E766A" w14:textId="2F7B4B76" w:rsidR="005511CF" w:rsidRPr="005511CF" w:rsidRDefault="005511CF" w:rsidP="005511CF">
      <w:pPr>
        <w:spacing w:after="0" w:line="360" w:lineRule="auto"/>
        <w:ind w:firstLine="720"/>
        <w:jc w:val="both"/>
        <w:rPr>
          <w:rFonts w:ascii="Arial" w:hAnsi="Arial" w:cs="Arial"/>
        </w:rPr>
      </w:pPr>
      <w:r w:rsidRPr="005511CF">
        <w:rPr>
          <w:rFonts w:ascii="Arial" w:hAnsi="Arial" w:cs="Arial"/>
        </w:rPr>
        <w:lastRenderedPageBreak/>
        <w:t>By balancing tech innovation with sustainability and global reach, CHH Conex will further resilience and profits while standing as a brand leader in an ever-changing global manufacturing marketplace.</w:t>
      </w:r>
    </w:p>
    <w:p w14:paraId="7B3CC6D5" w14:textId="77777777" w:rsidR="005511CF" w:rsidRPr="00742688" w:rsidRDefault="005511CF" w:rsidP="00742688"/>
    <w:p w14:paraId="7599918E" w14:textId="4E3090F8"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8" w:name="_Toc211889223"/>
      <w:r w:rsidRPr="00A048A5">
        <w:rPr>
          <w:rFonts w:ascii="Arial" w:hAnsi="Arial" w:cs="Arial"/>
          <w:b/>
          <w:bCs/>
          <w:color w:val="000000" w:themeColor="text1"/>
          <w:sz w:val="24"/>
          <w:szCs w:val="24"/>
        </w:rPr>
        <w:t>Conclusion</w:t>
      </w:r>
      <w:bookmarkEnd w:id="8"/>
    </w:p>
    <w:p w14:paraId="2582C097" w14:textId="77777777" w:rsidR="00742688" w:rsidRDefault="00742688" w:rsidP="00742688"/>
    <w:p w14:paraId="40E414AB" w14:textId="77777777" w:rsidR="005511CF" w:rsidRDefault="005511CF" w:rsidP="005511CF">
      <w:pPr>
        <w:spacing w:after="0" w:line="360" w:lineRule="auto"/>
        <w:ind w:firstLine="720"/>
        <w:jc w:val="both"/>
        <w:rPr>
          <w:rFonts w:ascii="Arial" w:hAnsi="Arial" w:cs="Arial"/>
        </w:rPr>
      </w:pPr>
      <w:r w:rsidRPr="005511CF">
        <w:rPr>
          <w:rFonts w:ascii="Arial" w:hAnsi="Arial" w:cs="Arial"/>
        </w:rPr>
        <w:t>This report presents a detailed strategic analysis of CHH Conex Ltd. It reviews internal strengths and external challenges together with opportunities for sustainable long-term development within the context of dynamics in the global plumbing and HVAC manufacturing market. Therefore, based on structured strategy analyses that include (SWOT, PESTEL, Five Forces), Ansoff Matrix, and Bowman’s Strategy Clock; CHH Conex is found to have strong engineering capability foundations with brand credibility but needs digital maturity enhancement as well as sustainability performance improvement plus internationalization to stay competitive.</w:t>
      </w:r>
    </w:p>
    <w:p w14:paraId="256E4044" w14:textId="77777777" w:rsidR="005511CF" w:rsidRDefault="005511CF" w:rsidP="005511CF">
      <w:pPr>
        <w:spacing w:after="0" w:line="360" w:lineRule="auto"/>
        <w:ind w:firstLine="720"/>
        <w:jc w:val="both"/>
        <w:rPr>
          <w:rFonts w:ascii="Arial" w:hAnsi="Arial" w:cs="Arial"/>
        </w:rPr>
      </w:pPr>
      <w:r w:rsidRPr="005511CF">
        <w:rPr>
          <w:rFonts w:ascii="Arial" w:hAnsi="Arial" w:cs="Arial"/>
        </w:rPr>
        <w:t>The Digital Green Expansion Strategy will articulate the links between techno- logical innovation, sustainable production, and international market expansion as mutually reinforcing pillars of future success. In the digital transformation, CHH Conex can exercise operational agility and embed a culture of data-driven decision-making. It shall ensure the institutionalization of social green manufacturing to aggressively pursue compliance with global ESG standards amid evolving stakeholder expectations. Market expansion into emerging markets will help diversify revenue streams that support long-term resilience.</w:t>
      </w:r>
    </w:p>
    <w:p w14:paraId="55E975F8" w14:textId="360CD5AE" w:rsidR="005511CF" w:rsidRDefault="005511CF" w:rsidP="005511CF">
      <w:pPr>
        <w:spacing w:after="0" w:line="360" w:lineRule="auto"/>
        <w:ind w:firstLine="720"/>
        <w:jc w:val="both"/>
        <w:rPr>
          <w:rFonts w:ascii="Arial" w:hAnsi="Arial" w:cs="Arial"/>
        </w:rPr>
      </w:pPr>
      <w:r w:rsidRPr="005511CF">
        <w:rPr>
          <w:rFonts w:ascii="Arial" w:hAnsi="Arial" w:cs="Arial"/>
        </w:rPr>
        <w:t>In the final analysis, the CHH Conex future success will depend on how it balances innovation with sustainability and stakeholder engagement. The recommended phased implementation supported by digital upskilling strong leadership and clear accountability will make the company appear to be a forward-looking environmentally responsible global leader in competitive precision plumbing systems.</w:t>
      </w:r>
    </w:p>
    <w:p w14:paraId="63265232" w14:textId="77777777" w:rsidR="005511CF" w:rsidRDefault="005511CF" w:rsidP="005511CF">
      <w:pPr>
        <w:spacing w:after="0" w:line="360" w:lineRule="auto"/>
        <w:ind w:firstLine="720"/>
        <w:jc w:val="both"/>
        <w:rPr>
          <w:rFonts w:ascii="Arial" w:hAnsi="Arial" w:cs="Arial"/>
        </w:rPr>
      </w:pPr>
    </w:p>
    <w:p w14:paraId="0EC0DBD9" w14:textId="77777777" w:rsidR="00603D24" w:rsidRDefault="00603D24" w:rsidP="005511CF">
      <w:pPr>
        <w:spacing w:after="0" w:line="360" w:lineRule="auto"/>
        <w:ind w:firstLine="720"/>
        <w:jc w:val="both"/>
        <w:rPr>
          <w:rFonts w:ascii="Arial" w:hAnsi="Arial" w:cs="Arial"/>
        </w:rPr>
      </w:pPr>
    </w:p>
    <w:p w14:paraId="0D02499A" w14:textId="77777777" w:rsidR="00603D24" w:rsidRDefault="00603D24" w:rsidP="005511CF">
      <w:pPr>
        <w:spacing w:after="0" w:line="360" w:lineRule="auto"/>
        <w:ind w:firstLine="720"/>
        <w:jc w:val="both"/>
        <w:rPr>
          <w:rFonts w:ascii="Arial" w:hAnsi="Arial" w:cs="Arial"/>
        </w:rPr>
      </w:pPr>
    </w:p>
    <w:p w14:paraId="3DCFED09" w14:textId="77777777" w:rsidR="00603D24" w:rsidRDefault="00603D24" w:rsidP="005511CF">
      <w:pPr>
        <w:spacing w:after="0" w:line="360" w:lineRule="auto"/>
        <w:ind w:firstLine="720"/>
        <w:jc w:val="both"/>
        <w:rPr>
          <w:rFonts w:ascii="Arial" w:hAnsi="Arial" w:cs="Arial"/>
        </w:rPr>
      </w:pPr>
    </w:p>
    <w:p w14:paraId="55D37E4E" w14:textId="77777777" w:rsidR="00603D24" w:rsidRDefault="00603D24" w:rsidP="005511CF">
      <w:pPr>
        <w:spacing w:after="0" w:line="360" w:lineRule="auto"/>
        <w:ind w:firstLine="720"/>
        <w:jc w:val="both"/>
        <w:rPr>
          <w:rFonts w:ascii="Arial" w:hAnsi="Arial" w:cs="Arial"/>
        </w:rPr>
      </w:pPr>
    </w:p>
    <w:p w14:paraId="0588CB7C" w14:textId="77777777" w:rsidR="00603D24" w:rsidRDefault="00603D24" w:rsidP="005511CF">
      <w:pPr>
        <w:spacing w:after="0" w:line="360" w:lineRule="auto"/>
        <w:ind w:firstLine="720"/>
        <w:jc w:val="both"/>
        <w:rPr>
          <w:rFonts w:ascii="Arial" w:hAnsi="Arial" w:cs="Arial"/>
        </w:rPr>
      </w:pPr>
    </w:p>
    <w:p w14:paraId="6CAFFEF9" w14:textId="77777777" w:rsidR="00603D24" w:rsidRPr="005511CF" w:rsidRDefault="00603D24" w:rsidP="005511CF">
      <w:pPr>
        <w:spacing w:after="0" w:line="360" w:lineRule="auto"/>
        <w:ind w:firstLine="720"/>
        <w:jc w:val="both"/>
        <w:rPr>
          <w:rFonts w:ascii="Arial" w:hAnsi="Arial" w:cs="Arial"/>
        </w:rPr>
      </w:pPr>
    </w:p>
    <w:p w14:paraId="7269ED5E" w14:textId="2D05047E" w:rsidR="00A048A5" w:rsidRDefault="00A048A5" w:rsidP="00A048A5">
      <w:pPr>
        <w:pStyle w:val="Heading1"/>
        <w:spacing w:before="0" w:after="0" w:line="360" w:lineRule="auto"/>
        <w:jc w:val="center"/>
        <w:rPr>
          <w:rFonts w:ascii="Arial" w:hAnsi="Arial" w:cs="Arial"/>
          <w:b/>
          <w:bCs/>
          <w:color w:val="000000" w:themeColor="text1"/>
          <w:sz w:val="24"/>
          <w:szCs w:val="24"/>
        </w:rPr>
      </w:pPr>
      <w:bookmarkStart w:id="9" w:name="_Toc211889224"/>
      <w:r w:rsidRPr="00A048A5">
        <w:rPr>
          <w:rFonts w:ascii="Arial" w:hAnsi="Arial" w:cs="Arial"/>
          <w:b/>
          <w:bCs/>
          <w:color w:val="000000" w:themeColor="text1"/>
          <w:sz w:val="24"/>
          <w:szCs w:val="24"/>
        </w:rPr>
        <w:lastRenderedPageBreak/>
        <w:t>References</w:t>
      </w:r>
      <w:bookmarkEnd w:id="9"/>
    </w:p>
    <w:p w14:paraId="53203EB2" w14:textId="77777777" w:rsidR="005511CF" w:rsidRDefault="005511CF" w:rsidP="005511CF"/>
    <w:p w14:paraId="6A6EFBE1"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Baines, P., Fill, C. and Page, K. (2019) </w:t>
      </w:r>
      <w:r w:rsidRPr="005511CF">
        <w:rPr>
          <w:rFonts w:ascii="Arial" w:hAnsi="Arial" w:cs="Arial"/>
          <w:i/>
          <w:iCs/>
          <w:lang w:val="en-US"/>
        </w:rPr>
        <w:t>Essentials of Marketing</w:t>
      </w:r>
      <w:r w:rsidRPr="005511CF">
        <w:rPr>
          <w:rFonts w:ascii="Arial" w:hAnsi="Arial" w:cs="Arial"/>
          <w:lang w:val="en-US"/>
        </w:rPr>
        <w:t xml:space="preserve">. 7th </w:t>
      </w:r>
      <w:proofErr w:type="spellStart"/>
      <w:r w:rsidRPr="005511CF">
        <w:rPr>
          <w:rFonts w:ascii="Arial" w:hAnsi="Arial" w:cs="Arial"/>
          <w:lang w:val="en-US"/>
        </w:rPr>
        <w:t>edn</w:t>
      </w:r>
      <w:proofErr w:type="spellEnd"/>
      <w:r w:rsidRPr="005511CF">
        <w:rPr>
          <w:rFonts w:ascii="Arial" w:hAnsi="Arial" w:cs="Arial"/>
          <w:lang w:val="en-US"/>
        </w:rPr>
        <w:t>. Oxford: Oxford University Press.</w:t>
      </w:r>
    </w:p>
    <w:p w14:paraId="3EC1E25F"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Barney, J. and Hesterly, W. (2019) </w:t>
      </w:r>
      <w:r w:rsidRPr="005511CF">
        <w:rPr>
          <w:rFonts w:ascii="Arial" w:hAnsi="Arial" w:cs="Arial"/>
          <w:i/>
          <w:iCs/>
          <w:lang w:val="en-US"/>
        </w:rPr>
        <w:t>Strategic Management and Competitive Advantage: Concepts and Cases</w:t>
      </w:r>
      <w:r w:rsidRPr="005511CF">
        <w:rPr>
          <w:rFonts w:ascii="Arial" w:hAnsi="Arial" w:cs="Arial"/>
          <w:lang w:val="en-US"/>
        </w:rPr>
        <w:t xml:space="preserve">. 6th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2F16251D"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Bowman, C. and Faulkner, D. (2017) </w:t>
      </w:r>
      <w:r w:rsidRPr="005511CF">
        <w:rPr>
          <w:rFonts w:ascii="Arial" w:hAnsi="Arial" w:cs="Arial"/>
          <w:i/>
          <w:iCs/>
          <w:lang w:val="en-US"/>
        </w:rPr>
        <w:t>Competitive and Corporate Strategy</w:t>
      </w:r>
      <w:r w:rsidRPr="005511CF">
        <w:rPr>
          <w:rFonts w:ascii="Arial" w:hAnsi="Arial" w:cs="Arial"/>
          <w:lang w:val="en-US"/>
        </w:rPr>
        <w:t>. London: Routledge.</w:t>
      </w:r>
    </w:p>
    <w:p w14:paraId="7F9A91C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Clegg, S., Kornberger, M. and </w:t>
      </w:r>
      <w:proofErr w:type="spellStart"/>
      <w:r w:rsidRPr="005511CF">
        <w:rPr>
          <w:rFonts w:ascii="Arial" w:hAnsi="Arial" w:cs="Arial"/>
          <w:lang w:val="en-US"/>
        </w:rPr>
        <w:t>Pitsis</w:t>
      </w:r>
      <w:proofErr w:type="spellEnd"/>
      <w:r w:rsidRPr="005511CF">
        <w:rPr>
          <w:rFonts w:ascii="Arial" w:hAnsi="Arial" w:cs="Arial"/>
          <w:lang w:val="en-US"/>
        </w:rPr>
        <w:t xml:space="preserve">, T. (2020) </w:t>
      </w:r>
      <w:r w:rsidRPr="005511CF">
        <w:rPr>
          <w:rFonts w:ascii="Arial" w:hAnsi="Arial" w:cs="Arial"/>
          <w:i/>
          <w:iCs/>
          <w:lang w:val="en-US"/>
        </w:rPr>
        <w:t>Managing and Organizations: An Introduction to Theory and Practice</w:t>
      </w:r>
      <w:r w:rsidRPr="005511CF">
        <w:rPr>
          <w:rFonts w:ascii="Arial" w:hAnsi="Arial" w:cs="Arial"/>
          <w:lang w:val="en-US"/>
        </w:rPr>
        <w:t xml:space="preserve">. 5th </w:t>
      </w:r>
      <w:proofErr w:type="spellStart"/>
      <w:r w:rsidRPr="005511CF">
        <w:rPr>
          <w:rFonts w:ascii="Arial" w:hAnsi="Arial" w:cs="Arial"/>
          <w:lang w:val="en-US"/>
        </w:rPr>
        <w:t>edn</w:t>
      </w:r>
      <w:proofErr w:type="spellEnd"/>
      <w:r w:rsidRPr="005511CF">
        <w:rPr>
          <w:rFonts w:ascii="Arial" w:hAnsi="Arial" w:cs="Arial"/>
          <w:lang w:val="en-US"/>
        </w:rPr>
        <w:t>. London: Sage Publications.</w:t>
      </w:r>
    </w:p>
    <w:p w14:paraId="67D6E9F0"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Daft, R.L. and Marcic, D. (2018) </w:t>
      </w:r>
      <w:r w:rsidRPr="005511CF">
        <w:rPr>
          <w:rFonts w:ascii="Arial" w:hAnsi="Arial" w:cs="Arial"/>
          <w:i/>
          <w:iCs/>
          <w:lang w:val="en-US"/>
        </w:rPr>
        <w:t>Understanding Management</w:t>
      </w:r>
      <w:r w:rsidRPr="005511CF">
        <w:rPr>
          <w:rFonts w:ascii="Arial" w:hAnsi="Arial" w:cs="Arial"/>
          <w:lang w:val="en-US"/>
        </w:rPr>
        <w:t xml:space="preserve">. 10th </w:t>
      </w:r>
      <w:proofErr w:type="spellStart"/>
      <w:r w:rsidRPr="005511CF">
        <w:rPr>
          <w:rFonts w:ascii="Arial" w:hAnsi="Arial" w:cs="Arial"/>
          <w:lang w:val="en-US"/>
        </w:rPr>
        <w:t>edn</w:t>
      </w:r>
      <w:proofErr w:type="spellEnd"/>
      <w:r w:rsidRPr="005511CF">
        <w:rPr>
          <w:rFonts w:ascii="Arial" w:hAnsi="Arial" w:cs="Arial"/>
          <w:lang w:val="en-US"/>
        </w:rPr>
        <w:t>. Boston: Cengage Learning.</w:t>
      </w:r>
    </w:p>
    <w:p w14:paraId="3AD97F05"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David, F.R. and David, F.R. (2020) </w:t>
      </w:r>
      <w:r w:rsidRPr="005511CF">
        <w:rPr>
          <w:rFonts w:ascii="Arial" w:hAnsi="Arial" w:cs="Arial"/>
          <w:i/>
          <w:iCs/>
          <w:lang w:val="en-US"/>
        </w:rPr>
        <w:t>Strategic Management: A Competitive Advantage Approach, Concepts and Cases</w:t>
      </w:r>
      <w:r w:rsidRPr="005511CF">
        <w:rPr>
          <w:rFonts w:ascii="Arial" w:hAnsi="Arial" w:cs="Arial"/>
          <w:lang w:val="en-US"/>
        </w:rPr>
        <w:t xml:space="preserve">. 17th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44EAACB2"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Dess, G.G., McNamara, G. and Eisner, A.B. (2020) </w:t>
      </w:r>
      <w:r w:rsidRPr="005511CF">
        <w:rPr>
          <w:rFonts w:ascii="Arial" w:hAnsi="Arial" w:cs="Arial"/>
          <w:i/>
          <w:iCs/>
          <w:lang w:val="en-US"/>
        </w:rPr>
        <w:t>Strategic Management: Creating Competitive Advantages</w:t>
      </w:r>
      <w:r w:rsidRPr="005511CF">
        <w:rPr>
          <w:rFonts w:ascii="Arial" w:hAnsi="Arial" w:cs="Arial"/>
          <w:lang w:val="en-US"/>
        </w:rPr>
        <w:t xml:space="preserve">. 10th </w:t>
      </w:r>
      <w:proofErr w:type="spellStart"/>
      <w:r w:rsidRPr="005511CF">
        <w:rPr>
          <w:rFonts w:ascii="Arial" w:hAnsi="Arial" w:cs="Arial"/>
          <w:lang w:val="en-US"/>
        </w:rPr>
        <w:t>edn</w:t>
      </w:r>
      <w:proofErr w:type="spellEnd"/>
      <w:r w:rsidRPr="005511CF">
        <w:rPr>
          <w:rFonts w:ascii="Arial" w:hAnsi="Arial" w:cs="Arial"/>
          <w:lang w:val="en-US"/>
        </w:rPr>
        <w:t>. New York: McGraw-Hill Education.</w:t>
      </w:r>
    </w:p>
    <w:p w14:paraId="79F0063F"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Drucker, P.F. (2015) </w:t>
      </w:r>
      <w:r w:rsidRPr="005511CF">
        <w:rPr>
          <w:rFonts w:ascii="Arial" w:hAnsi="Arial" w:cs="Arial"/>
          <w:i/>
          <w:iCs/>
          <w:lang w:val="en-US"/>
        </w:rPr>
        <w:t>Innovation and Entrepreneurship</w:t>
      </w:r>
      <w:r w:rsidRPr="005511CF">
        <w:rPr>
          <w:rFonts w:ascii="Arial" w:hAnsi="Arial" w:cs="Arial"/>
          <w:lang w:val="en-US"/>
        </w:rPr>
        <w:t>. London: Routledge.</w:t>
      </w:r>
    </w:p>
    <w:p w14:paraId="082C9A1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Freeman, R.E. (2018) </w:t>
      </w:r>
      <w:r w:rsidRPr="005511CF">
        <w:rPr>
          <w:rFonts w:ascii="Arial" w:hAnsi="Arial" w:cs="Arial"/>
          <w:i/>
          <w:iCs/>
          <w:lang w:val="en-US"/>
        </w:rPr>
        <w:t>Strategic Management: A Stakeholder Approach</w:t>
      </w:r>
      <w:r w:rsidRPr="005511CF">
        <w:rPr>
          <w:rFonts w:ascii="Arial" w:hAnsi="Arial" w:cs="Arial"/>
          <w:lang w:val="en-US"/>
        </w:rPr>
        <w:t>. Cambridge: Cambridge University Press.</w:t>
      </w:r>
    </w:p>
    <w:p w14:paraId="321F6FB1"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Gamble, J.E., Thompson, A.A. and </w:t>
      </w:r>
      <w:proofErr w:type="spellStart"/>
      <w:r w:rsidRPr="005511CF">
        <w:rPr>
          <w:rFonts w:ascii="Arial" w:hAnsi="Arial" w:cs="Arial"/>
          <w:lang w:val="en-US"/>
        </w:rPr>
        <w:t>Peteraf</w:t>
      </w:r>
      <w:proofErr w:type="spellEnd"/>
      <w:r w:rsidRPr="005511CF">
        <w:rPr>
          <w:rFonts w:ascii="Arial" w:hAnsi="Arial" w:cs="Arial"/>
          <w:lang w:val="en-US"/>
        </w:rPr>
        <w:t xml:space="preserve">, M.A. (2021) </w:t>
      </w:r>
      <w:r w:rsidRPr="005511CF">
        <w:rPr>
          <w:rFonts w:ascii="Arial" w:hAnsi="Arial" w:cs="Arial"/>
          <w:i/>
          <w:iCs/>
          <w:lang w:val="en-US"/>
        </w:rPr>
        <w:t>Essentials of Strategic Management: The Quest for Competitive Advantage</w:t>
      </w:r>
      <w:r w:rsidRPr="005511CF">
        <w:rPr>
          <w:rFonts w:ascii="Arial" w:hAnsi="Arial" w:cs="Arial"/>
          <w:lang w:val="en-US"/>
        </w:rPr>
        <w:t xml:space="preserve">. 7th </w:t>
      </w:r>
      <w:proofErr w:type="spellStart"/>
      <w:r w:rsidRPr="005511CF">
        <w:rPr>
          <w:rFonts w:ascii="Arial" w:hAnsi="Arial" w:cs="Arial"/>
          <w:lang w:val="en-US"/>
        </w:rPr>
        <w:t>edn</w:t>
      </w:r>
      <w:proofErr w:type="spellEnd"/>
      <w:r w:rsidRPr="005511CF">
        <w:rPr>
          <w:rFonts w:ascii="Arial" w:hAnsi="Arial" w:cs="Arial"/>
          <w:lang w:val="en-US"/>
        </w:rPr>
        <w:t>. New York: McGraw-Hill Education.</w:t>
      </w:r>
    </w:p>
    <w:p w14:paraId="7B0CBA41"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Grant, R.M. (2019) </w:t>
      </w:r>
      <w:r w:rsidRPr="005511CF">
        <w:rPr>
          <w:rFonts w:ascii="Arial" w:hAnsi="Arial" w:cs="Arial"/>
          <w:i/>
          <w:iCs/>
          <w:lang w:val="en-US"/>
        </w:rPr>
        <w:t>Contemporary Strategy Analysis</w:t>
      </w:r>
      <w:r w:rsidRPr="005511CF">
        <w:rPr>
          <w:rFonts w:ascii="Arial" w:hAnsi="Arial" w:cs="Arial"/>
          <w:lang w:val="en-US"/>
        </w:rPr>
        <w:t xml:space="preserve">. 10th </w:t>
      </w:r>
      <w:proofErr w:type="spellStart"/>
      <w:r w:rsidRPr="005511CF">
        <w:rPr>
          <w:rFonts w:ascii="Arial" w:hAnsi="Arial" w:cs="Arial"/>
          <w:lang w:val="en-US"/>
        </w:rPr>
        <w:t>edn</w:t>
      </w:r>
      <w:proofErr w:type="spellEnd"/>
      <w:r w:rsidRPr="005511CF">
        <w:rPr>
          <w:rFonts w:ascii="Arial" w:hAnsi="Arial" w:cs="Arial"/>
          <w:lang w:val="en-US"/>
        </w:rPr>
        <w:t>. Chichester: Wiley.</w:t>
      </w:r>
    </w:p>
    <w:p w14:paraId="32525177"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Hill, C.W., Jones, G.R. and Schilling, M.A. (2021) </w:t>
      </w:r>
      <w:r w:rsidRPr="005511CF">
        <w:rPr>
          <w:rFonts w:ascii="Arial" w:hAnsi="Arial" w:cs="Arial"/>
          <w:i/>
          <w:iCs/>
          <w:lang w:val="en-US"/>
        </w:rPr>
        <w:t>Strategic Management: Theory and Cases</w:t>
      </w:r>
      <w:r w:rsidRPr="005511CF">
        <w:rPr>
          <w:rFonts w:ascii="Arial" w:hAnsi="Arial" w:cs="Arial"/>
          <w:lang w:val="en-US"/>
        </w:rPr>
        <w:t xml:space="preserve">. 14th </w:t>
      </w:r>
      <w:proofErr w:type="spellStart"/>
      <w:r w:rsidRPr="005511CF">
        <w:rPr>
          <w:rFonts w:ascii="Arial" w:hAnsi="Arial" w:cs="Arial"/>
          <w:lang w:val="en-US"/>
        </w:rPr>
        <w:t>edn</w:t>
      </w:r>
      <w:proofErr w:type="spellEnd"/>
      <w:r w:rsidRPr="005511CF">
        <w:rPr>
          <w:rFonts w:ascii="Arial" w:hAnsi="Arial" w:cs="Arial"/>
          <w:lang w:val="en-US"/>
        </w:rPr>
        <w:t>. Boston: Cengage Learning.</w:t>
      </w:r>
    </w:p>
    <w:p w14:paraId="1B0C13D4"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Hitt, M.A., Ireland, R.D. and </w:t>
      </w:r>
      <w:proofErr w:type="spellStart"/>
      <w:r w:rsidRPr="005511CF">
        <w:rPr>
          <w:rFonts w:ascii="Arial" w:hAnsi="Arial" w:cs="Arial"/>
          <w:lang w:val="en-US"/>
        </w:rPr>
        <w:t>Hoskisson</w:t>
      </w:r>
      <w:proofErr w:type="spellEnd"/>
      <w:r w:rsidRPr="005511CF">
        <w:rPr>
          <w:rFonts w:ascii="Arial" w:hAnsi="Arial" w:cs="Arial"/>
          <w:lang w:val="en-US"/>
        </w:rPr>
        <w:t xml:space="preserve">, R.E. (2020) </w:t>
      </w:r>
      <w:r w:rsidRPr="005511CF">
        <w:rPr>
          <w:rFonts w:ascii="Arial" w:hAnsi="Arial" w:cs="Arial"/>
          <w:i/>
          <w:iCs/>
          <w:lang w:val="en-US"/>
        </w:rPr>
        <w:t>Strategic Management: Competitiveness and Globalization</w:t>
      </w:r>
      <w:r w:rsidRPr="005511CF">
        <w:rPr>
          <w:rFonts w:ascii="Arial" w:hAnsi="Arial" w:cs="Arial"/>
          <w:lang w:val="en-US"/>
        </w:rPr>
        <w:t xml:space="preserve">. 13th </w:t>
      </w:r>
      <w:proofErr w:type="spellStart"/>
      <w:r w:rsidRPr="005511CF">
        <w:rPr>
          <w:rFonts w:ascii="Arial" w:hAnsi="Arial" w:cs="Arial"/>
          <w:lang w:val="en-US"/>
        </w:rPr>
        <w:t>edn</w:t>
      </w:r>
      <w:proofErr w:type="spellEnd"/>
      <w:r w:rsidRPr="005511CF">
        <w:rPr>
          <w:rFonts w:ascii="Arial" w:hAnsi="Arial" w:cs="Arial"/>
          <w:lang w:val="en-US"/>
        </w:rPr>
        <w:t>. Stamford: Cengage Learning.</w:t>
      </w:r>
    </w:p>
    <w:p w14:paraId="39617E70"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Johnson, G., Scholes, K. and Whittington, R. (2020) </w:t>
      </w:r>
      <w:r w:rsidRPr="005511CF">
        <w:rPr>
          <w:rFonts w:ascii="Arial" w:hAnsi="Arial" w:cs="Arial"/>
          <w:i/>
          <w:iCs/>
          <w:lang w:val="en-US"/>
        </w:rPr>
        <w:t>Exploring Corporate Strategy: Text and Cases</w:t>
      </w:r>
      <w:r w:rsidRPr="005511CF">
        <w:rPr>
          <w:rFonts w:ascii="Arial" w:hAnsi="Arial" w:cs="Arial"/>
          <w:lang w:val="en-US"/>
        </w:rPr>
        <w:t xml:space="preserve">. 12th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6C3C6108"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Kaplan, R.S. and Norton, D.P. (2015) </w:t>
      </w:r>
      <w:r w:rsidRPr="005511CF">
        <w:rPr>
          <w:rFonts w:ascii="Arial" w:hAnsi="Arial" w:cs="Arial"/>
          <w:i/>
          <w:iCs/>
          <w:lang w:val="en-US"/>
        </w:rPr>
        <w:t>The Balanced Scorecard: Translating Strategy into Action</w:t>
      </w:r>
      <w:r w:rsidRPr="005511CF">
        <w:rPr>
          <w:rFonts w:ascii="Arial" w:hAnsi="Arial" w:cs="Arial"/>
          <w:lang w:val="en-US"/>
        </w:rPr>
        <w:t>. Boston: Harvard Business School Press.</w:t>
      </w:r>
    </w:p>
    <w:p w14:paraId="636361A5"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Kotler, P. and Keller, K.L. (2022) </w:t>
      </w:r>
      <w:r w:rsidRPr="005511CF">
        <w:rPr>
          <w:rFonts w:ascii="Arial" w:hAnsi="Arial" w:cs="Arial"/>
          <w:i/>
          <w:iCs/>
          <w:lang w:val="en-US"/>
        </w:rPr>
        <w:t>Marketing Management</w:t>
      </w:r>
      <w:r w:rsidRPr="005511CF">
        <w:rPr>
          <w:rFonts w:ascii="Arial" w:hAnsi="Arial" w:cs="Arial"/>
          <w:lang w:val="en-US"/>
        </w:rPr>
        <w:t xml:space="preserve">. 16th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76A5ECF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Kotter, J.P. (2014) </w:t>
      </w:r>
      <w:r w:rsidRPr="005511CF">
        <w:rPr>
          <w:rFonts w:ascii="Arial" w:hAnsi="Arial" w:cs="Arial"/>
          <w:i/>
          <w:iCs/>
          <w:lang w:val="en-US"/>
        </w:rPr>
        <w:t>Accelerate: Building Strategic Agility for a Faster-Moving World</w:t>
      </w:r>
      <w:r w:rsidRPr="005511CF">
        <w:rPr>
          <w:rFonts w:ascii="Arial" w:hAnsi="Arial" w:cs="Arial"/>
          <w:lang w:val="en-US"/>
        </w:rPr>
        <w:t>. Boston: Harvard Business Review Press.</w:t>
      </w:r>
    </w:p>
    <w:p w14:paraId="568029B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Lynch, R. (2021) </w:t>
      </w:r>
      <w:r w:rsidRPr="005511CF">
        <w:rPr>
          <w:rFonts w:ascii="Arial" w:hAnsi="Arial" w:cs="Arial"/>
          <w:i/>
          <w:iCs/>
          <w:lang w:val="en-US"/>
        </w:rPr>
        <w:t>Corporate Strategy</w:t>
      </w:r>
      <w:r w:rsidRPr="005511CF">
        <w:rPr>
          <w:rFonts w:ascii="Arial" w:hAnsi="Arial" w:cs="Arial"/>
          <w:lang w:val="en-US"/>
        </w:rPr>
        <w:t xml:space="preserve">. 9th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0DCCA8F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lastRenderedPageBreak/>
        <w:t xml:space="preserve">Mintzberg, H., Ahlstrand, B. and Lampel, J. (2020) </w:t>
      </w:r>
      <w:r w:rsidRPr="005511CF">
        <w:rPr>
          <w:rFonts w:ascii="Arial" w:hAnsi="Arial" w:cs="Arial"/>
          <w:i/>
          <w:iCs/>
          <w:lang w:val="en-US"/>
        </w:rPr>
        <w:t>Strategy Safari: A Guided Tour Through the Wilds of Strategic Management</w:t>
      </w:r>
      <w:r w:rsidRPr="005511CF">
        <w:rPr>
          <w:rFonts w:ascii="Arial" w:hAnsi="Arial" w:cs="Arial"/>
          <w:lang w:val="en-US"/>
        </w:rPr>
        <w:t xml:space="preserve">. 3rd </w:t>
      </w:r>
      <w:proofErr w:type="spellStart"/>
      <w:r w:rsidRPr="005511CF">
        <w:rPr>
          <w:rFonts w:ascii="Arial" w:hAnsi="Arial" w:cs="Arial"/>
          <w:lang w:val="en-US"/>
        </w:rPr>
        <w:t>edn</w:t>
      </w:r>
      <w:proofErr w:type="spellEnd"/>
      <w:r w:rsidRPr="005511CF">
        <w:rPr>
          <w:rFonts w:ascii="Arial" w:hAnsi="Arial" w:cs="Arial"/>
          <w:lang w:val="en-US"/>
        </w:rPr>
        <w:t>. New York: Free Press.</w:t>
      </w:r>
    </w:p>
    <w:p w14:paraId="7F7A1B7C"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Pearce, J.A. and Robinson, R.B. (2019) </w:t>
      </w:r>
      <w:r w:rsidRPr="005511CF">
        <w:rPr>
          <w:rFonts w:ascii="Arial" w:hAnsi="Arial" w:cs="Arial"/>
          <w:i/>
          <w:iCs/>
          <w:lang w:val="en-US"/>
        </w:rPr>
        <w:t>Strategic Management: Planning for Domestic and Global Competition</w:t>
      </w:r>
      <w:r w:rsidRPr="005511CF">
        <w:rPr>
          <w:rFonts w:ascii="Arial" w:hAnsi="Arial" w:cs="Arial"/>
          <w:lang w:val="en-US"/>
        </w:rPr>
        <w:t xml:space="preserve">. 15th </w:t>
      </w:r>
      <w:proofErr w:type="spellStart"/>
      <w:r w:rsidRPr="005511CF">
        <w:rPr>
          <w:rFonts w:ascii="Arial" w:hAnsi="Arial" w:cs="Arial"/>
          <w:lang w:val="en-US"/>
        </w:rPr>
        <w:t>edn</w:t>
      </w:r>
      <w:proofErr w:type="spellEnd"/>
      <w:r w:rsidRPr="005511CF">
        <w:rPr>
          <w:rFonts w:ascii="Arial" w:hAnsi="Arial" w:cs="Arial"/>
          <w:lang w:val="en-US"/>
        </w:rPr>
        <w:t>. New York: McGraw-Hill Education.</w:t>
      </w:r>
    </w:p>
    <w:p w14:paraId="0A7D6082"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Porter, M.E. (2014) </w:t>
      </w:r>
      <w:r w:rsidRPr="005511CF">
        <w:rPr>
          <w:rFonts w:ascii="Arial" w:hAnsi="Arial" w:cs="Arial"/>
          <w:i/>
          <w:iCs/>
          <w:lang w:val="en-US"/>
        </w:rPr>
        <w:t>Competitive Advantage: Creating and Sustaining Superior Performance</w:t>
      </w:r>
      <w:r w:rsidRPr="005511CF">
        <w:rPr>
          <w:rFonts w:ascii="Arial" w:hAnsi="Arial" w:cs="Arial"/>
          <w:lang w:val="en-US"/>
        </w:rPr>
        <w:t>. New York: Free Press.</w:t>
      </w:r>
    </w:p>
    <w:p w14:paraId="06EC0378"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Rothaermel, F.T. (2021) </w:t>
      </w:r>
      <w:r w:rsidRPr="005511CF">
        <w:rPr>
          <w:rFonts w:ascii="Arial" w:hAnsi="Arial" w:cs="Arial"/>
          <w:i/>
          <w:iCs/>
          <w:lang w:val="en-US"/>
        </w:rPr>
        <w:t>Strategic Management: Concepts and Cases</w:t>
      </w:r>
      <w:r w:rsidRPr="005511CF">
        <w:rPr>
          <w:rFonts w:ascii="Arial" w:hAnsi="Arial" w:cs="Arial"/>
          <w:lang w:val="en-US"/>
        </w:rPr>
        <w:t xml:space="preserve">. 5th </w:t>
      </w:r>
      <w:proofErr w:type="spellStart"/>
      <w:r w:rsidRPr="005511CF">
        <w:rPr>
          <w:rFonts w:ascii="Arial" w:hAnsi="Arial" w:cs="Arial"/>
          <w:lang w:val="en-US"/>
        </w:rPr>
        <w:t>edn</w:t>
      </w:r>
      <w:proofErr w:type="spellEnd"/>
      <w:r w:rsidRPr="005511CF">
        <w:rPr>
          <w:rFonts w:ascii="Arial" w:hAnsi="Arial" w:cs="Arial"/>
          <w:lang w:val="en-US"/>
        </w:rPr>
        <w:t>. New York: McGraw-Hill Education.</w:t>
      </w:r>
    </w:p>
    <w:p w14:paraId="274DB477"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Teece, D.J. (2020) </w:t>
      </w:r>
      <w:r w:rsidRPr="005511CF">
        <w:rPr>
          <w:rFonts w:ascii="Arial" w:hAnsi="Arial" w:cs="Arial"/>
          <w:i/>
          <w:iCs/>
          <w:lang w:val="en-US"/>
        </w:rPr>
        <w:t>Dynamic Capabilities and Strategic Management: Organizing for Innovation and Growth</w:t>
      </w:r>
      <w:r w:rsidRPr="005511CF">
        <w:rPr>
          <w:rFonts w:ascii="Arial" w:hAnsi="Arial" w:cs="Arial"/>
          <w:lang w:val="en-US"/>
        </w:rPr>
        <w:t>. Oxford: Oxford University Press.</w:t>
      </w:r>
    </w:p>
    <w:p w14:paraId="6B10F09A"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Tidd, J. and Bessant, J. (2021) </w:t>
      </w:r>
      <w:r w:rsidRPr="005511CF">
        <w:rPr>
          <w:rFonts w:ascii="Arial" w:hAnsi="Arial" w:cs="Arial"/>
          <w:i/>
          <w:iCs/>
          <w:lang w:val="en-US"/>
        </w:rPr>
        <w:t>Managing Innovation: Integrating Technological, Market and Organizational Change</w:t>
      </w:r>
      <w:r w:rsidRPr="005511CF">
        <w:rPr>
          <w:rFonts w:ascii="Arial" w:hAnsi="Arial" w:cs="Arial"/>
          <w:lang w:val="en-US"/>
        </w:rPr>
        <w:t xml:space="preserve">. 7th </w:t>
      </w:r>
      <w:proofErr w:type="spellStart"/>
      <w:r w:rsidRPr="005511CF">
        <w:rPr>
          <w:rFonts w:ascii="Arial" w:hAnsi="Arial" w:cs="Arial"/>
          <w:lang w:val="en-US"/>
        </w:rPr>
        <w:t>edn</w:t>
      </w:r>
      <w:proofErr w:type="spellEnd"/>
      <w:r w:rsidRPr="005511CF">
        <w:rPr>
          <w:rFonts w:ascii="Arial" w:hAnsi="Arial" w:cs="Arial"/>
          <w:lang w:val="en-US"/>
        </w:rPr>
        <w:t>. Hoboken: Wiley.</w:t>
      </w:r>
    </w:p>
    <w:p w14:paraId="03EB26B4"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Varadarajan, R. (2020) </w:t>
      </w:r>
      <w:r w:rsidRPr="005511CF">
        <w:rPr>
          <w:rFonts w:ascii="Arial" w:hAnsi="Arial" w:cs="Arial"/>
          <w:i/>
          <w:iCs/>
          <w:lang w:val="en-US"/>
        </w:rPr>
        <w:t>Strategic Marketing in the Global Economy</w:t>
      </w:r>
      <w:r w:rsidRPr="005511CF">
        <w:rPr>
          <w:rFonts w:ascii="Arial" w:hAnsi="Arial" w:cs="Arial"/>
          <w:lang w:val="en-US"/>
        </w:rPr>
        <w:t>. London: Routledge.</w:t>
      </w:r>
    </w:p>
    <w:p w14:paraId="6F388A73" w14:textId="77777777" w:rsidR="005511CF" w:rsidRPr="005511CF" w:rsidRDefault="005511CF" w:rsidP="005511CF">
      <w:pPr>
        <w:spacing w:after="0" w:line="360" w:lineRule="auto"/>
        <w:jc w:val="both"/>
        <w:rPr>
          <w:rFonts w:ascii="Arial" w:hAnsi="Arial" w:cs="Arial"/>
          <w:lang w:val="en-US"/>
        </w:rPr>
      </w:pPr>
      <w:r w:rsidRPr="005511CF">
        <w:rPr>
          <w:rFonts w:ascii="Arial" w:hAnsi="Arial" w:cs="Arial"/>
          <w:lang w:val="en-US"/>
        </w:rPr>
        <w:t xml:space="preserve">Wheelen, T.L., Hunger, J.D., Hoffman, A.N. and Bamford, C.E. (2018) </w:t>
      </w:r>
      <w:r w:rsidRPr="005511CF">
        <w:rPr>
          <w:rFonts w:ascii="Arial" w:hAnsi="Arial" w:cs="Arial"/>
          <w:i/>
          <w:iCs/>
          <w:lang w:val="en-US"/>
        </w:rPr>
        <w:t>Strategic Management and Business Policy: Globalization, Innovation and Sustainability</w:t>
      </w:r>
      <w:r w:rsidRPr="005511CF">
        <w:rPr>
          <w:rFonts w:ascii="Arial" w:hAnsi="Arial" w:cs="Arial"/>
          <w:lang w:val="en-US"/>
        </w:rPr>
        <w:t xml:space="preserve">. 15th </w:t>
      </w:r>
      <w:proofErr w:type="spellStart"/>
      <w:r w:rsidRPr="005511CF">
        <w:rPr>
          <w:rFonts w:ascii="Arial" w:hAnsi="Arial" w:cs="Arial"/>
          <w:lang w:val="en-US"/>
        </w:rPr>
        <w:t>edn</w:t>
      </w:r>
      <w:proofErr w:type="spellEnd"/>
      <w:r w:rsidRPr="005511CF">
        <w:rPr>
          <w:rFonts w:ascii="Arial" w:hAnsi="Arial" w:cs="Arial"/>
          <w:lang w:val="en-US"/>
        </w:rPr>
        <w:t>. Harlow: Pearson Education.</w:t>
      </w:r>
    </w:p>
    <w:p w14:paraId="29C16AAF" w14:textId="77777777" w:rsidR="005511CF" w:rsidRPr="005511CF" w:rsidRDefault="005511CF" w:rsidP="005511CF"/>
    <w:sectPr w:rsidR="005511CF" w:rsidRPr="005511CF" w:rsidSect="00603D24">
      <w:footerReference w:type="default" r:id="rId8"/>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5082" w14:textId="77777777" w:rsidR="0065103B" w:rsidRDefault="0065103B" w:rsidP="00603D24">
      <w:pPr>
        <w:spacing w:after="0" w:line="240" w:lineRule="auto"/>
      </w:pPr>
      <w:r>
        <w:separator/>
      </w:r>
    </w:p>
  </w:endnote>
  <w:endnote w:type="continuationSeparator" w:id="0">
    <w:p w14:paraId="0021BFFF" w14:textId="77777777" w:rsidR="0065103B" w:rsidRDefault="0065103B" w:rsidP="00603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FD82D" w14:textId="7ABCA55E" w:rsidR="00603D24" w:rsidRDefault="00603D24">
    <w:pPr>
      <w:pStyle w:val="Footer"/>
      <w:jc w:val="center"/>
    </w:pPr>
  </w:p>
  <w:p w14:paraId="3238A9DE" w14:textId="77777777" w:rsidR="00603D24" w:rsidRDefault="00603D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2177595"/>
      <w:docPartObj>
        <w:docPartGallery w:val="Page Numbers (Bottom of Page)"/>
        <w:docPartUnique/>
      </w:docPartObj>
    </w:sdtPr>
    <w:sdtEndPr>
      <w:rPr>
        <w:noProof/>
      </w:rPr>
    </w:sdtEndPr>
    <w:sdtContent>
      <w:p w14:paraId="7B80C3D1" w14:textId="77777777" w:rsidR="00603D24" w:rsidRDefault="00603D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E5155A" w14:textId="77777777" w:rsidR="00603D24" w:rsidRDefault="00603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F50C5" w14:textId="77777777" w:rsidR="0065103B" w:rsidRDefault="0065103B" w:rsidP="00603D24">
      <w:pPr>
        <w:spacing w:after="0" w:line="240" w:lineRule="auto"/>
      </w:pPr>
      <w:r>
        <w:separator/>
      </w:r>
    </w:p>
  </w:footnote>
  <w:footnote w:type="continuationSeparator" w:id="0">
    <w:p w14:paraId="77010B52" w14:textId="77777777" w:rsidR="0065103B" w:rsidRDefault="0065103B" w:rsidP="00603D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8A"/>
    <w:rsid w:val="0000753D"/>
    <w:rsid w:val="0002483A"/>
    <w:rsid w:val="000708DB"/>
    <w:rsid w:val="00154C45"/>
    <w:rsid w:val="00303839"/>
    <w:rsid w:val="004171D6"/>
    <w:rsid w:val="00524867"/>
    <w:rsid w:val="005511CF"/>
    <w:rsid w:val="005609AF"/>
    <w:rsid w:val="00603D24"/>
    <w:rsid w:val="00644B49"/>
    <w:rsid w:val="0065103B"/>
    <w:rsid w:val="00742688"/>
    <w:rsid w:val="0076780F"/>
    <w:rsid w:val="008D021C"/>
    <w:rsid w:val="0094066F"/>
    <w:rsid w:val="00963021"/>
    <w:rsid w:val="00A048A5"/>
    <w:rsid w:val="00A0588A"/>
    <w:rsid w:val="00BB74BD"/>
    <w:rsid w:val="00C146F8"/>
    <w:rsid w:val="00C2087F"/>
    <w:rsid w:val="00F41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E2D96"/>
  <w15:chartTrackingRefBased/>
  <w15:docId w15:val="{E7242E71-1F3A-418B-B312-102D48500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8A5"/>
    <w:pPr>
      <w:spacing w:after="200" w:line="276" w:lineRule="auto"/>
    </w:pPr>
    <w:rPr>
      <w:rFonts w:eastAsiaTheme="minorEastAsia"/>
      <w:kern w:val="0"/>
      <w:sz w:val="22"/>
      <w:szCs w:val="22"/>
      <w:lang w:val="en-GB"/>
      <w14:ligatures w14:val="none"/>
    </w:rPr>
  </w:style>
  <w:style w:type="paragraph" w:styleId="Heading1">
    <w:name w:val="heading 1"/>
    <w:basedOn w:val="Normal"/>
    <w:next w:val="Normal"/>
    <w:link w:val="Heading1Char"/>
    <w:uiPriority w:val="9"/>
    <w:qFormat/>
    <w:rsid w:val="00A058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58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58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58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58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58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8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8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8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88A"/>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A0588A"/>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0588A"/>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0588A"/>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0588A"/>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0588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0588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0588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0588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058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88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058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88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0588A"/>
    <w:pPr>
      <w:spacing w:before="160"/>
      <w:jc w:val="center"/>
    </w:pPr>
    <w:rPr>
      <w:i/>
      <w:iCs/>
      <w:color w:val="404040" w:themeColor="text1" w:themeTint="BF"/>
    </w:rPr>
  </w:style>
  <w:style w:type="character" w:customStyle="1" w:styleId="QuoteChar">
    <w:name w:val="Quote Char"/>
    <w:basedOn w:val="DefaultParagraphFont"/>
    <w:link w:val="Quote"/>
    <w:uiPriority w:val="29"/>
    <w:rsid w:val="00A0588A"/>
    <w:rPr>
      <w:i/>
      <w:iCs/>
      <w:color w:val="404040" w:themeColor="text1" w:themeTint="BF"/>
      <w:lang w:val="en-GB"/>
    </w:rPr>
  </w:style>
  <w:style w:type="paragraph" w:styleId="ListParagraph">
    <w:name w:val="List Paragraph"/>
    <w:basedOn w:val="Normal"/>
    <w:uiPriority w:val="34"/>
    <w:qFormat/>
    <w:rsid w:val="00A0588A"/>
    <w:pPr>
      <w:ind w:left="720"/>
      <w:contextualSpacing/>
    </w:pPr>
  </w:style>
  <w:style w:type="character" w:styleId="IntenseEmphasis">
    <w:name w:val="Intense Emphasis"/>
    <w:basedOn w:val="DefaultParagraphFont"/>
    <w:uiPriority w:val="21"/>
    <w:qFormat/>
    <w:rsid w:val="00A0588A"/>
    <w:rPr>
      <w:i/>
      <w:iCs/>
      <w:color w:val="2F5496" w:themeColor="accent1" w:themeShade="BF"/>
    </w:rPr>
  </w:style>
  <w:style w:type="paragraph" w:styleId="IntenseQuote">
    <w:name w:val="Intense Quote"/>
    <w:basedOn w:val="Normal"/>
    <w:next w:val="Normal"/>
    <w:link w:val="IntenseQuoteChar"/>
    <w:uiPriority w:val="30"/>
    <w:qFormat/>
    <w:rsid w:val="00A058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88A"/>
    <w:rPr>
      <w:i/>
      <w:iCs/>
      <w:color w:val="2F5496" w:themeColor="accent1" w:themeShade="BF"/>
      <w:lang w:val="en-GB"/>
    </w:rPr>
  </w:style>
  <w:style w:type="character" w:styleId="IntenseReference">
    <w:name w:val="Intense Reference"/>
    <w:basedOn w:val="DefaultParagraphFont"/>
    <w:uiPriority w:val="32"/>
    <w:qFormat/>
    <w:rsid w:val="00A0588A"/>
    <w:rPr>
      <w:b/>
      <w:bCs/>
      <w:smallCaps/>
      <w:color w:val="2F5496" w:themeColor="accent1" w:themeShade="BF"/>
      <w:spacing w:val="5"/>
    </w:rPr>
  </w:style>
  <w:style w:type="paragraph" w:styleId="TOCHeading">
    <w:name w:val="TOC Heading"/>
    <w:basedOn w:val="Heading1"/>
    <w:next w:val="Normal"/>
    <w:uiPriority w:val="39"/>
    <w:unhideWhenUsed/>
    <w:qFormat/>
    <w:rsid w:val="00603D24"/>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603D24"/>
    <w:pPr>
      <w:spacing w:after="100"/>
    </w:pPr>
  </w:style>
  <w:style w:type="character" w:styleId="Hyperlink">
    <w:name w:val="Hyperlink"/>
    <w:basedOn w:val="DefaultParagraphFont"/>
    <w:uiPriority w:val="99"/>
    <w:unhideWhenUsed/>
    <w:rsid w:val="00603D24"/>
    <w:rPr>
      <w:color w:val="0563C1" w:themeColor="hyperlink"/>
      <w:u w:val="single"/>
    </w:rPr>
  </w:style>
  <w:style w:type="paragraph" w:styleId="Header">
    <w:name w:val="header"/>
    <w:basedOn w:val="Normal"/>
    <w:link w:val="HeaderChar"/>
    <w:uiPriority w:val="99"/>
    <w:unhideWhenUsed/>
    <w:rsid w:val="00603D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D24"/>
    <w:rPr>
      <w:rFonts w:eastAsiaTheme="minorEastAsia"/>
      <w:kern w:val="0"/>
      <w:sz w:val="22"/>
      <w:szCs w:val="22"/>
      <w:lang w:val="en-GB"/>
      <w14:ligatures w14:val="none"/>
    </w:rPr>
  </w:style>
  <w:style w:type="paragraph" w:styleId="Footer">
    <w:name w:val="footer"/>
    <w:basedOn w:val="Normal"/>
    <w:link w:val="FooterChar"/>
    <w:uiPriority w:val="99"/>
    <w:unhideWhenUsed/>
    <w:rsid w:val="00603D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D24"/>
    <w:rPr>
      <w:rFonts w:eastAsiaTheme="minorEastAsia"/>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BE9D7-9721-44E1-848F-31150B3C7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16</Pages>
  <Words>4429</Words>
  <Characters>25251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2025-10-20T18:04:00Z</dcterms:created>
  <dcterms:modified xsi:type="dcterms:W3CDTF">2025-10-20T18:49:00Z</dcterms:modified>
</cp:coreProperties>
</file>