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8D77AD" w:rsidR="00AE3070" w:rsidRDefault="00AE3070" w14:paraId="69B4195A" w14:textId="3661AEB5">
      <w:pPr>
        <w:pStyle w:val="Heading1"/>
      </w:pPr>
      <w:r w:rsidRPr="008D77AD">
        <w:drawing>
          <wp:inline distT="0" distB="0" distL="0" distR="0" wp14:anchorId="5C7828EC" wp14:editId="08C6D767">
            <wp:extent cx="4716780" cy="1790700"/>
            <wp:effectExtent l="0" t="0" r="762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16780" cy="1790700"/>
                    </a:xfrm>
                    <a:prstGeom prst="rect">
                      <a:avLst/>
                    </a:prstGeom>
                    <a:noFill/>
                    <a:ln>
                      <a:noFill/>
                    </a:ln>
                  </pic:spPr>
                </pic:pic>
              </a:graphicData>
            </a:graphic>
          </wp:inline>
        </w:drawing>
      </w:r>
    </w:p>
    <w:p w:rsidRPr="008D77AD" w:rsidR="00AE3070" w:rsidRDefault="00AE3070" w14:paraId="7CD6C473" w14:textId="77777777">
      <w:pPr>
        <w:pStyle w:val="Heading1"/>
      </w:pPr>
    </w:p>
    <w:p w:rsidRPr="008D77AD" w:rsidR="00AE3070" w:rsidP="00AE3070" w:rsidRDefault="00AE3070" w14:paraId="533062DC" w14:textId="77777777">
      <w:pPr>
        <w:pStyle w:val="Heading1"/>
        <w:rPr>
          <w:rFonts w:ascii="Arial" w:hAnsi="Arial" w:cs="Arial"/>
          <w:color w:val="auto"/>
        </w:rPr>
      </w:pPr>
      <w:r w:rsidRPr="008D77AD">
        <w:rPr>
          <w:rFonts w:ascii="Arial" w:hAnsi="Arial" w:cs="Arial"/>
          <w:color w:val="auto"/>
        </w:rPr>
        <w:t>Module Name: Marketing Management  </w:t>
      </w:r>
    </w:p>
    <w:p w:rsidRPr="008D77AD" w:rsidR="00AE3070" w:rsidP="00AE3070" w:rsidRDefault="00AE3070" w14:paraId="024D779B" w14:textId="77777777">
      <w:pPr>
        <w:pStyle w:val="Heading1"/>
        <w:rPr>
          <w:rFonts w:ascii="Arial" w:hAnsi="Arial" w:cs="Arial"/>
          <w:color w:val="auto"/>
        </w:rPr>
      </w:pPr>
      <w:r w:rsidRPr="008D77AD">
        <w:rPr>
          <w:rFonts w:ascii="Arial" w:hAnsi="Arial" w:cs="Arial"/>
          <w:color w:val="auto"/>
        </w:rPr>
        <w:t>Module Code: LCMB7024 </w:t>
      </w:r>
    </w:p>
    <w:p w:rsidRPr="008D77AD" w:rsidR="00AE3070" w:rsidP="00AE3070" w:rsidRDefault="00AE3070" w14:paraId="70F21513" w14:textId="77777777">
      <w:pPr>
        <w:pStyle w:val="Heading1"/>
        <w:rPr>
          <w:rFonts w:ascii="Arial" w:hAnsi="Arial" w:cs="Arial"/>
          <w:color w:val="auto"/>
        </w:rPr>
      </w:pPr>
      <w:r w:rsidRPr="008D77AD">
        <w:rPr>
          <w:rFonts w:ascii="Arial" w:hAnsi="Arial" w:cs="Arial"/>
          <w:color w:val="auto"/>
        </w:rPr>
        <w:t>Title of Submission: Assessment Component 1: Marketing Environment Analysis </w:t>
      </w:r>
    </w:p>
    <w:p w:rsidRPr="008D77AD" w:rsidR="00AE3070" w:rsidP="00AE3070" w:rsidRDefault="00AE3070" w14:paraId="121F7AB6" w14:textId="77777777">
      <w:pPr>
        <w:pStyle w:val="Heading1"/>
        <w:rPr>
          <w:rFonts w:ascii="Arial" w:hAnsi="Arial" w:cs="Arial"/>
          <w:color w:val="auto"/>
        </w:rPr>
      </w:pPr>
      <w:r w:rsidRPr="008D77AD">
        <w:rPr>
          <w:rFonts w:ascii="Arial" w:hAnsi="Arial" w:cs="Arial"/>
          <w:color w:val="auto"/>
        </w:rPr>
        <w:t xml:space="preserve">Lecturer’s Name: Taonga Kaonga </w:t>
      </w:r>
      <w:proofErr w:type="spellStart"/>
      <w:r w:rsidRPr="008D77AD">
        <w:rPr>
          <w:rFonts w:ascii="Arial" w:hAnsi="Arial" w:cs="Arial"/>
          <w:color w:val="auto"/>
        </w:rPr>
        <w:t>Sobere</w:t>
      </w:r>
      <w:proofErr w:type="spellEnd"/>
      <w:r w:rsidRPr="008D77AD">
        <w:rPr>
          <w:rFonts w:ascii="Arial" w:hAnsi="Arial" w:cs="Arial"/>
          <w:color w:val="auto"/>
        </w:rPr>
        <w:t xml:space="preserve"> </w:t>
      </w:r>
      <w:proofErr w:type="spellStart"/>
      <w:r w:rsidRPr="008D77AD">
        <w:rPr>
          <w:rFonts w:ascii="Arial" w:hAnsi="Arial" w:cs="Arial"/>
          <w:color w:val="auto"/>
        </w:rPr>
        <w:t>Snithers</w:t>
      </w:r>
      <w:proofErr w:type="spellEnd"/>
      <w:r w:rsidRPr="008D77AD">
        <w:rPr>
          <w:rFonts w:ascii="Arial" w:hAnsi="Arial" w:cs="Arial"/>
          <w:color w:val="auto"/>
        </w:rPr>
        <w:t> </w:t>
      </w:r>
    </w:p>
    <w:p w:rsidRPr="008D77AD" w:rsidR="00AE3070" w:rsidP="00AE3070" w:rsidRDefault="00AE3070" w14:paraId="5CB34573" w14:textId="77777777">
      <w:pPr>
        <w:pStyle w:val="Heading1"/>
        <w:rPr>
          <w:rFonts w:ascii="Arial" w:hAnsi="Arial" w:cs="Arial"/>
          <w:color w:val="auto"/>
        </w:rPr>
      </w:pPr>
      <w:r w:rsidRPr="008D77AD">
        <w:rPr>
          <w:rFonts w:ascii="Arial" w:hAnsi="Arial" w:cs="Arial"/>
          <w:color w:val="auto"/>
        </w:rPr>
        <w:t>Student Name: Tania de Fatima Agostinho dos Santos  </w:t>
      </w:r>
    </w:p>
    <w:p w:rsidRPr="008D77AD" w:rsidR="00AE3070" w:rsidP="00AE3070" w:rsidRDefault="00AE3070" w14:paraId="647C227E" w14:textId="77777777">
      <w:pPr>
        <w:pStyle w:val="Heading1"/>
        <w:rPr>
          <w:rFonts w:ascii="Arial" w:hAnsi="Arial" w:cs="Arial"/>
          <w:color w:val="auto"/>
        </w:rPr>
      </w:pPr>
      <w:r w:rsidRPr="008D77AD">
        <w:rPr>
          <w:rFonts w:ascii="Arial" w:hAnsi="Arial" w:cs="Arial"/>
          <w:color w:val="auto"/>
        </w:rPr>
        <w:t>Student ID: 2313904  </w:t>
      </w:r>
    </w:p>
    <w:p w:rsidRPr="008D77AD" w:rsidR="00AE3070" w:rsidP="00AE3070" w:rsidRDefault="00AE3070" w14:paraId="09443430" w14:textId="77777777">
      <w:pPr>
        <w:pStyle w:val="Heading1"/>
        <w:rPr>
          <w:rFonts w:ascii="Arial" w:hAnsi="Arial" w:cs="Arial"/>
          <w:color w:val="auto"/>
        </w:rPr>
      </w:pPr>
      <w:r w:rsidRPr="008D77AD">
        <w:rPr>
          <w:rFonts w:ascii="Arial" w:hAnsi="Arial" w:cs="Arial"/>
          <w:color w:val="auto"/>
        </w:rPr>
        <w:t>Word Count: 2,500  </w:t>
      </w:r>
    </w:p>
    <w:p w:rsidRPr="008D77AD" w:rsidR="00AE3070" w:rsidP="00AE3070" w:rsidRDefault="00AE3070" w14:paraId="1892C4F2" w14:textId="77777777">
      <w:pPr>
        <w:pStyle w:val="Heading1"/>
        <w:rPr>
          <w:rFonts w:ascii="Arial" w:hAnsi="Arial" w:cs="Arial"/>
          <w:color w:val="auto"/>
        </w:rPr>
      </w:pPr>
      <w:r w:rsidRPr="008D77AD">
        <w:rPr>
          <w:rFonts w:ascii="Arial" w:hAnsi="Arial" w:cs="Arial"/>
          <w:color w:val="auto"/>
        </w:rPr>
        <w:t>Submission Date: 22</w:t>
      </w:r>
      <w:r w:rsidRPr="008D77AD">
        <w:rPr>
          <w:rFonts w:ascii="Arial" w:hAnsi="Arial" w:cs="Arial"/>
          <w:color w:val="auto"/>
          <w:vertAlign w:val="superscript"/>
        </w:rPr>
        <w:t>nd</w:t>
      </w:r>
      <w:r w:rsidRPr="008D77AD">
        <w:rPr>
          <w:rFonts w:ascii="Arial" w:hAnsi="Arial" w:cs="Arial"/>
          <w:color w:val="auto"/>
        </w:rPr>
        <w:t xml:space="preserve"> October 2026  </w:t>
      </w:r>
    </w:p>
    <w:p w:rsidRPr="008D77AD" w:rsidR="00AE3070" w:rsidRDefault="00AE3070" w14:paraId="40244EDD" w14:textId="77777777">
      <w:pPr>
        <w:pStyle w:val="Heading1"/>
      </w:pPr>
    </w:p>
    <w:p w:rsidRPr="008D77AD" w:rsidR="00AE3070" w:rsidRDefault="00AE3070" w14:paraId="4BFD7D2D" w14:textId="77777777">
      <w:pPr>
        <w:pStyle w:val="Heading1"/>
      </w:pPr>
    </w:p>
    <w:p w:rsidR="00D44CC9" w:rsidRDefault="00D44CC9" w14:paraId="7A6C97FE" w14:textId="77777777">
      <w:pPr>
        <w:pStyle w:val="Heading1"/>
      </w:pPr>
    </w:p>
    <w:p w:rsidRPr="00D44CC9" w:rsidR="0085093C" w:rsidRDefault="00000000" w14:paraId="4110CDC3" w14:textId="13516B3A">
      <w:pPr>
        <w:pStyle w:val="Heading1"/>
        <w:rPr>
          <w:rFonts w:ascii="Arial" w:hAnsi="Arial" w:cs="Arial"/>
          <w:color w:val="auto"/>
        </w:rPr>
      </w:pPr>
      <w:r w:rsidRPr="00D44CC9">
        <w:rPr>
          <w:rFonts w:ascii="Arial" w:hAnsi="Arial" w:cs="Arial"/>
          <w:color w:val="auto"/>
        </w:rPr>
        <w:t>Table of Contents</w:t>
      </w:r>
    </w:p>
    <w:p w:rsidRPr="008D77AD" w:rsidR="00FA651F" w:rsidRDefault="00FA651F" w14:paraId="38C24841" w14:textId="77777777">
      <w:pPr>
        <w:rPr>
          <w:rFonts w:ascii="Arial" w:hAnsi="Arial" w:cs="Arial"/>
          <w:sz w:val="24"/>
          <w:szCs w:val="24"/>
        </w:rPr>
      </w:pPr>
    </w:p>
    <w:p w:rsidRPr="008D77AD" w:rsidR="0085093C" w:rsidRDefault="00000000" w14:paraId="3CB279C6" w14:textId="1DE6C28C">
      <w:pPr>
        <w:rPr>
          <w:rFonts w:ascii="Arial" w:hAnsi="Arial" w:cs="Arial"/>
          <w:b/>
          <w:bCs/>
          <w:sz w:val="24"/>
          <w:szCs w:val="24"/>
        </w:rPr>
      </w:pPr>
      <w:r w:rsidRPr="008D77AD">
        <w:rPr>
          <w:rFonts w:ascii="Arial" w:hAnsi="Arial" w:cs="Arial"/>
          <w:b/>
          <w:bCs/>
          <w:sz w:val="24"/>
          <w:szCs w:val="24"/>
        </w:rPr>
        <w:t>Introduction</w:t>
      </w:r>
    </w:p>
    <w:p w:rsidRPr="008D77AD" w:rsidR="0085093C" w:rsidRDefault="00000000" w14:paraId="25F662CB" w14:textId="77777777">
      <w:pPr>
        <w:rPr>
          <w:rFonts w:ascii="Arial" w:hAnsi="Arial" w:cs="Arial"/>
          <w:b/>
          <w:bCs/>
          <w:sz w:val="24"/>
          <w:szCs w:val="24"/>
        </w:rPr>
      </w:pPr>
      <w:r w:rsidRPr="008D77AD">
        <w:rPr>
          <w:rFonts w:ascii="Arial" w:hAnsi="Arial" w:cs="Arial"/>
          <w:b/>
          <w:bCs/>
          <w:sz w:val="24"/>
          <w:szCs w:val="24"/>
        </w:rPr>
        <w:t>Task 1: Marketing Environment Analysis</w:t>
      </w:r>
    </w:p>
    <w:p w:rsidRPr="008D77AD" w:rsidR="0085093C" w:rsidRDefault="00000000" w14:paraId="7838D29F" w14:textId="77777777">
      <w:pPr>
        <w:rPr>
          <w:rFonts w:ascii="Arial" w:hAnsi="Arial" w:cs="Arial"/>
          <w:sz w:val="24"/>
          <w:szCs w:val="24"/>
        </w:rPr>
      </w:pPr>
      <w:r w:rsidRPr="008D77AD">
        <w:rPr>
          <w:rFonts w:ascii="Arial" w:hAnsi="Arial" w:cs="Arial"/>
          <w:sz w:val="24"/>
          <w:szCs w:val="24"/>
        </w:rPr>
        <w:t>1.1 Company context and environmental priorities</w:t>
      </w:r>
    </w:p>
    <w:p w:rsidRPr="008D77AD" w:rsidR="0085093C" w:rsidRDefault="00000000" w14:paraId="36F5058A" w14:textId="77777777">
      <w:pPr>
        <w:rPr>
          <w:rFonts w:ascii="Arial" w:hAnsi="Arial" w:cs="Arial"/>
          <w:sz w:val="24"/>
          <w:szCs w:val="24"/>
        </w:rPr>
      </w:pPr>
      <w:r w:rsidRPr="008D77AD">
        <w:rPr>
          <w:rFonts w:ascii="Arial" w:hAnsi="Arial" w:cs="Arial"/>
          <w:sz w:val="24"/>
          <w:szCs w:val="24"/>
        </w:rPr>
        <w:t>1.2 PESTLE overview and selection rationale</w:t>
      </w:r>
    </w:p>
    <w:p w:rsidRPr="008D77AD" w:rsidR="0085093C" w:rsidRDefault="00000000" w14:paraId="70E248A3" w14:textId="77777777">
      <w:pPr>
        <w:rPr>
          <w:rFonts w:ascii="Arial" w:hAnsi="Arial" w:cs="Arial"/>
          <w:sz w:val="24"/>
          <w:szCs w:val="24"/>
        </w:rPr>
      </w:pPr>
      <w:r w:rsidRPr="008D77AD">
        <w:rPr>
          <w:rFonts w:ascii="Arial" w:hAnsi="Arial" w:cs="Arial"/>
          <w:sz w:val="24"/>
          <w:szCs w:val="24"/>
        </w:rPr>
        <w:t>1.3 Natural environment</w:t>
      </w:r>
    </w:p>
    <w:p w:rsidRPr="008D77AD" w:rsidR="0085093C" w:rsidRDefault="00000000" w14:paraId="34097653" w14:textId="77777777">
      <w:pPr>
        <w:rPr>
          <w:rFonts w:ascii="Arial" w:hAnsi="Arial" w:cs="Arial"/>
          <w:sz w:val="24"/>
          <w:szCs w:val="24"/>
        </w:rPr>
      </w:pPr>
      <w:r w:rsidRPr="008D77AD">
        <w:rPr>
          <w:rFonts w:ascii="Arial" w:hAnsi="Arial" w:cs="Arial"/>
          <w:sz w:val="24"/>
          <w:szCs w:val="24"/>
        </w:rPr>
        <w:t>1.4 Political and legal macro-environment</w:t>
      </w:r>
    </w:p>
    <w:p w:rsidRPr="008D77AD" w:rsidR="0085093C" w:rsidRDefault="00000000" w14:paraId="6A0D1136" w14:textId="77777777">
      <w:pPr>
        <w:rPr>
          <w:rFonts w:ascii="Arial" w:hAnsi="Arial" w:cs="Arial"/>
          <w:sz w:val="24"/>
          <w:szCs w:val="24"/>
        </w:rPr>
      </w:pPr>
      <w:r w:rsidRPr="008D77AD">
        <w:rPr>
          <w:rFonts w:ascii="Arial" w:hAnsi="Arial" w:cs="Arial"/>
          <w:sz w:val="24"/>
          <w:szCs w:val="24"/>
        </w:rPr>
        <w:t>1.5 Technological macro-environment</w:t>
      </w:r>
    </w:p>
    <w:p w:rsidRPr="008D77AD" w:rsidR="0085093C" w:rsidRDefault="00000000" w14:paraId="125A3443" w14:textId="77777777">
      <w:pPr>
        <w:rPr>
          <w:rFonts w:ascii="Arial" w:hAnsi="Arial" w:cs="Arial"/>
          <w:sz w:val="24"/>
          <w:szCs w:val="24"/>
        </w:rPr>
      </w:pPr>
      <w:r w:rsidRPr="008D77AD">
        <w:rPr>
          <w:rFonts w:ascii="Arial" w:hAnsi="Arial" w:cs="Arial"/>
          <w:sz w:val="24"/>
          <w:szCs w:val="24"/>
        </w:rPr>
        <w:t>1.6 Critical synthesis</w:t>
      </w:r>
    </w:p>
    <w:p w:rsidRPr="008D77AD" w:rsidR="0085093C" w:rsidRDefault="00000000" w14:paraId="2993BA8B" w14:textId="77777777">
      <w:pPr>
        <w:rPr>
          <w:rFonts w:ascii="Arial" w:hAnsi="Arial" w:cs="Arial"/>
          <w:b/>
          <w:bCs/>
          <w:sz w:val="24"/>
          <w:szCs w:val="24"/>
        </w:rPr>
      </w:pPr>
      <w:r w:rsidRPr="008D77AD">
        <w:rPr>
          <w:rFonts w:ascii="Arial" w:hAnsi="Arial" w:cs="Arial"/>
          <w:b/>
          <w:bCs/>
          <w:sz w:val="24"/>
          <w:szCs w:val="24"/>
        </w:rPr>
        <w:t>Task 2: Strategic Growth and Competitive Positioning</w:t>
      </w:r>
    </w:p>
    <w:p w:rsidRPr="008D77AD" w:rsidR="0085093C" w:rsidRDefault="00000000" w14:paraId="236835EC" w14:textId="77777777">
      <w:pPr>
        <w:rPr>
          <w:rFonts w:ascii="Arial" w:hAnsi="Arial" w:cs="Arial"/>
          <w:sz w:val="24"/>
          <w:szCs w:val="24"/>
        </w:rPr>
      </w:pPr>
      <w:r w:rsidRPr="008D77AD">
        <w:rPr>
          <w:rFonts w:ascii="Arial" w:hAnsi="Arial" w:cs="Arial"/>
          <w:sz w:val="24"/>
          <w:szCs w:val="24"/>
        </w:rPr>
        <w:t>2.1 Ansoff Matrix: assessing growth options</w:t>
      </w:r>
    </w:p>
    <w:p w:rsidRPr="008D77AD" w:rsidR="0085093C" w:rsidRDefault="00000000" w14:paraId="6FE966E3" w14:textId="77777777">
      <w:pPr>
        <w:rPr>
          <w:rFonts w:ascii="Arial" w:hAnsi="Arial" w:cs="Arial"/>
          <w:sz w:val="24"/>
          <w:szCs w:val="24"/>
        </w:rPr>
      </w:pPr>
      <w:r w:rsidRPr="008D77AD">
        <w:rPr>
          <w:rFonts w:ascii="Arial" w:hAnsi="Arial" w:cs="Arial"/>
          <w:sz w:val="24"/>
          <w:szCs w:val="24"/>
        </w:rPr>
        <w:t>2.2 Porter’s generic competitive strategies</w:t>
      </w:r>
    </w:p>
    <w:p w:rsidRPr="008D77AD" w:rsidR="0085093C" w:rsidRDefault="00000000" w14:paraId="681D0F98" w14:textId="77777777">
      <w:pPr>
        <w:rPr>
          <w:rFonts w:ascii="Arial" w:hAnsi="Arial" w:cs="Arial"/>
          <w:sz w:val="24"/>
          <w:szCs w:val="24"/>
        </w:rPr>
      </w:pPr>
      <w:r w:rsidRPr="008D77AD">
        <w:rPr>
          <w:rFonts w:ascii="Arial" w:hAnsi="Arial" w:cs="Arial"/>
          <w:sz w:val="24"/>
          <w:szCs w:val="24"/>
        </w:rPr>
        <w:t>2.3 Implementing the positioning through marketing</w:t>
      </w:r>
    </w:p>
    <w:p w:rsidRPr="008D77AD" w:rsidR="0085093C" w:rsidRDefault="00000000" w14:paraId="3DEC213F" w14:textId="77777777">
      <w:pPr>
        <w:rPr>
          <w:rFonts w:ascii="Arial" w:hAnsi="Arial" w:cs="Arial"/>
          <w:sz w:val="24"/>
          <w:szCs w:val="24"/>
        </w:rPr>
      </w:pPr>
      <w:r w:rsidRPr="008D77AD">
        <w:rPr>
          <w:rFonts w:ascii="Arial" w:hAnsi="Arial" w:cs="Arial"/>
          <w:sz w:val="24"/>
          <w:szCs w:val="24"/>
        </w:rPr>
        <w:t>2.4 Strategic recommendation and evaluation</w:t>
      </w:r>
    </w:p>
    <w:p w:rsidRPr="008D77AD" w:rsidR="0085093C" w:rsidRDefault="00000000" w14:paraId="26C43E5D" w14:textId="77777777">
      <w:pPr>
        <w:rPr>
          <w:rFonts w:ascii="Arial" w:hAnsi="Arial" w:cs="Arial"/>
          <w:sz w:val="24"/>
          <w:szCs w:val="24"/>
        </w:rPr>
      </w:pPr>
      <w:r w:rsidRPr="008D77AD">
        <w:rPr>
          <w:rFonts w:ascii="Arial" w:hAnsi="Arial" w:cs="Arial"/>
          <w:sz w:val="24"/>
          <w:szCs w:val="24"/>
        </w:rPr>
        <w:t>2.5 Implementation and performance measures</w:t>
      </w:r>
    </w:p>
    <w:p w:rsidRPr="008D77AD" w:rsidR="0085093C" w:rsidRDefault="00000000" w14:paraId="51992C68" w14:textId="77777777">
      <w:pPr>
        <w:rPr>
          <w:rFonts w:ascii="Arial" w:hAnsi="Arial" w:cs="Arial"/>
          <w:b/>
          <w:bCs/>
          <w:sz w:val="24"/>
          <w:szCs w:val="24"/>
        </w:rPr>
      </w:pPr>
      <w:r w:rsidRPr="008D77AD">
        <w:rPr>
          <w:rFonts w:ascii="Arial" w:hAnsi="Arial" w:cs="Arial"/>
          <w:b/>
          <w:bCs/>
          <w:sz w:val="24"/>
          <w:szCs w:val="24"/>
        </w:rPr>
        <w:t>Task 3: Managerial and Professional Reflection</w:t>
      </w:r>
    </w:p>
    <w:p w:rsidRPr="008D77AD" w:rsidR="0085093C" w:rsidRDefault="00000000" w14:paraId="7C497B94" w14:textId="77777777">
      <w:pPr>
        <w:rPr>
          <w:rFonts w:ascii="Arial" w:hAnsi="Arial" w:cs="Arial"/>
          <w:sz w:val="24"/>
          <w:szCs w:val="24"/>
        </w:rPr>
      </w:pPr>
      <w:r w:rsidRPr="008D77AD">
        <w:rPr>
          <w:rFonts w:ascii="Arial" w:hAnsi="Arial" w:cs="Arial"/>
          <w:sz w:val="24"/>
          <w:szCs w:val="24"/>
        </w:rPr>
        <w:t>3.1 Reflection on key decisions</w:t>
      </w:r>
    </w:p>
    <w:p w:rsidRPr="008D77AD" w:rsidR="0085093C" w:rsidRDefault="00000000" w14:paraId="2A16C8E4" w14:textId="77777777">
      <w:pPr>
        <w:rPr>
          <w:rFonts w:ascii="Arial" w:hAnsi="Arial" w:cs="Arial"/>
          <w:sz w:val="24"/>
          <w:szCs w:val="24"/>
        </w:rPr>
      </w:pPr>
      <w:r w:rsidRPr="008D77AD">
        <w:rPr>
          <w:rFonts w:ascii="Arial" w:hAnsi="Arial" w:cs="Arial"/>
          <w:sz w:val="24"/>
          <w:szCs w:val="24"/>
        </w:rPr>
        <w:t>3.2 Evaluation of strategic decisions</w:t>
      </w:r>
    </w:p>
    <w:p w:rsidRPr="008D77AD" w:rsidR="0085093C" w:rsidRDefault="00000000" w14:paraId="47258A80" w14:textId="77777777">
      <w:pPr>
        <w:rPr>
          <w:rFonts w:ascii="Arial" w:hAnsi="Arial" w:cs="Arial"/>
          <w:sz w:val="24"/>
          <w:szCs w:val="24"/>
        </w:rPr>
      </w:pPr>
      <w:r w:rsidRPr="008D77AD">
        <w:rPr>
          <w:rFonts w:ascii="Arial" w:hAnsi="Arial" w:cs="Arial"/>
          <w:sz w:val="24"/>
          <w:szCs w:val="24"/>
        </w:rPr>
        <w:t>3.3 Limitations of my analysis</w:t>
      </w:r>
    </w:p>
    <w:p w:rsidRPr="008D77AD" w:rsidR="0085093C" w:rsidRDefault="00000000" w14:paraId="063F28C5" w14:textId="77777777">
      <w:pPr>
        <w:rPr>
          <w:rFonts w:ascii="Arial" w:hAnsi="Arial" w:cs="Arial"/>
          <w:sz w:val="24"/>
          <w:szCs w:val="24"/>
        </w:rPr>
      </w:pPr>
      <w:r w:rsidRPr="008D77AD">
        <w:rPr>
          <w:rFonts w:ascii="Arial" w:hAnsi="Arial" w:cs="Arial"/>
          <w:sz w:val="24"/>
          <w:szCs w:val="24"/>
        </w:rPr>
        <w:t>3.4 Additional information and recommendations to senior leadership</w:t>
      </w:r>
    </w:p>
    <w:p w:rsidRPr="008D77AD" w:rsidR="0085093C" w:rsidRDefault="00000000" w14:paraId="400BBFFE" w14:textId="77777777">
      <w:pPr>
        <w:rPr>
          <w:rFonts w:ascii="Arial" w:hAnsi="Arial" w:cs="Arial"/>
          <w:sz w:val="24"/>
          <w:szCs w:val="24"/>
        </w:rPr>
      </w:pPr>
      <w:r w:rsidRPr="008D77AD">
        <w:rPr>
          <w:rFonts w:ascii="Arial" w:hAnsi="Arial" w:cs="Arial"/>
          <w:sz w:val="24"/>
          <w:szCs w:val="24"/>
        </w:rPr>
        <w:t>3.5 Personal learning and professional development</w:t>
      </w:r>
    </w:p>
    <w:p w:rsidRPr="008D77AD" w:rsidR="0085093C" w:rsidRDefault="00000000" w14:paraId="1DD1567B" w14:textId="77777777">
      <w:pPr>
        <w:rPr>
          <w:rFonts w:ascii="Arial" w:hAnsi="Arial" w:cs="Arial"/>
          <w:sz w:val="24"/>
          <w:szCs w:val="24"/>
        </w:rPr>
      </w:pPr>
      <w:r w:rsidRPr="008D77AD">
        <w:rPr>
          <w:rFonts w:ascii="Arial" w:hAnsi="Arial" w:cs="Arial"/>
          <w:sz w:val="24"/>
          <w:szCs w:val="24"/>
        </w:rPr>
        <w:t>3.6 Conclusion</w:t>
      </w:r>
    </w:p>
    <w:p w:rsidRPr="008D77AD" w:rsidR="0085093C" w:rsidRDefault="00000000" w14:paraId="02EF730C" w14:textId="77777777">
      <w:pPr>
        <w:rPr>
          <w:rFonts w:ascii="Arial" w:hAnsi="Arial" w:cs="Arial"/>
          <w:sz w:val="24"/>
          <w:szCs w:val="24"/>
        </w:rPr>
      </w:pPr>
      <w:r w:rsidRPr="008D77AD">
        <w:rPr>
          <w:rFonts w:ascii="Arial" w:hAnsi="Arial" w:cs="Arial"/>
          <w:sz w:val="24"/>
          <w:szCs w:val="24"/>
        </w:rPr>
        <w:t>References</w:t>
      </w:r>
    </w:p>
    <w:p w:rsidRPr="008D77AD" w:rsidR="00FA651F" w:rsidP="00FA651F" w:rsidRDefault="00000000" w14:paraId="6AC8F39B" w14:textId="5AA45262">
      <w:pPr>
        <w:rPr>
          <w:rFonts w:ascii="Arial" w:hAnsi="Arial" w:cs="Arial"/>
          <w:sz w:val="24"/>
          <w:szCs w:val="24"/>
        </w:rPr>
      </w:pPr>
      <w:r w:rsidRPr="008D77AD">
        <w:rPr>
          <w:rFonts w:ascii="Arial" w:hAnsi="Arial" w:cs="Arial"/>
          <w:sz w:val="24"/>
          <w:szCs w:val="24"/>
        </w:rPr>
        <w:br w:type="page"/>
      </w:r>
    </w:p>
    <w:p w:rsidRPr="008D77AD" w:rsidR="00FA651F" w:rsidRDefault="00FA651F" w14:paraId="34F18874" w14:textId="77777777">
      <w:pPr>
        <w:pStyle w:val="Heading1"/>
        <w:rPr>
          <w:rFonts w:ascii="Arial" w:hAnsi="Arial" w:cs="Arial"/>
          <w:color w:val="auto"/>
        </w:rPr>
      </w:pPr>
    </w:p>
    <w:p w:rsidRPr="008D77AD" w:rsidR="0085093C" w:rsidP="00FA651F" w:rsidRDefault="00000000" w14:paraId="76AC8E83" w14:textId="6CF959A9">
      <w:pPr>
        <w:pStyle w:val="Heading1"/>
        <w:rPr>
          <w:rFonts w:ascii="Arial" w:hAnsi="Arial" w:cs="Arial"/>
          <w:color w:val="auto"/>
        </w:rPr>
      </w:pPr>
      <w:r w:rsidRPr="008D77AD">
        <w:rPr>
          <w:rFonts w:ascii="Arial" w:hAnsi="Arial" w:cs="Arial"/>
          <w:color w:val="auto"/>
        </w:rPr>
        <w:t>List of Abbreviations</w:t>
      </w:r>
    </w:p>
    <w:p w:rsidRPr="008D77AD" w:rsidR="00FA651F" w:rsidP="00FA651F" w:rsidRDefault="00FA651F" w14:paraId="0C8EA49C" w14:textId="77777777">
      <w:pPr>
        <w:rPr>
          <w:rFonts w:ascii="Arial" w:hAnsi="Arial" w:cs="Arial"/>
          <w:sz w:val="28"/>
          <w:szCs w:val="28"/>
        </w:rPr>
      </w:pPr>
    </w:p>
    <w:p w:rsidRPr="008D77AD" w:rsidR="0085093C" w:rsidRDefault="00000000" w14:paraId="54E42E80" w14:textId="520E603B">
      <w:pPr>
        <w:rPr>
          <w:rFonts w:ascii="Arial" w:hAnsi="Arial" w:cs="Arial"/>
          <w:sz w:val="24"/>
          <w:szCs w:val="24"/>
        </w:rPr>
      </w:pPr>
      <w:r w:rsidRPr="008D77AD">
        <w:rPr>
          <w:rFonts w:ascii="Arial" w:hAnsi="Arial" w:cs="Arial"/>
          <w:sz w:val="24"/>
          <w:szCs w:val="24"/>
        </w:rPr>
        <w:t>B2B — Business-to-business</w:t>
      </w:r>
    </w:p>
    <w:p w:rsidRPr="008D77AD" w:rsidR="00FA651F" w:rsidRDefault="00FA651F" w14:paraId="573602A0" w14:textId="77777777">
      <w:pPr>
        <w:rPr>
          <w:rFonts w:ascii="Arial" w:hAnsi="Arial" w:cs="Arial"/>
          <w:sz w:val="24"/>
          <w:szCs w:val="24"/>
        </w:rPr>
      </w:pPr>
    </w:p>
    <w:p w:rsidRPr="008D77AD" w:rsidR="0085093C" w:rsidRDefault="00000000" w14:paraId="50D8C887" w14:textId="574D9ABC">
      <w:pPr>
        <w:rPr>
          <w:rFonts w:ascii="Arial" w:hAnsi="Arial" w:cs="Arial"/>
          <w:sz w:val="24"/>
          <w:szCs w:val="24"/>
        </w:rPr>
      </w:pPr>
      <w:r w:rsidRPr="008D77AD">
        <w:rPr>
          <w:rFonts w:ascii="Arial" w:hAnsi="Arial" w:cs="Arial"/>
          <w:sz w:val="24"/>
          <w:szCs w:val="24"/>
        </w:rPr>
        <w:t>BHP — BHP Group Limited</w:t>
      </w:r>
    </w:p>
    <w:p w:rsidRPr="008D77AD" w:rsidR="00FA651F" w:rsidRDefault="00FA651F" w14:paraId="4705200C" w14:textId="77777777">
      <w:pPr>
        <w:rPr>
          <w:rFonts w:ascii="Arial" w:hAnsi="Arial" w:cs="Arial"/>
          <w:sz w:val="24"/>
          <w:szCs w:val="24"/>
        </w:rPr>
      </w:pPr>
    </w:p>
    <w:p w:rsidRPr="008D77AD" w:rsidR="0085093C" w:rsidRDefault="00000000" w14:paraId="2791CFB1" w14:textId="4E0F9648">
      <w:pPr>
        <w:rPr>
          <w:rFonts w:ascii="Arial" w:hAnsi="Arial" w:cs="Arial"/>
          <w:sz w:val="24"/>
          <w:szCs w:val="24"/>
        </w:rPr>
      </w:pPr>
      <w:r w:rsidRPr="008D77AD">
        <w:rPr>
          <w:rFonts w:ascii="Arial" w:hAnsi="Arial" w:cs="Arial"/>
          <w:sz w:val="24"/>
          <w:szCs w:val="24"/>
        </w:rPr>
        <w:t>CBAM — Carbon Border Adjustment Mechanism</w:t>
      </w:r>
    </w:p>
    <w:p w:rsidRPr="008D77AD" w:rsidR="00FA651F" w:rsidRDefault="00FA651F" w14:paraId="080FBFEF" w14:textId="77777777">
      <w:pPr>
        <w:rPr>
          <w:rFonts w:ascii="Arial" w:hAnsi="Arial" w:cs="Arial"/>
          <w:sz w:val="24"/>
          <w:szCs w:val="24"/>
        </w:rPr>
      </w:pPr>
    </w:p>
    <w:p w:rsidRPr="008D77AD" w:rsidR="0085093C" w:rsidRDefault="00000000" w14:paraId="1FD97B51" w14:textId="2AAB48AC">
      <w:pPr>
        <w:rPr>
          <w:rFonts w:ascii="Arial" w:hAnsi="Arial" w:cs="Arial"/>
          <w:sz w:val="24"/>
          <w:szCs w:val="24"/>
        </w:rPr>
      </w:pPr>
      <w:r w:rsidRPr="008D77AD">
        <w:rPr>
          <w:rFonts w:ascii="Arial" w:hAnsi="Arial" w:cs="Arial"/>
          <w:sz w:val="24"/>
          <w:szCs w:val="24"/>
        </w:rPr>
        <w:t>DRI — Direct reduced iron</w:t>
      </w:r>
    </w:p>
    <w:p w:rsidRPr="008D77AD" w:rsidR="00FA651F" w:rsidRDefault="00FA651F" w14:paraId="273CC94A" w14:textId="77777777">
      <w:pPr>
        <w:rPr>
          <w:rFonts w:ascii="Arial" w:hAnsi="Arial" w:cs="Arial"/>
          <w:sz w:val="24"/>
          <w:szCs w:val="24"/>
        </w:rPr>
      </w:pPr>
    </w:p>
    <w:p w:rsidRPr="008D77AD" w:rsidR="0085093C" w:rsidRDefault="00000000" w14:paraId="755C86DF" w14:textId="5F42F84F">
      <w:pPr>
        <w:rPr>
          <w:rFonts w:ascii="Arial" w:hAnsi="Arial" w:cs="Arial"/>
          <w:sz w:val="24"/>
          <w:szCs w:val="24"/>
        </w:rPr>
      </w:pPr>
      <w:r w:rsidRPr="008D77AD">
        <w:rPr>
          <w:rFonts w:ascii="Arial" w:hAnsi="Arial" w:cs="Arial"/>
          <w:sz w:val="24"/>
          <w:szCs w:val="24"/>
        </w:rPr>
        <w:t>ESG — Environmental, social and governance</w:t>
      </w:r>
    </w:p>
    <w:p w:rsidRPr="008D77AD" w:rsidR="00FA651F" w:rsidRDefault="00FA651F" w14:paraId="24520622" w14:textId="77777777">
      <w:pPr>
        <w:rPr>
          <w:rFonts w:ascii="Arial" w:hAnsi="Arial" w:cs="Arial"/>
          <w:sz w:val="24"/>
          <w:szCs w:val="24"/>
        </w:rPr>
      </w:pPr>
    </w:p>
    <w:p w:rsidRPr="008D77AD" w:rsidR="0085093C" w:rsidRDefault="00000000" w14:paraId="79AF1EE8" w14:textId="6202E682">
      <w:pPr>
        <w:rPr>
          <w:rFonts w:ascii="Arial" w:hAnsi="Arial" w:cs="Arial"/>
          <w:sz w:val="24"/>
          <w:szCs w:val="24"/>
        </w:rPr>
      </w:pPr>
      <w:r w:rsidRPr="008D77AD">
        <w:rPr>
          <w:rFonts w:ascii="Arial" w:hAnsi="Arial" w:cs="Arial"/>
          <w:sz w:val="24"/>
          <w:szCs w:val="24"/>
        </w:rPr>
        <w:t>GHG — Greenhouse gas</w:t>
      </w:r>
    </w:p>
    <w:p w:rsidRPr="008D77AD" w:rsidR="00FA651F" w:rsidRDefault="00FA651F" w14:paraId="262BF70E" w14:textId="77777777">
      <w:pPr>
        <w:rPr>
          <w:rFonts w:ascii="Arial" w:hAnsi="Arial" w:cs="Arial"/>
          <w:sz w:val="24"/>
          <w:szCs w:val="24"/>
        </w:rPr>
      </w:pPr>
    </w:p>
    <w:p w:rsidRPr="008D77AD" w:rsidR="0085093C" w:rsidRDefault="00000000" w14:paraId="4E419AE6" w14:textId="79C21852">
      <w:pPr>
        <w:rPr>
          <w:rFonts w:ascii="Arial" w:hAnsi="Arial" w:cs="Arial"/>
          <w:sz w:val="24"/>
          <w:szCs w:val="24"/>
        </w:rPr>
      </w:pPr>
      <w:r w:rsidRPr="008D77AD">
        <w:rPr>
          <w:rFonts w:ascii="Arial" w:hAnsi="Arial" w:cs="Arial"/>
          <w:sz w:val="24"/>
          <w:szCs w:val="24"/>
        </w:rPr>
        <w:t>IEA — International Energy Agency</w:t>
      </w:r>
    </w:p>
    <w:p w:rsidRPr="008D77AD" w:rsidR="00FA651F" w:rsidRDefault="00FA651F" w14:paraId="5A371F23" w14:textId="77777777">
      <w:pPr>
        <w:rPr>
          <w:rFonts w:ascii="Arial" w:hAnsi="Arial" w:cs="Arial"/>
          <w:sz w:val="24"/>
          <w:szCs w:val="24"/>
        </w:rPr>
      </w:pPr>
    </w:p>
    <w:p w:rsidRPr="008D77AD" w:rsidR="0085093C" w:rsidRDefault="00000000" w14:paraId="45E043B2" w14:textId="7FB191E6">
      <w:pPr>
        <w:rPr>
          <w:rFonts w:ascii="Arial" w:hAnsi="Arial" w:cs="Arial"/>
          <w:sz w:val="24"/>
          <w:szCs w:val="24"/>
        </w:rPr>
      </w:pPr>
      <w:r w:rsidRPr="008D77AD">
        <w:rPr>
          <w:rFonts w:ascii="Arial" w:hAnsi="Arial" w:cs="Arial"/>
          <w:sz w:val="24"/>
          <w:szCs w:val="24"/>
        </w:rPr>
        <w:t>PESTLE — Political, economic, social, technological, legal and environmental</w:t>
      </w:r>
    </w:p>
    <w:p w:rsidRPr="008D77AD" w:rsidR="00FA651F" w:rsidRDefault="00FA651F" w14:paraId="49609D65" w14:textId="77777777">
      <w:pPr>
        <w:rPr>
          <w:rFonts w:ascii="Arial" w:hAnsi="Arial" w:cs="Arial"/>
          <w:sz w:val="24"/>
          <w:szCs w:val="24"/>
        </w:rPr>
      </w:pPr>
    </w:p>
    <w:p w:rsidRPr="008D77AD" w:rsidR="0085093C" w:rsidRDefault="00000000" w14:paraId="4791CAD9" w14:textId="0FB261DA">
      <w:pPr>
        <w:rPr>
          <w:rFonts w:ascii="Arial" w:hAnsi="Arial" w:cs="Arial"/>
          <w:sz w:val="24"/>
          <w:szCs w:val="24"/>
        </w:rPr>
      </w:pPr>
      <w:r w:rsidRPr="008D77AD">
        <w:rPr>
          <w:rFonts w:ascii="Arial" w:hAnsi="Arial" w:cs="Arial"/>
          <w:sz w:val="24"/>
          <w:szCs w:val="24"/>
        </w:rPr>
        <w:t>R&amp;D — Research and development</w:t>
      </w:r>
    </w:p>
    <w:p w:rsidRPr="008D77AD" w:rsidR="0085093C" w:rsidRDefault="00000000" w14:paraId="3F1FAFBD" w14:textId="77777777">
      <w:pPr>
        <w:rPr>
          <w:rFonts w:ascii="Arial" w:hAnsi="Arial" w:cs="Arial"/>
          <w:sz w:val="24"/>
          <w:szCs w:val="24"/>
        </w:rPr>
      </w:pPr>
      <w:r w:rsidRPr="008D77AD">
        <w:rPr>
          <w:rFonts w:ascii="Arial" w:hAnsi="Arial" w:cs="Arial"/>
          <w:sz w:val="24"/>
          <w:szCs w:val="24"/>
        </w:rPr>
        <w:br w:type="page"/>
      </w:r>
    </w:p>
    <w:p w:rsidR="002A1B9F" w:rsidRDefault="002A1B9F" w14:paraId="65469234" w14:textId="77777777">
      <w:pPr>
        <w:pStyle w:val="Heading1"/>
        <w:rPr>
          <w:rFonts w:ascii="Arial" w:hAnsi="Arial" w:cs="Arial"/>
          <w:color w:val="auto"/>
        </w:rPr>
      </w:pPr>
    </w:p>
    <w:p w:rsidRPr="008D77AD" w:rsidR="0085093C" w:rsidRDefault="00000000" w14:paraId="3DA5B562" w14:textId="2A2840B1">
      <w:pPr>
        <w:pStyle w:val="Heading1"/>
        <w:rPr>
          <w:rFonts w:ascii="Arial" w:hAnsi="Arial" w:cs="Arial"/>
          <w:color w:val="auto"/>
        </w:rPr>
      </w:pPr>
      <w:r w:rsidRPr="008D77AD">
        <w:rPr>
          <w:rFonts w:ascii="Arial" w:hAnsi="Arial" w:cs="Arial"/>
          <w:color w:val="auto"/>
        </w:rPr>
        <w:t>Introduction</w:t>
      </w:r>
    </w:p>
    <w:p w:rsidRPr="00390151" w:rsidR="0085093C" w:rsidRDefault="00000000" w14:paraId="192C54A2" w14:textId="4D491C86">
      <w:pPr>
        <w:rPr>
          <w:rFonts w:ascii="Arial" w:hAnsi="Arial" w:cs="Arial"/>
          <w:sz w:val="24"/>
          <w:szCs w:val="24"/>
        </w:rPr>
      </w:pPr>
      <w:r w:rsidRPr="7EAD977F" w:rsidR="00000000">
        <w:rPr>
          <w:rFonts w:ascii="Arial" w:hAnsi="Arial" w:cs="Arial"/>
          <w:sz w:val="24"/>
          <w:szCs w:val="24"/>
        </w:rPr>
        <w:t xml:space="preserve">This report critically evaluates the macro-environment affecting BHP Group Limited and considers how the company could develop a commercially credible lower-emissions marketing position. It uses PESTLE to </w:t>
      </w:r>
      <w:r w:rsidRPr="7EAD977F" w:rsidR="00000000">
        <w:rPr>
          <w:rFonts w:ascii="Arial" w:hAnsi="Arial" w:cs="Arial"/>
          <w:sz w:val="24"/>
          <w:szCs w:val="24"/>
        </w:rPr>
        <w:t>identify</w:t>
      </w:r>
      <w:r w:rsidRPr="7EAD977F" w:rsidR="00000000">
        <w:rPr>
          <w:rFonts w:ascii="Arial" w:hAnsi="Arial" w:cs="Arial"/>
          <w:sz w:val="24"/>
          <w:szCs w:val="24"/>
        </w:rPr>
        <w:t xml:space="preserve"> external pressures, then examines natural, political/</w:t>
      </w:r>
      <w:r w:rsidRPr="7EAD977F" w:rsidR="00000000">
        <w:rPr>
          <w:rFonts w:ascii="Arial" w:hAnsi="Arial" w:cs="Arial"/>
          <w:sz w:val="24"/>
          <w:szCs w:val="24"/>
        </w:rPr>
        <w:t>legal</w:t>
      </w:r>
      <w:r w:rsidRPr="7EAD977F" w:rsidR="00000000">
        <w:rPr>
          <w:rFonts w:ascii="Arial" w:hAnsi="Arial" w:cs="Arial"/>
          <w:sz w:val="24"/>
          <w:szCs w:val="24"/>
        </w:rPr>
        <w:t xml:space="preserve"> and technological factors in greater depth. Ansoff’s Matrix and Porter’s generic competitive strategies inform growth and positioning options, while the extended marketing mix translates recommendations into practical activities. Finally, a professional reflection evaluates the decisions, limitations and learning arising from the analysis. Recommendations </w:t>
      </w:r>
      <w:r w:rsidRPr="7EAD977F" w:rsidR="00000000">
        <w:rPr>
          <w:rFonts w:ascii="Arial" w:hAnsi="Arial" w:cs="Arial"/>
          <w:sz w:val="24"/>
          <w:szCs w:val="24"/>
        </w:rPr>
        <w:t>remain</w:t>
      </w:r>
      <w:r w:rsidRPr="7EAD977F" w:rsidR="00000000">
        <w:rPr>
          <w:rFonts w:ascii="Arial" w:hAnsi="Arial" w:cs="Arial"/>
          <w:sz w:val="24"/>
          <w:szCs w:val="24"/>
        </w:rPr>
        <w:t xml:space="preserve"> conditional on evidence of customer demand, technical </w:t>
      </w:r>
      <w:r w:rsidRPr="7EAD977F" w:rsidR="00000000">
        <w:rPr>
          <w:rFonts w:ascii="Arial" w:hAnsi="Arial" w:cs="Arial"/>
          <w:sz w:val="24"/>
          <w:szCs w:val="24"/>
        </w:rPr>
        <w:t>suitability</w:t>
      </w:r>
      <w:r w:rsidRPr="7EAD977F" w:rsidR="7A69FAB8">
        <w:rPr>
          <w:rFonts w:ascii="Arial" w:hAnsi="Arial" w:cs="Arial"/>
          <w:sz w:val="24"/>
          <w:szCs w:val="24"/>
        </w:rPr>
        <w:t>,</w:t>
      </w:r>
      <w:r w:rsidRPr="7EAD977F" w:rsidR="00000000">
        <w:rPr>
          <w:rFonts w:ascii="Arial" w:hAnsi="Arial" w:cs="Arial"/>
          <w:sz w:val="24"/>
          <w:szCs w:val="24"/>
        </w:rPr>
        <w:t xml:space="preserve"> and financial </w:t>
      </w:r>
      <w:r w:rsidRPr="7EAD977F" w:rsidR="00000000">
        <w:rPr>
          <w:rFonts w:ascii="Arial" w:hAnsi="Arial" w:cs="Arial"/>
          <w:sz w:val="24"/>
          <w:szCs w:val="24"/>
        </w:rPr>
        <w:t>viability (</w:t>
      </w:r>
      <w:r w:rsidRPr="7EAD977F" w:rsidR="00F20FC8">
        <w:rPr>
          <w:rFonts w:ascii="Arial" w:hAnsi="Arial" w:cs="Arial"/>
          <w:sz w:val="24"/>
          <w:szCs w:val="24"/>
        </w:rPr>
        <w:t>Dawes, 2018</w:t>
      </w:r>
      <w:r w:rsidRPr="7EAD977F" w:rsidR="00000000">
        <w:rPr>
          <w:rFonts w:ascii="Arial" w:hAnsi="Arial" w:cs="Arial"/>
          <w:sz w:val="24"/>
          <w:szCs w:val="24"/>
        </w:rPr>
        <w:t xml:space="preserve">; </w:t>
      </w:r>
      <w:r w:rsidRPr="7EAD977F" w:rsidR="002A6C45">
        <w:rPr>
          <w:rFonts w:ascii="Arial" w:hAnsi="Arial" w:cs="Arial"/>
          <w:sz w:val="24"/>
          <w:szCs w:val="24"/>
        </w:rPr>
        <w:t>Bright</w:t>
      </w:r>
      <w:r w:rsidRPr="7EAD977F" w:rsidR="00390151">
        <w:rPr>
          <w:rFonts w:ascii="Arial" w:hAnsi="Arial" w:cs="Arial"/>
          <w:sz w:val="24"/>
          <w:szCs w:val="24"/>
        </w:rPr>
        <w:t xml:space="preserve"> and Cortes, 2019)</w:t>
      </w:r>
      <w:r w:rsidRPr="7EAD977F" w:rsidR="00000000">
        <w:rPr>
          <w:rFonts w:ascii="Arial" w:hAnsi="Arial" w:cs="Arial"/>
          <w:sz w:val="24"/>
          <w:szCs w:val="24"/>
        </w:rPr>
        <w:t>.</w:t>
      </w:r>
    </w:p>
    <w:p w:rsidRPr="008D77AD" w:rsidR="0085093C" w:rsidRDefault="00000000" w14:paraId="54B79122" w14:textId="77777777">
      <w:pPr>
        <w:pStyle w:val="Heading1"/>
        <w:rPr>
          <w:rFonts w:ascii="Arial" w:hAnsi="Arial" w:cs="Arial"/>
          <w:color w:val="auto"/>
        </w:rPr>
      </w:pPr>
      <w:r w:rsidRPr="008D77AD">
        <w:rPr>
          <w:rFonts w:ascii="Arial" w:hAnsi="Arial" w:cs="Arial"/>
          <w:color w:val="auto"/>
        </w:rPr>
        <w:t>Task 1: Marketing Environment Analysis</w:t>
      </w:r>
    </w:p>
    <w:p w:rsidRPr="008D77AD" w:rsidR="0085093C" w:rsidRDefault="00000000" w14:paraId="2147ADBB" w14:textId="77777777">
      <w:pPr>
        <w:pStyle w:val="Heading2"/>
        <w:rPr>
          <w:rFonts w:ascii="Arial" w:hAnsi="Arial" w:cs="Arial"/>
          <w:color w:val="auto"/>
          <w:sz w:val="24"/>
          <w:szCs w:val="24"/>
        </w:rPr>
      </w:pPr>
      <w:r w:rsidRPr="008D77AD">
        <w:rPr>
          <w:rFonts w:ascii="Arial" w:hAnsi="Arial" w:cs="Arial"/>
          <w:color w:val="auto"/>
          <w:sz w:val="24"/>
          <w:szCs w:val="24"/>
        </w:rPr>
        <w:t>1.1 Company context and environmental priorities</w:t>
      </w:r>
    </w:p>
    <w:p w:rsidR="00A41937" w:rsidP="003D188F" w:rsidRDefault="00000000" w14:paraId="445E9D3F" w14:textId="439019EE">
      <w:pPr>
        <w:rPr>
          <w:rFonts w:ascii="Arial" w:hAnsi="Arial" w:cs="Arial"/>
          <w:sz w:val="24"/>
          <w:szCs w:val="24"/>
        </w:rPr>
      </w:pPr>
      <w:r w:rsidRPr="008D77AD">
        <w:rPr>
          <w:rFonts w:ascii="Arial" w:hAnsi="Arial" w:cs="Arial"/>
          <w:sz w:val="24"/>
          <w:szCs w:val="24"/>
        </w:rPr>
        <w:t>BHP Group Limited (BHP) is a diversified mining company with major iron ore and copper operations and developing potash assets. Its scale, infrastructure and established industrial relationships support its competitive position, but the transition towards lower-emissions production also depends on decisions beyond its direct control. Mining operations consume energy and water and affect land and biodiversity, while customers’ processing of minerals generates additional value-chain emissions. These impacts require different responses because BHP can manage its own operations more directly than customers’ technologies. A credible marketing position must therefore distinguish measured operational performance from future outcomes that depend on industry collaboration (BHP, 2024; BHP, 2026).</w:t>
      </w:r>
    </w:p>
    <w:p w:rsidRPr="008D77AD" w:rsidR="0085093C" w:rsidRDefault="00000000" w14:paraId="2382F623" w14:textId="6B9814B0">
      <w:pPr>
        <w:pStyle w:val="Heading2"/>
        <w:rPr>
          <w:rFonts w:ascii="Arial" w:hAnsi="Arial" w:cs="Arial"/>
          <w:color w:val="auto"/>
          <w:sz w:val="24"/>
          <w:szCs w:val="24"/>
        </w:rPr>
      </w:pPr>
      <w:r w:rsidRPr="008D77AD">
        <w:rPr>
          <w:rFonts w:ascii="Arial" w:hAnsi="Arial" w:cs="Arial"/>
          <w:color w:val="auto"/>
          <w:sz w:val="24"/>
          <w:szCs w:val="24"/>
        </w:rPr>
        <w:t>1.2 PESTLE overview and selection rationale</w:t>
      </w:r>
    </w:p>
    <w:p w:rsidRPr="008D77AD" w:rsidR="0085093C" w:rsidRDefault="00000000" w14:paraId="722966E4" w14:textId="0923473C">
      <w:pPr>
        <w:rPr>
          <w:rFonts w:ascii="Arial" w:hAnsi="Arial" w:cs="Arial"/>
          <w:sz w:val="24"/>
          <w:szCs w:val="24"/>
        </w:rPr>
      </w:pPr>
      <w:r w:rsidRPr="008D77AD">
        <w:rPr>
          <w:rFonts w:ascii="Arial" w:hAnsi="Arial" w:cs="Arial"/>
          <w:sz w:val="24"/>
          <w:szCs w:val="24"/>
        </w:rPr>
        <w:t xml:space="preserve">PESTLE considers political, economic, social, technological, legal and environmental influences on organisational strategy </w:t>
      </w:r>
      <w:r w:rsidRPr="00891DEE" w:rsidR="00891DEE">
        <w:rPr>
          <w:rFonts w:ascii="Arial" w:hAnsi="Arial" w:cs="Arial"/>
          <w:sz w:val="24"/>
          <w:szCs w:val="24"/>
        </w:rPr>
        <w:t>(CIPD, 2025</w:t>
      </w:r>
      <w:r w:rsidRPr="00891DEE" w:rsidR="00891DEE">
        <w:rPr>
          <w:rFonts w:ascii="Arial" w:hAnsi="Arial" w:cs="Arial"/>
          <w:sz w:val="24"/>
          <w:szCs w:val="24"/>
        </w:rPr>
        <w:t>).</w:t>
      </w:r>
      <w:r w:rsidRPr="008D77AD">
        <w:rPr>
          <w:rFonts w:ascii="Arial" w:hAnsi="Arial" w:cs="Arial"/>
          <w:sz w:val="24"/>
          <w:szCs w:val="24"/>
        </w:rPr>
        <w:t xml:space="preserve"> All six factors affect BHP through commodity demand, investment conditions, community expectations, technological change and regulatory requirements. This report concentrates on three connected areas: the natural environment, political and legal influences, and technological developments. These were selected because environmental constraints affect mining continuity, regulations shape market access and reporting, and technology influences whether lower-emissions supply is achievable. Economic and social issues remain relevant and are considered where they interact with these priorities (BHP, 2024; IEA, 2025; OECD, 2023).</w:t>
      </w:r>
    </w:p>
    <w:p w:rsidRPr="008D77AD" w:rsidR="006344AB" w:rsidRDefault="006344AB" w14:paraId="5A2C9A28" w14:textId="77777777">
      <w:pPr>
        <w:rPr>
          <w:rFonts w:ascii="Arial" w:hAnsi="Arial" w:cs="Arial"/>
          <w:b/>
          <w:bCs/>
          <w:sz w:val="24"/>
          <w:szCs w:val="24"/>
        </w:rPr>
      </w:pPr>
    </w:p>
    <w:p w:rsidR="003D188F" w:rsidRDefault="003D188F" w14:paraId="438D204B" w14:textId="77777777">
      <w:pPr>
        <w:rPr>
          <w:rFonts w:ascii="Arial" w:hAnsi="Arial" w:cs="Arial"/>
          <w:b/>
          <w:bCs/>
          <w:sz w:val="24"/>
          <w:szCs w:val="24"/>
        </w:rPr>
      </w:pPr>
    </w:p>
    <w:p w:rsidR="003D188F" w:rsidRDefault="003D188F" w14:paraId="15D1CD9D" w14:textId="77777777">
      <w:pPr>
        <w:rPr>
          <w:rFonts w:ascii="Arial" w:hAnsi="Arial" w:cs="Arial"/>
          <w:b/>
          <w:bCs/>
          <w:sz w:val="24"/>
          <w:szCs w:val="24"/>
        </w:rPr>
      </w:pPr>
    </w:p>
    <w:p w:rsidR="312D1A50" w:rsidP="312D1A50" w:rsidRDefault="312D1A50" w14:paraId="62B09BBC" w14:textId="07E6E3A9">
      <w:pPr>
        <w:pStyle w:val="Normal"/>
        <w:rPr>
          <w:rFonts w:ascii="Arial" w:hAnsi="Arial" w:cs="Arial"/>
          <w:b w:val="1"/>
          <w:bCs w:val="1"/>
          <w:sz w:val="24"/>
          <w:szCs w:val="24"/>
        </w:rPr>
      </w:pPr>
    </w:p>
    <w:p w:rsidR="312D1A50" w:rsidP="312D1A50" w:rsidRDefault="312D1A50" w14:paraId="25474F5C" w14:textId="6E81828D">
      <w:pPr>
        <w:rPr>
          <w:rFonts w:ascii="Arial" w:hAnsi="Arial" w:cs="Arial"/>
          <w:b w:val="1"/>
          <w:bCs w:val="1"/>
          <w:sz w:val="24"/>
          <w:szCs w:val="24"/>
        </w:rPr>
      </w:pPr>
    </w:p>
    <w:p w:rsidRPr="008D77AD" w:rsidR="0085093C" w:rsidRDefault="00000000" w14:paraId="395D324A" w14:textId="7B08A5E9">
      <w:pPr>
        <w:rPr>
          <w:rFonts w:ascii="Arial" w:hAnsi="Arial" w:cs="Arial"/>
          <w:b/>
          <w:bCs/>
          <w:sz w:val="24"/>
          <w:szCs w:val="24"/>
        </w:rPr>
      </w:pPr>
      <w:r w:rsidRPr="008D77AD">
        <w:rPr>
          <w:rFonts w:ascii="Arial" w:hAnsi="Arial" w:cs="Arial"/>
          <w:b/>
          <w:bCs/>
          <w:sz w:val="24"/>
          <w:szCs w:val="24"/>
        </w:rPr>
        <w:t>Table 1. PESTLE overview: external macro-environmental forces affecting BHP</w:t>
      </w:r>
    </w:p>
    <w:tbl>
      <w:tblPr>
        <w:tblStyle w:val="LightShading-Accent1"/>
        <w:tblW w:w="0" w:type="auto"/>
        <w:jc w:val="center"/>
        <w:tblLook w:val="04A0" w:firstRow="1" w:lastRow="0" w:firstColumn="1" w:lastColumn="0" w:noHBand="0" w:noVBand="1"/>
      </w:tblPr>
      <w:tblGrid>
        <w:gridCol w:w="3216"/>
        <w:gridCol w:w="3216"/>
        <w:gridCol w:w="3216"/>
      </w:tblGrid>
      <w:tr w:rsidRPr="008D77AD" w:rsidR="0085093C" w:rsidTr="0085093C" w14:paraId="0B22AF3A" w14:textId="777777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16" w:type="dxa"/>
          </w:tcPr>
          <w:p w:rsidRPr="008D77AD" w:rsidR="0085093C" w:rsidRDefault="00000000" w14:paraId="475F054B" w14:textId="77777777">
            <w:pPr>
              <w:rPr>
                <w:rFonts w:ascii="Arial" w:hAnsi="Arial" w:cs="Arial"/>
                <w:sz w:val="24"/>
                <w:szCs w:val="24"/>
              </w:rPr>
            </w:pPr>
            <w:r w:rsidRPr="008D77AD">
              <w:rPr>
                <w:rFonts w:ascii="Arial" w:hAnsi="Arial" w:cs="Arial"/>
                <w:sz w:val="24"/>
                <w:szCs w:val="24"/>
              </w:rPr>
              <w:t>Factor</w:t>
            </w:r>
          </w:p>
        </w:tc>
        <w:tc>
          <w:tcPr>
            <w:tcW w:w="3216" w:type="dxa"/>
          </w:tcPr>
          <w:p w:rsidRPr="008D77AD" w:rsidR="0085093C" w:rsidRDefault="00000000" w14:paraId="235AE1DE" w14:textId="77777777">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D77AD">
              <w:rPr>
                <w:rFonts w:ascii="Arial" w:hAnsi="Arial" w:cs="Arial"/>
                <w:sz w:val="24"/>
                <w:szCs w:val="24"/>
              </w:rPr>
              <w:t>Macro-level pressure</w:t>
            </w:r>
          </w:p>
        </w:tc>
        <w:tc>
          <w:tcPr>
            <w:tcW w:w="3216" w:type="dxa"/>
          </w:tcPr>
          <w:p w:rsidRPr="008D77AD" w:rsidR="0085093C" w:rsidRDefault="00000000" w14:paraId="7097D065" w14:textId="77777777">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D77AD">
              <w:rPr>
                <w:rFonts w:ascii="Arial" w:hAnsi="Arial" w:cs="Arial"/>
                <w:sz w:val="24"/>
                <w:szCs w:val="24"/>
              </w:rPr>
              <w:t>Implication for BHP</w:t>
            </w:r>
          </w:p>
        </w:tc>
      </w:tr>
      <w:tr w:rsidRPr="008D77AD" w:rsidR="0085093C" w:rsidTr="0085093C" w14:paraId="3691E5FB"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16" w:type="dxa"/>
          </w:tcPr>
          <w:p w:rsidRPr="008D77AD" w:rsidR="0085093C" w:rsidRDefault="00000000" w14:paraId="4CA8F35A" w14:textId="77777777">
            <w:pPr>
              <w:rPr>
                <w:rFonts w:ascii="Arial" w:hAnsi="Arial" w:cs="Arial"/>
                <w:sz w:val="24"/>
                <w:szCs w:val="24"/>
              </w:rPr>
            </w:pPr>
            <w:r w:rsidRPr="008D77AD">
              <w:rPr>
                <w:rFonts w:ascii="Arial" w:hAnsi="Arial" w:cs="Arial"/>
                <w:sz w:val="24"/>
                <w:szCs w:val="24"/>
              </w:rPr>
              <w:t>Political</w:t>
            </w:r>
          </w:p>
        </w:tc>
        <w:tc>
          <w:tcPr>
            <w:tcW w:w="3216" w:type="dxa"/>
          </w:tcPr>
          <w:p w:rsidRPr="008D77AD" w:rsidR="0085093C" w:rsidRDefault="00000000" w14:paraId="088C8EC7" w14:textId="7777777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77AD">
              <w:rPr>
                <w:rFonts w:ascii="Arial" w:hAnsi="Arial" w:cs="Arial"/>
                <w:sz w:val="24"/>
                <w:szCs w:val="24"/>
              </w:rPr>
              <w:t>Trade tensions and critical-mineral policies</w:t>
            </w:r>
          </w:p>
        </w:tc>
        <w:tc>
          <w:tcPr>
            <w:tcW w:w="3216" w:type="dxa"/>
          </w:tcPr>
          <w:p w:rsidRPr="008D77AD" w:rsidR="0085093C" w:rsidRDefault="00000000" w14:paraId="134E1BEC" w14:textId="37A0918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77AD">
              <w:rPr>
                <w:rFonts w:ascii="Arial" w:hAnsi="Arial" w:cs="Arial"/>
                <w:sz w:val="24"/>
                <w:szCs w:val="24"/>
              </w:rPr>
              <w:t xml:space="preserve">Assess policy and </w:t>
            </w:r>
            <w:r w:rsidR="00B24A2B">
              <w:rPr>
                <w:rFonts w:ascii="Arial" w:hAnsi="Arial" w:cs="Arial"/>
                <w:sz w:val="24"/>
                <w:szCs w:val="24"/>
              </w:rPr>
              <w:t>supply chain</w:t>
            </w:r>
            <w:r w:rsidRPr="008D77AD">
              <w:rPr>
                <w:rFonts w:ascii="Arial" w:hAnsi="Arial" w:cs="Arial"/>
                <w:sz w:val="24"/>
                <w:szCs w:val="24"/>
              </w:rPr>
              <w:t xml:space="preserve"> </w:t>
            </w:r>
            <w:r w:rsidR="00B24A2B">
              <w:rPr>
                <w:rFonts w:ascii="Arial" w:hAnsi="Arial" w:cs="Arial"/>
                <w:sz w:val="24"/>
                <w:szCs w:val="24"/>
              </w:rPr>
              <w:t>exposure.</w:t>
            </w:r>
          </w:p>
        </w:tc>
      </w:tr>
      <w:tr w:rsidRPr="008D77AD" w:rsidR="0085093C" w:rsidTr="0085093C" w14:paraId="0EC2DC33" w14:textId="77777777">
        <w:trPr>
          <w:jc w:val="center"/>
        </w:trPr>
        <w:tc>
          <w:tcPr>
            <w:cnfStyle w:val="001000000000" w:firstRow="0" w:lastRow="0" w:firstColumn="1" w:lastColumn="0" w:oddVBand="0" w:evenVBand="0" w:oddHBand="0" w:evenHBand="0" w:firstRowFirstColumn="0" w:firstRowLastColumn="0" w:lastRowFirstColumn="0" w:lastRowLastColumn="0"/>
            <w:tcW w:w="3216" w:type="dxa"/>
          </w:tcPr>
          <w:p w:rsidRPr="008D77AD" w:rsidR="0085093C" w:rsidRDefault="00000000" w14:paraId="16309F55" w14:textId="77777777">
            <w:pPr>
              <w:rPr>
                <w:rFonts w:ascii="Arial" w:hAnsi="Arial" w:cs="Arial"/>
                <w:sz w:val="24"/>
                <w:szCs w:val="24"/>
              </w:rPr>
            </w:pPr>
            <w:r w:rsidRPr="008D77AD">
              <w:rPr>
                <w:rFonts w:ascii="Arial" w:hAnsi="Arial" w:cs="Arial"/>
                <w:sz w:val="24"/>
                <w:szCs w:val="24"/>
              </w:rPr>
              <w:t>Economic</w:t>
            </w:r>
          </w:p>
        </w:tc>
        <w:tc>
          <w:tcPr>
            <w:tcW w:w="3216" w:type="dxa"/>
          </w:tcPr>
          <w:p w:rsidRPr="008D77AD" w:rsidR="0085093C" w:rsidRDefault="00000000" w14:paraId="625D4EDA" w14:textId="7777777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77AD">
              <w:rPr>
                <w:rFonts w:ascii="Arial" w:hAnsi="Arial" w:cs="Arial"/>
                <w:sz w:val="24"/>
                <w:szCs w:val="24"/>
              </w:rPr>
              <w:t>Commodity prices and capital costs</w:t>
            </w:r>
          </w:p>
        </w:tc>
        <w:tc>
          <w:tcPr>
            <w:tcW w:w="3216" w:type="dxa"/>
          </w:tcPr>
          <w:p w:rsidRPr="008D77AD" w:rsidR="0085093C" w:rsidRDefault="00000000" w14:paraId="30A6EC45" w14:textId="4C90A47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77AD">
              <w:rPr>
                <w:rFonts w:ascii="Arial" w:hAnsi="Arial" w:cs="Arial"/>
                <w:sz w:val="24"/>
                <w:szCs w:val="24"/>
              </w:rPr>
              <w:t xml:space="preserve">Test downside demand and margin </w:t>
            </w:r>
            <w:r w:rsidR="00B24A2B">
              <w:rPr>
                <w:rFonts w:ascii="Arial" w:hAnsi="Arial" w:cs="Arial"/>
                <w:sz w:val="24"/>
                <w:szCs w:val="24"/>
              </w:rPr>
              <w:t>scenarios.</w:t>
            </w:r>
          </w:p>
        </w:tc>
      </w:tr>
      <w:tr w:rsidRPr="008D77AD" w:rsidR="0085093C" w:rsidTr="0085093C" w14:paraId="25AD74D2"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16" w:type="dxa"/>
          </w:tcPr>
          <w:p w:rsidRPr="008D77AD" w:rsidR="0085093C" w:rsidRDefault="00000000" w14:paraId="64864ECA" w14:textId="77777777">
            <w:pPr>
              <w:rPr>
                <w:rFonts w:ascii="Arial" w:hAnsi="Arial" w:cs="Arial"/>
                <w:sz w:val="24"/>
                <w:szCs w:val="24"/>
              </w:rPr>
            </w:pPr>
            <w:r w:rsidRPr="008D77AD">
              <w:rPr>
                <w:rFonts w:ascii="Arial" w:hAnsi="Arial" w:cs="Arial"/>
                <w:sz w:val="24"/>
                <w:szCs w:val="24"/>
              </w:rPr>
              <w:t>Social</w:t>
            </w:r>
          </w:p>
        </w:tc>
        <w:tc>
          <w:tcPr>
            <w:tcW w:w="3216" w:type="dxa"/>
          </w:tcPr>
          <w:p w:rsidRPr="008D77AD" w:rsidR="0085093C" w:rsidRDefault="00000000" w14:paraId="0F89996A" w14:textId="7777777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77AD">
              <w:rPr>
                <w:rFonts w:ascii="Arial" w:hAnsi="Arial" w:cs="Arial"/>
                <w:sz w:val="24"/>
                <w:szCs w:val="24"/>
              </w:rPr>
              <w:t>Community expectations and Indigenous rights</w:t>
            </w:r>
          </w:p>
        </w:tc>
        <w:tc>
          <w:tcPr>
            <w:tcW w:w="3216" w:type="dxa"/>
          </w:tcPr>
          <w:p w:rsidRPr="008D77AD" w:rsidR="0085093C" w:rsidRDefault="00FA651F" w14:paraId="2CCF3EEA" w14:textId="5C69DD7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77AD">
              <w:rPr>
                <w:rFonts w:ascii="Arial" w:hAnsi="Arial" w:cs="Arial"/>
                <w:sz w:val="24"/>
                <w:szCs w:val="24"/>
              </w:rPr>
              <w:t>Strengthening</w:t>
            </w:r>
            <w:r w:rsidRPr="008D77AD">
              <w:rPr>
                <w:rFonts w:ascii="Arial" w:hAnsi="Arial" w:cs="Arial"/>
                <w:sz w:val="24"/>
                <w:szCs w:val="24"/>
              </w:rPr>
              <w:t xml:space="preserve"> engagement and social licence</w:t>
            </w:r>
          </w:p>
        </w:tc>
      </w:tr>
      <w:tr w:rsidRPr="008D77AD" w:rsidR="0085093C" w:rsidTr="0085093C" w14:paraId="6A41556A" w14:textId="77777777">
        <w:trPr>
          <w:jc w:val="center"/>
        </w:trPr>
        <w:tc>
          <w:tcPr>
            <w:cnfStyle w:val="001000000000" w:firstRow="0" w:lastRow="0" w:firstColumn="1" w:lastColumn="0" w:oddVBand="0" w:evenVBand="0" w:oddHBand="0" w:evenHBand="0" w:firstRowFirstColumn="0" w:firstRowLastColumn="0" w:lastRowFirstColumn="0" w:lastRowLastColumn="0"/>
            <w:tcW w:w="3216" w:type="dxa"/>
          </w:tcPr>
          <w:p w:rsidRPr="008D77AD" w:rsidR="0085093C" w:rsidRDefault="00000000" w14:paraId="0A675FA7" w14:textId="77777777">
            <w:pPr>
              <w:rPr>
                <w:rFonts w:ascii="Arial" w:hAnsi="Arial" w:cs="Arial"/>
                <w:sz w:val="24"/>
                <w:szCs w:val="24"/>
              </w:rPr>
            </w:pPr>
            <w:r w:rsidRPr="008D77AD">
              <w:rPr>
                <w:rFonts w:ascii="Arial" w:hAnsi="Arial" w:cs="Arial"/>
                <w:sz w:val="24"/>
                <w:szCs w:val="24"/>
              </w:rPr>
              <w:t>Technological</w:t>
            </w:r>
          </w:p>
        </w:tc>
        <w:tc>
          <w:tcPr>
            <w:tcW w:w="3216" w:type="dxa"/>
          </w:tcPr>
          <w:p w:rsidRPr="008D77AD" w:rsidR="0085093C" w:rsidRDefault="00000000" w14:paraId="3ACD4875" w14:textId="7777777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77AD">
              <w:rPr>
                <w:rFonts w:ascii="Arial" w:hAnsi="Arial" w:cs="Arial"/>
                <w:sz w:val="24"/>
                <w:szCs w:val="24"/>
              </w:rPr>
              <w:t>Electrification and lower-emissions steelmaking</w:t>
            </w:r>
          </w:p>
        </w:tc>
        <w:tc>
          <w:tcPr>
            <w:tcW w:w="3216" w:type="dxa"/>
          </w:tcPr>
          <w:p w:rsidRPr="008D77AD" w:rsidR="0085093C" w:rsidRDefault="00000000" w14:paraId="70619295" w14:textId="7777777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77AD">
              <w:rPr>
                <w:rFonts w:ascii="Arial" w:hAnsi="Arial" w:cs="Arial"/>
                <w:sz w:val="24"/>
                <w:szCs w:val="24"/>
              </w:rPr>
              <w:t>Pilot technical solutions</w:t>
            </w:r>
          </w:p>
        </w:tc>
      </w:tr>
      <w:tr w:rsidRPr="008D77AD" w:rsidR="0085093C" w:rsidTr="0085093C" w14:paraId="05026830"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16" w:type="dxa"/>
          </w:tcPr>
          <w:p w:rsidRPr="008D77AD" w:rsidR="0085093C" w:rsidRDefault="00000000" w14:paraId="6776A3F0" w14:textId="77777777">
            <w:pPr>
              <w:rPr>
                <w:rFonts w:ascii="Arial" w:hAnsi="Arial" w:cs="Arial"/>
                <w:sz w:val="24"/>
                <w:szCs w:val="24"/>
              </w:rPr>
            </w:pPr>
            <w:r w:rsidRPr="008D77AD">
              <w:rPr>
                <w:rFonts w:ascii="Arial" w:hAnsi="Arial" w:cs="Arial"/>
                <w:sz w:val="24"/>
                <w:szCs w:val="24"/>
              </w:rPr>
              <w:t>Legal</w:t>
            </w:r>
          </w:p>
        </w:tc>
        <w:tc>
          <w:tcPr>
            <w:tcW w:w="3216" w:type="dxa"/>
          </w:tcPr>
          <w:p w:rsidRPr="008D77AD" w:rsidR="0085093C" w:rsidRDefault="00000000" w14:paraId="4D7C259F" w14:textId="7777777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77AD">
              <w:rPr>
                <w:rFonts w:ascii="Arial" w:hAnsi="Arial" w:cs="Arial"/>
                <w:sz w:val="24"/>
                <w:szCs w:val="24"/>
              </w:rPr>
              <w:t>Permits, disclosure and trade rules</w:t>
            </w:r>
          </w:p>
        </w:tc>
        <w:tc>
          <w:tcPr>
            <w:tcW w:w="3216" w:type="dxa"/>
          </w:tcPr>
          <w:p w:rsidRPr="008D77AD" w:rsidR="0085093C" w:rsidRDefault="00000000" w14:paraId="2EBC3322" w14:textId="5C79B65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77AD">
              <w:rPr>
                <w:rFonts w:ascii="Arial" w:hAnsi="Arial" w:cs="Arial"/>
                <w:sz w:val="24"/>
                <w:szCs w:val="24"/>
              </w:rPr>
              <w:t xml:space="preserve">Verify obligations and </w:t>
            </w:r>
            <w:r w:rsidR="00B24A2B">
              <w:rPr>
                <w:rFonts w:ascii="Arial" w:hAnsi="Arial" w:cs="Arial"/>
                <w:sz w:val="24"/>
                <w:szCs w:val="24"/>
              </w:rPr>
              <w:t>claims.</w:t>
            </w:r>
          </w:p>
        </w:tc>
      </w:tr>
      <w:tr w:rsidRPr="008D77AD" w:rsidR="0085093C" w:rsidTr="0085093C" w14:paraId="2C1CFDF1" w14:textId="77777777">
        <w:trPr>
          <w:jc w:val="center"/>
        </w:trPr>
        <w:tc>
          <w:tcPr>
            <w:cnfStyle w:val="001000000000" w:firstRow="0" w:lastRow="0" w:firstColumn="1" w:lastColumn="0" w:oddVBand="0" w:evenVBand="0" w:oddHBand="0" w:evenHBand="0" w:firstRowFirstColumn="0" w:firstRowLastColumn="0" w:lastRowFirstColumn="0" w:lastRowLastColumn="0"/>
            <w:tcW w:w="3216" w:type="dxa"/>
          </w:tcPr>
          <w:p w:rsidRPr="008D77AD" w:rsidR="0085093C" w:rsidRDefault="00000000" w14:paraId="48639BD4" w14:textId="77777777">
            <w:pPr>
              <w:rPr>
                <w:rFonts w:ascii="Arial" w:hAnsi="Arial" w:cs="Arial"/>
                <w:sz w:val="24"/>
                <w:szCs w:val="24"/>
              </w:rPr>
            </w:pPr>
            <w:r w:rsidRPr="008D77AD">
              <w:rPr>
                <w:rFonts w:ascii="Arial" w:hAnsi="Arial" w:cs="Arial"/>
                <w:sz w:val="24"/>
                <w:szCs w:val="24"/>
              </w:rPr>
              <w:t>Environmental</w:t>
            </w:r>
          </w:p>
        </w:tc>
        <w:tc>
          <w:tcPr>
            <w:tcW w:w="3216" w:type="dxa"/>
          </w:tcPr>
          <w:p w:rsidRPr="008D77AD" w:rsidR="0085093C" w:rsidRDefault="00000000" w14:paraId="305DFC2B" w14:textId="7777777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77AD">
              <w:rPr>
                <w:rFonts w:ascii="Arial" w:hAnsi="Arial" w:cs="Arial"/>
                <w:sz w:val="24"/>
                <w:szCs w:val="24"/>
              </w:rPr>
              <w:t>Climate, water and biodiversity</w:t>
            </w:r>
          </w:p>
        </w:tc>
        <w:tc>
          <w:tcPr>
            <w:tcW w:w="3216" w:type="dxa"/>
          </w:tcPr>
          <w:p w:rsidRPr="008D77AD" w:rsidR="0085093C" w:rsidRDefault="00000000" w14:paraId="209FC388" w14:textId="2AB883EF">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77AD">
              <w:rPr>
                <w:rFonts w:ascii="Arial" w:hAnsi="Arial" w:cs="Arial"/>
                <w:sz w:val="24"/>
                <w:szCs w:val="24"/>
              </w:rPr>
              <w:t xml:space="preserve">Prioritise resilience and transparent </w:t>
            </w:r>
            <w:r w:rsidR="00B24A2B">
              <w:rPr>
                <w:rFonts w:ascii="Arial" w:hAnsi="Arial" w:cs="Arial"/>
                <w:sz w:val="24"/>
                <w:szCs w:val="24"/>
              </w:rPr>
              <w:t>data.</w:t>
            </w:r>
          </w:p>
        </w:tc>
      </w:tr>
    </w:tbl>
    <w:p w:rsidRPr="00D73790" w:rsidR="0085093C" w:rsidRDefault="00000000" w14:paraId="6F46CF9A" w14:textId="77777777">
      <w:pPr>
        <w:rPr>
          <w:rFonts w:ascii="Arial" w:hAnsi="Arial" w:cs="Arial"/>
          <w:i/>
          <w:iCs/>
          <w:sz w:val="24"/>
          <w:szCs w:val="24"/>
        </w:rPr>
      </w:pPr>
      <w:r w:rsidRPr="00D73790">
        <w:rPr>
          <w:rFonts w:ascii="Arial" w:hAnsi="Arial" w:cs="Arial"/>
          <w:i/>
          <w:iCs/>
          <w:sz w:val="24"/>
          <w:szCs w:val="24"/>
        </w:rPr>
        <w:t>Source: Adapted from BHP (2024a; 2025), IEA (2025) and OECD (2023).</w:t>
      </w:r>
    </w:p>
    <w:p w:rsidRPr="008D77AD" w:rsidR="0085093C" w:rsidRDefault="00000000" w14:paraId="0A974AF9" w14:textId="2DFA1017">
      <w:pPr>
        <w:pStyle w:val="Heading2"/>
        <w:rPr>
          <w:rFonts w:ascii="Arial" w:hAnsi="Arial" w:cs="Arial"/>
          <w:color w:val="auto"/>
          <w:sz w:val="24"/>
          <w:szCs w:val="24"/>
        </w:rPr>
      </w:pPr>
      <w:r w:rsidRPr="008D77AD">
        <w:rPr>
          <w:rFonts w:ascii="Arial" w:hAnsi="Arial" w:cs="Arial"/>
          <w:color w:val="auto"/>
          <w:sz w:val="24"/>
          <w:szCs w:val="24"/>
        </w:rPr>
        <w:t>1.3 Natural environment</w:t>
      </w:r>
    </w:p>
    <w:p w:rsidRPr="008D77AD" w:rsidR="0085093C" w:rsidRDefault="00000000" w14:paraId="6923E807" w14:textId="68930973">
      <w:pPr>
        <w:rPr>
          <w:rFonts w:ascii="Arial" w:hAnsi="Arial" w:cs="Arial"/>
          <w:sz w:val="24"/>
          <w:szCs w:val="24"/>
        </w:rPr>
      </w:pPr>
      <w:r w:rsidRPr="008D77AD">
        <w:rPr>
          <w:rFonts w:ascii="Arial" w:hAnsi="Arial" w:cs="Arial"/>
          <w:sz w:val="24"/>
          <w:szCs w:val="24"/>
        </w:rPr>
        <w:t>Climate change, water scarcity, extreme weather and biodiversity pressures influence BHP’s ability to operate and supply industrial customers reliably. Disruption to mining sites and transport routes can increase costs, making resilience an important commercial consideration. Water competition and rehabilitation requirements may also restrict expansion even where demand for transition minerals is growing. These pressures create incentives for better environmental management, but improvement does not automatically justify higher commodity prices. BHP should therefore assess environmental performance alongside supply reliability, affordability and community expectations (BHP, 2024; World Bank, 202</w:t>
      </w:r>
      <w:r w:rsidR="00A41937">
        <w:rPr>
          <w:rFonts w:ascii="Arial" w:hAnsi="Arial" w:cs="Arial"/>
          <w:sz w:val="24"/>
          <w:szCs w:val="24"/>
        </w:rPr>
        <w:t>0</w:t>
      </w:r>
      <w:r w:rsidRPr="008D77AD">
        <w:rPr>
          <w:rFonts w:ascii="Arial" w:hAnsi="Arial" w:cs="Arial"/>
          <w:sz w:val="24"/>
          <w:szCs w:val="24"/>
        </w:rPr>
        <w:t>).</w:t>
      </w:r>
    </w:p>
    <w:p w:rsidRPr="008D77AD" w:rsidR="0085093C" w:rsidRDefault="00000000" w14:paraId="21894FE1" w14:textId="6BDE7DE8">
      <w:pPr>
        <w:rPr>
          <w:rFonts w:ascii="Arial" w:hAnsi="Arial" w:cs="Arial"/>
          <w:sz w:val="24"/>
          <w:szCs w:val="24"/>
        </w:rPr>
      </w:pPr>
      <w:r w:rsidRPr="4E4841AB">
        <w:rPr>
          <w:rFonts w:ascii="Arial" w:hAnsi="Arial" w:cs="Arial"/>
          <w:sz w:val="24"/>
          <w:szCs w:val="24"/>
        </w:rPr>
        <w:t>Water scarcity varies between mining locations, so BHP should avoid relying on company-wide claims that conceal local risks. Asset-level assessments of drought exposure, water use and recycling could improve planning. Extreme rainfall can also disrupt transport and raise costs. Customers value dependable delivery alongside environmental credentials. BHP should therefore combine transparent reporting with practical resilience measures (BHP, 2024; OECD, 2023).</w:t>
      </w:r>
    </w:p>
    <w:p w:rsidRPr="008D77AD" w:rsidR="0085093C" w:rsidP="4E4841AB" w:rsidRDefault="00000000" w14:paraId="38389AE1" w14:textId="4795D4FD">
      <w:pPr>
        <w:rPr>
          <w:rFonts w:ascii="Arial" w:hAnsi="Arial" w:cs="Arial"/>
          <w:sz w:val="24"/>
          <w:szCs w:val="24"/>
        </w:rPr>
      </w:pPr>
    </w:p>
    <w:p w:rsidRPr="008D77AD" w:rsidR="0085093C" w:rsidP="4E4841AB" w:rsidRDefault="00000000" w14:paraId="35C05D8F" w14:textId="07A6B553">
      <w:pPr>
        <w:rPr>
          <w:rFonts w:ascii="Arial" w:hAnsi="Arial" w:cs="Arial"/>
          <w:sz w:val="24"/>
          <w:szCs w:val="24"/>
        </w:rPr>
      </w:pPr>
    </w:p>
    <w:p w:rsidRPr="008D77AD" w:rsidR="0085093C" w:rsidP="4E4841AB" w:rsidRDefault="00000000" w14:paraId="2F68DCA9" w14:textId="007632E4">
      <w:pPr>
        <w:rPr>
          <w:rFonts w:ascii="Arial" w:hAnsi="Arial" w:cs="Arial"/>
          <w:sz w:val="24"/>
          <w:szCs w:val="24"/>
        </w:rPr>
      </w:pPr>
    </w:p>
    <w:p w:rsidRPr="008D77AD" w:rsidR="0085093C" w:rsidP="4E4841AB" w:rsidRDefault="00000000" w14:paraId="2536F813" w14:textId="40662CE6">
      <w:pPr>
        <w:rPr>
          <w:rFonts w:ascii="Arial" w:hAnsi="Arial" w:cs="Arial"/>
          <w:sz w:val="24"/>
          <w:szCs w:val="24"/>
        </w:rPr>
      </w:pPr>
    </w:p>
    <w:p w:rsidRPr="008D77AD" w:rsidR="0085093C" w:rsidP="4E4841AB" w:rsidRDefault="00000000" w14:paraId="23212FC0" w14:textId="15548EFB">
      <w:pPr>
        <w:rPr>
          <w:rFonts w:ascii="Arial" w:hAnsi="Arial" w:cs="Arial"/>
          <w:sz w:val="24"/>
          <w:szCs w:val="24"/>
        </w:rPr>
      </w:pPr>
    </w:p>
    <w:p w:rsidRPr="008D77AD" w:rsidR="0085093C" w:rsidP="4E4841AB" w:rsidRDefault="00000000" w14:paraId="2BCA1D77" w14:textId="138DF89A">
      <w:pPr>
        <w:pStyle w:val="Normal"/>
        <w:rPr>
          <w:rFonts w:ascii="Arial" w:hAnsi="Arial" w:cs="Arial"/>
          <w:sz w:val="24"/>
          <w:szCs w:val="24"/>
        </w:rPr>
      </w:pPr>
      <w:r w:rsidRPr="4E4841AB">
        <w:rPr>
          <w:rFonts w:ascii="Arial" w:hAnsi="Arial" w:cs="Arial"/>
          <w:sz w:val="24"/>
          <w:szCs w:val="24"/>
        </w:rPr>
        <w:t xml:space="preserve">Environmental credibility also depends on the quality of evidence presented to buyers and investors. Generic claims about ‘green’ minerals risk obscuring differences between mine-level emissions and downstream processing impacts. BHP should communicate the boundaries of its assessments, </w:t>
      </w:r>
      <w:r w:rsidRPr="4E4841AB">
        <w:rPr>
          <w:rFonts w:ascii="Arial" w:hAnsi="Arial" w:cs="Arial"/>
          <w:sz w:val="24"/>
          <w:szCs w:val="24"/>
        </w:rPr>
        <w:t>disclose</w:t>
      </w:r>
      <w:r w:rsidRPr="4E4841AB">
        <w:rPr>
          <w:rFonts w:ascii="Arial" w:hAnsi="Arial" w:cs="Arial"/>
          <w:sz w:val="24"/>
          <w:szCs w:val="24"/>
        </w:rPr>
        <w:t xml:space="preserve"> material </w:t>
      </w:r>
      <w:r w:rsidRPr="4E4841AB">
        <w:rPr>
          <w:rFonts w:ascii="Arial" w:hAnsi="Arial" w:cs="Arial"/>
          <w:sz w:val="24"/>
          <w:szCs w:val="24"/>
        </w:rPr>
        <w:t>trade-offs</w:t>
      </w:r>
      <w:r w:rsidRPr="4E4841AB">
        <w:rPr>
          <w:rFonts w:ascii="Arial" w:hAnsi="Arial" w:cs="Arial"/>
          <w:sz w:val="24"/>
          <w:szCs w:val="24"/>
        </w:rPr>
        <w:t xml:space="preserve"> and seek </w:t>
      </w:r>
      <w:r w:rsidRPr="4E4841AB">
        <w:rPr>
          <w:rFonts w:ascii="Arial" w:hAnsi="Arial" w:cs="Arial"/>
          <w:sz w:val="24"/>
          <w:szCs w:val="24"/>
        </w:rPr>
        <w:t>appropriate independent</w:t>
      </w:r>
      <w:r w:rsidRPr="4E4841AB">
        <w:rPr>
          <w:rFonts w:ascii="Arial" w:hAnsi="Arial" w:cs="Arial"/>
          <w:sz w:val="24"/>
          <w:szCs w:val="24"/>
        </w:rPr>
        <w:t xml:space="preserve"> assurance. Location-specific climate and water risk assessments could strengthen planning and help explain operational constraints. However, improved reporting </w:t>
      </w:r>
      <w:r w:rsidRPr="4E4841AB">
        <w:rPr>
          <w:rFonts w:ascii="Arial" w:hAnsi="Arial" w:cs="Arial"/>
          <w:sz w:val="24"/>
          <w:szCs w:val="24"/>
        </w:rPr>
        <w:t>and resilience measures can increase short-term expenditure without guaranteeing a commercial premium (BHP, 2024a; OECD, 2023).</w:t>
      </w:r>
    </w:p>
    <w:p w:rsidRPr="008D77AD" w:rsidR="0085093C" w:rsidRDefault="00000000" w14:paraId="03D936F3" w14:textId="77777777">
      <w:pPr>
        <w:pStyle w:val="Heading2"/>
        <w:rPr>
          <w:rFonts w:ascii="Arial" w:hAnsi="Arial" w:cs="Arial"/>
          <w:color w:val="auto"/>
          <w:sz w:val="24"/>
          <w:szCs w:val="24"/>
        </w:rPr>
      </w:pPr>
      <w:r w:rsidRPr="008D77AD">
        <w:rPr>
          <w:rFonts w:ascii="Arial" w:hAnsi="Arial" w:cs="Arial"/>
          <w:color w:val="auto"/>
          <w:sz w:val="24"/>
          <w:szCs w:val="24"/>
        </w:rPr>
        <w:t>1.4 Political and legal macro-environment</w:t>
      </w:r>
    </w:p>
    <w:p w:rsidRPr="008D77AD" w:rsidR="0085093C" w:rsidRDefault="00000000" w14:paraId="3F1DBE27" w14:textId="77777777">
      <w:pPr>
        <w:rPr>
          <w:rFonts w:ascii="Arial" w:hAnsi="Arial" w:cs="Arial"/>
          <w:sz w:val="24"/>
          <w:szCs w:val="24"/>
        </w:rPr>
      </w:pPr>
      <w:r w:rsidRPr="008D77AD">
        <w:rPr>
          <w:rFonts w:ascii="Arial" w:hAnsi="Arial" w:cs="Arial"/>
          <w:sz w:val="24"/>
          <w:szCs w:val="24"/>
        </w:rPr>
        <w:t>Governments and regulators influence BHP through mining permits, emissions reporting, carbon pricing and trade policy. The European Union’s Carbon Border Adjustment Mechanism (CBAM) applies to specified imported goods, including certain iron and steel products, rather than automatically covering raw iron ore. Its significance for BHP is therefore partly indirect, through downstream customers’ changing emissions-accounting needs and purchasing decisions. It would be misleading to promise that documented mineral inputs automatically exempt buyers from CBAM obligations. BHP should provide auditable information while seeking jurisdiction-specific legal advice before making compliance or tariff-saving claims (European Parliament and Council, 2023; European Commission, 2026).</w:t>
      </w:r>
    </w:p>
    <w:p w:rsidRPr="008D09C3" w:rsidR="0085093C" w:rsidRDefault="00000000" w14:paraId="7314A8A5" w14:textId="5EB534C8">
      <w:pPr>
        <w:rPr>
          <w:rFonts w:ascii="Arial" w:hAnsi="Arial" w:cs="Arial"/>
          <w:sz w:val="24"/>
          <w:szCs w:val="24"/>
        </w:rPr>
      </w:pPr>
      <w:r w:rsidRPr="008D77AD">
        <w:rPr>
          <w:rFonts w:ascii="Arial" w:hAnsi="Arial" w:cs="Arial"/>
          <w:sz w:val="24"/>
          <w:szCs w:val="24"/>
        </w:rPr>
        <w:t xml:space="preserve">Political support for critical minerals can encourage investment, but changes to trade restrictions and permitting conditions create uncertainty. Legal compliance is necessary for market access, yet it does not by itself establish meaningful product differentiation. BHP must distinguish mandatory reporting from optional services that customers </w:t>
      </w:r>
      <w:r w:rsidRPr="008D77AD" w:rsidR="008B3899">
        <w:rPr>
          <w:rFonts w:ascii="Arial" w:hAnsi="Arial" w:cs="Arial"/>
          <w:sz w:val="24"/>
          <w:szCs w:val="24"/>
        </w:rPr>
        <w:t>value</w:t>
      </w:r>
      <w:r w:rsidRPr="008D77AD">
        <w:rPr>
          <w:rFonts w:ascii="Arial" w:hAnsi="Arial" w:cs="Arial"/>
          <w:sz w:val="24"/>
          <w:szCs w:val="24"/>
        </w:rPr>
        <w:t xml:space="preserve">. This requires accurate claims and an understanding of relevant product categories and national rules. A cautious approach can reduce reputational and legal risks while supporting customer </w:t>
      </w:r>
      <w:r w:rsidRPr="008D77AD" w:rsidR="008D09C3">
        <w:rPr>
          <w:rFonts w:ascii="Arial" w:hAnsi="Arial" w:cs="Arial"/>
          <w:sz w:val="24"/>
          <w:szCs w:val="24"/>
        </w:rPr>
        <w:t>confidence</w:t>
      </w:r>
      <w:r w:rsidR="008D09C3">
        <w:rPr>
          <w:rFonts w:ascii="Arial" w:hAnsi="Arial" w:cs="Arial"/>
          <w:sz w:val="24"/>
          <w:szCs w:val="24"/>
        </w:rPr>
        <w:t xml:space="preserve"> </w:t>
      </w:r>
      <w:r w:rsidRPr="008D09C3" w:rsidR="008D09C3">
        <w:rPr>
          <w:rFonts w:ascii="Arial" w:hAnsi="Arial" w:cs="Arial"/>
          <w:sz w:val="24"/>
          <w:szCs w:val="24"/>
        </w:rPr>
        <w:t>(BHP, 2026; OECD, 2023).</w:t>
      </w:r>
    </w:p>
    <w:p w:rsidRPr="008D77AD" w:rsidR="0085093C" w:rsidRDefault="00000000" w14:paraId="7A96B0E8" w14:textId="77777777">
      <w:pPr>
        <w:pStyle w:val="Heading2"/>
        <w:rPr>
          <w:rFonts w:ascii="Arial" w:hAnsi="Arial" w:cs="Arial"/>
          <w:color w:val="auto"/>
          <w:sz w:val="24"/>
          <w:szCs w:val="24"/>
        </w:rPr>
      </w:pPr>
      <w:r w:rsidRPr="008D77AD">
        <w:rPr>
          <w:rFonts w:ascii="Arial" w:hAnsi="Arial" w:cs="Arial"/>
          <w:color w:val="auto"/>
          <w:sz w:val="24"/>
          <w:szCs w:val="24"/>
        </w:rPr>
        <w:t>1.5 Technological macro-environment</w:t>
      </w:r>
    </w:p>
    <w:p w:rsidRPr="008D77AD" w:rsidR="0085093C" w:rsidRDefault="00000000" w14:paraId="020DB4F0" w14:textId="1D93D5F8">
      <w:pPr>
        <w:rPr>
          <w:rFonts w:ascii="Arial" w:hAnsi="Arial" w:cs="Arial"/>
          <w:sz w:val="24"/>
          <w:szCs w:val="24"/>
        </w:rPr>
      </w:pPr>
      <w:r w:rsidRPr="008D77AD">
        <w:rPr>
          <w:rFonts w:ascii="Arial" w:hAnsi="Arial" w:cs="Arial"/>
          <w:sz w:val="24"/>
          <w:szCs w:val="24"/>
        </w:rPr>
        <w:t xml:space="preserve">Mine electrification, renewable electricity and alternative steelmaking processes may reduce emissions and change customer requirements. Direct reduction and electric smelting could influence the mineral specifications demanded by steel producers (BHP, 2024; IEA, 2024). However, their commercial adoption depends on infrastructure, energy prices, suitable </w:t>
      </w:r>
      <w:r w:rsidRPr="008D77AD" w:rsidR="00543ED1">
        <w:rPr>
          <w:rFonts w:ascii="Arial" w:hAnsi="Arial" w:cs="Arial"/>
          <w:sz w:val="24"/>
          <w:szCs w:val="24"/>
        </w:rPr>
        <w:t>feedstock</w:t>
      </w:r>
      <w:r w:rsidRPr="008D77AD">
        <w:rPr>
          <w:rFonts w:ascii="Arial" w:hAnsi="Arial" w:cs="Arial"/>
          <w:sz w:val="24"/>
          <w:szCs w:val="24"/>
        </w:rPr>
        <w:t xml:space="preserve"> and equipment maturity. BHP cannot determine these conditions independently, making premature large-scale investment risky. Collaborative trials could test technical suitability and generate evidence before broader commitments.</w:t>
      </w:r>
    </w:p>
    <w:p w:rsidRPr="008D77AD" w:rsidR="0085093C" w:rsidRDefault="00000000" w14:paraId="6C13BC95" w14:textId="61B30DE8">
      <w:pPr/>
      <w:r w:rsidRPr="7EAD977F" w:rsidR="00000000">
        <w:rPr>
          <w:rFonts w:ascii="Arial" w:hAnsi="Arial" w:cs="Arial"/>
          <w:sz w:val="24"/>
          <w:szCs w:val="24"/>
        </w:rPr>
        <w:t xml:space="preserve">Technical feasibility should not be confused with commercial viability. A process that works in a pilot may still be costly when electricity, financing or logistics are considered. BHP should assess lifecycle costs, emissions boundaries and customer readiness alongside engineering results. Marketing teams could then communicate verified benefits rather than </w:t>
      </w:r>
    </w:p>
    <w:p w:rsidRPr="008D77AD" w:rsidR="0085093C" w:rsidP="7EAD977F" w:rsidRDefault="00000000" w14:paraId="0D4F65A0" w14:textId="4911B6F7">
      <w:pPr>
        <w:rPr>
          <w:rFonts w:ascii="Arial" w:hAnsi="Arial" w:cs="Arial"/>
          <w:sz w:val="24"/>
          <w:szCs w:val="24"/>
        </w:rPr>
      </w:pPr>
    </w:p>
    <w:p w:rsidRPr="008D77AD" w:rsidR="0085093C" w:rsidRDefault="00000000" w14:paraId="62E30A04" w14:textId="4ADE4E7F">
      <w:pPr>
        <w:rPr>
          <w:rFonts w:ascii="Arial" w:hAnsi="Arial" w:cs="Arial"/>
          <w:sz w:val="24"/>
          <w:szCs w:val="24"/>
        </w:rPr>
      </w:pPr>
      <w:r w:rsidRPr="7EAD977F" w:rsidR="00000000">
        <w:rPr>
          <w:rFonts w:ascii="Arial" w:hAnsi="Arial" w:cs="Arial"/>
          <w:sz w:val="24"/>
          <w:szCs w:val="24"/>
        </w:rPr>
        <w:t>broad sustainability labels. This approach links innovation to measurable customer value while limiting overconfidence about transition timescales (IEA, 2024; BHP, 2024).</w:t>
      </w:r>
    </w:p>
    <w:p w:rsidRPr="00FB3FD3" w:rsidR="0085093C" w:rsidRDefault="00000000" w14:paraId="3B042973" w14:textId="40875ADC">
      <w:pPr>
        <w:rPr>
          <w:rFonts w:ascii="Arial" w:hAnsi="Arial" w:cs="Arial"/>
          <w:sz w:val="24"/>
          <w:szCs w:val="24"/>
        </w:rPr>
      </w:pPr>
      <w:r w:rsidRPr="4E4841AB">
        <w:rPr>
          <w:rFonts w:ascii="Arial" w:hAnsi="Arial" w:cs="Arial"/>
          <w:sz w:val="24"/>
          <w:szCs w:val="24"/>
        </w:rPr>
        <w:t xml:space="preserve">The relationship between technology and customer demand also requires careful timing. Steel producers may experiment with lower-emissions processing routes without committing </w:t>
      </w:r>
      <w:r w:rsidRPr="4E4841AB">
        <w:rPr>
          <w:rFonts w:ascii="Arial" w:hAnsi="Arial" w:cs="Arial"/>
          <w:sz w:val="24"/>
          <w:szCs w:val="24"/>
        </w:rPr>
        <w:t>immediately</w:t>
      </w:r>
      <w:r w:rsidRPr="4E4841AB">
        <w:rPr>
          <w:rFonts w:ascii="Arial" w:hAnsi="Arial" w:cs="Arial"/>
          <w:sz w:val="24"/>
          <w:szCs w:val="24"/>
        </w:rPr>
        <w:t xml:space="preserve"> to commercial-scale purchases of different feedstocks. If BHP </w:t>
      </w:r>
      <w:r w:rsidRPr="4E4841AB">
        <w:rPr>
          <w:rFonts w:ascii="Arial" w:hAnsi="Arial" w:cs="Arial"/>
          <w:sz w:val="24"/>
          <w:szCs w:val="24"/>
        </w:rPr>
        <w:t xml:space="preserve">invests ahead of proven demand, it may incur costs before buyers are ready to adopt new specifications. Conversely, waiting too long could reduce opportunities to </w:t>
      </w:r>
      <w:r w:rsidRPr="4E4841AB">
        <w:rPr>
          <w:rFonts w:ascii="Arial" w:hAnsi="Arial" w:cs="Arial"/>
          <w:sz w:val="24"/>
          <w:szCs w:val="24"/>
        </w:rPr>
        <w:t>participate</w:t>
      </w:r>
      <w:r w:rsidRPr="4E4841AB">
        <w:rPr>
          <w:rFonts w:ascii="Arial" w:hAnsi="Arial" w:cs="Arial"/>
          <w:sz w:val="24"/>
          <w:szCs w:val="24"/>
        </w:rPr>
        <w:t xml:space="preserve"> in technical partnerships. The </w:t>
      </w:r>
      <w:r w:rsidRPr="4E4841AB">
        <w:rPr>
          <w:rFonts w:ascii="Arial" w:hAnsi="Arial" w:cs="Arial"/>
          <w:sz w:val="24"/>
          <w:szCs w:val="24"/>
        </w:rPr>
        <w:t>appropriate response</w:t>
      </w:r>
      <w:r w:rsidRPr="4E4841AB">
        <w:rPr>
          <w:rFonts w:ascii="Arial" w:hAnsi="Arial" w:cs="Arial"/>
          <w:sz w:val="24"/>
          <w:szCs w:val="24"/>
        </w:rPr>
        <w:t xml:space="preserve"> is to use joint trials, </w:t>
      </w:r>
      <w:r w:rsidRPr="4E4841AB">
        <w:rPr>
          <w:rFonts w:ascii="Arial" w:hAnsi="Arial" w:cs="Arial"/>
          <w:sz w:val="24"/>
          <w:szCs w:val="24"/>
        </w:rPr>
        <w:t>milestones</w:t>
      </w:r>
      <w:r w:rsidRPr="4E4841AB">
        <w:rPr>
          <w:rFonts w:ascii="Arial" w:hAnsi="Arial" w:cs="Arial"/>
          <w:sz w:val="24"/>
          <w:szCs w:val="24"/>
        </w:rPr>
        <w:t xml:space="preserve"> and</w:t>
      </w:r>
      <w:r w:rsidRPr="4E4841AB" w:rsidR="0853A342">
        <w:rPr>
          <w:rFonts w:ascii="Arial" w:hAnsi="Arial" w:cs="Arial"/>
          <w:sz w:val="24"/>
          <w:szCs w:val="24"/>
        </w:rPr>
        <w:t xml:space="preserve"> </w:t>
      </w:r>
      <w:r w:rsidRPr="4E4841AB">
        <w:rPr>
          <w:rFonts w:ascii="Arial" w:hAnsi="Arial" w:cs="Arial"/>
          <w:sz w:val="24"/>
          <w:szCs w:val="24"/>
        </w:rPr>
        <w:t xml:space="preserve">customer commitments to inform investment decisions. This creates a link between </w:t>
      </w:r>
      <w:r w:rsidRPr="4E4841AB">
        <w:rPr>
          <w:rFonts w:ascii="Arial" w:hAnsi="Arial" w:cs="Arial"/>
          <w:sz w:val="24"/>
          <w:szCs w:val="24"/>
        </w:rPr>
        <w:t xml:space="preserve">technological developments and marketing strategy while recognising that BHP does not control the pace of industrial </w:t>
      </w:r>
      <w:r w:rsidRPr="4E4841AB" w:rsidR="00FB3FD3">
        <w:rPr>
          <w:rFonts w:ascii="Arial" w:hAnsi="Arial" w:cs="Arial"/>
          <w:sz w:val="24"/>
          <w:szCs w:val="24"/>
        </w:rPr>
        <w:t>adoption.</w:t>
      </w:r>
      <w:r w:rsidRPr="4E4841AB" w:rsidR="00FB3FD3">
        <w:rPr>
          <w:rFonts w:ascii="Arial" w:hAnsi="Arial" w:cs="Arial"/>
          <w:sz w:val="24"/>
          <w:szCs w:val="24"/>
        </w:rPr>
        <w:t xml:space="preserve"> </w:t>
      </w:r>
      <w:r w:rsidRPr="4E4841AB" w:rsidR="00FB3FD3">
        <w:rPr>
          <w:rFonts w:ascii="Arial" w:hAnsi="Arial" w:cs="Arial"/>
          <w:sz w:val="24"/>
          <w:szCs w:val="24"/>
        </w:rPr>
        <w:t>(IEA, 2024; IEEFA, 2024).</w:t>
      </w:r>
    </w:p>
    <w:p w:rsidRPr="008D77AD" w:rsidR="0085093C" w:rsidRDefault="00000000" w14:paraId="29B70422" w14:textId="38157F33">
      <w:pPr>
        <w:pStyle w:val="Heading2"/>
        <w:rPr>
          <w:rFonts w:ascii="Arial" w:hAnsi="Arial" w:cs="Arial"/>
          <w:sz w:val="24"/>
          <w:szCs w:val="24"/>
        </w:rPr>
      </w:pPr>
      <w:r w:rsidRPr="008D77AD">
        <w:rPr>
          <w:rFonts w:ascii="Arial" w:hAnsi="Arial" w:cs="Arial"/>
          <w:color w:val="auto"/>
          <w:sz w:val="24"/>
          <w:szCs w:val="24"/>
        </w:rPr>
        <w:t>1.6 Critical synthesis</w:t>
      </w:r>
    </w:p>
    <w:p w:rsidRPr="008D77AD" w:rsidR="0085093C" w:rsidRDefault="00000000" w14:paraId="6D2660A5" w14:textId="77777777">
      <w:pPr>
        <w:rPr>
          <w:rFonts w:ascii="Arial" w:hAnsi="Arial" w:cs="Arial"/>
          <w:sz w:val="24"/>
          <w:szCs w:val="24"/>
        </w:rPr>
      </w:pPr>
      <w:r w:rsidRPr="008D77AD">
        <w:rPr>
          <w:rFonts w:ascii="Arial" w:hAnsi="Arial" w:cs="Arial"/>
          <w:sz w:val="24"/>
          <w:szCs w:val="24"/>
        </w:rPr>
        <w:t>The three selected macro-environmental forces interact rather than operate separately. Water and climate pressures may increase operating costs, while legal disclosure makes environmental impacts more visible. Technological advances offer possible responses, but their success depends on wider infrastructure and investment conditions. Economic volatility and community expectations can further delay implementation despite supportive long-term trends. BHP should therefore prioritise measurable progress and reliable information over unqualified claims that all customers will reward lower-emissions materials (IEA, 2025; OECD, 2023).</w:t>
      </w:r>
    </w:p>
    <w:p w:rsidRPr="008D77AD" w:rsidR="0085093C" w:rsidP="7EAD977F" w:rsidRDefault="00000000" w14:paraId="7456810A" w14:textId="0245FA06">
      <w:pPr>
        <w:pStyle w:val="Normal"/>
      </w:pPr>
      <w:r w:rsidRPr="7EAD977F" w:rsidR="00000000">
        <w:rPr>
          <w:rFonts w:ascii="Arial" w:hAnsi="Arial" w:cs="Arial"/>
          <w:sz w:val="24"/>
          <w:szCs w:val="24"/>
        </w:rPr>
        <w:t xml:space="preserve">The central opportunity is to become a dependable technical and supply partner for industrial customers adapting to these pressures. The principal risk is investing in differentiated products before customer demand and technical readiness have been </w:t>
      </w:r>
      <w:r w:rsidRPr="7EAD977F" w:rsidR="00000000">
        <w:rPr>
          <w:rFonts w:ascii="Arial" w:hAnsi="Arial" w:cs="Arial"/>
          <w:sz w:val="24"/>
          <w:szCs w:val="24"/>
        </w:rPr>
        <w:t>demonstrated</w:t>
      </w:r>
      <w:r w:rsidRPr="7EAD977F" w:rsidR="7A90E856">
        <w:rPr>
          <w:rFonts w:ascii="Arial" w:hAnsi="Arial" w:cs="Arial"/>
          <w:sz w:val="24"/>
          <w:szCs w:val="24"/>
        </w:rPr>
        <w:t xml:space="preserve"> </w:t>
      </w:r>
      <w:r w:rsidRPr="7EAD977F" w:rsidR="7A90E856">
        <w:rPr>
          <w:rFonts w:ascii="Arial" w:hAnsi="Arial" w:eastAsia="Arial" w:cs="Arial"/>
          <w:noProof w:val="0"/>
          <w:sz w:val="24"/>
          <w:szCs w:val="24"/>
          <w:lang w:val="en-GB"/>
        </w:rPr>
        <w:t>(IEEFA, 2024)</w:t>
      </w:r>
      <w:r w:rsidRPr="7EAD977F" w:rsidR="7A90E856">
        <w:rPr>
          <w:rFonts w:ascii="Arial" w:hAnsi="Arial" w:eastAsia="Arial" w:cs="Arial"/>
          <w:noProof w:val="0"/>
          <w:sz w:val="24"/>
          <w:szCs w:val="24"/>
          <w:lang w:val="en-GB"/>
        </w:rPr>
        <w:t>.</w:t>
      </w:r>
      <w:r w:rsidRPr="7EAD977F" w:rsidR="00000000">
        <w:rPr>
          <w:rFonts w:ascii="Arial" w:hAnsi="Arial" w:cs="Arial"/>
          <w:sz w:val="24"/>
          <w:szCs w:val="24"/>
        </w:rPr>
        <w:t xml:space="preserve"> </w:t>
      </w:r>
      <w:r w:rsidRPr="7EAD977F" w:rsidR="00000000">
        <w:rPr>
          <w:rFonts w:ascii="Arial" w:hAnsi="Arial" w:cs="Arial"/>
          <w:sz w:val="24"/>
          <w:szCs w:val="24"/>
        </w:rPr>
        <w:t xml:space="preserve">BHP should assess prospective customers’ requirements and funded transition plans without treating these buyer considerations as a separate micro-environmental analysis. This preserves the report’s macro-environmental focus while explaining the implications for marketing decisions. A staged, evidence-led strategy offers flexibility under </w:t>
      </w:r>
      <w:r w:rsidRPr="7EAD977F" w:rsidR="00000000">
        <w:rPr>
          <w:rFonts w:ascii="Arial" w:hAnsi="Arial" w:cs="Arial"/>
          <w:sz w:val="24"/>
          <w:szCs w:val="24"/>
        </w:rPr>
        <w:t>uncertainty</w:t>
      </w:r>
      <w:r w:rsidRPr="7EAD977F" w:rsidR="4152FA27">
        <w:rPr>
          <w:rFonts w:ascii="Arial" w:hAnsi="Arial" w:cs="Arial"/>
          <w:sz w:val="24"/>
          <w:szCs w:val="24"/>
        </w:rPr>
        <w:t xml:space="preserve"> </w:t>
      </w:r>
      <w:r w:rsidRPr="7EAD977F" w:rsidR="4152FA27">
        <w:rPr>
          <w:rFonts w:ascii="Arial" w:hAnsi="Arial" w:eastAsia="Arial" w:cs="Arial"/>
          <w:noProof w:val="0"/>
          <w:sz w:val="24"/>
          <w:szCs w:val="24"/>
          <w:lang w:val="en-GB"/>
        </w:rPr>
        <w:t>(BHP, 2024a; IEEFA, 2024).</w:t>
      </w:r>
    </w:p>
    <w:p w:rsidRPr="008D77AD" w:rsidR="0085093C" w:rsidRDefault="00000000" w14:paraId="35A15A70" w14:textId="6355F501">
      <w:pPr>
        <w:pStyle w:val="Heading1"/>
        <w:rPr>
          <w:rFonts w:ascii="Arial" w:hAnsi="Arial" w:cs="Arial"/>
          <w:color w:val="auto"/>
        </w:rPr>
      </w:pPr>
      <w:r w:rsidRPr="008D77AD">
        <w:rPr>
          <w:rFonts w:ascii="Arial" w:hAnsi="Arial" w:cs="Arial"/>
          <w:color w:val="auto"/>
        </w:rPr>
        <w:t>Task 2: Strategic Growth and Competitive Positioning</w:t>
      </w:r>
    </w:p>
    <w:p w:rsidRPr="008D77AD" w:rsidR="0085093C" w:rsidRDefault="00000000" w14:paraId="0A1753A2" w14:textId="77777777">
      <w:pPr>
        <w:pStyle w:val="Heading2"/>
        <w:rPr>
          <w:rFonts w:ascii="Arial" w:hAnsi="Arial" w:cs="Arial"/>
          <w:color w:val="auto"/>
          <w:sz w:val="24"/>
          <w:szCs w:val="24"/>
        </w:rPr>
      </w:pPr>
      <w:r w:rsidRPr="008D77AD">
        <w:rPr>
          <w:rFonts w:ascii="Arial" w:hAnsi="Arial" w:cs="Arial"/>
          <w:color w:val="auto"/>
          <w:sz w:val="24"/>
          <w:szCs w:val="24"/>
        </w:rPr>
        <w:t>2.1 Ansoff Matrix: assessing growth options</w:t>
      </w:r>
    </w:p>
    <w:p w:rsidRPr="00BE00E9" w:rsidR="00BE00E9" w:rsidRDefault="00BE00E9" w14:paraId="5877CF63" w14:textId="04044816">
      <w:pPr>
        <w:rPr>
          <w:rFonts w:ascii="Arial" w:hAnsi="Arial" w:cs="Arial"/>
          <w:sz w:val="24"/>
          <w:szCs w:val="24"/>
        </w:rPr>
      </w:pPr>
      <w:r w:rsidRPr="312D1A50" w:rsidR="00622E22">
        <w:rPr>
          <w:rFonts w:ascii="Arial" w:hAnsi="Arial" w:cs="Arial"/>
          <w:sz w:val="24"/>
          <w:szCs w:val="24"/>
        </w:rPr>
        <w:t xml:space="preserve">Ansoff (1957) developed the Ansoff Matrix, which </w:t>
      </w:r>
      <w:r w:rsidRPr="312D1A50" w:rsidR="00622E22">
        <w:rPr>
          <w:rFonts w:ascii="Arial" w:hAnsi="Arial" w:cs="Arial"/>
          <w:sz w:val="24"/>
          <w:szCs w:val="24"/>
        </w:rPr>
        <w:t>identifies</w:t>
      </w:r>
      <w:r w:rsidRPr="312D1A50" w:rsidR="00622E22">
        <w:rPr>
          <w:rFonts w:ascii="Arial" w:hAnsi="Arial" w:cs="Arial"/>
          <w:sz w:val="24"/>
          <w:szCs w:val="24"/>
        </w:rPr>
        <w:t xml:space="preserve"> four growth strategies: market penetration, market development, product </w:t>
      </w:r>
      <w:r w:rsidRPr="312D1A50" w:rsidR="00622E22">
        <w:rPr>
          <w:rFonts w:ascii="Arial" w:hAnsi="Arial" w:cs="Arial"/>
          <w:sz w:val="24"/>
          <w:szCs w:val="24"/>
        </w:rPr>
        <w:t>development</w:t>
      </w:r>
      <w:r w:rsidRPr="312D1A50" w:rsidR="00622E22">
        <w:rPr>
          <w:rFonts w:ascii="Arial" w:hAnsi="Arial" w:cs="Arial"/>
          <w:sz w:val="24"/>
          <w:szCs w:val="24"/>
        </w:rPr>
        <w:t xml:space="preserve"> and diversification. Dawes (2018) critically examines the model and highlights limitations in how these growth strategies are classified. For BHP, selective product development and market development could support growth in lower-emissions markets, provided customer demand and technical feasibility are </w:t>
      </w:r>
      <w:r w:rsidRPr="312D1A50" w:rsidR="00622E22">
        <w:rPr>
          <w:rFonts w:ascii="Arial" w:hAnsi="Arial" w:cs="Arial"/>
          <w:sz w:val="24"/>
          <w:szCs w:val="24"/>
        </w:rPr>
        <w:t>demonstrated</w:t>
      </w:r>
      <w:r w:rsidRPr="312D1A50" w:rsidR="00622E22">
        <w:rPr>
          <w:rFonts w:ascii="Arial" w:hAnsi="Arial" w:cs="Arial"/>
          <w:sz w:val="24"/>
          <w:szCs w:val="24"/>
        </w:rPr>
        <w:t>.</w:t>
      </w:r>
    </w:p>
    <w:p w:rsidRPr="008D77AD" w:rsidR="0085093C" w:rsidP="312D1A50" w:rsidRDefault="00000000" w14:paraId="57B522EA" w14:textId="1127B39C">
      <w:pPr>
        <w:pStyle w:val="Normal"/>
        <w:rPr>
          <w:rFonts w:ascii="Arial" w:hAnsi="Arial" w:cs="Arial"/>
          <w:b w:val="1"/>
          <w:bCs w:val="1"/>
          <w:sz w:val="24"/>
          <w:szCs w:val="24"/>
        </w:rPr>
      </w:pPr>
    </w:p>
    <w:p w:rsidRPr="008D77AD" w:rsidR="0085093C" w:rsidP="312D1A50" w:rsidRDefault="00000000" w14:paraId="358EB212" w14:textId="35EE1433">
      <w:pPr>
        <w:pStyle w:val="Normal"/>
        <w:rPr>
          <w:rFonts w:ascii="Arial" w:hAnsi="Arial" w:cs="Arial"/>
          <w:b w:val="1"/>
          <w:bCs w:val="1"/>
          <w:sz w:val="24"/>
          <w:szCs w:val="24"/>
        </w:rPr>
      </w:pPr>
    </w:p>
    <w:p w:rsidRPr="008D77AD" w:rsidR="0085093C" w:rsidP="312D1A50" w:rsidRDefault="00000000" w14:paraId="069A8E1D" w14:textId="0D7E98ED">
      <w:pPr>
        <w:pStyle w:val="Normal"/>
        <w:rPr>
          <w:rFonts w:ascii="Arial" w:hAnsi="Arial" w:cs="Arial"/>
          <w:b w:val="1"/>
          <w:bCs w:val="1"/>
          <w:sz w:val="24"/>
          <w:szCs w:val="24"/>
        </w:rPr>
      </w:pPr>
    </w:p>
    <w:p w:rsidRPr="008D77AD" w:rsidR="0085093C" w:rsidP="312D1A50" w:rsidRDefault="00000000" w14:paraId="0C2FA35B" w14:textId="77D39533">
      <w:pPr>
        <w:pStyle w:val="Normal"/>
        <w:rPr>
          <w:rFonts w:ascii="Arial" w:hAnsi="Arial" w:cs="Arial"/>
          <w:b w:val="1"/>
          <w:bCs w:val="1"/>
          <w:sz w:val="24"/>
          <w:szCs w:val="24"/>
        </w:rPr>
      </w:pPr>
    </w:p>
    <w:p w:rsidRPr="008D77AD" w:rsidR="0085093C" w:rsidP="312D1A50" w:rsidRDefault="00000000" w14:paraId="03F99F30" w14:textId="35A16D6B">
      <w:pPr>
        <w:pStyle w:val="Normal"/>
        <w:rPr>
          <w:rFonts w:ascii="Arial" w:hAnsi="Arial" w:cs="Arial"/>
          <w:b w:val="1"/>
          <w:bCs w:val="1"/>
          <w:sz w:val="24"/>
          <w:szCs w:val="24"/>
        </w:rPr>
      </w:pPr>
      <w:r w:rsidRPr="312D1A50">
        <w:rPr>
          <w:rFonts w:ascii="Arial" w:hAnsi="Arial" w:cs="Arial"/>
          <w:b w:val="1"/>
          <w:bCs w:val="1"/>
          <w:sz w:val="24"/>
          <w:szCs w:val="24"/>
        </w:rPr>
        <w:t>Table 2. Ansoff Growth Matrix applied to BHP</w:t>
      </w:r>
    </w:p>
    <w:tbl>
      <w:tblPr>
        <w:tblStyle w:val="LightShading-Accent1"/>
        <w:tblW w:w="0" w:type="auto"/>
        <w:jc w:val="center"/>
        <w:tblLook w:val="04A0" w:firstRow="1" w:lastRow="0" w:firstColumn="1" w:lastColumn="0" w:noHBand="0" w:noVBand="1"/>
      </w:tblPr>
      <w:tblGrid>
        <w:gridCol w:w="3216"/>
        <w:gridCol w:w="3216"/>
        <w:gridCol w:w="3216"/>
      </w:tblGrid>
      <w:tr w:rsidRPr="008D77AD" w:rsidR="0085093C" w:rsidTr="0085093C" w14:paraId="55F1F7B9" w14:textId="777777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16" w:type="dxa"/>
          </w:tcPr>
          <w:p w:rsidRPr="008D77AD" w:rsidR="0085093C" w:rsidRDefault="00000000" w14:paraId="1A5C97CE" w14:textId="77777777">
            <w:pPr>
              <w:rPr>
                <w:rFonts w:ascii="Arial" w:hAnsi="Arial" w:cs="Arial"/>
                <w:sz w:val="24"/>
                <w:szCs w:val="24"/>
              </w:rPr>
            </w:pPr>
            <w:r w:rsidRPr="008D77AD">
              <w:rPr>
                <w:rFonts w:ascii="Arial" w:hAnsi="Arial" w:cs="Arial"/>
                <w:sz w:val="24"/>
                <w:szCs w:val="24"/>
              </w:rPr>
              <w:t>Market</w:t>
            </w:r>
          </w:p>
        </w:tc>
        <w:tc>
          <w:tcPr>
            <w:tcW w:w="3216" w:type="dxa"/>
          </w:tcPr>
          <w:p w:rsidRPr="008D77AD" w:rsidR="0085093C" w:rsidRDefault="00000000" w14:paraId="6D38897B" w14:textId="77777777">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D77AD">
              <w:rPr>
                <w:rFonts w:ascii="Arial" w:hAnsi="Arial" w:cs="Arial"/>
                <w:sz w:val="24"/>
                <w:szCs w:val="24"/>
              </w:rPr>
              <w:t>Existing products</w:t>
            </w:r>
          </w:p>
        </w:tc>
        <w:tc>
          <w:tcPr>
            <w:tcW w:w="3216" w:type="dxa"/>
          </w:tcPr>
          <w:p w:rsidRPr="008D77AD" w:rsidR="0085093C" w:rsidRDefault="00000000" w14:paraId="2CFF371C" w14:textId="77777777">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D77AD">
              <w:rPr>
                <w:rFonts w:ascii="Arial" w:hAnsi="Arial" w:cs="Arial"/>
                <w:sz w:val="24"/>
                <w:szCs w:val="24"/>
              </w:rPr>
              <w:t>New or modified products</w:t>
            </w:r>
          </w:p>
        </w:tc>
      </w:tr>
      <w:tr w:rsidRPr="008D77AD" w:rsidR="0085093C" w:rsidTr="0085093C" w14:paraId="0D729DE0"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16" w:type="dxa"/>
          </w:tcPr>
          <w:p w:rsidRPr="008D77AD" w:rsidR="0085093C" w:rsidRDefault="00000000" w14:paraId="3EB96A25" w14:textId="77777777">
            <w:pPr>
              <w:rPr>
                <w:rFonts w:ascii="Arial" w:hAnsi="Arial" w:cs="Arial"/>
                <w:sz w:val="24"/>
                <w:szCs w:val="24"/>
              </w:rPr>
            </w:pPr>
            <w:r w:rsidRPr="008D77AD">
              <w:rPr>
                <w:rFonts w:ascii="Arial" w:hAnsi="Arial" w:cs="Arial"/>
                <w:sz w:val="24"/>
                <w:szCs w:val="24"/>
              </w:rPr>
              <w:t>Existing markets</w:t>
            </w:r>
          </w:p>
        </w:tc>
        <w:tc>
          <w:tcPr>
            <w:tcW w:w="3216" w:type="dxa"/>
          </w:tcPr>
          <w:p w:rsidRPr="008D77AD" w:rsidR="0085093C" w:rsidRDefault="00000000" w14:paraId="6A29E388" w14:textId="7777777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77AD">
              <w:rPr>
                <w:rFonts w:ascii="Arial" w:hAnsi="Arial" w:cs="Arial"/>
                <w:sz w:val="24"/>
                <w:szCs w:val="24"/>
              </w:rPr>
              <w:t>Market penetration: maintain reliable supply and contracts</w:t>
            </w:r>
          </w:p>
        </w:tc>
        <w:tc>
          <w:tcPr>
            <w:tcW w:w="3216" w:type="dxa"/>
          </w:tcPr>
          <w:p w:rsidRPr="008D77AD" w:rsidR="0085093C" w:rsidRDefault="00000000" w14:paraId="640ACD4B" w14:textId="7777777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77AD">
              <w:rPr>
                <w:rFonts w:ascii="Arial" w:hAnsi="Arial" w:cs="Arial"/>
                <w:sz w:val="24"/>
                <w:szCs w:val="24"/>
              </w:rPr>
              <w:t>Product development: test modified specifications and assured product data</w:t>
            </w:r>
          </w:p>
        </w:tc>
      </w:tr>
      <w:tr w:rsidRPr="008D77AD" w:rsidR="0085093C" w:rsidTr="0085093C" w14:paraId="142FA20F" w14:textId="77777777">
        <w:trPr>
          <w:jc w:val="center"/>
        </w:trPr>
        <w:tc>
          <w:tcPr>
            <w:cnfStyle w:val="001000000000" w:firstRow="0" w:lastRow="0" w:firstColumn="1" w:lastColumn="0" w:oddVBand="0" w:evenVBand="0" w:oddHBand="0" w:evenHBand="0" w:firstRowFirstColumn="0" w:firstRowLastColumn="0" w:lastRowFirstColumn="0" w:lastRowLastColumn="0"/>
            <w:tcW w:w="3216" w:type="dxa"/>
          </w:tcPr>
          <w:p w:rsidRPr="008D77AD" w:rsidR="0085093C" w:rsidRDefault="00000000" w14:paraId="011F55DF" w14:textId="77777777">
            <w:pPr>
              <w:rPr>
                <w:rFonts w:ascii="Arial" w:hAnsi="Arial" w:cs="Arial"/>
                <w:sz w:val="24"/>
                <w:szCs w:val="24"/>
              </w:rPr>
            </w:pPr>
            <w:r w:rsidRPr="008D77AD">
              <w:rPr>
                <w:rFonts w:ascii="Arial" w:hAnsi="Arial" w:cs="Arial"/>
                <w:sz w:val="24"/>
                <w:szCs w:val="24"/>
              </w:rPr>
              <w:t>New markets</w:t>
            </w:r>
          </w:p>
        </w:tc>
        <w:tc>
          <w:tcPr>
            <w:tcW w:w="3216" w:type="dxa"/>
          </w:tcPr>
          <w:p w:rsidRPr="008D77AD" w:rsidR="0085093C" w:rsidRDefault="00000000" w14:paraId="2A2E0808" w14:textId="7777777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77AD">
              <w:rPr>
                <w:rFonts w:ascii="Arial" w:hAnsi="Arial" w:cs="Arial"/>
                <w:sz w:val="24"/>
                <w:szCs w:val="24"/>
              </w:rPr>
              <w:t>Market development: reach suitable industrial or geographical segments</w:t>
            </w:r>
          </w:p>
        </w:tc>
        <w:tc>
          <w:tcPr>
            <w:tcW w:w="3216" w:type="dxa"/>
          </w:tcPr>
          <w:p w:rsidRPr="008D77AD" w:rsidR="0085093C" w:rsidRDefault="00000000" w14:paraId="42F6E157" w14:textId="1253ADC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77AD">
              <w:rPr>
                <w:rFonts w:ascii="Arial" w:hAnsi="Arial" w:cs="Arial"/>
                <w:sz w:val="24"/>
                <w:szCs w:val="24"/>
              </w:rPr>
              <w:t xml:space="preserve">Diversification: enter unfamiliar product–market </w:t>
            </w:r>
            <w:r w:rsidR="00B24A2B">
              <w:rPr>
                <w:rFonts w:ascii="Arial" w:hAnsi="Arial" w:cs="Arial"/>
                <w:sz w:val="24"/>
                <w:szCs w:val="24"/>
              </w:rPr>
              <w:t>combinations.</w:t>
            </w:r>
          </w:p>
        </w:tc>
      </w:tr>
    </w:tbl>
    <w:p w:rsidRPr="00754F86" w:rsidR="0085093C" w:rsidRDefault="00000000" w14:paraId="0268D459" w14:textId="45A4AFAB">
      <w:pPr>
        <w:rPr>
          <w:rFonts w:ascii="Arial" w:hAnsi="Arial" w:cs="Arial"/>
          <w:i/>
          <w:iCs/>
          <w:sz w:val="24"/>
          <w:szCs w:val="24"/>
        </w:rPr>
      </w:pPr>
      <w:r w:rsidRPr="312D1A50">
        <w:rPr>
          <w:rFonts w:ascii="Arial" w:hAnsi="Arial" w:cs="Arial"/>
          <w:i w:val="1"/>
          <w:iCs w:val="1"/>
          <w:sz w:val="24"/>
          <w:szCs w:val="24"/>
        </w:rPr>
        <w:t xml:space="preserve">Source: Adapted </w:t>
      </w:r>
      <w:r w:rsidRPr="312D1A50" w:rsidR="00AE3070">
        <w:rPr>
          <w:rFonts w:ascii="Arial" w:hAnsi="Arial" w:cs="Arial"/>
          <w:i w:val="1"/>
          <w:iCs w:val="1"/>
          <w:sz w:val="24"/>
          <w:szCs w:val="24"/>
        </w:rPr>
        <w:t>from</w:t>
      </w:r>
      <w:r w:rsidRPr="312D1A50">
        <w:rPr>
          <w:rFonts w:ascii="Arial" w:hAnsi="Arial" w:cs="Arial"/>
          <w:i w:val="1"/>
          <w:iCs w:val="1"/>
          <w:sz w:val="24"/>
          <w:szCs w:val="24"/>
        </w:rPr>
        <w:t xml:space="preserve"> Ansoff (1957)</w:t>
      </w:r>
      <w:r w:rsidRPr="312D1A50" w:rsidR="00860D3E">
        <w:rPr>
          <w:rFonts w:ascii="Arial" w:hAnsi="Arial" w:cs="Arial"/>
          <w:i w:val="1"/>
          <w:iCs w:val="1"/>
          <w:sz w:val="24"/>
          <w:szCs w:val="24"/>
        </w:rPr>
        <w:t xml:space="preserve">, as discussed by Dawes </w:t>
      </w:r>
      <w:r w:rsidRPr="312D1A50" w:rsidR="00754F86">
        <w:rPr>
          <w:rFonts w:ascii="Arial" w:hAnsi="Arial" w:cs="Arial"/>
          <w:i w:val="1"/>
          <w:iCs w:val="1"/>
          <w:sz w:val="24"/>
          <w:szCs w:val="24"/>
        </w:rPr>
        <w:t>(2018)</w:t>
      </w:r>
      <w:r w:rsidRPr="312D1A50" w:rsidR="00D73790">
        <w:rPr>
          <w:rFonts w:ascii="Arial" w:hAnsi="Arial" w:cs="Arial"/>
          <w:i w:val="1"/>
          <w:iCs w:val="1"/>
          <w:sz w:val="24"/>
          <w:szCs w:val="24"/>
        </w:rPr>
        <w:t>.</w:t>
      </w:r>
    </w:p>
    <w:p w:rsidRPr="008D77AD" w:rsidR="0085093C" w:rsidRDefault="00000000" w14:paraId="0AA704F8" w14:textId="05B88DE9">
      <w:pPr>
        <w:pStyle w:val="Heading2"/>
        <w:rPr>
          <w:rFonts w:ascii="Arial" w:hAnsi="Arial" w:cs="Arial"/>
          <w:color w:val="auto"/>
          <w:sz w:val="24"/>
          <w:szCs w:val="24"/>
        </w:rPr>
      </w:pPr>
      <w:r w:rsidRPr="312D1A50">
        <w:rPr>
          <w:rFonts w:ascii="Arial" w:hAnsi="Arial" w:cs="Arial"/>
          <w:color w:val="auto"/>
          <w:sz w:val="24"/>
          <w:szCs w:val="24"/>
        </w:rPr>
        <w:t>2.2 Porter’s generic competitive strategies</w:t>
      </w:r>
    </w:p>
    <w:p w:rsidR="006A3068" w:rsidP="312D1A50" w:rsidRDefault="006A3068" w14:paraId="6837E2AF" w14:textId="53C83DC2">
      <w:pPr>
        <w:jc w:val="both"/>
        <w:rPr>
          <w:rFonts w:ascii="Arial" w:hAnsi="Arial" w:cs="Arial"/>
          <w:sz w:val="24"/>
          <w:szCs w:val="24"/>
        </w:rPr>
      </w:pPr>
      <w:r w:rsidRPr="312D1A50" w:rsidR="00522E35">
        <w:rPr>
          <w:rFonts w:ascii="Arial" w:hAnsi="Arial" w:cs="Arial"/>
          <w:sz w:val="24"/>
          <w:szCs w:val="24"/>
        </w:rPr>
        <w:t xml:space="preserve">Porter’s Generic Competitive Strategies define cost leadership, differentiation and focus as three techniques to achieve competitive advantage (Bright and Cortes, 2019). BHP’s mining activities are large-scale, with cost competitiveness driven by operational efficiency. BHP might also pursue selective differentiation, however, by supplying industrial clients with validated environmental information and trustworthy mineral specifications. This strategy could help BHP attract customers seeking greener supply chains. </w:t>
      </w:r>
      <w:r w:rsidRPr="312D1A50" w:rsidR="00522E35">
        <w:rPr>
          <w:rFonts w:ascii="Arial" w:hAnsi="Arial" w:cs="Arial"/>
          <w:sz w:val="24"/>
          <w:szCs w:val="24"/>
        </w:rPr>
        <w:t>But</w:t>
      </w:r>
      <w:r w:rsidRPr="312D1A50" w:rsidR="00522E35">
        <w:rPr>
          <w:rFonts w:ascii="Arial" w:hAnsi="Arial" w:cs="Arial"/>
          <w:sz w:val="24"/>
          <w:szCs w:val="24"/>
        </w:rPr>
        <w:t xml:space="preserve"> extra services mean extra expenditures, and not every consumer may be prepared to pay higher fees. BHP should therefore consider customer demand and financial viability before expanding its differentiation approach.</w:t>
      </w:r>
    </w:p>
    <w:p w:rsidRPr="008D77AD" w:rsidR="0085093C" w:rsidRDefault="00000000" w14:paraId="0C2C7F4D" w14:textId="34FCFB0D">
      <w:pPr>
        <w:rPr>
          <w:rFonts w:ascii="Arial" w:hAnsi="Arial" w:cs="Arial"/>
          <w:b/>
          <w:bCs/>
          <w:sz w:val="24"/>
          <w:szCs w:val="24"/>
        </w:rPr>
      </w:pPr>
      <w:r w:rsidRPr="008D77AD">
        <w:rPr>
          <w:rFonts w:ascii="Arial" w:hAnsi="Arial" w:cs="Arial"/>
          <w:b/>
          <w:bCs/>
          <w:sz w:val="24"/>
          <w:szCs w:val="24"/>
        </w:rPr>
        <w:t>Table 3. Porter’s generic strategies and implications for BHP</w:t>
      </w:r>
    </w:p>
    <w:tbl>
      <w:tblPr>
        <w:tblStyle w:val="LightShading-Accent1"/>
        <w:tblW w:w="0" w:type="auto"/>
        <w:jc w:val="center"/>
        <w:tblLook w:val="04A0" w:firstRow="1" w:lastRow="0" w:firstColumn="1" w:lastColumn="0" w:noHBand="0" w:noVBand="1"/>
      </w:tblPr>
      <w:tblGrid>
        <w:gridCol w:w="3216"/>
        <w:gridCol w:w="3216"/>
        <w:gridCol w:w="3216"/>
      </w:tblGrid>
      <w:tr w:rsidRPr="008D77AD" w:rsidR="0085093C" w:rsidTr="0085093C" w14:paraId="77278C84" w14:textId="777777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16" w:type="dxa"/>
          </w:tcPr>
          <w:p w:rsidRPr="008D77AD" w:rsidR="0085093C" w:rsidRDefault="00000000" w14:paraId="221C5D01" w14:textId="77777777">
            <w:pPr>
              <w:rPr>
                <w:rFonts w:ascii="Arial" w:hAnsi="Arial" w:cs="Arial"/>
                <w:sz w:val="24"/>
                <w:szCs w:val="24"/>
              </w:rPr>
            </w:pPr>
            <w:r w:rsidRPr="008D77AD">
              <w:rPr>
                <w:rFonts w:ascii="Arial" w:hAnsi="Arial" w:cs="Arial"/>
                <w:sz w:val="24"/>
                <w:szCs w:val="24"/>
              </w:rPr>
              <w:t>Strategy</w:t>
            </w:r>
          </w:p>
        </w:tc>
        <w:tc>
          <w:tcPr>
            <w:tcW w:w="3216" w:type="dxa"/>
          </w:tcPr>
          <w:p w:rsidRPr="008D77AD" w:rsidR="0085093C" w:rsidRDefault="00000000" w14:paraId="3528B366" w14:textId="77777777">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D77AD">
              <w:rPr>
                <w:rFonts w:ascii="Arial" w:hAnsi="Arial" w:cs="Arial"/>
                <w:sz w:val="24"/>
                <w:szCs w:val="24"/>
              </w:rPr>
              <w:t>Potential application</w:t>
            </w:r>
          </w:p>
        </w:tc>
        <w:tc>
          <w:tcPr>
            <w:tcW w:w="3216" w:type="dxa"/>
          </w:tcPr>
          <w:p w:rsidRPr="008D77AD" w:rsidR="0085093C" w:rsidRDefault="00000000" w14:paraId="75772731" w14:textId="77777777">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D77AD">
              <w:rPr>
                <w:rFonts w:ascii="Arial" w:hAnsi="Arial" w:cs="Arial"/>
                <w:sz w:val="24"/>
                <w:szCs w:val="24"/>
              </w:rPr>
              <w:t>Limitation</w:t>
            </w:r>
          </w:p>
        </w:tc>
      </w:tr>
      <w:tr w:rsidRPr="008D77AD" w:rsidR="0085093C" w:rsidTr="0085093C" w14:paraId="04958BAD"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16" w:type="dxa"/>
          </w:tcPr>
          <w:p w:rsidRPr="008D77AD" w:rsidR="0085093C" w:rsidRDefault="00000000" w14:paraId="43469EC3" w14:textId="77777777">
            <w:pPr>
              <w:rPr>
                <w:rFonts w:ascii="Arial" w:hAnsi="Arial" w:cs="Arial"/>
                <w:sz w:val="24"/>
                <w:szCs w:val="24"/>
              </w:rPr>
            </w:pPr>
            <w:r w:rsidRPr="008D77AD">
              <w:rPr>
                <w:rFonts w:ascii="Arial" w:hAnsi="Arial" w:cs="Arial"/>
                <w:sz w:val="24"/>
                <w:szCs w:val="24"/>
              </w:rPr>
              <w:t>Cost leadership</w:t>
            </w:r>
          </w:p>
        </w:tc>
        <w:tc>
          <w:tcPr>
            <w:tcW w:w="3216" w:type="dxa"/>
          </w:tcPr>
          <w:p w:rsidRPr="008D77AD" w:rsidR="0085093C" w:rsidRDefault="00000000" w14:paraId="07456D98" w14:textId="7777777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77AD">
              <w:rPr>
                <w:rFonts w:ascii="Arial" w:hAnsi="Arial" w:cs="Arial"/>
                <w:sz w:val="24"/>
                <w:szCs w:val="24"/>
              </w:rPr>
              <w:t>Efficient large-scale extraction and logistics</w:t>
            </w:r>
          </w:p>
        </w:tc>
        <w:tc>
          <w:tcPr>
            <w:tcW w:w="3216" w:type="dxa"/>
          </w:tcPr>
          <w:p w:rsidRPr="008D77AD" w:rsidR="0085093C" w:rsidRDefault="00000000" w14:paraId="0D8A1007" w14:textId="1317CF5F">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77AD">
              <w:rPr>
                <w:rFonts w:ascii="Arial" w:hAnsi="Arial" w:cs="Arial"/>
                <w:sz w:val="24"/>
                <w:szCs w:val="24"/>
              </w:rPr>
              <w:t xml:space="preserve">Cost alone may not address emissions </w:t>
            </w:r>
            <w:r w:rsidR="00B24A2B">
              <w:rPr>
                <w:rFonts w:ascii="Arial" w:hAnsi="Arial" w:cs="Arial"/>
                <w:sz w:val="24"/>
                <w:szCs w:val="24"/>
              </w:rPr>
              <w:t>expectations.</w:t>
            </w:r>
          </w:p>
        </w:tc>
      </w:tr>
      <w:tr w:rsidRPr="008D77AD" w:rsidR="0085093C" w:rsidTr="0085093C" w14:paraId="0612FA54" w14:textId="77777777">
        <w:trPr>
          <w:jc w:val="center"/>
        </w:trPr>
        <w:tc>
          <w:tcPr>
            <w:cnfStyle w:val="001000000000" w:firstRow="0" w:lastRow="0" w:firstColumn="1" w:lastColumn="0" w:oddVBand="0" w:evenVBand="0" w:oddHBand="0" w:evenHBand="0" w:firstRowFirstColumn="0" w:firstRowLastColumn="0" w:lastRowFirstColumn="0" w:lastRowLastColumn="0"/>
            <w:tcW w:w="3216" w:type="dxa"/>
          </w:tcPr>
          <w:p w:rsidRPr="008D77AD" w:rsidR="0085093C" w:rsidRDefault="00000000" w14:paraId="781C28FC" w14:textId="77777777">
            <w:pPr>
              <w:rPr>
                <w:rFonts w:ascii="Arial" w:hAnsi="Arial" w:cs="Arial"/>
                <w:sz w:val="24"/>
                <w:szCs w:val="24"/>
              </w:rPr>
            </w:pPr>
            <w:r w:rsidRPr="008D77AD">
              <w:rPr>
                <w:rFonts w:ascii="Arial" w:hAnsi="Arial" w:cs="Arial"/>
                <w:sz w:val="24"/>
                <w:szCs w:val="24"/>
              </w:rPr>
              <w:t>Differentiation</w:t>
            </w:r>
          </w:p>
        </w:tc>
        <w:tc>
          <w:tcPr>
            <w:tcW w:w="3216" w:type="dxa"/>
          </w:tcPr>
          <w:p w:rsidRPr="008D77AD" w:rsidR="0085093C" w:rsidRDefault="00000000" w14:paraId="6B5D5424" w14:textId="7777777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77AD">
              <w:rPr>
                <w:rFonts w:ascii="Arial" w:hAnsi="Arial" w:cs="Arial"/>
                <w:sz w:val="24"/>
                <w:szCs w:val="24"/>
              </w:rPr>
              <w:t>Mineral supply plus reliable environmental information</w:t>
            </w:r>
          </w:p>
        </w:tc>
        <w:tc>
          <w:tcPr>
            <w:tcW w:w="3216" w:type="dxa"/>
          </w:tcPr>
          <w:p w:rsidRPr="008D77AD" w:rsidR="0085093C" w:rsidRDefault="00000000" w14:paraId="7671C802" w14:textId="76D1ABE1">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77AD">
              <w:rPr>
                <w:rFonts w:ascii="Arial" w:hAnsi="Arial" w:cs="Arial"/>
                <w:sz w:val="24"/>
                <w:szCs w:val="24"/>
              </w:rPr>
              <w:t xml:space="preserve">Customer demand and assurance costs must be </w:t>
            </w:r>
            <w:r w:rsidR="00B24A2B">
              <w:rPr>
                <w:rFonts w:ascii="Arial" w:hAnsi="Arial" w:cs="Arial"/>
                <w:sz w:val="24"/>
                <w:szCs w:val="24"/>
              </w:rPr>
              <w:t>tested.</w:t>
            </w:r>
          </w:p>
        </w:tc>
      </w:tr>
      <w:tr w:rsidRPr="008D77AD" w:rsidR="0085093C" w:rsidTr="0085093C" w14:paraId="7BA2E9C5"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16" w:type="dxa"/>
          </w:tcPr>
          <w:p w:rsidRPr="008D77AD" w:rsidR="0085093C" w:rsidRDefault="00000000" w14:paraId="211A16E6" w14:textId="77777777">
            <w:pPr>
              <w:rPr>
                <w:rFonts w:ascii="Arial" w:hAnsi="Arial" w:cs="Arial"/>
                <w:sz w:val="24"/>
                <w:szCs w:val="24"/>
              </w:rPr>
            </w:pPr>
            <w:r w:rsidRPr="008D77AD">
              <w:rPr>
                <w:rFonts w:ascii="Arial" w:hAnsi="Arial" w:cs="Arial"/>
                <w:sz w:val="24"/>
                <w:szCs w:val="24"/>
              </w:rPr>
              <w:t>Focus</w:t>
            </w:r>
          </w:p>
        </w:tc>
        <w:tc>
          <w:tcPr>
            <w:tcW w:w="3216" w:type="dxa"/>
          </w:tcPr>
          <w:p w:rsidRPr="008D77AD" w:rsidR="0085093C" w:rsidRDefault="00000000" w14:paraId="00ED39BE" w14:textId="7777777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77AD">
              <w:rPr>
                <w:rFonts w:ascii="Arial" w:hAnsi="Arial" w:cs="Arial"/>
                <w:sz w:val="24"/>
                <w:szCs w:val="24"/>
              </w:rPr>
              <w:t>Serve selected technically demanding industrial segments</w:t>
            </w:r>
          </w:p>
        </w:tc>
        <w:tc>
          <w:tcPr>
            <w:tcW w:w="3216" w:type="dxa"/>
          </w:tcPr>
          <w:p w:rsidRPr="008D77AD" w:rsidR="0085093C" w:rsidRDefault="00000000" w14:paraId="27CCECBD" w14:textId="14CD11C1">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77AD">
              <w:rPr>
                <w:rFonts w:ascii="Arial" w:hAnsi="Arial" w:cs="Arial"/>
                <w:sz w:val="24"/>
                <w:szCs w:val="24"/>
              </w:rPr>
              <w:t xml:space="preserve">Narrow markets can constrain </w:t>
            </w:r>
            <w:r w:rsidR="00B24A2B">
              <w:rPr>
                <w:rFonts w:ascii="Arial" w:hAnsi="Arial" w:cs="Arial"/>
                <w:sz w:val="24"/>
                <w:szCs w:val="24"/>
              </w:rPr>
              <w:t>volume.</w:t>
            </w:r>
          </w:p>
        </w:tc>
      </w:tr>
    </w:tbl>
    <w:p w:rsidRPr="00D73790" w:rsidR="0085093C" w:rsidRDefault="00000000" w14:paraId="33EF317A" w14:textId="77777777">
      <w:pPr>
        <w:rPr>
          <w:rFonts w:ascii="Arial" w:hAnsi="Arial" w:cs="Arial"/>
          <w:i/>
          <w:iCs/>
          <w:sz w:val="24"/>
          <w:szCs w:val="24"/>
        </w:rPr>
      </w:pPr>
      <w:r w:rsidRPr="00D73790">
        <w:rPr>
          <w:rFonts w:ascii="Arial" w:hAnsi="Arial" w:cs="Arial"/>
          <w:i/>
          <w:iCs/>
          <w:sz w:val="24"/>
          <w:szCs w:val="24"/>
        </w:rPr>
        <w:t>Source: Adapted from Porter (1985).</w:t>
      </w:r>
    </w:p>
    <w:p w:rsidRPr="008D77AD" w:rsidR="0085093C" w:rsidRDefault="00000000" w14:paraId="7A49DDC6" w14:textId="2032A625">
      <w:pPr>
        <w:pStyle w:val="Heading2"/>
        <w:rPr>
          <w:rFonts w:ascii="Arial" w:hAnsi="Arial" w:cs="Arial"/>
          <w:color w:val="auto"/>
          <w:sz w:val="24"/>
          <w:szCs w:val="24"/>
        </w:rPr>
      </w:pPr>
      <w:r w:rsidRPr="312D1A50">
        <w:rPr>
          <w:rFonts w:ascii="Arial" w:hAnsi="Arial" w:cs="Arial"/>
          <w:color w:val="auto"/>
          <w:sz w:val="24"/>
          <w:szCs w:val="24"/>
        </w:rPr>
        <w:t>2.3 Implementing the positioning through marketing</w:t>
      </w:r>
    </w:p>
    <w:p w:rsidRPr="008D77AD" w:rsidR="0085093C" w:rsidRDefault="00000000" w14:paraId="7ECDE791" w14:textId="6790241F">
      <w:pPr>
        <w:rPr>
          <w:rFonts w:ascii="Arial" w:hAnsi="Arial" w:cs="Arial"/>
          <w:sz w:val="24"/>
          <w:szCs w:val="24"/>
        </w:rPr>
      </w:pPr>
      <w:r w:rsidRPr="4E4841AB">
        <w:rPr>
          <w:rFonts w:ascii="Arial" w:hAnsi="Arial" w:cs="Arial"/>
          <w:sz w:val="24"/>
          <w:szCs w:val="24"/>
        </w:rPr>
        <w:t xml:space="preserve">The extended marketing mix </w:t>
      </w:r>
      <w:r w:rsidRPr="4E4841AB">
        <w:rPr>
          <w:rFonts w:ascii="Arial" w:hAnsi="Arial" w:cs="Arial"/>
          <w:sz w:val="24"/>
          <w:szCs w:val="24"/>
        </w:rPr>
        <w:t>provides</w:t>
      </w:r>
      <w:r w:rsidRPr="4E4841AB">
        <w:rPr>
          <w:rFonts w:ascii="Arial" w:hAnsi="Arial" w:cs="Arial"/>
          <w:sz w:val="24"/>
          <w:szCs w:val="24"/>
        </w:rPr>
        <w:t xml:space="preserve"> a practical way to translate BHP’s positioning into customer-facing decisions. Product refers to minerals that meet agreed technical specifications, supported where relevant by reliable information about environmental performance. Price should reflect verified customer value and the full cost of supplying </w:t>
      </w:r>
      <w:r w:rsidRPr="4E4841AB">
        <w:rPr>
          <w:rFonts w:ascii="Arial" w:hAnsi="Arial" w:cs="Arial"/>
          <w:sz w:val="24"/>
          <w:szCs w:val="24"/>
        </w:rPr>
        <w:t>additional</w:t>
      </w:r>
      <w:r w:rsidRPr="4E4841AB">
        <w:rPr>
          <w:rFonts w:ascii="Arial" w:hAnsi="Arial" w:cs="Arial"/>
          <w:sz w:val="24"/>
          <w:szCs w:val="24"/>
        </w:rPr>
        <w:t xml:space="preserve"> services, while place concerns dependable transport and delivery arrangements. Promotion should communicate precise, substantiated claims rather than imply that all BHP output is </w:t>
      </w:r>
      <w:r w:rsidRPr="4E4841AB" w:rsidR="00543ED1">
        <w:rPr>
          <w:rFonts w:ascii="Arial" w:hAnsi="Arial" w:cs="Arial"/>
          <w:sz w:val="24"/>
          <w:szCs w:val="24"/>
        </w:rPr>
        <w:t>carbon neutral</w:t>
      </w:r>
      <w:r w:rsidRPr="4E4841AB">
        <w:rPr>
          <w:rFonts w:ascii="Arial" w:hAnsi="Arial" w:cs="Arial"/>
          <w:sz w:val="24"/>
          <w:szCs w:val="24"/>
        </w:rPr>
        <w:t xml:space="preserve">. People, </w:t>
      </w:r>
      <w:r w:rsidRPr="4E4841AB">
        <w:rPr>
          <w:rFonts w:ascii="Arial" w:hAnsi="Arial" w:cs="Arial"/>
          <w:sz w:val="24"/>
          <w:szCs w:val="24"/>
        </w:rPr>
        <w:t>processes</w:t>
      </w:r>
      <w:r w:rsidRPr="4E4841AB">
        <w:rPr>
          <w:rFonts w:ascii="Arial" w:hAnsi="Arial" w:cs="Arial"/>
          <w:sz w:val="24"/>
          <w:szCs w:val="24"/>
        </w:rPr>
        <w:t xml:space="preserve"> and physical evidence are reflected in </w:t>
      </w:r>
      <w:r w:rsidRPr="4E4841AB">
        <w:rPr>
          <w:rFonts w:ascii="Arial" w:hAnsi="Arial" w:cs="Arial"/>
          <w:sz w:val="24"/>
          <w:szCs w:val="24"/>
        </w:rPr>
        <w:t xml:space="preserve">knowledgeable account teams, quality assurance </w:t>
      </w:r>
      <w:r w:rsidRPr="4E4841AB">
        <w:rPr>
          <w:rFonts w:ascii="Arial" w:hAnsi="Arial" w:cs="Arial"/>
          <w:sz w:val="24"/>
          <w:szCs w:val="24"/>
        </w:rPr>
        <w:t>procedures</w:t>
      </w:r>
      <w:r w:rsidRPr="4E4841AB">
        <w:rPr>
          <w:rFonts w:ascii="Arial" w:hAnsi="Arial" w:cs="Arial"/>
          <w:sz w:val="24"/>
          <w:szCs w:val="24"/>
        </w:rPr>
        <w:t xml:space="preserve"> and independently checked documentation (Chartered Institute of Marketing, 2025).</w:t>
      </w:r>
    </w:p>
    <w:p w:rsidRPr="008D77AD" w:rsidR="0085093C" w:rsidRDefault="00000000" w14:paraId="3C39A295" w14:textId="77777777">
      <w:pPr>
        <w:rPr>
          <w:rFonts w:ascii="Arial" w:hAnsi="Arial" w:cs="Arial"/>
          <w:sz w:val="24"/>
          <w:szCs w:val="24"/>
        </w:rPr>
      </w:pPr>
      <w:r w:rsidRPr="312D1A50">
        <w:rPr>
          <w:rFonts w:ascii="Arial" w:hAnsi="Arial" w:cs="Arial"/>
          <w:sz w:val="24"/>
          <w:szCs w:val="24"/>
        </w:rPr>
        <w:t xml:space="preserve">In business-to-business commodity markets, product consistency and documentation may be more persuasive than broad advertising. Account teams should understand buyers’ processing requirements and the limitations of environmental measurements. Contract terms should clearly specify what information BHP can provide and what remains outside its control. Evidence from customer trials can then inform both product development and promotional messages. This positions BHP as a reliable supply and technical partner </w:t>
      </w:r>
      <w:r w:rsidRPr="312D1A50">
        <w:rPr>
          <w:rFonts w:ascii="Arial" w:hAnsi="Arial" w:cs="Arial"/>
          <w:sz w:val="24"/>
          <w:szCs w:val="24"/>
        </w:rPr>
        <w:t>without promising unproven environmental outcomes (BHP, 2024a; Kotler, Armstrong and Balasubramanian, 2024).</w:t>
      </w:r>
    </w:p>
    <w:p w:rsidRPr="008D77AD" w:rsidR="0085093C" w:rsidRDefault="00000000" w14:paraId="0A1F002E" w14:textId="37FA4F5F">
      <w:pPr>
        <w:pStyle w:val="Heading2"/>
        <w:rPr>
          <w:rFonts w:ascii="Arial" w:hAnsi="Arial" w:cs="Arial"/>
          <w:color w:val="auto"/>
          <w:sz w:val="24"/>
          <w:szCs w:val="24"/>
        </w:rPr>
      </w:pPr>
      <w:r w:rsidRPr="312D1A50">
        <w:rPr>
          <w:rFonts w:ascii="Arial" w:hAnsi="Arial" w:cs="Arial"/>
          <w:color w:val="auto"/>
          <w:sz w:val="24"/>
          <w:szCs w:val="24"/>
        </w:rPr>
        <w:t>2.4 Strategic recommendation and evaluation</w:t>
      </w:r>
    </w:p>
    <w:p w:rsidRPr="008D77AD" w:rsidR="0085093C" w:rsidRDefault="00000000" w14:paraId="62569437" w14:textId="0B6C4A9F">
      <w:pPr>
        <w:rPr>
          <w:rFonts w:ascii="Arial" w:hAnsi="Arial" w:cs="Arial"/>
          <w:sz w:val="24"/>
          <w:szCs w:val="24"/>
        </w:rPr>
      </w:pPr>
      <w:r w:rsidRPr="008D77AD">
        <w:rPr>
          <w:rFonts w:ascii="Arial" w:hAnsi="Arial" w:cs="Arial"/>
          <w:sz w:val="24"/>
          <w:szCs w:val="24"/>
        </w:rPr>
        <w:t xml:space="preserve">BHP should initially pilot enhanced product information and tailored supply terms with a limited group of existing industrial customers. Commercial teams should document technical requirements, procurement priorities and willingness to pay, rather than equating expressions of interest with firm demand. Technical specialists should test whether mineral specifications suit emerging processing routes and report both positive results and limitations. Expansion into additional markets should be considered only where customers have credible investment plans and operational readiness. This staged approach limits exposure to stranded investment, weak pricing power and unsupported sustainability claims (BHP, 2024a; </w:t>
      </w:r>
      <w:r w:rsidRPr="00C46176" w:rsidR="00C46176">
        <w:rPr>
          <w:rFonts w:ascii="Arial" w:hAnsi="Arial" w:cs="Arial"/>
          <w:sz w:val="24"/>
          <w:szCs w:val="24"/>
        </w:rPr>
        <w:t xml:space="preserve">Edwards, </w:t>
      </w:r>
      <w:r w:rsidR="00EE513E">
        <w:rPr>
          <w:rFonts w:ascii="Arial" w:hAnsi="Arial" w:cs="Arial"/>
          <w:sz w:val="24"/>
          <w:szCs w:val="24"/>
        </w:rPr>
        <w:t>2014).</w:t>
      </w:r>
    </w:p>
    <w:p w:rsidRPr="008D77AD" w:rsidR="0085093C" w:rsidRDefault="00000000" w14:paraId="2E80E1F7" w14:textId="77777777">
      <w:pPr>
        <w:pStyle w:val="Heading2"/>
        <w:rPr>
          <w:rFonts w:ascii="Arial" w:hAnsi="Arial" w:cs="Arial"/>
          <w:color w:val="auto"/>
          <w:sz w:val="24"/>
          <w:szCs w:val="24"/>
        </w:rPr>
      </w:pPr>
      <w:r w:rsidRPr="008D77AD">
        <w:rPr>
          <w:rFonts w:ascii="Arial" w:hAnsi="Arial" w:cs="Arial"/>
          <w:color w:val="auto"/>
          <w:sz w:val="24"/>
          <w:szCs w:val="24"/>
        </w:rPr>
        <w:t>2.5 Implementation and performance measures</w:t>
      </w:r>
    </w:p>
    <w:p w:rsidRPr="008D77AD" w:rsidR="0085093C" w:rsidRDefault="00000000" w14:paraId="21698E5C" w14:textId="77777777">
      <w:pPr>
        <w:rPr>
          <w:rFonts w:ascii="Arial" w:hAnsi="Arial" w:cs="Arial"/>
          <w:sz w:val="24"/>
          <w:szCs w:val="24"/>
        </w:rPr>
      </w:pPr>
      <w:r w:rsidRPr="008D77AD">
        <w:rPr>
          <w:rFonts w:ascii="Arial" w:hAnsi="Arial" w:cs="Arial"/>
          <w:sz w:val="24"/>
          <w:szCs w:val="24"/>
        </w:rPr>
        <w:t>Implementation requires clear responsibilities across commercial, technical, finance, legal and sustainability teams. Commercial staff should interview selected buyers and distinguish signed purchase commitments from informal interest. Technical teams should validate product suitability and define the boundaries of emissions assessments. Finance should estimate incremental costs, achievable prices and downside margins, while legal and sustainability specialists check public claims. Senior management should authorise wider rollout only when trials show repeatable customer benefits.</w:t>
      </w:r>
    </w:p>
    <w:p w:rsidRPr="00C36255" w:rsidR="0085093C" w:rsidRDefault="00000000" w14:paraId="698719CA" w14:textId="2ADD4D02">
      <w:pPr>
        <w:rPr>
          <w:rFonts w:ascii="Arial" w:hAnsi="Arial" w:cs="Arial"/>
          <w:sz w:val="24"/>
          <w:szCs w:val="24"/>
        </w:rPr>
      </w:pPr>
      <w:r w:rsidRPr="312D1A50">
        <w:rPr>
          <w:rFonts w:ascii="Arial" w:hAnsi="Arial" w:cs="Arial"/>
          <w:sz w:val="24"/>
          <w:szCs w:val="24"/>
        </w:rPr>
        <w:t xml:space="preserve">Performance indicators should include conversion of pilots into contracts, contribution margins after assurance costs, delivery reliability and customer retention. Independently reviewed environmental data should be assessed for quality rather than the number of claims published. A risk register should cover technology delays, regulatory change, buyer bargaining power, data limitations and community concerns, with a responsible owner for each risk. If customers demonstrate limited willingness to pay, BHP could retain verified reporting as a relationship service rather than investing in expensive product repositioning. This preserves strategic flexibility while maintaining capital </w:t>
      </w:r>
      <w:r w:rsidRPr="312D1A50" w:rsidR="00C36255">
        <w:rPr>
          <w:rFonts w:ascii="Arial" w:hAnsi="Arial" w:cs="Arial"/>
          <w:sz w:val="24"/>
          <w:szCs w:val="24"/>
        </w:rPr>
        <w:t>discipline</w:t>
      </w:r>
      <w:r w:rsidRPr="312D1A50" w:rsidR="00213357">
        <w:rPr>
          <w:rFonts w:ascii="Arial" w:hAnsi="Arial" w:cs="Arial"/>
          <w:sz w:val="24"/>
          <w:szCs w:val="24"/>
        </w:rPr>
        <w:t xml:space="preserve"> </w:t>
      </w:r>
      <w:r w:rsidRPr="312D1A50" w:rsidR="00C36255">
        <w:rPr>
          <w:rFonts w:ascii="Arial" w:hAnsi="Arial" w:cs="Arial"/>
          <w:sz w:val="24"/>
          <w:szCs w:val="24"/>
        </w:rPr>
        <w:t>(Bright and Cortes, 2019; BHP, 2024)</w:t>
      </w:r>
      <w:r w:rsidRPr="312D1A50" w:rsidR="00213357">
        <w:rPr>
          <w:rFonts w:ascii="Arial" w:hAnsi="Arial" w:cs="Arial"/>
          <w:sz w:val="24"/>
          <w:szCs w:val="24"/>
        </w:rPr>
        <w:t>.</w:t>
      </w:r>
    </w:p>
    <w:p w:rsidR="312D1A50" w:rsidP="312D1A50" w:rsidRDefault="312D1A50" w14:paraId="34287C85" w14:textId="71535E7B">
      <w:pPr>
        <w:rPr>
          <w:rFonts w:ascii="Arial" w:hAnsi="Arial" w:cs="Arial"/>
          <w:sz w:val="24"/>
          <w:szCs w:val="24"/>
        </w:rPr>
      </w:pPr>
    </w:p>
    <w:p w:rsidR="312D1A50" w:rsidP="312D1A50" w:rsidRDefault="312D1A50" w14:paraId="3013A733" w14:textId="1B1FAF97">
      <w:pPr>
        <w:rPr>
          <w:rFonts w:ascii="Arial" w:hAnsi="Arial" w:cs="Arial"/>
          <w:sz w:val="24"/>
          <w:szCs w:val="24"/>
        </w:rPr>
      </w:pPr>
    </w:p>
    <w:p w:rsidRPr="006631BF" w:rsidR="0085093C" w:rsidRDefault="00000000" w14:paraId="7EF54753" w14:textId="1AE0840A">
      <w:pPr>
        <w:rPr>
          <w:rFonts w:ascii="Arial" w:hAnsi="Arial" w:cs="Arial"/>
          <w:sz w:val="24"/>
          <w:szCs w:val="24"/>
        </w:rPr>
      </w:pPr>
      <w:r w:rsidRPr="008D77AD">
        <w:rPr>
          <w:rFonts w:ascii="Arial" w:hAnsi="Arial" w:cs="Arial"/>
          <w:sz w:val="24"/>
          <w:szCs w:val="24"/>
        </w:rPr>
        <w:t xml:space="preserve">Ansoff’s Matrix explains the direction of growth, whereas Porter’s generic strategies explain how competitive advantage may be pursued. These frameworks are complementary rather than interchangeable. The preferred approach is conditional product development for existing industrial customers, followed by selective market development where evidence supports expansion. Management should reject projects whose incremental differentiation costs exceed plausible commercial benefits. The recommendation is therefore a testable strategic option, not a guaranteed source of higher returns </w:t>
      </w:r>
      <w:r w:rsidRPr="003A7A22" w:rsidR="003A7A22">
        <w:rPr>
          <w:rFonts w:ascii="Arial" w:hAnsi="Arial" w:cs="Arial"/>
          <w:sz w:val="24"/>
          <w:szCs w:val="24"/>
        </w:rPr>
        <w:t>(Dawes, 2018; Bright and Cortes, 2019)</w:t>
      </w:r>
      <w:r w:rsidR="00E261F1">
        <w:rPr>
          <w:rFonts w:ascii="Arial" w:hAnsi="Arial" w:cs="Arial"/>
          <w:sz w:val="24"/>
          <w:szCs w:val="24"/>
        </w:rPr>
        <w:t>.</w:t>
      </w:r>
    </w:p>
    <w:p w:rsidRPr="008D77AD" w:rsidR="0085093C" w:rsidRDefault="00000000" w14:paraId="22BE3F67" w14:textId="5254F701">
      <w:pPr>
        <w:pStyle w:val="Heading1"/>
        <w:rPr>
          <w:rFonts w:ascii="Arial" w:hAnsi="Arial" w:cs="Arial"/>
          <w:color w:val="auto"/>
        </w:rPr>
      </w:pPr>
      <w:r w:rsidRPr="312D1A50">
        <w:rPr>
          <w:rFonts w:ascii="Arial" w:hAnsi="Arial" w:cs="Arial"/>
          <w:color w:val="auto"/>
        </w:rPr>
        <w:t>Task 3: Managerial and Professional Reflection</w:t>
      </w:r>
    </w:p>
    <w:p w:rsidRPr="008D77AD" w:rsidR="0085093C" w:rsidRDefault="00000000" w14:paraId="77931CD2" w14:textId="77777777">
      <w:pPr>
        <w:pStyle w:val="Heading2"/>
        <w:rPr>
          <w:rFonts w:ascii="Arial" w:hAnsi="Arial" w:cs="Arial"/>
          <w:color w:val="auto"/>
          <w:sz w:val="24"/>
          <w:szCs w:val="24"/>
        </w:rPr>
      </w:pPr>
      <w:r w:rsidRPr="008D77AD">
        <w:rPr>
          <w:rFonts w:ascii="Arial" w:hAnsi="Arial" w:cs="Arial"/>
          <w:color w:val="auto"/>
          <w:sz w:val="24"/>
          <w:szCs w:val="24"/>
        </w:rPr>
        <w:t>3.1 Reflection on key decisions</w:t>
      </w:r>
    </w:p>
    <w:p w:rsidRPr="004A43BC" w:rsidR="0085093C" w:rsidRDefault="00000000" w14:paraId="61C58C4A" w14:textId="33930A75">
      <w:pPr>
        <w:rPr>
          <w:rFonts w:ascii="Arial" w:hAnsi="Arial" w:cs="Arial"/>
          <w:sz w:val="24"/>
          <w:szCs w:val="24"/>
        </w:rPr>
      </w:pPr>
      <w:r w:rsidRPr="008D77AD">
        <w:rPr>
          <w:rFonts w:ascii="Arial" w:hAnsi="Arial" w:cs="Arial"/>
          <w:sz w:val="24"/>
          <w:szCs w:val="24"/>
        </w:rPr>
        <w:t>I selected BHP because mining highlights the tension between commercial growth and environmental responsibility. I focused on natural, political/legal and technological factors because they affect resilience, compliance and lower-emissions production. Although economic and social factors matter, this focus enabled deeper analysis. I would explain to senior leadership that these factors are priorities, not the only external pressures</w:t>
      </w:r>
      <w:r w:rsidRPr="004A43BC" w:rsidR="004A43BC">
        <w:t xml:space="preserve"> </w:t>
      </w:r>
      <w:r w:rsidRPr="004A43BC" w:rsidR="004A43BC">
        <w:rPr>
          <w:rFonts w:ascii="Arial" w:hAnsi="Arial" w:cs="Arial"/>
          <w:sz w:val="24"/>
          <w:szCs w:val="24"/>
        </w:rPr>
        <w:t>(CIPD, 2025</w:t>
      </w:r>
      <w:r w:rsidRPr="004A43BC" w:rsidR="004A43BC">
        <w:rPr>
          <w:rFonts w:ascii="Arial" w:hAnsi="Arial" w:cs="Arial"/>
          <w:sz w:val="24"/>
          <w:szCs w:val="24"/>
        </w:rPr>
        <w:t>).</w:t>
      </w:r>
    </w:p>
    <w:p w:rsidRPr="008D77AD" w:rsidR="0085093C" w:rsidRDefault="00000000" w14:paraId="72A3D137" w14:textId="7E2BD3AB">
      <w:pPr>
        <w:pStyle w:val="Heading2"/>
        <w:rPr>
          <w:rFonts w:ascii="Arial" w:hAnsi="Arial" w:cs="Arial"/>
          <w:color w:val="auto"/>
          <w:sz w:val="24"/>
          <w:szCs w:val="24"/>
        </w:rPr>
      </w:pPr>
      <w:r w:rsidRPr="008D77AD">
        <w:rPr>
          <w:rFonts w:ascii="Arial" w:hAnsi="Arial" w:cs="Arial"/>
          <w:color w:val="auto"/>
          <w:sz w:val="24"/>
          <w:szCs w:val="24"/>
        </w:rPr>
        <w:t>3.2 Evaluation of strategic decisions</w:t>
      </w:r>
    </w:p>
    <w:p w:rsidRPr="008D77AD" w:rsidR="0085093C" w:rsidRDefault="00000000" w14:paraId="119E1F1F" w14:textId="59FAAF9F">
      <w:pPr>
        <w:rPr>
          <w:rFonts w:ascii="Arial" w:hAnsi="Arial" w:cs="Arial"/>
          <w:sz w:val="24"/>
          <w:szCs w:val="24"/>
        </w:rPr>
      </w:pPr>
      <w:r w:rsidRPr="008D77AD">
        <w:rPr>
          <w:rFonts w:ascii="Arial" w:hAnsi="Arial" w:cs="Arial"/>
          <w:sz w:val="24"/>
          <w:szCs w:val="24"/>
        </w:rPr>
        <w:t xml:space="preserve">Ansoff’s Matrix helped me distinguish growth in existing markets from product and market development (Ansoff, 1957). Porter’s framework encouraged me to consider how BHP might compete while protecting cost discipline (Porter, 1985). Initially, I assumed that better environmental performance would automatically justify higher prices. I later recognised that industrial buyers may prioritise product quality, reliability and affordability. I therefore </w:t>
      </w:r>
      <w:r w:rsidRPr="008D77AD" w:rsidR="00AE3070">
        <w:rPr>
          <w:rFonts w:ascii="Arial" w:hAnsi="Arial" w:cs="Arial"/>
          <w:sz w:val="24"/>
          <w:szCs w:val="24"/>
        </w:rPr>
        <w:t>recommend</w:t>
      </w:r>
      <w:r w:rsidRPr="008D77AD">
        <w:rPr>
          <w:rFonts w:ascii="Arial" w:hAnsi="Arial" w:cs="Arial"/>
          <w:sz w:val="24"/>
          <w:szCs w:val="24"/>
        </w:rPr>
        <w:t xml:space="preserve"> selective differentiation, subject to evidence of customer demand and financial viability. This taught me to question attractive strategic ideas before proposing major investment.</w:t>
      </w:r>
    </w:p>
    <w:p w:rsidRPr="008D77AD" w:rsidR="0085093C" w:rsidRDefault="00000000" w14:paraId="7A1CB0B7" w14:textId="77777777">
      <w:pPr>
        <w:pStyle w:val="Heading2"/>
        <w:rPr>
          <w:rFonts w:ascii="Arial" w:hAnsi="Arial" w:cs="Arial"/>
          <w:color w:val="auto"/>
          <w:sz w:val="24"/>
          <w:szCs w:val="24"/>
        </w:rPr>
      </w:pPr>
      <w:r w:rsidRPr="008D77AD">
        <w:rPr>
          <w:rFonts w:ascii="Arial" w:hAnsi="Arial" w:cs="Arial"/>
          <w:color w:val="auto"/>
          <w:sz w:val="24"/>
          <w:szCs w:val="24"/>
        </w:rPr>
        <w:t>3.3 Limitations of my analysis</w:t>
      </w:r>
    </w:p>
    <w:p w:rsidRPr="00532DE6" w:rsidR="008D77AD" w:rsidP="00C22B57" w:rsidRDefault="00000000" w14:paraId="211D4873" w14:textId="5D3EC819">
      <w:pPr>
        <w:rPr>
          <w:rFonts w:ascii="Arial" w:hAnsi="Arial" w:cs="Arial"/>
          <w:sz w:val="24"/>
          <w:szCs w:val="24"/>
        </w:rPr>
      </w:pPr>
      <w:r w:rsidRPr="7EAD977F" w:rsidR="00000000">
        <w:rPr>
          <w:rFonts w:ascii="Arial" w:hAnsi="Arial" w:cs="Arial"/>
          <w:sz w:val="24"/>
          <w:szCs w:val="24"/>
        </w:rPr>
        <w:t xml:space="preserve">My main limitation was reliance on secondary information, particularly corporate reports and published industry research. These sources offered useful context but did not provide confidential product margins, customer contracts or detailed capital costs. I also lacked direct customer interviews, independent product-level emissions data and competitor pricing comparisons. Consequently, I could not establish whether customers would pay more for verified environmental information. Future </w:t>
      </w:r>
      <w:r w:rsidRPr="7EAD977F" w:rsidR="00AE3070">
        <w:rPr>
          <w:rFonts w:ascii="Arial" w:hAnsi="Arial" w:cs="Arial"/>
          <w:sz w:val="24"/>
          <w:szCs w:val="24"/>
        </w:rPr>
        <w:t>regulations</w:t>
      </w:r>
      <w:r w:rsidRPr="7EAD977F" w:rsidR="00000000">
        <w:rPr>
          <w:rFonts w:ascii="Arial" w:hAnsi="Arial" w:cs="Arial"/>
          <w:sz w:val="24"/>
          <w:szCs w:val="24"/>
        </w:rPr>
        <w:t xml:space="preserve"> and the adoption of new processing technologies introduce further uncertainty. I now recognise that these evidence gaps make my recommendations provisional rather than proven commercial outcomes </w:t>
      </w:r>
      <w:r w:rsidRPr="7EAD977F" w:rsidR="00532DE6">
        <w:rPr>
          <w:rFonts w:ascii="Arial" w:hAnsi="Arial" w:cs="Arial"/>
          <w:sz w:val="24"/>
          <w:szCs w:val="24"/>
        </w:rPr>
        <w:t>(IEEFA, 2024).</w:t>
      </w:r>
    </w:p>
    <w:p w:rsidR="7EAD977F" w:rsidP="7EAD977F" w:rsidRDefault="7EAD977F" w14:paraId="5A61BDA6" w14:textId="26FB575B">
      <w:pPr>
        <w:pStyle w:val="Heading2"/>
        <w:rPr>
          <w:rFonts w:ascii="Arial" w:hAnsi="Arial" w:cs="Arial"/>
          <w:color w:val="auto"/>
          <w:sz w:val="24"/>
          <w:szCs w:val="24"/>
        </w:rPr>
      </w:pPr>
    </w:p>
    <w:p w:rsidRPr="008D77AD" w:rsidR="0085093C" w:rsidRDefault="00000000" w14:paraId="554C2ECE" w14:textId="12E61E18">
      <w:pPr>
        <w:pStyle w:val="Heading2"/>
        <w:rPr>
          <w:rFonts w:ascii="Arial" w:hAnsi="Arial" w:cs="Arial"/>
          <w:color w:val="auto"/>
          <w:sz w:val="24"/>
          <w:szCs w:val="24"/>
        </w:rPr>
      </w:pPr>
      <w:r w:rsidRPr="008D77AD">
        <w:rPr>
          <w:rFonts w:ascii="Arial" w:hAnsi="Arial" w:cs="Arial"/>
          <w:color w:val="auto"/>
          <w:sz w:val="24"/>
          <w:szCs w:val="24"/>
        </w:rPr>
        <w:t>3.4 Additional information and recommendations to senior leadership</w:t>
      </w:r>
    </w:p>
    <w:p w:rsidR="00F02607" w:rsidP="00E8407D" w:rsidRDefault="00000000" w14:paraId="6730E288" w14:textId="4DF1B808">
      <w:pPr>
        <w:rPr>
          <w:rFonts w:ascii="Arial" w:hAnsi="Arial" w:cs="Arial"/>
          <w:sz w:val="24"/>
          <w:szCs w:val="24"/>
        </w:rPr>
      </w:pPr>
      <w:r w:rsidRPr="7EAD977F" w:rsidR="00000000">
        <w:rPr>
          <w:rFonts w:ascii="Arial" w:hAnsi="Arial" w:cs="Arial"/>
          <w:sz w:val="24"/>
          <w:szCs w:val="24"/>
        </w:rPr>
        <w:t xml:space="preserve">Before finalising advice to BHP’s senior leadership, I would seek interviews with industrial </w:t>
      </w:r>
      <w:r w:rsidRPr="7EAD977F" w:rsidR="00000000">
        <w:rPr>
          <w:rFonts w:ascii="Arial" w:hAnsi="Arial" w:cs="Arial"/>
          <w:sz w:val="24"/>
          <w:szCs w:val="24"/>
        </w:rPr>
        <w:t xml:space="preserve">customers about technical requirements and willingness to pay. I would request internal cost estimates, competitor benchmarks and independently verified environmental data. Technical experts should test feedstock suitability, while legal specialists assess reporting and trade obligations. I would recommend a small pilot with measurable costs, contract interest, environmental </w:t>
      </w:r>
      <w:r w:rsidRPr="7EAD977F" w:rsidR="00000000">
        <w:rPr>
          <w:rFonts w:ascii="Arial" w:hAnsi="Arial" w:cs="Arial"/>
          <w:sz w:val="24"/>
          <w:szCs w:val="24"/>
        </w:rPr>
        <w:t>results</w:t>
      </w:r>
      <w:r w:rsidRPr="7EAD977F" w:rsidR="00000000">
        <w:rPr>
          <w:rFonts w:ascii="Arial" w:hAnsi="Arial" w:cs="Arial"/>
          <w:sz w:val="24"/>
          <w:szCs w:val="24"/>
        </w:rPr>
        <w:t xml:space="preserve"> and clear decision points. Only after reviewing these findings </w:t>
      </w:r>
      <w:r w:rsidRPr="7EAD977F" w:rsidR="00E81A0C">
        <w:rPr>
          <w:rFonts w:ascii="Arial" w:hAnsi="Arial" w:cs="Arial"/>
          <w:sz w:val="24"/>
          <w:szCs w:val="24"/>
        </w:rPr>
        <w:t>would,</w:t>
      </w:r>
      <w:r w:rsidRPr="7EAD977F" w:rsidR="00375CAE">
        <w:rPr>
          <w:rFonts w:ascii="Arial" w:hAnsi="Arial" w:cs="Arial"/>
          <w:sz w:val="24"/>
          <w:szCs w:val="24"/>
        </w:rPr>
        <w:t xml:space="preserve"> </w:t>
      </w:r>
      <w:r w:rsidRPr="7EAD977F" w:rsidR="00EE513E">
        <w:rPr>
          <w:rFonts w:ascii="Arial" w:hAnsi="Arial" w:cs="Arial"/>
          <w:sz w:val="24"/>
          <w:szCs w:val="24"/>
        </w:rPr>
        <w:t>I</w:t>
      </w:r>
      <w:r w:rsidRPr="7EAD977F" w:rsidR="00000000">
        <w:rPr>
          <w:rFonts w:ascii="Arial" w:hAnsi="Arial" w:cs="Arial"/>
          <w:sz w:val="24"/>
          <w:szCs w:val="24"/>
        </w:rPr>
        <w:t xml:space="preserve"> support wider implementation. This approach would reduce the risk of investing in differentiation without sufficient evidence.</w:t>
      </w:r>
    </w:p>
    <w:p w:rsidRPr="008D77AD" w:rsidR="0085093C" w:rsidRDefault="00000000" w14:paraId="7EF0E218" w14:textId="5EF87FC8">
      <w:pPr>
        <w:pStyle w:val="Heading2"/>
        <w:rPr>
          <w:rFonts w:ascii="Arial" w:hAnsi="Arial" w:cs="Arial"/>
          <w:color w:val="auto"/>
          <w:sz w:val="24"/>
          <w:szCs w:val="24"/>
        </w:rPr>
      </w:pPr>
      <w:r w:rsidRPr="312D1A50">
        <w:rPr>
          <w:rFonts w:ascii="Arial" w:hAnsi="Arial" w:cs="Arial"/>
          <w:color w:val="auto"/>
          <w:sz w:val="24"/>
          <w:szCs w:val="24"/>
        </w:rPr>
        <w:t>3.5 Personal learning and professional development</w:t>
      </w:r>
    </w:p>
    <w:p w:rsidRPr="008D77AD" w:rsidR="0085093C" w:rsidRDefault="00000000" w14:paraId="7A1EBD2F" w14:textId="03DA7930">
      <w:pPr>
        <w:rPr>
          <w:rFonts w:ascii="Arial" w:hAnsi="Arial" w:cs="Arial"/>
          <w:sz w:val="24"/>
          <w:szCs w:val="24"/>
        </w:rPr>
      </w:pPr>
      <w:r w:rsidRPr="008D77AD">
        <w:rPr>
          <w:rFonts w:ascii="Arial" w:hAnsi="Arial" w:cs="Arial"/>
          <w:sz w:val="24"/>
          <w:szCs w:val="24"/>
        </w:rPr>
        <w:t xml:space="preserve">This report improved my ability to apply marketing theories to a real business while recognising their limitations. I learned to distinguish macro-environmental pressures from strategic responses and to separate evidence from assumptions. My lecturer’s feedback also showed me how clear paragraphs, accurate citations and labelled tables strengthen academic arguments. In </w:t>
      </w:r>
      <w:r w:rsidR="00EE513E">
        <w:rPr>
          <w:rFonts w:ascii="Arial" w:hAnsi="Arial" w:cs="Arial"/>
          <w:sz w:val="24"/>
          <w:szCs w:val="24"/>
        </w:rPr>
        <w:t>the future,</w:t>
      </w:r>
      <w:r w:rsidRPr="008D77AD">
        <w:rPr>
          <w:rFonts w:ascii="Arial" w:hAnsi="Arial" w:cs="Arial"/>
          <w:sz w:val="24"/>
          <w:szCs w:val="24"/>
        </w:rPr>
        <w:t xml:space="preserve"> I will compare corporate claims with independent sources and identify information gaps earlier. I will also communicate uncertainty more clearly when presenting recommendations. These lessons have strengthened my critical thinking and professional judgement.</w:t>
      </w:r>
    </w:p>
    <w:p w:rsidRPr="008D77AD" w:rsidR="0085093C" w:rsidRDefault="00000000" w14:paraId="084CA7B1" w14:textId="446EAA13">
      <w:pPr>
        <w:pStyle w:val="Heading2"/>
        <w:rPr>
          <w:rFonts w:ascii="Arial" w:hAnsi="Arial" w:cs="Arial"/>
          <w:color w:val="auto"/>
          <w:sz w:val="24"/>
          <w:szCs w:val="24"/>
        </w:rPr>
      </w:pPr>
      <w:r w:rsidRPr="008D77AD">
        <w:rPr>
          <w:rFonts w:ascii="Arial" w:hAnsi="Arial" w:cs="Arial"/>
          <w:color w:val="auto"/>
          <w:sz w:val="24"/>
          <w:szCs w:val="24"/>
        </w:rPr>
        <w:t>3.6 Conclusion</w:t>
      </w:r>
    </w:p>
    <w:p w:rsidR="00031666" w:rsidP="00657495" w:rsidRDefault="00000000" w14:paraId="2033B623" w14:textId="0D2AF2C1">
      <w:pPr>
        <w:rPr>
          <w:rFonts w:ascii="Arial" w:hAnsi="Arial" w:cs="Arial"/>
          <w:sz w:val="24"/>
          <w:szCs w:val="24"/>
        </w:rPr>
      </w:pPr>
      <w:r w:rsidRPr="008D77AD">
        <w:rPr>
          <w:rFonts w:ascii="Arial" w:hAnsi="Arial" w:cs="Arial"/>
          <w:sz w:val="24"/>
          <w:szCs w:val="24"/>
        </w:rPr>
        <w:t>Overall, BHP should combine cost discipline with carefully tested differentiation. Environmental pressures do not prove that customers will pay more for lower-emissions minerals. My reflection showed that stronger customer, financial and technical evidence is necessary before major investment. I would therefore recommend limited trials before expansion. This reinforced the value of balanced and accountable managerial decisions.</w:t>
      </w:r>
    </w:p>
    <w:p w:rsidR="00F02607" w:rsidRDefault="00F02607" w14:paraId="5493F36E" w14:textId="77777777">
      <w:pPr>
        <w:pStyle w:val="Heading1"/>
        <w:rPr>
          <w:rFonts w:ascii="Arial" w:hAnsi="Arial" w:cs="Arial"/>
          <w:color w:val="auto"/>
        </w:rPr>
      </w:pPr>
    </w:p>
    <w:p w:rsidR="00F02607" w:rsidRDefault="00F02607" w14:paraId="40528704" w14:textId="77777777">
      <w:pPr>
        <w:pStyle w:val="Heading1"/>
        <w:rPr>
          <w:rFonts w:ascii="Arial" w:hAnsi="Arial" w:cs="Arial"/>
          <w:color w:val="auto"/>
        </w:rPr>
      </w:pPr>
    </w:p>
    <w:p w:rsidR="00E8407D" w:rsidRDefault="00E8407D" w14:paraId="0A9AB704" w14:textId="77777777">
      <w:pPr>
        <w:pStyle w:val="Heading1"/>
        <w:rPr>
          <w:rFonts w:ascii="Arial" w:hAnsi="Arial" w:cs="Arial"/>
          <w:color w:val="auto"/>
        </w:rPr>
      </w:pPr>
    </w:p>
    <w:p w:rsidRPr="00E8407D" w:rsidR="00E8407D" w:rsidP="00E8407D" w:rsidRDefault="00E8407D" w14:paraId="3A79BC5B" w14:textId="77777777"/>
    <w:p w:rsidR="00F533BA" w:rsidRDefault="00F533BA" w14:paraId="25C27E89" w14:textId="77777777">
      <w:pPr>
        <w:pStyle w:val="Heading1"/>
        <w:rPr>
          <w:rFonts w:ascii="Arial" w:hAnsi="Arial" w:cs="Arial"/>
          <w:color w:val="auto"/>
          <w:sz w:val="24"/>
          <w:szCs w:val="24"/>
        </w:rPr>
      </w:pPr>
    </w:p>
    <w:p w:rsidR="00F533BA" w:rsidP="00F533BA" w:rsidRDefault="00F533BA" w14:paraId="2AAB046F" w14:textId="77777777"/>
    <w:p w:rsidRPr="00F533BA" w:rsidR="00F533BA" w:rsidP="00F533BA" w:rsidRDefault="00F533BA" w14:paraId="0E43E84B" w14:textId="77777777"/>
    <w:p w:rsidR="312D1A50" w:rsidP="312D1A50" w:rsidRDefault="312D1A50" w14:paraId="6F265759" w14:textId="2D222DC9">
      <w:pPr>
        <w:pStyle w:val="Heading1"/>
        <w:rPr>
          <w:rFonts w:ascii="Arial" w:hAnsi="Arial" w:cs="Arial"/>
          <w:color w:val="auto"/>
          <w:sz w:val="28"/>
          <w:szCs w:val="28"/>
        </w:rPr>
      </w:pPr>
    </w:p>
    <w:p w:rsidR="0085093C" w:rsidP="312D1A50" w:rsidRDefault="00000000" w14:paraId="00ECE5DD" w14:textId="5B65B820">
      <w:pPr>
        <w:pStyle w:val="Heading1"/>
        <w:rPr>
          <w:rFonts w:ascii="Arial" w:hAnsi="Arial" w:eastAsia="Arial" w:cs="Arial"/>
          <w:color w:val="auto"/>
          <w:sz w:val="24"/>
          <w:szCs w:val="24"/>
        </w:rPr>
      </w:pPr>
      <w:r w:rsidRPr="312D1A50">
        <w:rPr>
          <w:rFonts w:ascii="Arial" w:hAnsi="Arial" w:cs="Arial"/>
          <w:color w:val="auto"/>
          <w:sz w:val="28"/>
          <w:szCs w:val="28"/>
        </w:rPr>
        <w:t>Reference</w:t>
      </w:r>
      <w:r w:rsidRPr="312D1A50" w:rsidR="00AE3070">
        <w:rPr>
          <w:rFonts w:ascii="Arial" w:hAnsi="Arial" w:cs="Arial"/>
          <w:color w:val="auto"/>
          <w:sz w:val="28"/>
          <w:szCs w:val="28"/>
        </w:rPr>
        <w:t xml:space="preserve"> List:</w:t>
      </w:r>
    </w:p>
    <w:p w:rsidR="00832B85" w:rsidP="312D1A50" w:rsidRDefault="00832B85" w14:paraId="7CB10606" w14:textId="5969217C">
      <w:pPr>
        <w:pStyle w:val="Normal"/>
        <w:rPr>
          <w:rFonts w:ascii="Arial" w:hAnsi="Arial" w:eastAsia="Arial" w:cs="Arial"/>
          <w:noProof w:val="0"/>
          <w:sz w:val="24"/>
          <w:szCs w:val="24"/>
          <w:lang w:val="en-GB"/>
        </w:rPr>
      </w:pPr>
      <w:r w:rsidRPr="312D1A50" w:rsidR="1CC750FA">
        <w:rPr>
          <w:rFonts w:ascii="Arial" w:hAnsi="Arial" w:eastAsia="Arial" w:cs="Arial"/>
          <w:noProof w:val="0"/>
          <w:sz w:val="24"/>
          <w:szCs w:val="24"/>
          <w:lang w:val="en-GB"/>
        </w:rPr>
        <w:t>Ansoff, H.I. (1957) ‘Strategies for diversification’, Harvard Business Review, 35(5), pp. 113–124.</w:t>
      </w:r>
    </w:p>
    <w:p w:rsidRPr="000D7AE0" w:rsidR="0085093C" w:rsidP="312D1A50" w:rsidRDefault="0085093C" w14:paraId="75D7BEEC" w14:textId="5A699BA3">
      <w:pPr>
        <w:spacing w:before="240" w:beforeAutospacing="off" w:after="240" w:afterAutospacing="off"/>
        <w:rPr>
          <w:rFonts w:ascii="Arial" w:hAnsi="Arial" w:eastAsia="Arial" w:cs="Arial"/>
          <w:noProof w:val="0"/>
          <w:sz w:val="24"/>
          <w:szCs w:val="24"/>
          <w:lang w:val="en-GB"/>
        </w:rPr>
      </w:pPr>
      <w:r w:rsidRPr="312D1A50" w:rsidR="51F4A8DB">
        <w:rPr>
          <w:rFonts w:ascii="Arial" w:hAnsi="Arial" w:eastAsia="Arial" w:cs="Arial"/>
          <w:noProof w:val="0"/>
          <w:sz w:val="24"/>
          <w:szCs w:val="24"/>
          <w:lang w:val="en-GB"/>
        </w:rPr>
        <w:t xml:space="preserve">BHP (2024a) Climate Transition Action Plan 2024. Available at: </w:t>
      </w:r>
      <w:hyperlink r:id="R4badf08f91bc48c3">
        <w:r w:rsidRPr="312D1A50" w:rsidR="51F4A8DB">
          <w:rPr>
            <w:rStyle w:val="Hyperlink"/>
            <w:rFonts w:ascii="Arial" w:hAnsi="Arial" w:eastAsia="Arial" w:cs="Arial"/>
            <w:noProof w:val="0"/>
            <w:sz w:val="24"/>
            <w:szCs w:val="24"/>
            <w:lang w:val="en-GB"/>
          </w:rPr>
          <w:t>https://www.bhp.com/ctap2024</w:t>
        </w:r>
      </w:hyperlink>
      <w:r w:rsidRPr="312D1A50" w:rsidR="51F4A8DB">
        <w:rPr>
          <w:rFonts w:ascii="Arial" w:hAnsi="Arial" w:eastAsia="Arial" w:cs="Arial"/>
          <w:noProof w:val="0"/>
          <w:sz w:val="24"/>
          <w:szCs w:val="24"/>
          <w:lang w:val="en-GB"/>
        </w:rPr>
        <w:t>.</w:t>
      </w:r>
    </w:p>
    <w:p w:rsidRPr="000D7AE0" w:rsidR="0085093C" w:rsidP="312D1A50" w:rsidRDefault="0085093C" w14:paraId="6BC92A83" w14:textId="7D90C5EB">
      <w:pPr>
        <w:spacing w:before="240" w:beforeAutospacing="off" w:after="240" w:afterAutospacing="off"/>
        <w:rPr>
          <w:rFonts w:ascii="Arial" w:hAnsi="Arial" w:eastAsia="Arial" w:cs="Arial"/>
          <w:noProof w:val="0"/>
          <w:sz w:val="24"/>
          <w:szCs w:val="24"/>
          <w:lang w:val="en-GB"/>
        </w:rPr>
      </w:pPr>
      <w:r w:rsidRPr="312D1A50" w:rsidR="51F4A8DB">
        <w:rPr>
          <w:rFonts w:ascii="Arial" w:hAnsi="Arial" w:eastAsia="Arial" w:cs="Arial"/>
          <w:noProof w:val="0"/>
          <w:sz w:val="24"/>
          <w:szCs w:val="24"/>
          <w:lang w:val="en-GB"/>
        </w:rPr>
        <w:t xml:space="preserve">BHP (2024b) Sustainability Report 2024. Available at: </w:t>
      </w:r>
      <w:hyperlink r:id="R8a3e21d62ac04ad7">
        <w:r w:rsidRPr="312D1A50" w:rsidR="51F4A8DB">
          <w:rPr>
            <w:rStyle w:val="Hyperlink"/>
            <w:rFonts w:ascii="Arial" w:hAnsi="Arial" w:eastAsia="Arial" w:cs="Arial"/>
            <w:noProof w:val="0"/>
            <w:sz w:val="24"/>
            <w:szCs w:val="24"/>
            <w:lang w:val="en-GB"/>
          </w:rPr>
          <w:t>https://www.bhp.com/annualreport</w:t>
        </w:r>
      </w:hyperlink>
      <w:r w:rsidRPr="312D1A50" w:rsidR="51F4A8DB">
        <w:rPr>
          <w:rFonts w:ascii="Arial" w:hAnsi="Arial" w:eastAsia="Arial" w:cs="Arial"/>
          <w:noProof w:val="0"/>
          <w:sz w:val="24"/>
          <w:szCs w:val="24"/>
          <w:lang w:val="en-GB"/>
        </w:rPr>
        <w:t>.</w:t>
      </w:r>
    </w:p>
    <w:p w:rsidRPr="000D7AE0" w:rsidR="0085093C" w:rsidP="312D1A50" w:rsidRDefault="0085093C" w14:paraId="64C87FF1" w14:textId="75322D4E">
      <w:pPr>
        <w:spacing w:before="240" w:beforeAutospacing="off" w:after="240" w:afterAutospacing="off"/>
        <w:rPr>
          <w:rFonts w:ascii="Arial" w:hAnsi="Arial" w:eastAsia="Arial" w:cs="Arial"/>
          <w:noProof w:val="0"/>
          <w:sz w:val="24"/>
          <w:szCs w:val="24"/>
          <w:lang w:val="en-GB"/>
        </w:rPr>
      </w:pPr>
      <w:r w:rsidRPr="312D1A50" w:rsidR="51F4A8DB">
        <w:rPr>
          <w:rFonts w:ascii="Arial" w:hAnsi="Arial" w:eastAsia="Arial" w:cs="Arial"/>
          <w:noProof w:val="0"/>
          <w:sz w:val="24"/>
          <w:szCs w:val="24"/>
          <w:lang w:val="en-GB"/>
        </w:rPr>
        <w:t xml:space="preserve">BHP (2025) Annual Report 2025. Available at: </w:t>
      </w:r>
      <w:hyperlink r:id="Rd0e50ef6ee7c4e72">
        <w:r w:rsidRPr="312D1A50" w:rsidR="51F4A8DB">
          <w:rPr>
            <w:rStyle w:val="Hyperlink"/>
            <w:rFonts w:ascii="Arial" w:hAnsi="Arial" w:eastAsia="Arial" w:cs="Arial"/>
            <w:noProof w:val="0"/>
            <w:sz w:val="24"/>
            <w:szCs w:val="24"/>
            <w:lang w:val="en-GB"/>
          </w:rPr>
          <w:t>https://www.bhp.com/annualreport</w:t>
        </w:r>
      </w:hyperlink>
      <w:r w:rsidRPr="312D1A50" w:rsidR="51F4A8DB">
        <w:rPr>
          <w:rFonts w:ascii="Arial" w:hAnsi="Arial" w:eastAsia="Arial" w:cs="Arial"/>
          <w:noProof w:val="0"/>
          <w:sz w:val="24"/>
          <w:szCs w:val="24"/>
          <w:lang w:val="en-GB"/>
        </w:rPr>
        <w:t>.</w:t>
      </w:r>
    </w:p>
    <w:p w:rsidRPr="000D7AE0" w:rsidR="0085093C" w:rsidP="312D1A50" w:rsidRDefault="0085093C" w14:paraId="2D9B1546" w14:textId="0CD3CABF">
      <w:pPr>
        <w:spacing w:before="240" w:beforeAutospacing="off" w:after="240" w:afterAutospacing="off"/>
        <w:rPr>
          <w:rFonts w:ascii="Arial" w:hAnsi="Arial" w:eastAsia="Arial" w:cs="Arial"/>
          <w:noProof w:val="0"/>
          <w:sz w:val="24"/>
          <w:szCs w:val="24"/>
          <w:lang w:val="en-GB"/>
        </w:rPr>
      </w:pPr>
      <w:r w:rsidRPr="312D1A50" w:rsidR="51F4A8DB">
        <w:rPr>
          <w:rFonts w:ascii="Arial" w:hAnsi="Arial" w:eastAsia="Arial" w:cs="Arial"/>
          <w:noProof w:val="0"/>
          <w:sz w:val="24"/>
          <w:szCs w:val="24"/>
          <w:lang w:val="en-GB"/>
        </w:rPr>
        <w:t xml:space="preserve">BHP (2026) Annual Report 2026. Available at: </w:t>
      </w:r>
      <w:hyperlink r:id="Rb6cae5506ab34345">
        <w:r w:rsidRPr="312D1A50" w:rsidR="51F4A8DB">
          <w:rPr>
            <w:rStyle w:val="Hyperlink"/>
            <w:rFonts w:ascii="Arial" w:hAnsi="Arial" w:eastAsia="Arial" w:cs="Arial"/>
            <w:noProof w:val="0"/>
            <w:sz w:val="24"/>
            <w:szCs w:val="24"/>
            <w:lang w:val="en-GB"/>
          </w:rPr>
          <w:t>https://www.bhp.com/annualreport</w:t>
        </w:r>
      </w:hyperlink>
      <w:r w:rsidRPr="312D1A50" w:rsidR="51F4A8DB">
        <w:rPr>
          <w:rFonts w:ascii="Arial" w:hAnsi="Arial" w:eastAsia="Arial" w:cs="Arial"/>
          <w:noProof w:val="0"/>
          <w:sz w:val="24"/>
          <w:szCs w:val="24"/>
          <w:lang w:val="en-GB"/>
        </w:rPr>
        <w:t>.</w:t>
      </w:r>
    </w:p>
    <w:p w:rsidRPr="000D7AE0" w:rsidR="0085093C" w:rsidP="312D1A50" w:rsidRDefault="0085093C" w14:paraId="4CAF2151" w14:textId="587B996B">
      <w:pPr>
        <w:spacing w:before="240" w:beforeAutospacing="off" w:after="240" w:afterAutospacing="off"/>
        <w:rPr>
          <w:rFonts w:ascii="Arial" w:hAnsi="Arial" w:eastAsia="Arial" w:cs="Arial"/>
          <w:noProof w:val="0"/>
          <w:sz w:val="24"/>
          <w:szCs w:val="24"/>
          <w:lang w:val="en-GB"/>
        </w:rPr>
      </w:pPr>
      <w:r w:rsidRPr="312D1A50" w:rsidR="51F4A8DB">
        <w:rPr>
          <w:rFonts w:ascii="Arial" w:hAnsi="Arial" w:eastAsia="Arial" w:cs="Arial"/>
          <w:noProof w:val="0"/>
          <w:sz w:val="24"/>
          <w:szCs w:val="24"/>
          <w:lang w:val="en-GB"/>
        </w:rPr>
        <w:t xml:space="preserve">Bright, </w:t>
      </w:r>
      <w:r w:rsidRPr="312D1A50" w:rsidR="51F4A8DB">
        <w:rPr>
          <w:rFonts w:ascii="Arial" w:hAnsi="Arial" w:eastAsia="Arial" w:cs="Arial"/>
          <w:noProof w:val="0"/>
          <w:sz w:val="24"/>
          <w:szCs w:val="24"/>
          <w:lang w:val="en-GB"/>
        </w:rPr>
        <w:t>D.S.</w:t>
      </w:r>
      <w:r w:rsidRPr="312D1A50" w:rsidR="51F4A8DB">
        <w:rPr>
          <w:rFonts w:ascii="Arial" w:hAnsi="Arial" w:eastAsia="Arial" w:cs="Arial"/>
          <w:noProof w:val="0"/>
          <w:sz w:val="24"/>
          <w:szCs w:val="24"/>
          <w:lang w:val="en-GB"/>
        </w:rPr>
        <w:t xml:space="preserve"> and Cortes, A.H. (2019) Principles of Management. Houston, TX: OpenStax. Available at: </w:t>
      </w:r>
      <w:hyperlink r:id="R0561a4218f4c4544">
        <w:r w:rsidRPr="312D1A50" w:rsidR="51F4A8DB">
          <w:rPr>
            <w:rStyle w:val="Hyperlink"/>
            <w:rFonts w:ascii="Arial" w:hAnsi="Arial" w:eastAsia="Arial" w:cs="Arial"/>
            <w:noProof w:val="0"/>
            <w:sz w:val="24"/>
            <w:szCs w:val="24"/>
            <w:lang w:val="en-GB"/>
          </w:rPr>
          <w:t>https://openstax.org/books/principles-management/pages/8-6-competition-strategy-and-competitive-advantage</w:t>
        </w:r>
      </w:hyperlink>
      <w:r w:rsidRPr="312D1A50" w:rsidR="51F4A8DB">
        <w:rPr>
          <w:rFonts w:ascii="Arial" w:hAnsi="Arial" w:eastAsia="Arial" w:cs="Arial"/>
          <w:noProof w:val="0"/>
          <w:sz w:val="24"/>
          <w:szCs w:val="24"/>
          <w:lang w:val="en-GB"/>
        </w:rPr>
        <w:t xml:space="preserve"> </w:t>
      </w:r>
      <w:r w:rsidRPr="312D1A50" w:rsidR="51F4A8DB">
        <w:rPr>
          <w:rFonts w:ascii="Arial" w:hAnsi="Arial" w:eastAsia="Arial" w:cs="Arial"/>
          <w:noProof w:val="0"/>
          <w:sz w:val="24"/>
          <w:szCs w:val="24"/>
          <w:lang w:val="en-GB"/>
        </w:rPr>
        <w:t>.</w:t>
      </w:r>
    </w:p>
    <w:p w:rsidRPr="000D7AE0" w:rsidR="0085093C" w:rsidP="312D1A50" w:rsidRDefault="0085093C" w14:paraId="4EB37BFB" w14:textId="60EC0C70">
      <w:pPr>
        <w:spacing w:before="240" w:beforeAutospacing="off" w:after="240" w:afterAutospacing="off"/>
        <w:rPr>
          <w:rFonts w:ascii="Arial" w:hAnsi="Arial" w:eastAsia="Arial" w:cs="Arial"/>
          <w:noProof w:val="0"/>
          <w:sz w:val="24"/>
          <w:szCs w:val="24"/>
          <w:lang w:val="en-GB"/>
        </w:rPr>
      </w:pPr>
      <w:r w:rsidRPr="312D1A50" w:rsidR="51F4A8DB">
        <w:rPr>
          <w:rFonts w:ascii="Arial" w:hAnsi="Arial" w:eastAsia="Arial" w:cs="Arial"/>
          <w:noProof w:val="0"/>
          <w:sz w:val="24"/>
          <w:szCs w:val="24"/>
          <w:lang w:val="en-GB"/>
        </w:rPr>
        <w:t xml:space="preserve">Chartered Institute of Marketing (CIM) (2025) The 7 Ps of Marketing. Available at: </w:t>
      </w:r>
      <w:hyperlink r:id="R53f08dce5a6f43a7">
        <w:r w:rsidRPr="312D1A50" w:rsidR="51F4A8DB">
          <w:rPr>
            <w:rStyle w:val="Hyperlink"/>
            <w:rFonts w:ascii="Arial" w:hAnsi="Arial" w:eastAsia="Arial" w:cs="Arial"/>
            <w:noProof w:val="0"/>
            <w:sz w:val="24"/>
            <w:szCs w:val="24"/>
            <w:lang w:val="en-GB"/>
          </w:rPr>
          <w:t>https://www.cim.co.uk/content-insights/articles/the-7ps-of-marketing</w:t>
        </w:r>
      </w:hyperlink>
      <w:r w:rsidRPr="312D1A50" w:rsidR="51F4A8DB">
        <w:rPr>
          <w:rFonts w:ascii="Arial" w:hAnsi="Arial" w:eastAsia="Arial" w:cs="Arial"/>
          <w:noProof w:val="0"/>
          <w:sz w:val="24"/>
          <w:szCs w:val="24"/>
          <w:lang w:val="en-GB"/>
        </w:rPr>
        <w:t>.</w:t>
      </w:r>
    </w:p>
    <w:p w:rsidRPr="000D7AE0" w:rsidR="0085093C" w:rsidP="312D1A50" w:rsidRDefault="0085093C" w14:paraId="18DFAD97" w14:textId="6EEF42B0">
      <w:pPr>
        <w:spacing w:before="240" w:beforeAutospacing="off" w:after="240" w:afterAutospacing="off"/>
        <w:rPr>
          <w:rFonts w:ascii="Arial" w:hAnsi="Arial" w:eastAsia="Arial" w:cs="Arial"/>
          <w:noProof w:val="0"/>
          <w:sz w:val="24"/>
          <w:szCs w:val="24"/>
          <w:lang w:val="en-GB"/>
        </w:rPr>
      </w:pPr>
      <w:r w:rsidRPr="312D1A50" w:rsidR="51F4A8DB">
        <w:rPr>
          <w:rFonts w:ascii="Arial" w:hAnsi="Arial" w:eastAsia="Arial" w:cs="Arial"/>
          <w:noProof w:val="0"/>
          <w:sz w:val="24"/>
          <w:szCs w:val="24"/>
          <w:lang w:val="en-GB"/>
        </w:rPr>
        <w:t xml:space="preserve">Chartered Institute of Personnel and Development (CIPD) (2025) PESTLE analysis. Available at: </w:t>
      </w:r>
      <w:hyperlink r:id="R435eca3b190247ef">
        <w:r w:rsidRPr="312D1A50" w:rsidR="51F4A8DB">
          <w:rPr>
            <w:rStyle w:val="Hyperlink"/>
            <w:rFonts w:ascii="Arial" w:hAnsi="Arial" w:eastAsia="Arial" w:cs="Arial"/>
            <w:noProof w:val="0"/>
            <w:sz w:val="24"/>
            <w:szCs w:val="24"/>
            <w:lang w:val="en-GB"/>
          </w:rPr>
          <w:t>https://prod.cipd.org/en/knowledge/factsheets/pestle-analysis-factsheet/</w:t>
        </w:r>
      </w:hyperlink>
      <w:r w:rsidRPr="312D1A50" w:rsidR="51F4A8DB">
        <w:rPr>
          <w:rFonts w:ascii="Arial" w:hAnsi="Arial" w:eastAsia="Arial" w:cs="Arial"/>
          <w:noProof w:val="0"/>
          <w:sz w:val="24"/>
          <w:szCs w:val="24"/>
          <w:lang w:val="en-GB"/>
        </w:rPr>
        <w:t>.</w:t>
      </w:r>
    </w:p>
    <w:p w:rsidRPr="000D7AE0" w:rsidR="0085093C" w:rsidP="312D1A50" w:rsidRDefault="0085093C" w14:paraId="076BA3F2" w14:textId="7116EB68">
      <w:pPr>
        <w:spacing w:before="240" w:beforeAutospacing="off" w:after="240" w:afterAutospacing="off"/>
        <w:rPr>
          <w:rFonts w:ascii="Arial" w:hAnsi="Arial" w:eastAsia="Arial" w:cs="Arial"/>
          <w:noProof w:val="0"/>
          <w:sz w:val="24"/>
          <w:szCs w:val="24"/>
          <w:lang w:val="en-GB"/>
        </w:rPr>
      </w:pPr>
      <w:r w:rsidRPr="312D1A50" w:rsidR="51F4A8DB">
        <w:rPr>
          <w:rFonts w:ascii="Arial" w:hAnsi="Arial" w:eastAsia="Arial" w:cs="Arial"/>
          <w:noProof w:val="0"/>
          <w:sz w:val="24"/>
          <w:szCs w:val="24"/>
          <w:lang w:val="en-GB"/>
        </w:rPr>
        <w:t xml:space="preserve">Dawes, J. (2018) The Ansoff Matrix: A legendary tool, but with two logical problems. SSRN working paper. Available at: </w:t>
      </w:r>
      <w:hyperlink r:id="R3fe8e73478c74e45">
        <w:r w:rsidRPr="312D1A50" w:rsidR="51F4A8DB">
          <w:rPr>
            <w:rStyle w:val="Hyperlink"/>
            <w:rFonts w:ascii="Arial" w:hAnsi="Arial" w:eastAsia="Arial" w:cs="Arial"/>
            <w:noProof w:val="0"/>
            <w:sz w:val="24"/>
            <w:szCs w:val="24"/>
            <w:lang w:val="en-GB"/>
          </w:rPr>
          <w:t>https://doi.org/10.2139/ssrn.3130530</w:t>
        </w:r>
      </w:hyperlink>
      <w:r w:rsidRPr="312D1A50" w:rsidR="51F4A8DB">
        <w:rPr>
          <w:rFonts w:ascii="Arial" w:hAnsi="Arial" w:eastAsia="Arial" w:cs="Arial"/>
          <w:noProof w:val="0"/>
          <w:sz w:val="24"/>
          <w:szCs w:val="24"/>
          <w:lang w:val="en-GB"/>
        </w:rPr>
        <w:t xml:space="preserve"> </w:t>
      </w:r>
      <w:r w:rsidRPr="312D1A50" w:rsidR="51F4A8DB">
        <w:rPr>
          <w:rFonts w:ascii="Arial" w:hAnsi="Arial" w:eastAsia="Arial" w:cs="Arial"/>
          <w:noProof w:val="0"/>
          <w:sz w:val="24"/>
          <w:szCs w:val="24"/>
          <w:lang w:val="en-GB"/>
        </w:rPr>
        <w:t>.</w:t>
      </w:r>
    </w:p>
    <w:p w:rsidRPr="000D7AE0" w:rsidR="0085093C" w:rsidP="312D1A50" w:rsidRDefault="0085093C" w14:paraId="04BE1582" w14:textId="105E67FF">
      <w:pPr>
        <w:spacing w:before="240" w:beforeAutospacing="off" w:after="240" w:afterAutospacing="off"/>
        <w:rPr>
          <w:rFonts w:ascii="Arial" w:hAnsi="Arial" w:eastAsia="Arial" w:cs="Arial"/>
          <w:noProof w:val="0"/>
          <w:sz w:val="24"/>
          <w:szCs w:val="24"/>
          <w:lang w:val="en-GB"/>
        </w:rPr>
      </w:pPr>
      <w:r w:rsidRPr="312D1A50" w:rsidR="51F4A8DB">
        <w:rPr>
          <w:rFonts w:ascii="Arial" w:hAnsi="Arial" w:eastAsia="Arial" w:cs="Arial"/>
          <w:noProof w:val="0"/>
          <w:sz w:val="24"/>
          <w:szCs w:val="24"/>
          <w:lang w:val="en-GB"/>
        </w:rPr>
        <w:t xml:space="preserve">European Commission (2026) Carbon Border Adjustment Mechanism. Available at: </w:t>
      </w:r>
      <w:hyperlink r:id="Rcbb795201b3a4b39">
        <w:r w:rsidRPr="312D1A50" w:rsidR="51F4A8DB">
          <w:rPr>
            <w:rStyle w:val="Hyperlink"/>
            <w:rFonts w:ascii="Arial" w:hAnsi="Arial" w:eastAsia="Arial" w:cs="Arial"/>
            <w:noProof w:val="0"/>
            <w:sz w:val="24"/>
            <w:szCs w:val="24"/>
            <w:lang w:val="en-GB"/>
          </w:rPr>
          <w:t>https://taxation-customs.ec.europa.eu/carbon-border-adjustment-mechanism_en</w:t>
        </w:r>
      </w:hyperlink>
      <w:r w:rsidRPr="312D1A50" w:rsidR="51F4A8DB">
        <w:rPr>
          <w:rFonts w:ascii="Arial" w:hAnsi="Arial" w:eastAsia="Arial" w:cs="Arial"/>
          <w:noProof w:val="0"/>
          <w:sz w:val="24"/>
          <w:szCs w:val="24"/>
          <w:lang w:val="en-GB"/>
        </w:rPr>
        <w:t>.</w:t>
      </w:r>
    </w:p>
    <w:p w:rsidRPr="000D7AE0" w:rsidR="0085093C" w:rsidP="312D1A50" w:rsidRDefault="0085093C" w14:paraId="420D9905" w14:textId="06090756">
      <w:pPr>
        <w:spacing w:before="240" w:beforeAutospacing="off" w:after="240" w:afterAutospacing="off"/>
        <w:rPr>
          <w:rFonts w:ascii="Arial" w:hAnsi="Arial" w:eastAsia="Arial" w:cs="Arial"/>
          <w:noProof w:val="0"/>
          <w:sz w:val="24"/>
          <w:szCs w:val="24"/>
          <w:lang w:val="en-GB"/>
        </w:rPr>
      </w:pPr>
      <w:r w:rsidRPr="312D1A50" w:rsidR="51F4A8DB">
        <w:rPr>
          <w:rFonts w:ascii="Arial" w:hAnsi="Arial" w:eastAsia="Arial" w:cs="Arial"/>
          <w:noProof w:val="0"/>
          <w:sz w:val="24"/>
          <w:szCs w:val="24"/>
          <w:lang w:val="en-GB"/>
        </w:rPr>
        <w:t xml:space="preserve">European Parliament and Council (2023) ‘Regulation (EU) 2023/956 establishing a carbon border adjustment mechanism’, Official Journal of the European Union, L 130, pp. 52–104. Available at: </w:t>
      </w:r>
      <w:hyperlink r:id="R736f2bffd3e6405a">
        <w:r w:rsidRPr="312D1A50" w:rsidR="51F4A8DB">
          <w:rPr>
            <w:rStyle w:val="Hyperlink"/>
            <w:rFonts w:ascii="Arial" w:hAnsi="Arial" w:eastAsia="Arial" w:cs="Arial"/>
            <w:noProof w:val="0"/>
            <w:sz w:val="24"/>
            <w:szCs w:val="24"/>
            <w:lang w:val="en-GB"/>
          </w:rPr>
          <w:t>https://eur-lex.europa.eu/eli/reg/2023/956/oj</w:t>
        </w:r>
      </w:hyperlink>
      <w:r w:rsidRPr="312D1A50" w:rsidR="51F4A8DB">
        <w:rPr>
          <w:rFonts w:ascii="Arial" w:hAnsi="Arial" w:eastAsia="Arial" w:cs="Arial"/>
          <w:noProof w:val="0"/>
          <w:sz w:val="24"/>
          <w:szCs w:val="24"/>
          <w:lang w:val="en-GB"/>
        </w:rPr>
        <w:t>.</w:t>
      </w:r>
    </w:p>
    <w:p w:rsidRPr="000D7AE0" w:rsidR="0085093C" w:rsidP="312D1A50" w:rsidRDefault="0085093C" w14:paraId="7BDC2F8B" w14:textId="7859D1F7">
      <w:pPr>
        <w:spacing w:before="240" w:beforeAutospacing="off" w:after="240" w:afterAutospacing="off"/>
        <w:rPr>
          <w:rFonts w:ascii="Arial" w:hAnsi="Arial" w:eastAsia="Arial" w:cs="Arial"/>
          <w:noProof w:val="0"/>
          <w:sz w:val="24"/>
          <w:szCs w:val="24"/>
          <w:lang w:val="en-GB"/>
        </w:rPr>
      </w:pPr>
      <w:r w:rsidRPr="312D1A50" w:rsidR="51F4A8DB">
        <w:rPr>
          <w:rFonts w:ascii="Arial" w:hAnsi="Arial" w:eastAsia="Arial" w:cs="Arial"/>
          <w:noProof w:val="0"/>
          <w:sz w:val="24"/>
          <w:szCs w:val="24"/>
          <w:lang w:val="en-GB"/>
        </w:rPr>
        <w:t xml:space="preserve">Institute for Energy Economics and Financial Analysis (IEEFA) (2024) BHP is lagging its peers on Scope 3 and steel technology transition. Available at: </w:t>
      </w:r>
      <w:hyperlink r:id="R861f9543ed274ca8">
        <w:r w:rsidRPr="312D1A50" w:rsidR="51F4A8DB">
          <w:rPr>
            <w:rStyle w:val="Hyperlink"/>
            <w:rFonts w:ascii="Arial" w:hAnsi="Arial" w:eastAsia="Arial" w:cs="Arial"/>
            <w:noProof w:val="0"/>
            <w:sz w:val="24"/>
            <w:szCs w:val="24"/>
            <w:lang w:val="en-GB"/>
          </w:rPr>
          <w:t>https://ieefa.org/resources/bhp-lagging-its-peers-scope-3-and-steel-technology-transition</w:t>
        </w:r>
      </w:hyperlink>
      <w:r w:rsidRPr="312D1A50" w:rsidR="51F4A8DB">
        <w:rPr>
          <w:rFonts w:ascii="Arial" w:hAnsi="Arial" w:eastAsia="Arial" w:cs="Arial"/>
          <w:noProof w:val="0"/>
          <w:sz w:val="24"/>
          <w:szCs w:val="24"/>
          <w:lang w:val="en-GB"/>
        </w:rPr>
        <w:t>.</w:t>
      </w:r>
    </w:p>
    <w:p w:rsidRPr="000D7AE0" w:rsidR="0085093C" w:rsidP="312D1A50" w:rsidRDefault="0085093C" w14:paraId="6411D815" w14:textId="1DD90AA6">
      <w:pPr>
        <w:spacing w:before="240" w:beforeAutospacing="off" w:after="240" w:afterAutospacing="off"/>
        <w:rPr>
          <w:rFonts w:ascii="Arial" w:hAnsi="Arial" w:eastAsia="Arial" w:cs="Arial"/>
          <w:noProof w:val="0"/>
          <w:sz w:val="24"/>
          <w:szCs w:val="24"/>
          <w:lang w:val="en-GB"/>
        </w:rPr>
      </w:pPr>
      <w:r w:rsidRPr="312D1A50" w:rsidR="51F4A8DB">
        <w:rPr>
          <w:rFonts w:ascii="Arial" w:hAnsi="Arial" w:eastAsia="Arial" w:cs="Arial"/>
          <w:noProof w:val="0"/>
          <w:sz w:val="24"/>
          <w:szCs w:val="24"/>
          <w:lang w:val="en-GB"/>
        </w:rPr>
        <w:t xml:space="preserve">International Energy Agency (IEA) (2024) Global Critical Minerals Outlook 2024. Paris: IEA. Available at: </w:t>
      </w:r>
      <w:hyperlink r:id="Ra997ee0c2e5e4463">
        <w:r w:rsidRPr="312D1A50" w:rsidR="51F4A8DB">
          <w:rPr>
            <w:rStyle w:val="Hyperlink"/>
            <w:rFonts w:ascii="Arial" w:hAnsi="Arial" w:eastAsia="Arial" w:cs="Arial"/>
            <w:noProof w:val="0"/>
            <w:sz w:val="24"/>
            <w:szCs w:val="24"/>
            <w:lang w:val="en-GB"/>
          </w:rPr>
          <w:t>https://www.iea.org/reports/global-critical-minerals-outlook-2024</w:t>
        </w:r>
      </w:hyperlink>
      <w:r w:rsidRPr="312D1A50" w:rsidR="51F4A8DB">
        <w:rPr>
          <w:rFonts w:ascii="Arial" w:hAnsi="Arial" w:eastAsia="Arial" w:cs="Arial"/>
          <w:noProof w:val="0"/>
          <w:sz w:val="24"/>
          <w:szCs w:val="24"/>
          <w:lang w:val="en-GB"/>
        </w:rPr>
        <w:t>.</w:t>
      </w:r>
    </w:p>
    <w:p w:rsidRPr="000D7AE0" w:rsidR="0085093C" w:rsidP="312D1A50" w:rsidRDefault="0085093C" w14:paraId="1D0144E6" w14:textId="25296614">
      <w:pPr>
        <w:spacing w:before="240" w:beforeAutospacing="off" w:after="240" w:afterAutospacing="off"/>
        <w:rPr>
          <w:rFonts w:ascii="Arial" w:hAnsi="Arial" w:eastAsia="Arial" w:cs="Arial"/>
          <w:noProof w:val="0"/>
          <w:sz w:val="24"/>
          <w:szCs w:val="24"/>
          <w:lang w:val="en-GB"/>
        </w:rPr>
      </w:pPr>
      <w:r w:rsidRPr="312D1A50" w:rsidR="51F4A8DB">
        <w:rPr>
          <w:rFonts w:ascii="Arial" w:hAnsi="Arial" w:eastAsia="Arial" w:cs="Arial"/>
          <w:noProof w:val="0"/>
          <w:sz w:val="24"/>
          <w:szCs w:val="24"/>
          <w:lang w:val="en-GB"/>
        </w:rPr>
        <w:t xml:space="preserve">International Energy Agency (IEA) (2025) Global Critical Minerals Outlook 2025. Paris: IEA. Available at: </w:t>
      </w:r>
      <w:hyperlink r:id="Rf361b2094ba84869">
        <w:r w:rsidRPr="312D1A50" w:rsidR="51F4A8DB">
          <w:rPr>
            <w:rStyle w:val="Hyperlink"/>
            <w:rFonts w:ascii="Arial" w:hAnsi="Arial" w:eastAsia="Arial" w:cs="Arial"/>
            <w:noProof w:val="0"/>
            <w:sz w:val="24"/>
            <w:szCs w:val="24"/>
            <w:lang w:val="en-GB"/>
          </w:rPr>
          <w:t>https://www.iea.org/reports/global-critical-minerals-outlook-2025</w:t>
        </w:r>
      </w:hyperlink>
      <w:r w:rsidRPr="312D1A50" w:rsidR="51F4A8DB">
        <w:rPr>
          <w:rFonts w:ascii="Arial" w:hAnsi="Arial" w:eastAsia="Arial" w:cs="Arial"/>
          <w:noProof w:val="0"/>
          <w:sz w:val="24"/>
          <w:szCs w:val="24"/>
          <w:lang w:val="en-GB"/>
        </w:rPr>
        <w:t>.</w:t>
      </w:r>
    </w:p>
    <w:p w:rsidRPr="000D7AE0" w:rsidR="0085093C" w:rsidP="312D1A50" w:rsidRDefault="0085093C" w14:paraId="7AD6D6DD" w14:textId="4198552E">
      <w:pPr>
        <w:spacing w:before="240" w:beforeAutospacing="off" w:after="240" w:afterAutospacing="off"/>
        <w:rPr>
          <w:rFonts w:ascii="Arial" w:hAnsi="Arial" w:eastAsia="Arial" w:cs="Arial"/>
          <w:noProof w:val="0"/>
          <w:sz w:val="24"/>
          <w:szCs w:val="24"/>
          <w:lang w:val="en-GB"/>
        </w:rPr>
      </w:pPr>
    </w:p>
    <w:p w:rsidRPr="000D7AE0" w:rsidR="0085093C" w:rsidP="312D1A50" w:rsidRDefault="0085093C" w14:paraId="19C93211" w14:textId="11E2B4A7">
      <w:pPr>
        <w:spacing w:before="240" w:beforeAutospacing="off" w:after="240" w:afterAutospacing="off"/>
        <w:rPr>
          <w:rFonts w:ascii="Arial" w:hAnsi="Arial" w:eastAsia="Arial" w:cs="Arial"/>
          <w:noProof w:val="0"/>
          <w:sz w:val="24"/>
          <w:szCs w:val="24"/>
          <w:lang w:val="en-GB"/>
        </w:rPr>
      </w:pPr>
      <w:r w:rsidRPr="312D1A50" w:rsidR="51F4A8DB">
        <w:rPr>
          <w:rFonts w:ascii="Arial" w:hAnsi="Arial" w:eastAsia="Arial" w:cs="Arial"/>
          <w:noProof w:val="0"/>
          <w:sz w:val="24"/>
          <w:szCs w:val="24"/>
          <w:lang w:val="en-GB"/>
        </w:rPr>
        <w:t xml:space="preserve">Organisation for Economic Co-operation and Development (OECD) (2023) OECD Guidelines for Multinational Enterprises on Responsible Business Conduct. Paris: OECD Publishing. Available at: </w:t>
      </w:r>
      <w:hyperlink r:id="R8de2752a11734afb">
        <w:r w:rsidRPr="312D1A50" w:rsidR="51F4A8DB">
          <w:rPr>
            <w:rStyle w:val="Hyperlink"/>
            <w:rFonts w:ascii="Arial" w:hAnsi="Arial" w:eastAsia="Arial" w:cs="Arial"/>
            <w:noProof w:val="0"/>
            <w:sz w:val="24"/>
            <w:szCs w:val="24"/>
            <w:lang w:val="en-GB"/>
          </w:rPr>
          <w:t>https://doi.org/10.1787/81f92357-en</w:t>
        </w:r>
      </w:hyperlink>
      <w:r w:rsidRPr="312D1A50" w:rsidR="51F4A8DB">
        <w:rPr>
          <w:rFonts w:ascii="Arial" w:hAnsi="Arial" w:eastAsia="Arial" w:cs="Arial"/>
          <w:noProof w:val="0"/>
          <w:sz w:val="24"/>
          <w:szCs w:val="24"/>
          <w:lang w:val="en-GB"/>
        </w:rPr>
        <w:t>.</w:t>
      </w:r>
    </w:p>
    <w:p w:rsidRPr="000D7AE0" w:rsidR="0085093C" w:rsidP="312D1A50" w:rsidRDefault="0085093C" w14:paraId="7D7F6169" w14:textId="6B725FF8">
      <w:pPr>
        <w:spacing w:before="240" w:beforeAutospacing="off" w:after="240" w:afterAutospacing="off"/>
        <w:rPr>
          <w:rFonts w:ascii="Arial" w:hAnsi="Arial" w:eastAsia="Arial" w:cs="Arial"/>
          <w:noProof w:val="0"/>
          <w:sz w:val="24"/>
          <w:szCs w:val="24"/>
          <w:lang w:val="en-GB"/>
        </w:rPr>
      </w:pPr>
      <w:r w:rsidRPr="312D1A50" w:rsidR="51F4A8DB">
        <w:rPr>
          <w:rFonts w:ascii="Arial" w:hAnsi="Arial" w:eastAsia="Arial" w:cs="Arial"/>
          <w:noProof w:val="0"/>
          <w:sz w:val="24"/>
          <w:szCs w:val="24"/>
          <w:lang w:val="en-GB"/>
        </w:rPr>
        <w:t xml:space="preserve">World Bank (2020) Minerals for Climate Action: The Mineral Intensity of the Clean Energy Transition. Washington, DC: World Bank. Available at: </w:t>
      </w:r>
      <w:hyperlink r:id="Rcab2a5c35641491a">
        <w:r w:rsidRPr="312D1A50" w:rsidR="51F4A8DB">
          <w:rPr>
            <w:rStyle w:val="Hyperlink"/>
            <w:rFonts w:ascii="Arial" w:hAnsi="Arial" w:eastAsia="Arial" w:cs="Arial"/>
            <w:noProof w:val="0"/>
            <w:sz w:val="24"/>
            <w:szCs w:val="24"/>
            <w:lang w:val="en-GB"/>
          </w:rPr>
          <w:t>https://pubdocs.worldbank.org/en/961711588875536384/minerals-for-climate-action-the-mineral-intensity-of-the-clean-energy-transition.pdf</w:t>
        </w:r>
      </w:hyperlink>
    </w:p>
    <w:p w:rsidRPr="000D7AE0" w:rsidR="0085093C" w:rsidRDefault="0085093C" w14:paraId="77C20F98" w14:textId="42E3C33B">
      <w:pPr>
        <w:rPr>
          <w:rFonts w:ascii="Arial" w:hAnsi="Arial" w:cs="Arial"/>
          <w:sz w:val="24"/>
          <w:szCs w:val="24"/>
        </w:rPr>
      </w:pPr>
    </w:p>
    <w:sectPr w:rsidRPr="000D7AE0" w:rsidR="0085093C" w:rsidSect="00034616">
      <w:footerReference w:type="default" r:id="rId12"/>
      <w:pgSz w:w="12240" w:h="15840" w:orient="portrait"/>
      <w:pgMar w:top="1123" w:right="1296" w:bottom="108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8D77AD" w:rsidR="009375BC" w:rsidRDefault="009375BC" w14:paraId="5F66CBDB" w14:textId="77777777">
      <w:pPr>
        <w:spacing w:after="0" w:line="240" w:lineRule="auto"/>
      </w:pPr>
      <w:r w:rsidRPr="008D77AD">
        <w:separator/>
      </w:r>
    </w:p>
  </w:endnote>
  <w:endnote w:type="continuationSeparator" w:id="0">
    <w:p w:rsidRPr="008D77AD" w:rsidR="009375BC" w:rsidRDefault="009375BC" w14:paraId="02450142" w14:textId="77777777">
      <w:pPr>
        <w:spacing w:after="0" w:line="240" w:lineRule="auto"/>
      </w:pPr>
      <w:r w:rsidRPr="008D77A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2977883"/>
      <w:docPartObj>
        <w:docPartGallery w:val="Page Numbers (Bottom of Page)"/>
        <w:docPartUnique/>
      </w:docPartObj>
    </w:sdtPr>
    <w:sdtContent>
      <w:p w:rsidRPr="008D77AD" w:rsidR="00AE3070" w:rsidRDefault="00AE3070" w14:paraId="38B33F78" w14:textId="1F3968CD">
        <w:pPr>
          <w:pStyle w:val="Footer"/>
          <w:jc w:val="right"/>
        </w:pPr>
        <w:r w:rsidRPr="008D77AD">
          <w:fldChar w:fldCharType="begin"/>
        </w:r>
        <w:r w:rsidRPr="008D77AD">
          <w:instrText>PAGE   \* MERGEFORMAT</w:instrText>
        </w:r>
        <w:r w:rsidRPr="008D77AD">
          <w:fldChar w:fldCharType="separate"/>
        </w:r>
        <w:r w:rsidRPr="008D77AD">
          <w:t>2</w:t>
        </w:r>
        <w:r w:rsidRPr="008D77AD">
          <w:fldChar w:fldCharType="end"/>
        </w:r>
      </w:p>
    </w:sdtContent>
  </w:sdt>
  <w:p w:rsidRPr="008D77AD" w:rsidR="0085093C" w:rsidRDefault="0085093C" w14:paraId="17B5C41A" w14:textId="2BC07D91">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8D77AD" w:rsidR="009375BC" w:rsidRDefault="009375BC" w14:paraId="7BBDA481" w14:textId="77777777">
      <w:pPr>
        <w:spacing w:after="0" w:line="240" w:lineRule="auto"/>
      </w:pPr>
      <w:r w:rsidRPr="008D77AD">
        <w:separator/>
      </w:r>
    </w:p>
  </w:footnote>
  <w:footnote w:type="continuationSeparator" w:id="0">
    <w:p w:rsidRPr="008D77AD" w:rsidR="009375BC" w:rsidRDefault="009375BC" w14:paraId="4957780F" w14:textId="77777777">
      <w:pPr>
        <w:spacing w:after="0" w:line="240" w:lineRule="auto"/>
      </w:pPr>
      <w:r w:rsidRPr="008D77A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1757432080">
    <w:abstractNumId w:val="8"/>
  </w:num>
  <w:num w:numId="2" w16cid:durableId="1131052953">
    <w:abstractNumId w:val="6"/>
  </w:num>
  <w:num w:numId="3" w16cid:durableId="1845170515">
    <w:abstractNumId w:val="5"/>
  </w:num>
  <w:num w:numId="4" w16cid:durableId="637610666">
    <w:abstractNumId w:val="4"/>
  </w:num>
  <w:num w:numId="5" w16cid:durableId="948708007">
    <w:abstractNumId w:val="7"/>
  </w:num>
  <w:num w:numId="6" w16cid:durableId="1141313132">
    <w:abstractNumId w:val="3"/>
  </w:num>
  <w:num w:numId="7" w16cid:durableId="1839929390">
    <w:abstractNumId w:val="2"/>
  </w:num>
  <w:num w:numId="8" w16cid:durableId="1940480486">
    <w:abstractNumId w:val="1"/>
  </w:num>
  <w:num w:numId="9" w16cid:durableId="170185889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98"/>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0000"/>
    <w:rsid w:val="000232D9"/>
    <w:rsid w:val="00031666"/>
    <w:rsid w:val="00034616"/>
    <w:rsid w:val="0006063C"/>
    <w:rsid w:val="000940D2"/>
    <w:rsid w:val="00095FCA"/>
    <w:rsid w:val="000A6109"/>
    <w:rsid w:val="000D7AE0"/>
    <w:rsid w:val="001234F0"/>
    <w:rsid w:val="001457C6"/>
    <w:rsid w:val="0015074B"/>
    <w:rsid w:val="001E3186"/>
    <w:rsid w:val="00213357"/>
    <w:rsid w:val="00213DBC"/>
    <w:rsid w:val="0021774A"/>
    <w:rsid w:val="00290E92"/>
    <w:rsid w:val="0029639D"/>
    <w:rsid w:val="002A1B9F"/>
    <w:rsid w:val="002A6C45"/>
    <w:rsid w:val="002C1180"/>
    <w:rsid w:val="002C4FEB"/>
    <w:rsid w:val="00326F90"/>
    <w:rsid w:val="00360C1C"/>
    <w:rsid w:val="00375CAE"/>
    <w:rsid w:val="003822B6"/>
    <w:rsid w:val="00390151"/>
    <w:rsid w:val="003A7A22"/>
    <w:rsid w:val="003D188F"/>
    <w:rsid w:val="00427271"/>
    <w:rsid w:val="00436671"/>
    <w:rsid w:val="004548D8"/>
    <w:rsid w:val="00486C80"/>
    <w:rsid w:val="004A43BC"/>
    <w:rsid w:val="004B2085"/>
    <w:rsid w:val="004C5C3C"/>
    <w:rsid w:val="00502C4D"/>
    <w:rsid w:val="00522E35"/>
    <w:rsid w:val="00532DE6"/>
    <w:rsid w:val="005434FB"/>
    <w:rsid w:val="00543ED1"/>
    <w:rsid w:val="00593700"/>
    <w:rsid w:val="005A6A30"/>
    <w:rsid w:val="005C6671"/>
    <w:rsid w:val="00622E22"/>
    <w:rsid w:val="006344AB"/>
    <w:rsid w:val="00647DA4"/>
    <w:rsid w:val="00657495"/>
    <w:rsid w:val="006631BF"/>
    <w:rsid w:val="00670DEF"/>
    <w:rsid w:val="006823E4"/>
    <w:rsid w:val="006A3068"/>
    <w:rsid w:val="006B1336"/>
    <w:rsid w:val="006F210A"/>
    <w:rsid w:val="006F6481"/>
    <w:rsid w:val="00754F86"/>
    <w:rsid w:val="00755952"/>
    <w:rsid w:val="00760FF5"/>
    <w:rsid w:val="00775B84"/>
    <w:rsid w:val="00780A38"/>
    <w:rsid w:val="00782BAB"/>
    <w:rsid w:val="007C46C4"/>
    <w:rsid w:val="00800B06"/>
    <w:rsid w:val="00803B87"/>
    <w:rsid w:val="00811264"/>
    <w:rsid w:val="008167EB"/>
    <w:rsid w:val="00832B85"/>
    <w:rsid w:val="00832E34"/>
    <w:rsid w:val="0085093C"/>
    <w:rsid w:val="00856D9C"/>
    <w:rsid w:val="00860D3E"/>
    <w:rsid w:val="0086305D"/>
    <w:rsid w:val="008778BD"/>
    <w:rsid w:val="00891DEE"/>
    <w:rsid w:val="008B3899"/>
    <w:rsid w:val="008C3E1D"/>
    <w:rsid w:val="008D09C3"/>
    <w:rsid w:val="008D77AD"/>
    <w:rsid w:val="008F4278"/>
    <w:rsid w:val="009359EB"/>
    <w:rsid w:val="009375BC"/>
    <w:rsid w:val="00971B34"/>
    <w:rsid w:val="009F036D"/>
    <w:rsid w:val="00A41937"/>
    <w:rsid w:val="00AA0A62"/>
    <w:rsid w:val="00AA1D8D"/>
    <w:rsid w:val="00AB203C"/>
    <w:rsid w:val="00AD0CB7"/>
    <w:rsid w:val="00AE3070"/>
    <w:rsid w:val="00AE5178"/>
    <w:rsid w:val="00B21D9E"/>
    <w:rsid w:val="00B23FC1"/>
    <w:rsid w:val="00B24A2B"/>
    <w:rsid w:val="00B47730"/>
    <w:rsid w:val="00B632B7"/>
    <w:rsid w:val="00B73A50"/>
    <w:rsid w:val="00BA2665"/>
    <w:rsid w:val="00BC6065"/>
    <w:rsid w:val="00BD5809"/>
    <w:rsid w:val="00BE00E9"/>
    <w:rsid w:val="00C1453E"/>
    <w:rsid w:val="00C22B57"/>
    <w:rsid w:val="00C32D45"/>
    <w:rsid w:val="00C36255"/>
    <w:rsid w:val="00C46176"/>
    <w:rsid w:val="00C6300A"/>
    <w:rsid w:val="00C94537"/>
    <w:rsid w:val="00CB0664"/>
    <w:rsid w:val="00D44CC9"/>
    <w:rsid w:val="00D73790"/>
    <w:rsid w:val="00D73DD6"/>
    <w:rsid w:val="00DA7C32"/>
    <w:rsid w:val="00DC233E"/>
    <w:rsid w:val="00E261F1"/>
    <w:rsid w:val="00E52135"/>
    <w:rsid w:val="00E540F7"/>
    <w:rsid w:val="00E81A0C"/>
    <w:rsid w:val="00E8407D"/>
    <w:rsid w:val="00EB3F26"/>
    <w:rsid w:val="00EE513E"/>
    <w:rsid w:val="00F02607"/>
    <w:rsid w:val="00F1148F"/>
    <w:rsid w:val="00F20FC8"/>
    <w:rsid w:val="00F533BA"/>
    <w:rsid w:val="00F8215B"/>
    <w:rsid w:val="00F94091"/>
    <w:rsid w:val="00FA651F"/>
    <w:rsid w:val="00FB3FD3"/>
    <w:rsid w:val="00FC0224"/>
    <w:rsid w:val="00FC1087"/>
    <w:rsid w:val="00FC693F"/>
    <w:rsid w:val="00FD334C"/>
    <w:rsid w:val="02E21E85"/>
    <w:rsid w:val="03608BBD"/>
    <w:rsid w:val="069CD436"/>
    <w:rsid w:val="0853A342"/>
    <w:rsid w:val="116B4AC3"/>
    <w:rsid w:val="15B8694E"/>
    <w:rsid w:val="1A18C7F8"/>
    <w:rsid w:val="1BE1F3CD"/>
    <w:rsid w:val="1CC750FA"/>
    <w:rsid w:val="29FD5882"/>
    <w:rsid w:val="2D6FB834"/>
    <w:rsid w:val="2E5EA429"/>
    <w:rsid w:val="312D1A50"/>
    <w:rsid w:val="3342B334"/>
    <w:rsid w:val="35187778"/>
    <w:rsid w:val="36F8F155"/>
    <w:rsid w:val="3FA16ADD"/>
    <w:rsid w:val="414169A1"/>
    <w:rsid w:val="4152FA27"/>
    <w:rsid w:val="4765DB46"/>
    <w:rsid w:val="4834C4A8"/>
    <w:rsid w:val="49AF252B"/>
    <w:rsid w:val="49B73370"/>
    <w:rsid w:val="4E4841AB"/>
    <w:rsid w:val="51F4A8DB"/>
    <w:rsid w:val="53DEA7D4"/>
    <w:rsid w:val="57F2BD53"/>
    <w:rsid w:val="57FE7228"/>
    <w:rsid w:val="5D591B20"/>
    <w:rsid w:val="659B6270"/>
    <w:rsid w:val="665C2708"/>
    <w:rsid w:val="6813E8BE"/>
    <w:rsid w:val="6D2D0597"/>
    <w:rsid w:val="76789155"/>
    <w:rsid w:val="7A69FAB8"/>
    <w:rsid w:val="7A90E856"/>
    <w:rsid w:val="7EAD97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AD13C4"/>
  <w14:defaultImageDpi w14:val="300"/>
  <w15:docId w15:val="{5A6F8484-8B86-4840-99A3-9F5385EFEC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pPr>
      <w:spacing w:after="120"/>
    </w:pPr>
    <w:rPr>
      <w:rFonts w:ascii="Aptos" w:hAnsi="Aptos"/>
      <w:sz w:val="21"/>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193953"/>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193953"/>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93953"/>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1E3186"/>
    <w:rPr>
      <w:color w:val="0000FF"/>
      <w:u w:val="single"/>
    </w:rPr>
  </w:style>
  <w:style w:type="character" w:styleId="UnresolvedMention">
    <w:name w:val="Unresolved Mention"/>
    <w:basedOn w:val="DefaultParagraphFont"/>
    <w:uiPriority w:val="99"/>
    <w:semiHidden/>
    <w:unhideWhenUsed/>
    <w:rsid w:val="00775B84"/>
    <w:rPr>
      <w:color w:val="605E5C"/>
      <w:shd w:val="clear" w:color="auto" w:fill="E1DFDD"/>
    </w:rPr>
  </w:style>
  <w:style w:type="paragraph" w:styleId="NormalWeb">
    <w:name w:val="Normal (Web)"/>
    <w:basedOn w:val="Normal"/>
    <w:uiPriority w:val="99"/>
    <w:semiHidden/>
    <w:unhideWhenUsed/>
    <w:rsid w:val="004B2085"/>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hyperlink" Target="https://www.bhp.com/ctap2024?utm_source=chatgpt.com" TargetMode="External" Id="R4badf08f91bc48c3" /><Relationship Type="http://schemas.openxmlformats.org/officeDocument/2006/relationships/hyperlink" Target="https://www.bhp.com/annualreport?utm_source=chatgpt.com" TargetMode="External" Id="R8a3e21d62ac04ad7" /><Relationship Type="http://schemas.openxmlformats.org/officeDocument/2006/relationships/hyperlink" Target="https://www.bhp.com/annualreport?utm_source=chatgpt.com" TargetMode="External" Id="Rd0e50ef6ee7c4e72" /><Relationship Type="http://schemas.openxmlformats.org/officeDocument/2006/relationships/hyperlink" Target="https://www.bhp.com/annualreport?utm_source=chatgpt.com" TargetMode="External" Id="Rb6cae5506ab34345" /><Relationship Type="http://schemas.openxmlformats.org/officeDocument/2006/relationships/hyperlink" Target="https://openstax.org/books/principles-management/pages/8-6-competition-strategy-and-competitive-advantage?utm_source=chatgpt.com" TargetMode="External" Id="R0561a4218f4c4544" /><Relationship Type="http://schemas.openxmlformats.org/officeDocument/2006/relationships/hyperlink" Target="https://www.cim.co.uk/content-insights/articles/the-7ps-of-marketing?utm_source=chatgpt.com" TargetMode="External" Id="R53f08dce5a6f43a7" /><Relationship Type="http://schemas.openxmlformats.org/officeDocument/2006/relationships/hyperlink" Target="https://prod.cipd.org/en/knowledge/factsheets/pestle-analysis-factsheet/?utm_source=chatgpt.com" TargetMode="External" Id="R435eca3b190247ef" /><Relationship Type="http://schemas.openxmlformats.org/officeDocument/2006/relationships/hyperlink" Target="https://doi.org/10.2139/ssrn.3130530?utm_source=chatgpt.com" TargetMode="External" Id="R3fe8e73478c74e45" /><Relationship Type="http://schemas.openxmlformats.org/officeDocument/2006/relationships/hyperlink" Target="https://taxation-customs.ec.europa.eu/carbon-border-adjustment-mechanism_en?utm_source=chatgpt.com" TargetMode="External" Id="Rcbb795201b3a4b39" /><Relationship Type="http://schemas.openxmlformats.org/officeDocument/2006/relationships/hyperlink" Target="https://eur-lex.europa.eu/eli/reg/2023/956/oj?utm_source=chatgpt.com" TargetMode="External" Id="R736f2bffd3e6405a" /><Relationship Type="http://schemas.openxmlformats.org/officeDocument/2006/relationships/hyperlink" Target="https://ieefa.org/resources/bhp-lagging-its-peers-scope-3-and-steel-technology-transition?utm_source=chatgpt.com" TargetMode="External" Id="R861f9543ed274ca8" /><Relationship Type="http://schemas.openxmlformats.org/officeDocument/2006/relationships/hyperlink" Target="https://www.iea.org/reports/global-critical-minerals-outlook-2024?utm_source=chatgpt.com" TargetMode="External" Id="Ra997ee0c2e5e4463" /><Relationship Type="http://schemas.openxmlformats.org/officeDocument/2006/relationships/hyperlink" Target="https://www.iea.org/reports/global-critical-minerals-outlook-2025?utm_source=chatgpt.com" TargetMode="External" Id="Rf361b2094ba84869" /><Relationship Type="http://schemas.openxmlformats.org/officeDocument/2006/relationships/hyperlink" Target="https://doi.org/10.1787/81f92357-en?utm_source=chatgpt.com" TargetMode="External" Id="R8de2752a11734afb" /><Relationship Type="http://schemas.openxmlformats.org/officeDocument/2006/relationships/hyperlink" Target="https://pubdocs.worldbank.org/en/961711588875536384/minerals-for-climate-action-the-mineral-intensity-of-the-clean-energy-transition.pdf?utm_source=chatgpt.com" TargetMode="External" Id="Rcab2a5c35641491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8E90C46-A082-4862-AF59-949FDC13FF12}">
  <we:reference id="WA200000368" version="1.0.0.0" store="Omex" storeType="OMEX"/>
  <we:alternateReferences>
    <we:reference id="WA200000368" version="1.0.0.0" store="WA200000368" storeType="OMEX"/>
  </we:alternateReferences>
  <we:properties>
    <we:property name="documentId" value="&quot;b507c0a30656fdc7&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2" ma:contentTypeDescription="Create a new document." ma:contentTypeScope="" ma:versionID="c6fcdb77e3ccefb9fb56e37f3251ed9f">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a871dfde7679764326101738a2cbaa62"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937D8124-CE46-4180-B075-735FEDAE1F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418E02-D100-420F-8384-237F79A24554}">
  <ds:schemaRefs>
    <ds:schemaRef ds:uri="http://schemas.microsoft.com/sharepoint/v3/contenttype/forms"/>
  </ds:schemaRefs>
</ds:datastoreItem>
</file>

<file path=customXml/itemProps4.xml><?xml version="1.0" encoding="utf-8"?>
<ds:datastoreItem xmlns:ds="http://schemas.openxmlformats.org/officeDocument/2006/customXml" ds:itemID="{8F9208C6-A964-4AD2-9211-3590349C0E45}">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Tania De Fatima Agostinho Dos Santos (2313904)</lastModifiedBy>
  <revision>120</revision>
  <dcterms:created xsi:type="dcterms:W3CDTF">2026-10-21T21:27:00.0000000Z</dcterms:created>
  <dcterms:modified xsi:type="dcterms:W3CDTF">2026-10-22T09:27:48.8048516Z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