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0BB4D" w14:textId="77777777" w:rsidR="00AE474D" w:rsidRPr="004021D1" w:rsidRDefault="00AE474D" w:rsidP="00AE474D">
      <w:pPr>
        <w:pStyle w:val="Title"/>
        <w:jc w:val="center"/>
        <w:rPr>
          <w:color w:val="000000" w:themeColor="text1"/>
          <w:sz w:val="40"/>
          <w:szCs w:val="40"/>
          <w:lang w:val="en-GB"/>
        </w:rPr>
      </w:pPr>
    </w:p>
    <w:p w14:paraId="0DDF6FEB" w14:textId="77777777" w:rsidR="00AE474D" w:rsidRPr="004021D1" w:rsidRDefault="00AE474D" w:rsidP="00AE474D">
      <w:pPr>
        <w:pStyle w:val="Title"/>
        <w:jc w:val="center"/>
        <w:rPr>
          <w:color w:val="000000" w:themeColor="text1"/>
          <w:sz w:val="40"/>
          <w:szCs w:val="40"/>
          <w:lang w:val="en-GB"/>
        </w:rPr>
      </w:pPr>
    </w:p>
    <w:p w14:paraId="4195EC4F" w14:textId="77777777" w:rsidR="00AE474D" w:rsidRPr="004021D1" w:rsidRDefault="00AE474D" w:rsidP="00AE474D">
      <w:pPr>
        <w:pStyle w:val="Title"/>
        <w:jc w:val="center"/>
        <w:rPr>
          <w:color w:val="000000" w:themeColor="text1"/>
          <w:sz w:val="40"/>
          <w:szCs w:val="40"/>
          <w:lang w:val="en-GB"/>
        </w:rPr>
      </w:pPr>
    </w:p>
    <w:p w14:paraId="157272AA" w14:textId="2C430C63" w:rsidR="00A24650" w:rsidRPr="004021D1" w:rsidRDefault="004021D1" w:rsidP="00AE474D">
      <w:pPr>
        <w:pStyle w:val="Title"/>
        <w:jc w:val="center"/>
        <w:rPr>
          <w:b/>
          <w:bCs/>
          <w:color w:val="000000" w:themeColor="text1"/>
          <w:sz w:val="40"/>
          <w:szCs w:val="40"/>
          <w:lang w:val="en-GB"/>
        </w:rPr>
      </w:pPr>
      <w:r>
        <w:rPr>
          <w:b/>
          <w:bCs/>
          <w:color w:val="000000" w:themeColor="text1"/>
          <w:sz w:val="40"/>
          <w:szCs w:val="40"/>
          <w:lang w:val="en-GB"/>
        </w:rPr>
        <w:t>Dissertation Proposal</w:t>
      </w:r>
    </w:p>
    <w:p w14:paraId="5D00F4C3" w14:textId="77777777" w:rsidR="00AE474D" w:rsidRPr="004021D1" w:rsidRDefault="00AE474D" w:rsidP="00AE474D">
      <w:pPr>
        <w:pStyle w:val="Title"/>
        <w:jc w:val="center"/>
        <w:rPr>
          <w:color w:val="000000" w:themeColor="text1"/>
          <w:sz w:val="40"/>
          <w:szCs w:val="40"/>
          <w:lang w:val="en-GB"/>
        </w:rPr>
      </w:pPr>
    </w:p>
    <w:p w14:paraId="7D83B5C8" w14:textId="2F975E14" w:rsidR="001E156F" w:rsidRPr="004021D1" w:rsidRDefault="00000000" w:rsidP="00AE474D">
      <w:pPr>
        <w:pStyle w:val="Title"/>
        <w:jc w:val="center"/>
        <w:rPr>
          <w:color w:val="000000" w:themeColor="text1"/>
          <w:sz w:val="36"/>
          <w:szCs w:val="36"/>
          <w:lang w:val="en-GB"/>
        </w:rPr>
      </w:pPr>
      <w:r w:rsidRPr="004021D1">
        <w:rPr>
          <w:color w:val="000000" w:themeColor="text1"/>
          <w:sz w:val="36"/>
          <w:szCs w:val="36"/>
          <w:lang w:val="en-GB"/>
        </w:rPr>
        <w:t>ORGANISATIONAL CULTURE ROLE IN BUSINESS OPERATIONS: A CASE STUDY OF ZARA</w:t>
      </w:r>
    </w:p>
    <w:p w14:paraId="4006AE39" w14:textId="77777777" w:rsidR="004021D1" w:rsidRPr="004021D1" w:rsidRDefault="004021D1" w:rsidP="004021D1">
      <w:pPr>
        <w:rPr>
          <w:lang w:val="en-GB"/>
        </w:rPr>
      </w:pPr>
    </w:p>
    <w:p w14:paraId="057F4BF9" w14:textId="77777777" w:rsidR="004021D1" w:rsidRPr="004021D1" w:rsidRDefault="004021D1" w:rsidP="004021D1">
      <w:pPr>
        <w:spacing w:line="360" w:lineRule="auto"/>
        <w:jc w:val="center"/>
        <w:rPr>
          <w:sz w:val="32"/>
          <w:szCs w:val="32"/>
          <w:lang w:val="nl-NL"/>
        </w:rPr>
      </w:pPr>
      <w:r w:rsidRPr="004021D1">
        <w:rPr>
          <w:b/>
          <w:bCs/>
          <w:sz w:val="32"/>
          <w:szCs w:val="32"/>
          <w:lang w:val="nl-NL"/>
        </w:rPr>
        <w:t>Student Name:</w:t>
      </w:r>
      <w:r w:rsidRPr="004021D1">
        <w:rPr>
          <w:sz w:val="32"/>
          <w:szCs w:val="32"/>
          <w:lang w:val="nl-NL"/>
        </w:rPr>
        <w:t xml:space="preserve"> Akashdeep Singh</w:t>
      </w:r>
    </w:p>
    <w:p w14:paraId="7F924541" w14:textId="77777777" w:rsidR="004021D1" w:rsidRPr="004021D1" w:rsidRDefault="004021D1" w:rsidP="004021D1">
      <w:pPr>
        <w:spacing w:line="360" w:lineRule="auto"/>
        <w:jc w:val="center"/>
        <w:rPr>
          <w:sz w:val="32"/>
          <w:szCs w:val="32"/>
          <w:lang w:val="nl-NL"/>
        </w:rPr>
      </w:pPr>
      <w:r w:rsidRPr="004021D1">
        <w:rPr>
          <w:b/>
          <w:bCs/>
          <w:sz w:val="32"/>
          <w:szCs w:val="32"/>
          <w:lang w:val="nl-NL"/>
        </w:rPr>
        <w:t>Student ID:</w:t>
      </w:r>
      <w:r w:rsidRPr="004021D1">
        <w:rPr>
          <w:sz w:val="32"/>
          <w:szCs w:val="32"/>
          <w:lang w:val="nl-NL"/>
        </w:rPr>
        <w:t xml:space="preserve"> 2414887</w:t>
      </w:r>
    </w:p>
    <w:p w14:paraId="65844AEA" w14:textId="3D7C259B" w:rsidR="004021D1" w:rsidRPr="004021D1" w:rsidRDefault="004021D1" w:rsidP="004021D1">
      <w:pPr>
        <w:spacing w:line="360" w:lineRule="auto"/>
        <w:jc w:val="center"/>
        <w:rPr>
          <w:sz w:val="32"/>
          <w:szCs w:val="32"/>
          <w:lang w:val="en-GB"/>
        </w:rPr>
      </w:pPr>
      <w:r w:rsidRPr="004021D1">
        <w:rPr>
          <w:b/>
          <w:bCs/>
          <w:sz w:val="32"/>
          <w:szCs w:val="32"/>
          <w:lang w:val="en-GB"/>
        </w:rPr>
        <w:t>Module:</w:t>
      </w:r>
      <w:r w:rsidRPr="004021D1">
        <w:rPr>
          <w:sz w:val="32"/>
          <w:szCs w:val="32"/>
          <w:lang w:val="en-GB"/>
        </w:rPr>
        <w:t xml:space="preserve"> </w:t>
      </w:r>
      <w:r w:rsidRPr="004021D1">
        <w:rPr>
          <w:sz w:val="32"/>
          <w:szCs w:val="32"/>
        </w:rPr>
        <w:t xml:space="preserve">Dissertation </w:t>
      </w:r>
      <w:r w:rsidRPr="004021D1">
        <w:rPr>
          <w:sz w:val="32"/>
          <w:szCs w:val="32"/>
        </w:rPr>
        <w:t>(</w:t>
      </w:r>
      <w:r w:rsidRPr="004021D1">
        <w:rPr>
          <w:sz w:val="32"/>
          <w:szCs w:val="32"/>
        </w:rPr>
        <w:t>LCMB7035</w:t>
      </w:r>
      <w:r w:rsidRPr="004021D1">
        <w:rPr>
          <w:sz w:val="32"/>
          <w:szCs w:val="32"/>
        </w:rPr>
        <w:t>)</w:t>
      </w:r>
    </w:p>
    <w:p w14:paraId="351EEBF9" w14:textId="7CA63654" w:rsidR="004021D1" w:rsidRPr="004021D1" w:rsidRDefault="004021D1" w:rsidP="004021D1">
      <w:pPr>
        <w:spacing w:line="360" w:lineRule="auto"/>
        <w:jc w:val="center"/>
        <w:rPr>
          <w:sz w:val="32"/>
          <w:szCs w:val="32"/>
          <w:lang w:val="en-GB"/>
        </w:rPr>
      </w:pPr>
      <w:r w:rsidRPr="004021D1">
        <w:rPr>
          <w:b/>
          <w:bCs/>
          <w:sz w:val="32"/>
          <w:szCs w:val="32"/>
          <w:lang w:val="en-GB"/>
        </w:rPr>
        <w:t xml:space="preserve">Word Count: </w:t>
      </w:r>
      <w:r w:rsidRPr="004021D1">
        <w:rPr>
          <w:sz w:val="32"/>
          <w:szCs w:val="32"/>
          <w:lang w:val="en-GB"/>
        </w:rPr>
        <w:t>1976</w:t>
      </w:r>
      <w:r w:rsidRPr="004021D1">
        <w:rPr>
          <w:sz w:val="32"/>
          <w:szCs w:val="32"/>
          <w:lang w:val="en-GB"/>
        </w:rPr>
        <w:br/>
      </w:r>
      <w:r w:rsidRPr="004021D1">
        <w:rPr>
          <w:b/>
          <w:bCs/>
          <w:sz w:val="32"/>
          <w:szCs w:val="32"/>
          <w:lang w:val="en-GB"/>
        </w:rPr>
        <w:t>Submission Date:</w:t>
      </w:r>
      <w:r w:rsidRPr="004021D1">
        <w:rPr>
          <w:sz w:val="32"/>
          <w:szCs w:val="32"/>
          <w:lang w:val="en-GB"/>
        </w:rPr>
        <w:t xml:space="preserve"> 10</w:t>
      </w:r>
      <w:r w:rsidRPr="004021D1">
        <w:rPr>
          <w:sz w:val="32"/>
          <w:szCs w:val="32"/>
          <w:vertAlign w:val="superscript"/>
          <w:lang w:val="en-GB"/>
        </w:rPr>
        <w:t>th</w:t>
      </w:r>
      <w:r w:rsidRPr="004021D1">
        <w:rPr>
          <w:sz w:val="32"/>
          <w:szCs w:val="32"/>
          <w:lang w:val="en-GB"/>
        </w:rPr>
        <w:t xml:space="preserve"> October 2025</w:t>
      </w:r>
    </w:p>
    <w:p w14:paraId="40E1C27A" w14:textId="77777777" w:rsidR="001E156F" w:rsidRPr="004021D1" w:rsidRDefault="00000000">
      <w:pPr>
        <w:rPr>
          <w:lang w:val="en-GB"/>
        </w:rPr>
      </w:pPr>
      <w:r w:rsidRPr="004021D1">
        <w:rPr>
          <w:lang w:val="en-GB"/>
        </w:rPr>
        <w:br w:type="page"/>
      </w:r>
    </w:p>
    <w:p w14:paraId="2FEE8FDF" w14:textId="77777777" w:rsidR="001E156F" w:rsidRPr="004021D1" w:rsidRDefault="00000000" w:rsidP="004E473E">
      <w:pPr>
        <w:keepNext/>
        <w:keepLines/>
        <w:pBdr>
          <w:top w:val="nil"/>
          <w:left w:val="nil"/>
          <w:bottom w:val="nil"/>
          <w:right w:val="nil"/>
          <w:between w:val="nil"/>
        </w:pBdr>
        <w:spacing w:before="240" w:line="360" w:lineRule="auto"/>
        <w:rPr>
          <w:rFonts w:eastAsia="Times New Roman"/>
          <w:b/>
          <w:color w:val="000000" w:themeColor="text1"/>
          <w:sz w:val="24"/>
          <w:szCs w:val="24"/>
          <w:lang w:val="en-GB"/>
        </w:rPr>
      </w:pPr>
      <w:r w:rsidRPr="004021D1">
        <w:rPr>
          <w:rFonts w:eastAsia="Times New Roman"/>
          <w:b/>
          <w:color w:val="000000" w:themeColor="text1"/>
          <w:sz w:val="24"/>
          <w:szCs w:val="24"/>
          <w:lang w:val="en-GB"/>
        </w:rPr>
        <w:lastRenderedPageBreak/>
        <w:t>Table of Contents</w:t>
      </w:r>
    </w:p>
    <w:sdt>
      <w:sdtPr>
        <w:rPr>
          <w:color w:val="000000" w:themeColor="text1"/>
          <w:sz w:val="24"/>
          <w:szCs w:val="24"/>
          <w:lang w:val="en-GB"/>
        </w:rPr>
        <w:id w:val="1277878776"/>
        <w:docPartObj>
          <w:docPartGallery w:val="Table of Contents"/>
          <w:docPartUnique/>
        </w:docPartObj>
      </w:sdtPr>
      <w:sdtEndPr>
        <w:rPr>
          <w:color w:val="auto"/>
          <w:sz w:val="22"/>
          <w:szCs w:val="22"/>
        </w:rPr>
      </w:sdtEndPr>
      <w:sdtContent>
        <w:p w14:paraId="2B6F9481" w14:textId="522B5992" w:rsidR="004E473E" w:rsidRPr="004021D1" w:rsidRDefault="00000000">
          <w:pPr>
            <w:pStyle w:val="TOC1"/>
            <w:tabs>
              <w:tab w:val="right" w:leader="dot" w:pos="9350"/>
            </w:tabs>
            <w:rPr>
              <w:noProof/>
              <w:color w:val="000000" w:themeColor="text1"/>
              <w:sz w:val="24"/>
              <w:szCs w:val="24"/>
            </w:rPr>
          </w:pPr>
          <w:r w:rsidRPr="004021D1">
            <w:rPr>
              <w:color w:val="000000" w:themeColor="text1"/>
              <w:sz w:val="24"/>
              <w:szCs w:val="24"/>
              <w:lang w:val="en-GB"/>
            </w:rPr>
            <w:fldChar w:fldCharType="begin"/>
          </w:r>
          <w:r w:rsidRPr="004021D1">
            <w:rPr>
              <w:color w:val="000000" w:themeColor="text1"/>
              <w:sz w:val="24"/>
              <w:szCs w:val="24"/>
              <w:lang w:val="en-GB"/>
            </w:rPr>
            <w:instrText xml:space="preserve"> TOC \h \u \z \t "Heading 1,1,Heading 2,2,Heading 3,3,"</w:instrText>
          </w:r>
          <w:r w:rsidRPr="004021D1">
            <w:rPr>
              <w:color w:val="000000" w:themeColor="text1"/>
              <w:sz w:val="24"/>
              <w:szCs w:val="24"/>
              <w:lang w:val="en-GB"/>
            </w:rPr>
            <w:fldChar w:fldCharType="separate"/>
          </w:r>
          <w:hyperlink w:anchor="_Toc210489140" w:history="1">
            <w:r w:rsidR="004E473E" w:rsidRPr="004021D1">
              <w:rPr>
                <w:rStyle w:val="Hyperlink"/>
                <w:noProof/>
                <w:color w:val="000000" w:themeColor="text1"/>
                <w:sz w:val="24"/>
                <w:szCs w:val="24"/>
                <w:lang w:val="en-GB"/>
              </w:rPr>
              <w:t>Research Problem</w:t>
            </w:r>
            <w:r w:rsidR="004E473E" w:rsidRPr="004021D1">
              <w:rPr>
                <w:noProof/>
                <w:webHidden/>
                <w:color w:val="000000" w:themeColor="text1"/>
                <w:sz w:val="24"/>
                <w:szCs w:val="24"/>
              </w:rPr>
              <w:tab/>
            </w:r>
            <w:r w:rsidR="004E473E" w:rsidRPr="004021D1">
              <w:rPr>
                <w:noProof/>
                <w:webHidden/>
                <w:color w:val="000000" w:themeColor="text1"/>
                <w:sz w:val="24"/>
                <w:szCs w:val="24"/>
              </w:rPr>
              <w:fldChar w:fldCharType="begin"/>
            </w:r>
            <w:r w:rsidR="004E473E" w:rsidRPr="004021D1">
              <w:rPr>
                <w:noProof/>
                <w:webHidden/>
                <w:color w:val="000000" w:themeColor="text1"/>
                <w:sz w:val="24"/>
                <w:szCs w:val="24"/>
              </w:rPr>
              <w:instrText xml:space="preserve"> PAGEREF _Toc210489140 \h </w:instrText>
            </w:r>
            <w:r w:rsidR="004E473E" w:rsidRPr="004021D1">
              <w:rPr>
                <w:noProof/>
                <w:webHidden/>
                <w:color w:val="000000" w:themeColor="text1"/>
                <w:sz w:val="24"/>
                <w:szCs w:val="24"/>
              </w:rPr>
            </w:r>
            <w:r w:rsidR="004E473E" w:rsidRPr="004021D1">
              <w:rPr>
                <w:noProof/>
                <w:webHidden/>
                <w:color w:val="000000" w:themeColor="text1"/>
                <w:sz w:val="24"/>
                <w:szCs w:val="24"/>
              </w:rPr>
              <w:fldChar w:fldCharType="separate"/>
            </w:r>
            <w:r w:rsidR="004E473E" w:rsidRPr="004021D1">
              <w:rPr>
                <w:noProof/>
                <w:webHidden/>
                <w:color w:val="000000" w:themeColor="text1"/>
                <w:sz w:val="24"/>
                <w:szCs w:val="24"/>
              </w:rPr>
              <w:t>3</w:t>
            </w:r>
            <w:r w:rsidR="004E473E" w:rsidRPr="004021D1">
              <w:rPr>
                <w:noProof/>
                <w:webHidden/>
                <w:color w:val="000000" w:themeColor="text1"/>
                <w:sz w:val="24"/>
                <w:szCs w:val="24"/>
              </w:rPr>
              <w:fldChar w:fldCharType="end"/>
            </w:r>
          </w:hyperlink>
        </w:p>
        <w:p w14:paraId="72A0D926" w14:textId="0B11B1CF" w:rsidR="004E473E" w:rsidRPr="004021D1" w:rsidRDefault="004E473E">
          <w:pPr>
            <w:pStyle w:val="TOC1"/>
            <w:tabs>
              <w:tab w:val="right" w:leader="dot" w:pos="9350"/>
            </w:tabs>
            <w:rPr>
              <w:noProof/>
              <w:color w:val="000000" w:themeColor="text1"/>
              <w:sz w:val="24"/>
              <w:szCs w:val="24"/>
            </w:rPr>
          </w:pPr>
          <w:hyperlink w:anchor="_Toc210489141" w:history="1">
            <w:r w:rsidRPr="004021D1">
              <w:rPr>
                <w:rStyle w:val="Hyperlink"/>
                <w:noProof/>
                <w:color w:val="000000" w:themeColor="text1"/>
                <w:sz w:val="24"/>
                <w:szCs w:val="24"/>
                <w:lang w:val="en-GB"/>
              </w:rPr>
              <w:t>Research Aim</w:t>
            </w:r>
            <w:r w:rsidRPr="004021D1">
              <w:rPr>
                <w:noProof/>
                <w:webHidden/>
                <w:color w:val="000000" w:themeColor="text1"/>
                <w:sz w:val="24"/>
                <w:szCs w:val="24"/>
              </w:rPr>
              <w:tab/>
            </w:r>
            <w:r w:rsidRPr="004021D1">
              <w:rPr>
                <w:noProof/>
                <w:webHidden/>
                <w:color w:val="000000" w:themeColor="text1"/>
                <w:sz w:val="24"/>
                <w:szCs w:val="24"/>
              </w:rPr>
              <w:fldChar w:fldCharType="begin"/>
            </w:r>
            <w:r w:rsidRPr="004021D1">
              <w:rPr>
                <w:noProof/>
                <w:webHidden/>
                <w:color w:val="000000" w:themeColor="text1"/>
                <w:sz w:val="24"/>
                <w:szCs w:val="24"/>
              </w:rPr>
              <w:instrText xml:space="preserve"> PAGEREF _Toc210489141 \h </w:instrText>
            </w:r>
            <w:r w:rsidRPr="004021D1">
              <w:rPr>
                <w:noProof/>
                <w:webHidden/>
                <w:color w:val="000000" w:themeColor="text1"/>
                <w:sz w:val="24"/>
                <w:szCs w:val="24"/>
              </w:rPr>
            </w:r>
            <w:r w:rsidRPr="004021D1">
              <w:rPr>
                <w:noProof/>
                <w:webHidden/>
                <w:color w:val="000000" w:themeColor="text1"/>
                <w:sz w:val="24"/>
                <w:szCs w:val="24"/>
              </w:rPr>
              <w:fldChar w:fldCharType="separate"/>
            </w:r>
            <w:r w:rsidRPr="004021D1">
              <w:rPr>
                <w:noProof/>
                <w:webHidden/>
                <w:color w:val="000000" w:themeColor="text1"/>
                <w:sz w:val="24"/>
                <w:szCs w:val="24"/>
              </w:rPr>
              <w:t>5</w:t>
            </w:r>
            <w:r w:rsidRPr="004021D1">
              <w:rPr>
                <w:noProof/>
                <w:webHidden/>
                <w:color w:val="000000" w:themeColor="text1"/>
                <w:sz w:val="24"/>
                <w:szCs w:val="24"/>
              </w:rPr>
              <w:fldChar w:fldCharType="end"/>
            </w:r>
          </w:hyperlink>
        </w:p>
        <w:p w14:paraId="1FB7812A" w14:textId="47F2039F" w:rsidR="004E473E" w:rsidRPr="004021D1" w:rsidRDefault="004E473E">
          <w:pPr>
            <w:pStyle w:val="TOC1"/>
            <w:tabs>
              <w:tab w:val="right" w:leader="dot" w:pos="9350"/>
            </w:tabs>
            <w:rPr>
              <w:noProof/>
              <w:color w:val="000000" w:themeColor="text1"/>
              <w:sz w:val="24"/>
              <w:szCs w:val="24"/>
            </w:rPr>
          </w:pPr>
          <w:hyperlink w:anchor="_Toc210489142" w:history="1">
            <w:r w:rsidRPr="004021D1">
              <w:rPr>
                <w:rStyle w:val="Hyperlink"/>
                <w:noProof/>
                <w:color w:val="000000" w:themeColor="text1"/>
                <w:sz w:val="24"/>
                <w:szCs w:val="24"/>
                <w:lang w:val="en-GB"/>
              </w:rPr>
              <w:t>Research Objectives</w:t>
            </w:r>
            <w:r w:rsidRPr="004021D1">
              <w:rPr>
                <w:noProof/>
                <w:webHidden/>
                <w:color w:val="000000" w:themeColor="text1"/>
                <w:sz w:val="24"/>
                <w:szCs w:val="24"/>
              </w:rPr>
              <w:tab/>
            </w:r>
            <w:r w:rsidRPr="004021D1">
              <w:rPr>
                <w:noProof/>
                <w:webHidden/>
                <w:color w:val="000000" w:themeColor="text1"/>
                <w:sz w:val="24"/>
                <w:szCs w:val="24"/>
              </w:rPr>
              <w:fldChar w:fldCharType="begin"/>
            </w:r>
            <w:r w:rsidRPr="004021D1">
              <w:rPr>
                <w:noProof/>
                <w:webHidden/>
                <w:color w:val="000000" w:themeColor="text1"/>
                <w:sz w:val="24"/>
                <w:szCs w:val="24"/>
              </w:rPr>
              <w:instrText xml:space="preserve"> PAGEREF _Toc210489142 \h </w:instrText>
            </w:r>
            <w:r w:rsidRPr="004021D1">
              <w:rPr>
                <w:noProof/>
                <w:webHidden/>
                <w:color w:val="000000" w:themeColor="text1"/>
                <w:sz w:val="24"/>
                <w:szCs w:val="24"/>
              </w:rPr>
            </w:r>
            <w:r w:rsidRPr="004021D1">
              <w:rPr>
                <w:noProof/>
                <w:webHidden/>
                <w:color w:val="000000" w:themeColor="text1"/>
                <w:sz w:val="24"/>
                <w:szCs w:val="24"/>
              </w:rPr>
              <w:fldChar w:fldCharType="separate"/>
            </w:r>
            <w:r w:rsidRPr="004021D1">
              <w:rPr>
                <w:noProof/>
                <w:webHidden/>
                <w:color w:val="000000" w:themeColor="text1"/>
                <w:sz w:val="24"/>
                <w:szCs w:val="24"/>
              </w:rPr>
              <w:t>5</w:t>
            </w:r>
            <w:r w:rsidRPr="004021D1">
              <w:rPr>
                <w:noProof/>
                <w:webHidden/>
                <w:color w:val="000000" w:themeColor="text1"/>
                <w:sz w:val="24"/>
                <w:szCs w:val="24"/>
              </w:rPr>
              <w:fldChar w:fldCharType="end"/>
            </w:r>
          </w:hyperlink>
        </w:p>
        <w:p w14:paraId="5DE2F38F" w14:textId="4FFB52A2" w:rsidR="004E473E" w:rsidRPr="004021D1" w:rsidRDefault="004E473E">
          <w:pPr>
            <w:pStyle w:val="TOC1"/>
            <w:tabs>
              <w:tab w:val="right" w:leader="dot" w:pos="9350"/>
            </w:tabs>
            <w:rPr>
              <w:noProof/>
              <w:color w:val="000000" w:themeColor="text1"/>
              <w:sz w:val="24"/>
              <w:szCs w:val="24"/>
            </w:rPr>
          </w:pPr>
          <w:hyperlink w:anchor="_Toc210489143" w:history="1">
            <w:r w:rsidRPr="004021D1">
              <w:rPr>
                <w:rStyle w:val="Hyperlink"/>
                <w:noProof/>
                <w:color w:val="000000" w:themeColor="text1"/>
                <w:sz w:val="24"/>
                <w:szCs w:val="24"/>
                <w:lang w:val="en-GB"/>
              </w:rPr>
              <w:t>Research Questions</w:t>
            </w:r>
            <w:r w:rsidRPr="004021D1">
              <w:rPr>
                <w:noProof/>
                <w:webHidden/>
                <w:color w:val="000000" w:themeColor="text1"/>
                <w:sz w:val="24"/>
                <w:szCs w:val="24"/>
              </w:rPr>
              <w:tab/>
            </w:r>
            <w:r w:rsidRPr="004021D1">
              <w:rPr>
                <w:noProof/>
                <w:webHidden/>
                <w:color w:val="000000" w:themeColor="text1"/>
                <w:sz w:val="24"/>
                <w:szCs w:val="24"/>
              </w:rPr>
              <w:fldChar w:fldCharType="begin"/>
            </w:r>
            <w:r w:rsidRPr="004021D1">
              <w:rPr>
                <w:noProof/>
                <w:webHidden/>
                <w:color w:val="000000" w:themeColor="text1"/>
                <w:sz w:val="24"/>
                <w:szCs w:val="24"/>
              </w:rPr>
              <w:instrText xml:space="preserve"> PAGEREF _Toc210489143 \h </w:instrText>
            </w:r>
            <w:r w:rsidRPr="004021D1">
              <w:rPr>
                <w:noProof/>
                <w:webHidden/>
                <w:color w:val="000000" w:themeColor="text1"/>
                <w:sz w:val="24"/>
                <w:szCs w:val="24"/>
              </w:rPr>
            </w:r>
            <w:r w:rsidRPr="004021D1">
              <w:rPr>
                <w:noProof/>
                <w:webHidden/>
                <w:color w:val="000000" w:themeColor="text1"/>
                <w:sz w:val="24"/>
                <w:szCs w:val="24"/>
              </w:rPr>
              <w:fldChar w:fldCharType="separate"/>
            </w:r>
            <w:r w:rsidRPr="004021D1">
              <w:rPr>
                <w:noProof/>
                <w:webHidden/>
                <w:color w:val="000000" w:themeColor="text1"/>
                <w:sz w:val="24"/>
                <w:szCs w:val="24"/>
              </w:rPr>
              <w:t>5</w:t>
            </w:r>
            <w:r w:rsidRPr="004021D1">
              <w:rPr>
                <w:noProof/>
                <w:webHidden/>
                <w:color w:val="000000" w:themeColor="text1"/>
                <w:sz w:val="24"/>
                <w:szCs w:val="24"/>
              </w:rPr>
              <w:fldChar w:fldCharType="end"/>
            </w:r>
          </w:hyperlink>
        </w:p>
        <w:p w14:paraId="66A6A3D7" w14:textId="01554D90" w:rsidR="004E473E" w:rsidRPr="004021D1" w:rsidRDefault="004E473E">
          <w:pPr>
            <w:pStyle w:val="TOC1"/>
            <w:tabs>
              <w:tab w:val="right" w:leader="dot" w:pos="9350"/>
            </w:tabs>
            <w:rPr>
              <w:noProof/>
              <w:color w:val="000000" w:themeColor="text1"/>
              <w:sz w:val="24"/>
              <w:szCs w:val="24"/>
            </w:rPr>
          </w:pPr>
          <w:hyperlink w:anchor="_Toc210489144" w:history="1">
            <w:r w:rsidRPr="004021D1">
              <w:rPr>
                <w:rStyle w:val="Hyperlink"/>
                <w:noProof/>
                <w:color w:val="000000" w:themeColor="text1"/>
                <w:sz w:val="24"/>
                <w:szCs w:val="24"/>
                <w:lang w:val="en-GB"/>
              </w:rPr>
              <w:t>Preliminary Literature search</w:t>
            </w:r>
            <w:r w:rsidRPr="004021D1">
              <w:rPr>
                <w:noProof/>
                <w:webHidden/>
                <w:color w:val="000000" w:themeColor="text1"/>
                <w:sz w:val="24"/>
                <w:szCs w:val="24"/>
              </w:rPr>
              <w:tab/>
            </w:r>
            <w:r w:rsidRPr="004021D1">
              <w:rPr>
                <w:noProof/>
                <w:webHidden/>
                <w:color w:val="000000" w:themeColor="text1"/>
                <w:sz w:val="24"/>
                <w:szCs w:val="24"/>
              </w:rPr>
              <w:fldChar w:fldCharType="begin"/>
            </w:r>
            <w:r w:rsidRPr="004021D1">
              <w:rPr>
                <w:noProof/>
                <w:webHidden/>
                <w:color w:val="000000" w:themeColor="text1"/>
                <w:sz w:val="24"/>
                <w:szCs w:val="24"/>
              </w:rPr>
              <w:instrText xml:space="preserve"> PAGEREF _Toc210489144 \h </w:instrText>
            </w:r>
            <w:r w:rsidRPr="004021D1">
              <w:rPr>
                <w:noProof/>
                <w:webHidden/>
                <w:color w:val="000000" w:themeColor="text1"/>
                <w:sz w:val="24"/>
                <w:szCs w:val="24"/>
              </w:rPr>
            </w:r>
            <w:r w:rsidRPr="004021D1">
              <w:rPr>
                <w:noProof/>
                <w:webHidden/>
                <w:color w:val="000000" w:themeColor="text1"/>
                <w:sz w:val="24"/>
                <w:szCs w:val="24"/>
              </w:rPr>
              <w:fldChar w:fldCharType="separate"/>
            </w:r>
            <w:r w:rsidRPr="004021D1">
              <w:rPr>
                <w:noProof/>
                <w:webHidden/>
                <w:color w:val="000000" w:themeColor="text1"/>
                <w:sz w:val="24"/>
                <w:szCs w:val="24"/>
              </w:rPr>
              <w:t>5</w:t>
            </w:r>
            <w:r w:rsidRPr="004021D1">
              <w:rPr>
                <w:noProof/>
                <w:webHidden/>
                <w:color w:val="000000" w:themeColor="text1"/>
                <w:sz w:val="24"/>
                <w:szCs w:val="24"/>
              </w:rPr>
              <w:fldChar w:fldCharType="end"/>
            </w:r>
          </w:hyperlink>
        </w:p>
        <w:p w14:paraId="21E868B7" w14:textId="0423EC45" w:rsidR="004E473E" w:rsidRPr="004021D1" w:rsidRDefault="004E473E">
          <w:pPr>
            <w:pStyle w:val="TOC1"/>
            <w:tabs>
              <w:tab w:val="right" w:leader="dot" w:pos="9350"/>
            </w:tabs>
            <w:rPr>
              <w:noProof/>
              <w:color w:val="000000" w:themeColor="text1"/>
              <w:sz w:val="24"/>
              <w:szCs w:val="24"/>
            </w:rPr>
          </w:pPr>
          <w:hyperlink w:anchor="_Toc210489145" w:history="1">
            <w:r w:rsidRPr="004021D1">
              <w:rPr>
                <w:rStyle w:val="Hyperlink"/>
                <w:noProof/>
                <w:color w:val="000000" w:themeColor="text1"/>
                <w:sz w:val="24"/>
                <w:szCs w:val="24"/>
                <w:lang w:val="en-GB"/>
              </w:rPr>
              <w:t>Research Methodology</w:t>
            </w:r>
            <w:r w:rsidRPr="004021D1">
              <w:rPr>
                <w:noProof/>
                <w:webHidden/>
                <w:color w:val="000000" w:themeColor="text1"/>
                <w:sz w:val="24"/>
                <w:szCs w:val="24"/>
              </w:rPr>
              <w:tab/>
            </w:r>
            <w:r w:rsidRPr="004021D1">
              <w:rPr>
                <w:noProof/>
                <w:webHidden/>
                <w:color w:val="000000" w:themeColor="text1"/>
                <w:sz w:val="24"/>
                <w:szCs w:val="24"/>
              </w:rPr>
              <w:fldChar w:fldCharType="begin"/>
            </w:r>
            <w:r w:rsidRPr="004021D1">
              <w:rPr>
                <w:noProof/>
                <w:webHidden/>
                <w:color w:val="000000" w:themeColor="text1"/>
                <w:sz w:val="24"/>
                <w:szCs w:val="24"/>
              </w:rPr>
              <w:instrText xml:space="preserve"> PAGEREF _Toc210489145 \h </w:instrText>
            </w:r>
            <w:r w:rsidRPr="004021D1">
              <w:rPr>
                <w:noProof/>
                <w:webHidden/>
                <w:color w:val="000000" w:themeColor="text1"/>
                <w:sz w:val="24"/>
                <w:szCs w:val="24"/>
              </w:rPr>
            </w:r>
            <w:r w:rsidRPr="004021D1">
              <w:rPr>
                <w:noProof/>
                <w:webHidden/>
                <w:color w:val="000000" w:themeColor="text1"/>
                <w:sz w:val="24"/>
                <w:szCs w:val="24"/>
              </w:rPr>
              <w:fldChar w:fldCharType="separate"/>
            </w:r>
            <w:r w:rsidRPr="004021D1">
              <w:rPr>
                <w:noProof/>
                <w:webHidden/>
                <w:color w:val="000000" w:themeColor="text1"/>
                <w:sz w:val="24"/>
                <w:szCs w:val="24"/>
              </w:rPr>
              <w:t>8</w:t>
            </w:r>
            <w:r w:rsidRPr="004021D1">
              <w:rPr>
                <w:noProof/>
                <w:webHidden/>
                <w:color w:val="000000" w:themeColor="text1"/>
                <w:sz w:val="24"/>
                <w:szCs w:val="24"/>
              </w:rPr>
              <w:fldChar w:fldCharType="end"/>
            </w:r>
          </w:hyperlink>
        </w:p>
        <w:p w14:paraId="6C0606C0" w14:textId="36DFBA81" w:rsidR="004E473E" w:rsidRPr="004021D1" w:rsidRDefault="004E473E">
          <w:pPr>
            <w:pStyle w:val="TOC1"/>
            <w:tabs>
              <w:tab w:val="right" w:leader="dot" w:pos="9350"/>
            </w:tabs>
            <w:rPr>
              <w:noProof/>
              <w:color w:val="000000" w:themeColor="text1"/>
              <w:sz w:val="24"/>
              <w:szCs w:val="24"/>
            </w:rPr>
          </w:pPr>
          <w:hyperlink w:anchor="_Toc210489146" w:history="1">
            <w:r w:rsidRPr="004021D1">
              <w:rPr>
                <w:rStyle w:val="Hyperlink"/>
                <w:noProof/>
                <w:color w:val="000000" w:themeColor="text1"/>
                <w:sz w:val="24"/>
                <w:szCs w:val="24"/>
                <w:lang w:val="en-GB"/>
              </w:rPr>
              <w:t>Risks</w:t>
            </w:r>
            <w:r w:rsidRPr="004021D1">
              <w:rPr>
                <w:noProof/>
                <w:webHidden/>
                <w:color w:val="000000" w:themeColor="text1"/>
                <w:sz w:val="24"/>
                <w:szCs w:val="24"/>
              </w:rPr>
              <w:tab/>
            </w:r>
            <w:r w:rsidRPr="004021D1">
              <w:rPr>
                <w:noProof/>
                <w:webHidden/>
                <w:color w:val="000000" w:themeColor="text1"/>
                <w:sz w:val="24"/>
                <w:szCs w:val="24"/>
              </w:rPr>
              <w:fldChar w:fldCharType="begin"/>
            </w:r>
            <w:r w:rsidRPr="004021D1">
              <w:rPr>
                <w:noProof/>
                <w:webHidden/>
                <w:color w:val="000000" w:themeColor="text1"/>
                <w:sz w:val="24"/>
                <w:szCs w:val="24"/>
              </w:rPr>
              <w:instrText xml:space="preserve"> PAGEREF _Toc210489146 \h </w:instrText>
            </w:r>
            <w:r w:rsidRPr="004021D1">
              <w:rPr>
                <w:noProof/>
                <w:webHidden/>
                <w:color w:val="000000" w:themeColor="text1"/>
                <w:sz w:val="24"/>
                <w:szCs w:val="24"/>
              </w:rPr>
            </w:r>
            <w:r w:rsidRPr="004021D1">
              <w:rPr>
                <w:noProof/>
                <w:webHidden/>
                <w:color w:val="000000" w:themeColor="text1"/>
                <w:sz w:val="24"/>
                <w:szCs w:val="24"/>
              </w:rPr>
              <w:fldChar w:fldCharType="separate"/>
            </w:r>
            <w:r w:rsidRPr="004021D1">
              <w:rPr>
                <w:noProof/>
                <w:webHidden/>
                <w:color w:val="000000" w:themeColor="text1"/>
                <w:sz w:val="24"/>
                <w:szCs w:val="24"/>
              </w:rPr>
              <w:t>8</w:t>
            </w:r>
            <w:r w:rsidRPr="004021D1">
              <w:rPr>
                <w:noProof/>
                <w:webHidden/>
                <w:color w:val="000000" w:themeColor="text1"/>
                <w:sz w:val="24"/>
                <w:szCs w:val="24"/>
              </w:rPr>
              <w:fldChar w:fldCharType="end"/>
            </w:r>
          </w:hyperlink>
        </w:p>
        <w:p w14:paraId="3E3DDE86" w14:textId="461D3A40" w:rsidR="004E473E" w:rsidRPr="004021D1" w:rsidRDefault="004E473E">
          <w:pPr>
            <w:pStyle w:val="TOC1"/>
            <w:tabs>
              <w:tab w:val="right" w:leader="dot" w:pos="9350"/>
            </w:tabs>
            <w:rPr>
              <w:noProof/>
              <w:color w:val="000000" w:themeColor="text1"/>
              <w:sz w:val="24"/>
              <w:szCs w:val="24"/>
            </w:rPr>
          </w:pPr>
          <w:hyperlink w:anchor="_Toc210489147" w:history="1">
            <w:r w:rsidRPr="004021D1">
              <w:rPr>
                <w:rStyle w:val="Hyperlink"/>
                <w:noProof/>
                <w:color w:val="000000" w:themeColor="text1"/>
                <w:sz w:val="24"/>
                <w:szCs w:val="24"/>
                <w:lang w:val="en-GB"/>
              </w:rPr>
              <w:t>Timeline (Gantt chart)</w:t>
            </w:r>
            <w:r w:rsidRPr="004021D1">
              <w:rPr>
                <w:noProof/>
                <w:webHidden/>
                <w:color w:val="000000" w:themeColor="text1"/>
                <w:sz w:val="24"/>
                <w:szCs w:val="24"/>
              </w:rPr>
              <w:tab/>
            </w:r>
            <w:r w:rsidRPr="004021D1">
              <w:rPr>
                <w:noProof/>
                <w:webHidden/>
                <w:color w:val="000000" w:themeColor="text1"/>
                <w:sz w:val="24"/>
                <w:szCs w:val="24"/>
              </w:rPr>
              <w:fldChar w:fldCharType="begin"/>
            </w:r>
            <w:r w:rsidRPr="004021D1">
              <w:rPr>
                <w:noProof/>
                <w:webHidden/>
                <w:color w:val="000000" w:themeColor="text1"/>
                <w:sz w:val="24"/>
                <w:szCs w:val="24"/>
              </w:rPr>
              <w:instrText xml:space="preserve"> PAGEREF _Toc210489147 \h </w:instrText>
            </w:r>
            <w:r w:rsidRPr="004021D1">
              <w:rPr>
                <w:noProof/>
                <w:webHidden/>
                <w:color w:val="000000" w:themeColor="text1"/>
                <w:sz w:val="24"/>
                <w:szCs w:val="24"/>
              </w:rPr>
            </w:r>
            <w:r w:rsidRPr="004021D1">
              <w:rPr>
                <w:noProof/>
                <w:webHidden/>
                <w:color w:val="000000" w:themeColor="text1"/>
                <w:sz w:val="24"/>
                <w:szCs w:val="24"/>
              </w:rPr>
              <w:fldChar w:fldCharType="separate"/>
            </w:r>
            <w:r w:rsidRPr="004021D1">
              <w:rPr>
                <w:noProof/>
                <w:webHidden/>
                <w:color w:val="000000" w:themeColor="text1"/>
                <w:sz w:val="24"/>
                <w:szCs w:val="24"/>
              </w:rPr>
              <w:t>9</w:t>
            </w:r>
            <w:r w:rsidRPr="004021D1">
              <w:rPr>
                <w:noProof/>
                <w:webHidden/>
                <w:color w:val="000000" w:themeColor="text1"/>
                <w:sz w:val="24"/>
                <w:szCs w:val="24"/>
              </w:rPr>
              <w:fldChar w:fldCharType="end"/>
            </w:r>
          </w:hyperlink>
        </w:p>
        <w:p w14:paraId="668E8E5F" w14:textId="2DE4597A" w:rsidR="004E473E" w:rsidRPr="004021D1" w:rsidRDefault="004E473E">
          <w:pPr>
            <w:pStyle w:val="TOC1"/>
            <w:tabs>
              <w:tab w:val="right" w:leader="dot" w:pos="9350"/>
            </w:tabs>
            <w:rPr>
              <w:noProof/>
              <w:color w:val="000000" w:themeColor="text1"/>
              <w:sz w:val="24"/>
              <w:szCs w:val="24"/>
            </w:rPr>
          </w:pPr>
          <w:hyperlink w:anchor="_Toc210489148" w:history="1">
            <w:r w:rsidRPr="004021D1">
              <w:rPr>
                <w:rStyle w:val="Hyperlink"/>
                <w:noProof/>
                <w:color w:val="000000" w:themeColor="text1"/>
                <w:sz w:val="24"/>
                <w:szCs w:val="24"/>
                <w:lang w:val="en-GB"/>
              </w:rPr>
              <w:t>References</w:t>
            </w:r>
            <w:r w:rsidRPr="004021D1">
              <w:rPr>
                <w:noProof/>
                <w:webHidden/>
                <w:color w:val="000000" w:themeColor="text1"/>
                <w:sz w:val="24"/>
                <w:szCs w:val="24"/>
              </w:rPr>
              <w:tab/>
            </w:r>
            <w:r w:rsidRPr="004021D1">
              <w:rPr>
                <w:noProof/>
                <w:webHidden/>
                <w:color w:val="000000" w:themeColor="text1"/>
                <w:sz w:val="24"/>
                <w:szCs w:val="24"/>
              </w:rPr>
              <w:fldChar w:fldCharType="begin"/>
            </w:r>
            <w:r w:rsidRPr="004021D1">
              <w:rPr>
                <w:noProof/>
                <w:webHidden/>
                <w:color w:val="000000" w:themeColor="text1"/>
                <w:sz w:val="24"/>
                <w:szCs w:val="24"/>
              </w:rPr>
              <w:instrText xml:space="preserve"> PAGEREF _Toc210489148 \h </w:instrText>
            </w:r>
            <w:r w:rsidRPr="004021D1">
              <w:rPr>
                <w:noProof/>
                <w:webHidden/>
                <w:color w:val="000000" w:themeColor="text1"/>
                <w:sz w:val="24"/>
                <w:szCs w:val="24"/>
              </w:rPr>
            </w:r>
            <w:r w:rsidRPr="004021D1">
              <w:rPr>
                <w:noProof/>
                <w:webHidden/>
                <w:color w:val="000000" w:themeColor="text1"/>
                <w:sz w:val="24"/>
                <w:szCs w:val="24"/>
              </w:rPr>
              <w:fldChar w:fldCharType="separate"/>
            </w:r>
            <w:r w:rsidRPr="004021D1">
              <w:rPr>
                <w:noProof/>
                <w:webHidden/>
                <w:color w:val="000000" w:themeColor="text1"/>
                <w:sz w:val="24"/>
                <w:szCs w:val="24"/>
              </w:rPr>
              <w:t>10</w:t>
            </w:r>
            <w:r w:rsidRPr="004021D1">
              <w:rPr>
                <w:noProof/>
                <w:webHidden/>
                <w:color w:val="000000" w:themeColor="text1"/>
                <w:sz w:val="24"/>
                <w:szCs w:val="24"/>
              </w:rPr>
              <w:fldChar w:fldCharType="end"/>
            </w:r>
          </w:hyperlink>
        </w:p>
        <w:p w14:paraId="3FDFCD67" w14:textId="05F8CE99" w:rsidR="001E156F" w:rsidRPr="004021D1" w:rsidRDefault="00000000">
          <w:pPr>
            <w:spacing w:line="360" w:lineRule="auto"/>
            <w:rPr>
              <w:rFonts w:eastAsia="Times New Roman"/>
              <w:sz w:val="24"/>
              <w:szCs w:val="24"/>
              <w:lang w:val="en-GB"/>
            </w:rPr>
          </w:pPr>
          <w:r w:rsidRPr="004021D1">
            <w:rPr>
              <w:color w:val="000000" w:themeColor="text1"/>
              <w:sz w:val="24"/>
              <w:szCs w:val="24"/>
              <w:lang w:val="en-GB"/>
            </w:rPr>
            <w:fldChar w:fldCharType="end"/>
          </w:r>
        </w:p>
      </w:sdtContent>
    </w:sdt>
    <w:p w14:paraId="07D7BD2A" w14:textId="77777777" w:rsidR="001E156F" w:rsidRPr="004021D1" w:rsidRDefault="00000000">
      <w:pPr>
        <w:rPr>
          <w:lang w:val="en-GB"/>
        </w:rPr>
      </w:pPr>
      <w:r w:rsidRPr="004021D1">
        <w:rPr>
          <w:lang w:val="en-GB"/>
        </w:rPr>
        <w:br w:type="page"/>
      </w:r>
    </w:p>
    <w:p w14:paraId="7A80B870" w14:textId="77777777" w:rsidR="001E156F" w:rsidRPr="004021D1" w:rsidRDefault="00000000" w:rsidP="003824CD">
      <w:pPr>
        <w:pStyle w:val="Heading1"/>
        <w:spacing w:before="240" w:after="240"/>
        <w:rPr>
          <w:rFonts w:ascii="Arial" w:hAnsi="Arial" w:cs="Arial"/>
          <w:sz w:val="24"/>
          <w:szCs w:val="24"/>
          <w:lang w:val="en-GB"/>
        </w:rPr>
      </w:pPr>
      <w:bookmarkStart w:id="0" w:name="_Toc210489140"/>
      <w:r w:rsidRPr="004021D1">
        <w:rPr>
          <w:rFonts w:ascii="Arial" w:hAnsi="Arial" w:cs="Arial"/>
          <w:sz w:val="24"/>
          <w:szCs w:val="24"/>
          <w:lang w:val="en-GB"/>
        </w:rPr>
        <w:lastRenderedPageBreak/>
        <w:t>Research Problem</w:t>
      </w:r>
      <w:bookmarkEnd w:id="0"/>
      <w:r w:rsidRPr="004021D1">
        <w:rPr>
          <w:rFonts w:ascii="Arial" w:hAnsi="Arial" w:cs="Arial"/>
          <w:sz w:val="24"/>
          <w:szCs w:val="24"/>
          <w:lang w:val="en-GB"/>
        </w:rPr>
        <w:t xml:space="preserve"> </w:t>
      </w:r>
    </w:p>
    <w:p w14:paraId="3730AC21"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The apparel store Zara has over 3000 stores, both its children's and home stores. It operates stores in 96 countries and is the flagship brand of the Inditex Group. Zara has a reputation for creating a new product and making it available in stores within two weeks, compared to the six months of other retailers (Forbes, 2025). The Inditex Group had the most net sales worldwide in 2024, which was almost 28 billion euros through Zara, including its Zara Home segment (Statista, 2024). The Group underlines the fact that the investments in people, logistics and digital platforms supported a significant growth.</w:t>
      </w:r>
    </w:p>
    <w:p w14:paraId="6148492D" w14:textId="77777777" w:rsidR="001E156F" w:rsidRPr="004021D1" w:rsidRDefault="00000000" w:rsidP="00C009AD">
      <w:pPr>
        <w:spacing w:before="240" w:after="240" w:line="360" w:lineRule="auto"/>
        <w:jc w:val="center"/>
        <w:rPr>
          <w:rFonts w:eastAsia="Times New Roman"/>
          <w:sz w:val="24"/>
          <w:szCs w:val="24"/>
          <w:lang w:val="en-GB"/>
        </w:rPr>
      </w:pPr>
      <w:r w:rsidRPr="004021D1">
        <w:rPr>
          <w:rFonts w:eastAsia="Times New Roman"/>
          <w:noProof/>
          <w:sz w:val="24"/>
          <w:szCs w:val="24"/>
          <w:lang w:val="en-GB"/>
        </w:rPr>
        <w:drawing>
          <wp:inline distT="114300" distB="114300" distL="114300" distR="114300" wp14:anchorId="1D48F7C1" wp14:editId="13557950">
            <wp:extent cx="4795838" cy="2971432"/>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795838" cy="2971432"/>
                    </a:xfrm>
                    <a:prstGeom prst="rect">
                      <a:avLst/>
                    </a:prstGeom>
                    <a:ln w="12700">
                      <a:solidFill>
                        <a:srgbClr val="000000"/>
                      </a:solidFill>
                      <a:prstDash val="solid"/>
                    </a:ln>
                  </pic:spPr>
                </pic:pic>
              </a:graphicData>
            </a:graphic>
          </wp:inline>
        </w:drawing>
      </w:r>
    </w:p>
    <w:p w14:paraId="2D2C1F5C" w14:textId="77777777" w:rsidR="001E156F" w:rsidRPr="004021D1" w:rsidRDefault="00000000" w:rsidP="00C009AD">
      <w:pPr>
        <w:spacing w:before="240" w:after="240" w:line="360" w:lineRule="auto"/>
        <w:jc w:val="center"/>
        <w:rPr>
          <w:rFonts w:eastAsia="Times New Roman"/>
          <w:b/>
          <w:sz w:val="24"/>
          <w:szCs w:val="24"/>
          <w:lang w:val="en-GB"/>
        </w:rPr>
      </w:pPr>
      <w:r w:rsidRPr="004021D1">
        <w:rPr>
          <w:rFonts w:eastAsia="Times New Roman"/>
          <w:b/>
          <w:sz w:val="24"/>
          <w:szCs w:val="24"/>
          <w:lang w:val="en-GB"/>
        </w:rPr>
        <w:t>Figure 1: Net sales of the Inditex group by brand</w:t>
      </w:r>
    </w:p>
    <w:p w14:paraId="10BBE85D" w14:textId="77777777" w:rsidR="001E156F" w:rsidRPr="004021D1" w:rsidRDefault="00000000" w:rsidP="00C009AD">
      <w:pPr>
        <w:spacing w:before="240" w:after="240" w:line="360" w:lineRule="auto"/>
        <w:jc w:val="center"/>
        <w:rPr>
          <w:rFonts w:eastAsia="Times New Roman"/>
          <w:sz w:val="24"/>
          <w:szCs w:val="24"/>
          <w:lang w:val="en-GB"/>
        </w:rPr>
      </w:pPr>
      <w:r w:rsidRPr="004021D1">
        <w:rPr>
          <w:rFonts w:eastAsia="Times New Roman"/>
          <w:sz w:val="24"/>
          <w:szCs w:val="24"/>
          <w:lang w:val="en-GB"/>
        </w:rPr>
        <w:t>(Source: Statista, 2024)</w:t>
      </w:r>
    </w:p>
    <w:p w14:paraId="13CDE665" w14:textId="35288BED"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The scale and integration of its operations provide a significant opportunity and complexity to the Zara culture. In FY2024, Zara, along with Zara Home, occupied over 5,407 stores representing the vast majority of the Inditex footprint, and occupied 3.14 million square metres of selling area, a network supplemented by other fast-growing online sales, which also reached EUR10.2 billion in FY2024 (</w:t>
      </w:r>
      <w:r w:rsidR="001E156F" w:rsidRPr="004021D1">
        <w:rPr>
          <w:rFonts w:eastAsia="Times New Roman"/>
          <w:sz w:val="24"/>
          <w:szCs w:val="24"/>
          <w:lang w:val="en-GB"/>
        </w:rPr>
        <w:t>Inditex</w:t>
      </w:r>
      <w:r w:rsidR="00C009AD" w:rsidRPr="004021D1">
        <w:rPr>
          <w:rFonts w:eastAsia="Times New Roman"/>
          <w:sz w:val="24"/>
          <w:szCs w:val="24"/>
          <w:lang w:val="en-GB"/>
        </w:rPr>
        <w:t>,</w:t>
      </w:r>
      <w:r w:rsidRPr="004021D1">
        <w:rPr>
          <w:rFonts w:eastAsia="Times New Roman"/>
          <w:sz w:val="24"/>
          <w:szCs w:val="24"/>
          <w:lang w:val="en-GB"/>
        </w:rPr>
        <w:t xml:space="preserve"> 2025). These statistics make Zara one of the largest globally vertically integrated fashion retailers and precondition the initiation of the analysis of how cultural values are converted into </w:t>
      </w:r>
      <w:r w:rsidRPr="004021D1">
        <w:rPr>
          <w:rFonts w:eastAsia="Times New Roman"/>
          <w:sz w:val="24"/>
          <w:szCs w:val="24"/>
          <w:lang w:val="en-GB"/>
        </w:rPr>
        <w:lastRenderedPageBreak/>
        <w:t>concrete operational practices. Corporate disclosures made by Inditex clearly connect the strategic performance of the company to internal culture. FY2024 reports highlight the talent and dedication of their people, the emphasis on the customer experience, and the ability to quickly respond within the season provided by the proximity sourcing and integrated supply chain. Organisational culture role is operationalised in several ways with the means of cross-functional teams, store/logistics feedback loops, and logistics infrastructure investments (in terms of multi-year programmes and new distribution nodes such as Zaragoza II) that strengthen a culture of responsiveness and constant improvement (</w:t>
      </w:r>
      <w:proofErr w:type="spellStart"/>
      <w:r w:rsidRPr="004021D1">
        <w:rPr>
          <w:rFonts w:eastAsia="Times New Roman"/>
          <w:sz w:val="24"/>
          <w:szCs w:val="24"/>
          <w:lang w:val="en-GB"/>
        </w:rPr>
        <w:t>Wijethilake</w:t>
      </w:r>
      <w:proofErr w:type="spellEnd"/>
      <w:r w:rsidRPr="004021D1">
        <w:rPr>
          <w:rFonts w:eastAsia="Times New Roman"/>
          <w:sz w:val="24"/>
          <w:szCs w:val="24"/>
          <w:lang w:val="en-GB"/>
        </w:rPr>
        <w:t xml:space="preserve"> </w:t>
      </w:r>
      <w:r w:rsidRPr="004021D1">
        <w:rPr>
          <w:rFonts w:eastAsia="Times New Roman"/>
          <w:i/>
          <w:sz w:val="24"/>
          <w:szCs w:val="24"/>
          <w:lang w:val="en-GB"/>
        </w:rPr>
        <w:t>et al</w:t>
      </w:r>
      <w:r w:rsidRPr="004021D1">
        <w:rPr>
          <w:rFonts w:eastAsia="Times New Roman"/>
          <w:sz w:val="24"/>
          <w:szCs w:val="24"/>
          <w:lang w:val="en-GB"/>
        </w:rPr>
        <w:t>. 2023). Although it has these strengths, the fast-fashion model creates cultural tension that impacts operations materially, including the speed and cost control pressures, which may conflict with objectives related to employee wellbeing, sustainability and development of long-term talents. These trade-offs are recognised in the FY2024 reporting of Inditex, and an agenda of strategic plans, which is also known as the digitalisation of stores, store optimisation and expansion of logistics. It relies heavily on employee engagement, flexibility and collective values.</w:t>
      </w:r>
    </w:p>
    <w:p w14:paraId="5D0C636B" w14:textId="077985F4"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Organisational culture plays an important role in explaining the way firms operate, adapt themselves to market changes and compete within the global fashion environment (Osman</w:t>
      </w:r>
      <w:r w:rsidRPr="004021D1">
        <w:rPr>
          <w:rFonts w:eastAsia="Times New Roman"/>
          <w:i/>
          <w:sz w:val="24"/>
          <w:szCs w:val="24"/>
          <w:lang w:val="en-GB"/>
        </w:rPr>
        <w:t xml:space="preserve"> et al. </w:t>
      </w:r>
      <w:r w:rsidRPr="004021D1">
        <w:rPr>
          <w:rFonts w:eastAsia="Times New Roman"/>
          <w:sz w:val="24"/>
          <w:szCs w:val="24"/>
          <w:lang w:val="en-GB"/>
        </w:rPr>
        <w:t>2023). Zara, a Spanish luxury brand with deep historical roots in England, has faced pressure to modernise its business practices as consumer tastes evolve and environmental sustainability and digital changes grow more important (Roll, 2021). While business performance in fashion businesses is often geared to efficiency, creativity and customer service, the organisational culture that supports these processes has a major impact on such performances</w:t>
      </w:r>
      <w:r w:rsidR="00A04A3F" w:rsidRPr="004021D1">
        <w:rPr>
          <w:rFonts w:eastAsia="Times New Roman"/>
          <w:sz w:val="24"/>
          <w:szCs w:val="24"/>
          <w:lang w:val="en-GB"/>
        </w:rPr>
        <w:t xml:space="preserve"> (</w:t>
      </w:r>
      <w:r w:rsidR="00C44FA2" w:rsidRPr="004021D1">
        <w:rPr>
          <w:rFonts w:eastAsia="Times New Roman"/>
          <w:sz w:val="24"/>
          <w:szCs w:val="24"/>
          <w:lang w:val="en-GB"/>
        </w:rPr>
        <w:t xml:space="preserve">Rožman </w:t>
      </w:r>
      <w:r w:rsidR="00C44FA2" w:rsidRPr="004021D1">
        <w:rPr>
          <w:rFonts w:eastAsia="Times New Roman"/>
          <w:i/>
          <w:iCs/>
          <w:sz w:val="24"/>
          <w:szCs w:val="24"/>
          <w:lang w:val="en-GB"/>
        </w:rPr>
        <w:t>et al.</w:t>
      </w:r>
      <w:r w:rsidR="00C44FA2" w:rsidRPr="004021D1">
        <w:rPr>
          <w:rFonts w:eastAsia="Times New Roman"/>
          <w:sz w:val="24"/>
          <w:szCs w:val="24"/>
          <w:lang w:val="en-GB"/>
        </w:rPr>
        <w:t xml:space="preserve"> 2023</w:t>
      </w:r>
      <w:r w:rsidR="00A04A3F" w:rsidRPr="004021D1">
        <w:rPr>
          <w:rFonts w:eastAsia="Times New Roman"/>
          <w:sz w:val="24"/>
          <w:szCs w:val="24"/>
          <w:lang w:val="en-GB"/>
        </w:rPr>
        <w:t>)</w:t>
      </w:r>
      <w:r w:rsidRPr="004021D1">
        <w:rPr>
          <w:rFonts w:eastAsia="Times New Roman"/>
          <w:sz w:val="24"/>
          <w:szCs w:val="24"/>
          <w:lang w:val="en-GB"/>
        </w:rPr>
        <w:t>. There seems to be a lack of scholarly research regarding the impact of organisational culture on the economic activities of Zara, despite the balanced position of Zara relative to tradition and contemporary approaches. Exploring the impact of cultural values on employee involvement, decision-making, and efficiency, and why cultural and operational dissonance may hinder progress, which is complex as well. Investigating how Zara and other similar fashion brands can leverage organisational culture to improve performance and achieve sustainability is essential to closing this gap.</w:t>
      </w:r>
    </w:p>
    <w:p w14:paraId="3F4ED896" w14:textId="77777777" w:rsidR="001E156F" w:rsidRPr="004021D1" w:rsidRDefault="00000000" w:rsidP="003824CD">
      <w:pPr>
        <w:pStyle w:val="Heading1"/>
        <w:spacing w:before="240" w:after="240"/>
        <w:rPr>
          <w:rFonts w:ascii="Arial" w:hAnsi="Arial" w:cs="Arial"/>
          <w:sz w:val="24"/>
          <w:szCs w:val="24"/>
          <w:lang w:val="en-GB"/>
        </w:rPr>
      </w:pPr>
      <w:bookmarkStart w:id="1" w:name="_44b6xz9wk8l6" w:colFirst="0" w:colLast="0"/>
      <w:bookmarkStart w:id="2" w:name="_Toc210489141"/>
      <w:bookmarkEnd w:id="1"/>
      <w:r w:rsidRPr="004021D1">
        <w:rPr>
          <w:rFonts w:ascii="Arial" w:hAnsi="Arial" w:cs="Arial"/>
          <w:sz w:val="24"/>
          <w:szCs w:val="24"/>
          <w:lang w:val="en-GB"/>
        </w:rPr>
        <w:lastRenderedPageBreak/>
        <w:t>Research Aim</w:t>
      </w:r>
      <w:bookmarkEnd w:id="2"/>
    </w:p>
    <w:p w14:paraId="4ED7CEBA"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The research aims to explore the role of organisational culture in shaping and supporting the business operations of Zara, with a focus on how cultural values influence innovation, efficiency, and long-term success.</w:t>
      </w:r>
    </w:p>
    <w:p w14:paraId="4822A66A" w14:textId="77777777" w:rsidR="001E156F" w:rsidRPr="004021D1" w:rsidRDefault="00000000" w:rsidP="003824CD">
      <w:pPr>
        <w:pStyle w:val="Heading1"/>
        <w:spacing w:before="240" w:after="240"/>
        <w:rPr>
          <w:rFonts w:ascii="Arial" w:hAnsi="Arial" w:cs="Arial"/>
          <w:sz w:val="24"/>
          <w:szCs w:val="24"/>
          <w:lang w:val="en-GB"/>
        </w:rPr>
      </w:pPr>
      <w:bookmarkStart w:id="3" w:name="_1xtmcy8mu8lb" w:colFirst="0" w:colLast="0"/>
      <w:bookmarkStart w:id="4" w:name="_Toc210489142"/>
      <w:bookmarkEnd w:id="3"/>
      <w:r w:rsidRPr="004021D1">
        <w:rPr>
          <w:rFonts w:ascii="Arial" w:hAnsi="Arial" w:cs="Arial"/>
          <w:sz w:val="24"/>
          <w:szCs w:val="24"/>
          <w:lang w:val="en-GB"/>
        </w:rPr>
        <w:t>Research Objectives</w:t>
      </w:r>
      <w:bookmarkEnd w:id="4"/>
    </w:p>
    <w:p w14:paraId="7456F91C"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1: To find the cultural values' influence on the core business operations of Zara.</w:t>
      </w:r>
    </w:p>
    <w:p w14:paraId="479FA7C0"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2: To examine the challenges Zara faces when trying to match its culture with its operational goals in the global fashion industry.</w:t>
      </w:r>
    </w:p>
    <w:p w14:paraId="52F33EE6"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3: To analyse successful cultural practices among luxury fashion brands and suggest ways Zara to improve its performance by aligning its culture with business operations.</w:t>
      </w:r>
    </w:p>
    <w:p w14:paraId="58C0E8B3" w14:textId="77777777" w:rsidR="001E156F" w:rsidRPr="004021D1" w:rsidRDefault="00000000" w:rsidP="003824CD">
      <w:pPr>
        <w:pStyle w:val="Heading1"/>
        <w:spacing w:before="240" w:after="240"/>
        <w:rPr>
          <w:rFonts w:ascii="Arial" w:hAnsi="Arial" w:cs="Arial"/>
          <w:sz w:val="24"/>
          <w:szCs w:val="24"/>
          <w:lang w:val="en-GB"/>
        </w:rPr>
      </w:pPr>
      <w:bookmarkStart w:id="5" w:name="_prm726gq4vmo" w:colFirst="0" w:colLast="0"/>
      <w:bookmarkStart w:id="6" w:name="_Toc210489143"/>
      <w:bookmarkEnd w:id="5"/>
      <w:r w:rsidRPr="004021D1">
        <w:rPr>
          <w:rFonts w:ascii="Arial" w:hAnsi="Arial" w:cs="Arial"/>
          <w:sz w:val="24"/>
          <w:szCs w:val="24"/>
          <w:lang w:val="en-GB"/>
        </w:rPr>
        <w:t>Research Questions</w:t>
      </w:r>
      <w:bookmarkEnd w:id="6"/>
    </w:p>
    <w:p w14:paraId="7BAC117C"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RQ1: How do cultural values influence and support Zara’s business operations?</w:t>
      </w:r>
    </w:p>
    <w:p w14:paraId="1327C8EC"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RQ2: What challenges does Zara face in aligning its culture with its operational goals?</w:t>
      </w:r>
    </w:p>
    <w:p w14:paraId="7853B769"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RQ3: What cultural practices can enhance operational performance in the fashion industry?</w:t>
      </w:r>
    </w:p>
    <w:p w14:paraId="3EB02165" w14:textId="77777777" w:rsidR="001E156F" w:rsidRPr="004021D1" w:rsidRDefault="00000000" w:rsidP="003824CD">
      <w:pPr>
        <w:pStyle w:val="Heading1"/>
        <w:spacing w:before="240" w:after="240"/>
        <w:rPr>
          <w:rFonts w:ascii="Arial" w:hAnsi="Arial" w:cs="Arial"/>
          <w:sz w:val="24"/>
          <w:szCs w:val="24"/>
          <w:lang w:val="en-GB"/>
        </w:rPr>
      </w:pPr>
      <w:bookmarkStart w:id="7" w:name="_279b0p3qorck" w:colFirst="0" w:colLast="0"/>
      <w:bookmarkStart w:id="8" w:name="_Toc210489144"/>
      <w:bookmarkEnd w:id="7"/>
      <w:r w:rsidRPr="004021D1">
        <w:rPr>
          <w:rFonts w:ascii="Arial" w:hAnsi="Arial" w:cs="Arial"/>
          <w:sz w:val="24"/>
          <w:szCs w:val="24"/>
          <w:lang w:val="en-GB"/>
        </w:rPr>
        <w:t>Preliminary Literature search</w:t>
      </w:r>
      <w:bookmarkEnd w:id="8"/>
      <w:r w:rsidRPr="004021D1">
        <w:rPr>
          <w:rFonts w:ascii="Arial" w:hAnsi="Arial" w:cs="Arial"/>
          <w:sz w:val="24"/>
          <w:szCs w:val="24"/>
          <w:lang w:val="en-GB"/>
        </w:rPr>
        <w:t xml:space="preserve"> </w:t>
      </w:r>
    </w:p>
    <w:p w14:paraId="05FDE90D" w14:textId="77777777" w:rsidR="001E156F" w:rsidRPr="004021D1" w:rsidRDefault="00000000" w:rsidP="003824CD">
      <w:pPr>
        <w:spacing w:before="240" w:after="240" w:line="360" w:lineRule="auto"/>
        <w:jc w:val="both"/>
        <w:rPr>
          <w:rFonts w:eastAsia="Times New Roman"/>
          <w:b/>
          <w:sz w:val="24"/>
          <w:szCs w:val="24"/>
          <w:lang w:val="en-GB"/>
        </w:rPr>
      </w:pPr>
      <w:r w:rsidRPr="004021D1">
        <w:rPr>
          <w:rFonts w:eastAsia="Times New Roman"/>
          <w:b/>
          <w:sz w:val="24"/>
          <w:szCs w:val="24"/>
          <w:lang w:val="en-GB"/>
        </w:rPr>
        <w:t xml:space="preserve">Influence of cultural values on Zara’s core business operation </w:t>
      </w:r>
    </w:p>
    <w:p w14:paraId="78E24487" w14:textId="244D85F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The organisational culture of Zara places a high emphasis on agility, talent development within its internal environment, inclusivity, and sustainable innovation. These factors are effectively finding their way into the core operations of the organisation in quantifiable directions. According to an Inditex report released in FY 2024, the company has trained approximately 3.3 million hours of its employees and approximately 70% of its new leadership roles were occupied through internal promotion (</w:t>
      </w:r>
      <w:r w:rsidR="0021716A" w:rsidRPr="004021D1">
        <w:rPr>
          <w:sz w:val="24"/>
          <w:szCs w:val="24"/>
          <w:lang w:val="en-GB"/>
        </w:rPr>
        <w:t xml:space="preserve">Inditex, </w:t>
      </w:r>
      <w:r w:rsidRPr="004021D1">
        <w:rPr>
          <w:rFonts w:eastAsia="Times New Roman"/>
          <w:sz w:val="24"/>
          <w:szCs w:val="24"/>
          <w:lang w:val="en-GB"/>
        </w:rPr>
        <w:t xml:space="preserve">2025). These are some of the practices that present a culture of attaching value to lifetime learning and </w:t>
      </w:r>
      <w:r w:rsidRPr="004021D1">
        <w:rPr>
          <w:rFonts w:eastAsia="Times New Roman"/>
          <w:sz w:val="24"/>
          <w:szCs w:val="24"/>
          <w:lang w:val="en-GB"/>
        </w:rPr>
        <w:lastRenderedPageBreak/>
        <w:t>internal influence, which serve to keep staff in line and motivated. Another organisational factor in the Zara model is to involve a swift response. Inclusivity commitment within the culture is also a significant aspect for a firm (</w:t>
      </w:r>
      <w:proofErr w:type="spellStart"/>
      <w:r w:rsidRPr="004021D1">
        <w:rPr>
          <w:rFonts w:eastAsia="Times New Roman"/>
          <w:sz w:val="24"/>
          <w:szCs w:val="24"/>
          <w:lang w:val="en-GB"/>
        </w:rPr>
        <w:t>Egitim</w:t>
      </w:r>
      <w:proofErr w:type="spellEnd"/>
      <w:r w:rsidRPr="004021D1">
        <w:rPr>
          <w:rFonts w:eastAsia="Times New Roman"/>
          <w:sz w:val="24"/>
          <w:szCs w:val="24"/>
          <w:lang w:val="en-GB"/>
        </w:rPr>
        <w:t xml:space="preserve">, 2022). For example, Inditex employed more than 3,100 people with disabilities directly in 2024, which is more than three times the number of people who got hired by the company three years ago, and 83% of employees are on permanent contracts, which indicates a stable base of employment (Inditex Annual Report 2024, 2024). These dimensions support organisational principles of equity and stability, which contribute to a decrease in turnover, encourage institutional knowledge and aid in stable operation. The responsiveness aspect of this cultural orientation allows Zara to minimise overstock and design with the latest </w:t>
      </w:r>
      <w:r w:rsidR="00C009AD" w:rsidRPr="004021D1">
        <w:rPr>
          <w:rFonts w:eastAsia="Times New Roman"/>
          <w:sz w:val="24"/>
          <w:szCs w:val="24"/>
          <w:lang w:val="en-GB"/>
        </w:rPr>
        <w:t>trends and</w:t>
      </w:r>
      <w:r w:rsidRPr="004021D1">
        <w:rPr>
          <w:rFonts w:eastAsia="Times New Roman"/>
          <w:sz w:val="24"/>
          <w:szCs w:val="24"/>
          <w:lang w:val="en-GB"/>
        </w:rPr>
        <w:t xml:space="preserve"> record high sell-through rates.</w:t>
      </w:r>
    </w:p>
    <w:p w14:paraId="1B6BE0B6" w14:textId="77777777" w:rsidR="001E156F" w:rsidRPr="004021D1" w:rsidRDefault="00000000" w:rsidP="003824CD">
      <w:pPr>
        <w:spacing w:before="240" w:after="240" w:line="360" w:lineRule="auto"/>
        <w:jc w:val="both"/>
        <w:rPr>
          <w:rFonts w:eastAsia="Times New Roman"/>
          <w:b/>
          <w:sz w:val="24"/>
          <w:szCs w:val="24"/>
          <w:lang w:val="en-GB"/>
        </w:rPr>
      </w:pPr>
      <w:r w:rsidRPr="004021D1">
        <w:rPr>
          <w:rFonts w:eastAsia="Times New Roman"/>
          <w:b/>
          <w:sz w:val="24"/>
          <w:szCs w:val="24"/>
          <w:lang w:val="en-GB"/>
        </w:rPr>
        <w:t>Challenges Zara faces while aligning its culture with its operational goals in the world fashion industry</w:t>
      </w:r>
    </w:p>
    <w:p w14:paraId="14986EBA"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The increasing conflict between the environmental and ethical demands and the speed-based cultural focus, trend responsiveness and global growth of Zara presents the company with several challenges in achieving operational objectives. A key problem is the increasing transport emissions. In 2024, the transport emissions of Inditex increased by 10% to approximately 2,614,230 tonnes of CO</w:t>
      </w:r>
      <w:r w:rsidRPr="004021D1">
        <w:rPr>
          <w:rFonts w:eastAsia="Times New Roman"/>
          <w:sz w:val="24"/>
          <w:szCs w:val="24"/>
          <w:vertAlign w:val="subscript"/>
          <w:lang w:val="en-GB"/>
        </w:rPr>
        <w:t>2</w:t>
      </w:r>
      <w:r w:rsidRPr="004021D1">
        <w:rPr>
          <w:rFonts w:eastAsia="Times New Roman"/>
          <w:sz w:val="24"/>
          <w:szCs w:val="24"/>
          <w:lang w:val="en-GB"/>
        </w:rPr>
        <w:t xml:space="preserve"> equivalent, partly because of the increased use of air freight between Asia and its logistics centres in Spain (Reid, 2025). This growth puts a significant aspect on the sustainability objectives of the company, such as cutting Scope 3 emissions by 51% by 2030 and reaching net zero by 2040, as the company must make trade-offs between achieving speed-to-market and minimising environmental impact. </w:t>
      </w:r>
    </w:p>
    <w:p w14:paraId="36DC896C" w14:textId="2598E093"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There are also problems of labour and human rights. Inditex, in a particular instance, has been criticised by NGOs due to its labour practices in Bangladesh (such as repression of demonstrations for higher wages and legal action against employees), which in turn produces reputational risks and may disrupt sourcing and supply relationships (Sarmiento, 2025). Inventory management is also becoming a more complex operation as demand trends change</w:t>
      </w:r>
      <w:r w:rsidR="00C44FA2" w:rsidRPr="004021D1">
        <w:rPr>
          <w:rFonts w:eastAsia="Times New Roman"/>
          <w:sz w:val="24"/>
          <w:szCs w:val="24"/>
          <w:lang w:val="en-GB"/>
        </w:rPr>
        <w:t xml:space="preserve"> (Verma, 2024)</w:t>
      </w:r>
      <w:r w:rsidRPr="004021D1">
        <w:rPr>
          <w:rFonts w:eastAsia="Times New Roman"/>
          <w:sz w:val="24"/>
          <w:szCs w:val="24"/>
          <w:lang w:val="en-GB"/>
        </w:rPr>
        <w:t xml:space="preserve">. Inditex has seen its inventory grow by 12% per </w:t>
      </w:r>
      <w:r w:rsidRPr="004021D1">
        <w:rPr>
          <w:rFonts w:eastAsia="Times New Roman"/>
          <w:sz w:val="24"/>
          <w:szCs w:val="24"/>
          <w:lang w:val="en-GB"/>
        </w:rPr>
        <w:lastRenderedPageBreak/>
        <w:t>year since 2021, posing a risk of markdowns and waste.  Moreover, the growing competition, in particular, the entrance of ultra-fast fashion items by Shein and other low-cost disruptors, contributes to the cultural placement of trend leadership at Zara.</w:t>
      </w:r>
    </w:p>
    <w:p w14:paraId="5C846848" w14:textId="77777777" w:rsidR="00C009AD" w:rsidRPr="004021D1" w:rsidRDefault="00C009AD">
      <w:pPr>
        <w:rPr>
          <w:rFonts w:eastAsia="Times New Roman"/>
          <w:b/>
          <w:sz w:val="24"/>
          <w:szCs w:val="24"/>
          <w:lang w:val="en-GB"/>
        </w:rPr>
      </w:pPr>
      <w:r w:rsidRPr="004021D1">
        <w:rPr>
          <w:rFonts w:eastAsia="Times New Roman"/>
          <w:b/>
          <w:sz w:val="24"/>
          <w:szCs w:val="24"/>
          <w:lang w:val="en-GB"/>
        </w:rPr>
        <w:br w:type="page"/>
      </w:r>
    </w:p>
    <w:p w14:paraId="4590C262" w14:textId="5FE4830D" w:rsidR="001E156F" w:rsidRPr="004021D1" w:rsidRDefault="00000000" w:rsidP="003824CD">
      <w:pPr>
        <w:spacing w:before="240" w:after="240" w:line="360" w:lineRule="auto"/>
        <w:jc w:val="both"/>
        <w:rPr>
          <w:rFonts w:eastAsia="Times New Roman"/>
          <w:b/>
          <w:sz w:val="24"/>
          <w:szCs w:val="24"/>
          <w:lang w:val="en-GB"/>
        </w:rPr>
      </w:pPr>
      <w:r w:rsidRPr="004021D1">
        <w:rPr>
          <w:rFonts w:eastAsia="Times New Roman"/>
          <w:b/>
          <w:sz w:val="24"/>
          <w:szCs w:val="24"/>
          <w:lang w:val="en-GB"/>
        </w:rPr>
        <w:lastRenderedPageBreak/>
        <w:t>Successful cultural practices among luxury fashion brands</w:t>
      </w:r>
    </w:p>
    <w:p w14:paraId="5D7E14BF"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 xml:space="preserve">Luxury fashion houses have incorporated cultural habits that heavily advocate authenticity, craftsmanship, sustainability and innovation. As an illustration, Prada has invested EUR60 million in 2024 in its development of production in Italy and the development of artisanal skills. In its plant in </w:t>
      </w:r>
      <w:proofErr w:type="spellStart"/>
      <w:r w:rsidRPr="004021D1">
        <w:rPr>
          <w:rFonts w:eastAsia="Times New Roman"/>
          <w:sz w:val="24"/>
          <w:szCs w:val="24"/>
          <w:lang w:val="en-GB"/>
        </w:rPr>
        <w:t>Torgiano</w:t>
      </w:r>
      <w:proofErr w:type="spellEnd"/>
      <w:r w:rsidRPr="004021D1">
        <w:rPr>
          <w:rFonts w:eastAsia="Times New Roman"/>
          <w:sz w:val="24"/>
          <w:szCs w:val="24"/>
          <w:lang w:val="en-GB"/>
        </w:rPr>
        <w:t xml:space="preserve">, it employed approximately 220 mostly female workers dedicated to knitting Prada and Miu </w:t>
      </w:r>
      <w:proofErr w:type="spellStart"/>
      <w:r w:rsidRPr="004021D1">
        <w:rPr>
          <w:rFonts w:eastAsia="Times New Roman"/>
          <w:sz w:val="24"/>
          <w:szCs w:val="24"/>
          <w:lang w:val="en-GB"/>
        </w:rPr>
        <w:t>Miu</w:t>
      </w:r>
      <w:proofErr w:type="spellEnd"/>
      <w:r w:rsidRPr="004021D1">
        <w:rPr>
          <w:rFonts w:eastAsia="Times New Roman"/>
          <w:sz w:val="24"/>
          <w:szCs w:val="24"/>
          <w:lang w:val="en-GB"/>
        </w:rPr>
        <w:t xml:space="preserve"> and kept the Made in Italy tradition and quality control through vertical integration (Barry, 2024). The second case is the AI Factory by LVMH, which was introduced to aid its luxury brands, such as Dior, Louis Vuitton and Tiffany and Co. It promotes data-driven creativity in its culture, such as internal algorithms that help customise the demand forecasting, personalised customer experience, and all 10,000+ employees are trained on AI competency. The practice assists in balancing high standards of luxury with efficiency and speed in its operation (McDowell, 2024).</w:t>
      </w:r>
    </w:p>
    <w:p w14:paraId="48EED9D9" w14:textId="730C180C" w:rsidR="001E156F" w:rsidRPr="004021D1" w:rsidRDefault="00000000" w:rsidP="003824CD">
      <w:pPr>
        <w:spacing w:before="240" w:after="240" w:line="360" w:lineRule="auto"/>
        <w:jc w:val="both"/>
        <w:rPr>
          <w:rFonts w:eastAsia="Times New Roman"/>
          <w:b/>
          <w:sz w:val="24"/>
          <w:szCs w:val="24"/>
          <w:lang w:val="en-GB"/>
        </w:rPr>
      </w:pPr>
      <w:r w:rsidRPr="004021D1">
        <w:rPr>
          <w:rFonts w:eastAsia="Times New Roman"/>
          <w:sz w:val="24"/>
          <w:szCs w:val="24"/>
          <w:lang w:val="en-GB"/>
        </w:rPr>
        <w:t xml:space="preserve">Traceability and transparency are also being led by luxury brands. The Aura Blockchain Consortium, co-founded by LVMH, Prada, Richemont and others, is a traceability-based system that allows product passports, which log lifecycle data. This helps in authenticity, counterfeiting and is in line with increasing regulatory requirements of sustainability disclosures (Leitch, 2025). Moreover, Gucci under Kering is also putting its money on circularity, and the Circular Hub in Tuscany is dedicated to making raw materials more recyclable, more durable, and more transparent. It also applies Environmental Profit and Loss (EP&amp;L) accounting </w:t>
      </w:r>
      <w:r w:rsidR="00C009AD" w:rsidRPr="004021D1">
        <w:rPr>
          <w:rFonts w:eastAsia="Times New Roman"/>
          <w:sz w:val="24"/>
          <w:szCs w:val="24"/>
          <w:lang w:val="en-GB"/>
        </w:rPr>
        <w:t>to</w:t>
      </w:r>
      <w:r w:rsidRPr="004021D1">
        <w:rPr>
          <w:rFonts w:eastAsia="Times New Roman"/>
          <w:sz w:val="24"/>
          <w:szCs w:val="24"/>
          <w:lang w:val="en-GB"/>
        </w:rPr>
        <w:t xml:space="preserve"> estimate the environmental impact, which strengthens a culture that sustainability is functional and does not exist on paper.</w:t>
      </w:r>
    </w:p>
    <w:p w14:paraId="0E283A58" w14:textId="77777777" w:rsidR="001E156F" w:rsidRPr="004021D1" w:rsidRDefault="00000000" w:rsidP="003824CD">
      <w:pPr>
        <w:spacing w:before="240" w:after="240" w:line="360" w:lineRule="auto"/>
        <w:jc w:val="both"/>
        <w:rPr>
          <w:rFonts w:eastAsia="Times New Roman"/>
          <w:b/>
          <w:sz w:val="24"/>
          <w:szCs w:val="24"/>
          <w:lang w:val="en-GB"/>
        </w:rPr>
      </w:pPr>
      <w:r w:rsidRPr="004021D1">
        <w:rPr>
          <w:rFonts w:eastAsia="Times New Roman"/>
          <w:b/>
          <w:sz w:val="24"/>
          <w:szCs w:val="24"/>
          <w:lang w:val="en-GB"/>
        </w:rPr>
        <w:t xml:space="preserve">Literature gap </w:t>
      </w:r>
    </w:p>
    <w:p w14:paraId="3852F3A6" w14:textId="480D8795"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 xml:space="preserve">Although the current literature and industry data identify cultural strengths of Zara, operational challenges, and comparisons with luxury fashion brands, a relatively small amount of information exists on how organisational culture mediates operational performance in the fast fashion industry. </w:t>
      </w:r>
      <w:r w:rsidR="00C009AD" w:rsidRPr="004021D1">
        <w:rPr>
          <w:rFonts w:eastAsia="Times New Roman"/>
          <w:sz w:val="24"/>
          <w:szCs w:val="24"/>
          <w:lang w:val="en-GB"/>
        </w:rPr>
        <w:t>Most of</w:t>
      </w:r>
      <w:r w:rsidRPr="004021D1">
        <w:rPr>
          <w:rFonts w:eastAsia="Times New Roman"/>
          <w:sz w:val="24"/>
          <w:szCs w:val="24"/>
          <w:lang w:val="en-GB"/>
        </w:rPr>
        <w:t xml:space="preserve"> the research focuses on the metrics of sustainability, labour, or digital innovation, whereas a few of them include integrated studies that provide connections between cultural values and specific business results </w:t>
      </w:r>
      <w:r w:rsidRPr="004021D1">
        <w:rPr>
          <w:rFonts w:eastAsia="Times New Roman"/>
          <w:sz w:val="24"/>
          <w:szCs w:val="24"/>
          <w:lang w:val="en-GB"/>
        </w:rPr>
        <w:lastRenderedPageBreak/>
        <w:t>(</w:t>
      </w:r>
      <w:proofErr w:type="spellStart"/>
      <w:r w:rsidRPr="004021D1">
        <w:rPr>
          <w:rFonts w:eastAsia="Times New Roman"/>
          <w:sz w:val="24"/>
          <w:szCs w:val="24"/>
          <w:lang w:val="en-GB"/>
        </w:rPr>
        <w:t>Arabeche</w:t>
      </w:r>
      <w:proofErr w:type="spellEnd"/>
      <w:r w:rsidRPr="004021D1">
        <w:rPr>
          <w:rFonts w:eastAsia="Times New Roman"/>
          <w:i/>
          <w:sz w:val="24"/>
          <w:szCs w:val="24"/>
          <w:lang w:val="en-GB"/>
        </w:rPr>
        <w:t xml:space="preserve"> et al.</w:t>
      </w:r>
      <w:r w:rsidRPr="004021D1">
        <w:rPr>
          <w:rFonts w:eastAsia="Times New Roman"/>
          <w:sz w:val="24"/>
          <w:szCs w:val="24"/>
          <w:lang w:val="en-GB"/>
        </w:rPr>
        <w:t xml:space="preserve"> 2022). Further, there is little comparative information about fast fashion, such as Zara and luxury practices, which is why there is a gap in cross-sector cultural learning.</w:t>
      </w:r>
    </w:p>
    <w:p w14:paraId="6159EB30" w14:textId="77777777" w:rsidR="001E156F" w:rsidRPr="004021D1" w:rsidRDefault="00000000" w:rsidP="003824CD">
      <w:pPr>
        <w:pStyle w:val="Heading1"/>
        <w:spacing w:before="240" w:after="240"/>
        <w:rPr>
          <w:rFonts w:ascii="Arial" w:hAnsi="Arial" w:cs="Arial"/>
          <w:sz w:val="24"/>
          <w:szCs w:val="24"/>
          <w:lang w:val="en-GB"/>
        </w:rPr>
      </w:pPr>
      <w:bookmarkStart w:id="9" w:name="_41ft5o5g1pc" w:colFirst="0" w:colLast="0"/>
      <w:bookmarkStart w:id="10" w:name="_Toc210489145"/>
      <w:bookmarkEnd w:id="9"/>
      <w:r w:rsidRPr="004021D1">
        <w:rPr>
          <w:rFonts w:ascii="Arial" w:hAnsi="Arial" w:cs="Arial"/>
          <w:sz w:val="24"/>
          <w:szCs w:val="24"/>
          <w:lang w:val="en-GB"/>
        </w:rPr>
        <w:t>Research Methodology</w:t>
      </w:r>
      <w:bookmarkEnd w:id="10"/>
      <w:r w:rsidRPr="004021D1">
        <w:rPr>
          <w:rFonts w:ascii="Arial" w:hAnsi="Arial" w:cs="Arial"/>
          <w:sz w:val="24"/>
          <w:szCs w:val="24"/>
          <w:lang w:val="en-GB"/>
        </w:rPr>
        <w:t xml:space="preserve"> </w:t>
      </w:r>
    </w:p>
    <w:p w14:paraId="51A08001" w14:textId="119AD5C9"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Methodology gives the template that shall be used in the whole procedure of collection and analysis of data in this study. Research method is a significant and important aspect in that it details the procedure and plan that guide a study (Sarwono, 2022). To conduct the present paper, an inductive research approach is going to be applied, as it will allow evaluating the new patterns and developing explanations regarding the impact of organisational culture on business processes at Zara. In the case of research philosophy, the study will use the interpretivism research philosophy, as this method enables interpreting the values, behaviours, and cultural practices in Zara and their influence on the efficiency and performance of operations</w:t>
      </w:r>
      <w:r w:rsidR="00C44FA2" w:rsidRPr="004021D1">
        <w:rPr>
          <w:rFonts w:eastAsia="Times New Roman"/>
          <w:sz w:val="24"/>
          <w:szCs w:val="24"/>
          <w:lang w:val="en-GB"/>
        </w:rPr>
        <w:t xml:space="preserve"> (Ali </w:t>
      </w:r>
      <w:r w:rsidR="00C44FA2" w:rsidRPr="004021D1">
        <w:rPr>
          <w:rFonts w:eastAsia="Times New Roman"/>
          <w:i/>
          <w:iCs/>
          <w:sz w:val="24"/>
          <w:szCs w:val="24"/>
          <w:lang w:val="en-GB"/>
        </w:rPr>
        <w:t>et al.</w:t>
      </w:r>
      <w:r w:rsidR="00C44FA2" w:rsidRPr="004021D1">
        <w:rPr>
          <w:rFonts w:eastAsia="Times New Roman"/>
          <w:sz w:val="24"/>
          <w:szCs w:val="24"/>
          <w:lang w:val="en-GB"/>
        </w:rPr>
        <w:t xml:space="preserve"> 2021)</w:t>
      </w:r>
      <w:r w:rsidRPr="004021D1">
        <w:rPr>
          <w:rFonts w:eastAsia="Times New Roman"/>
          <w:sz w:val="24"/>
          <w:szCs w:val="24"/>
          <w:lang w:val="en-GB"/>
        </w:rPr>
        <w:t>. The basis of this study is data collection, which guarantees the completeness, ethical behaviour, and legality. An in-depth qualitative research methodology will be embraced to gather information relating to organisational culture and how it influences the operating strategies of Zara. The various forms of secondary sources will be used as the primary source of collecting data.  Data will be collected as a qualitative case study based on annual reports, sustainability reports, and publications in the industry concerning perceptions of cultural practices, inclusiveness and operational alignment of Zara. An analysis of cultural frameworks and real-life examples of international competitors will also be compared in terms of such parameters as agility, inclusiveness, and sustainability. To analyse the data, thematic analysis will be used to analyse the qualitative data collected. The approach will help to uncover certain themes that repeat in the functioning of Zara, including agility, employee development, inclusivity, and responsiveness. The comparative analysis will also be used, comparing the cultural practices of Zara with other fashion brands, to outline the unique strong points and weaknesses. To guarantee that the research is reliable and valid in terms of data collection and analysis processes, the research will also be verified in sources and transparency in interpretation.</w:t>
      </w:r>
    </w:p>
    <w:p w14:paraId="155B91F7" w14:textId="77777777" w:rsidR="001E156F" w:rsidRPr="004021D1" w:rsidRDefault="00000000" w:rsidP="003824CD">
      <w:pPr>
        <w:pStyle w:val="Heading1"/>
        <w:spacing w:before="240" w:after="240"/>
        <w:rPr>
          <w:rFonts w:ascii="Arial" w:hAnsi="Arial" w:cs="Arial"/>
          <w:sz w:val="24"/>
          <w:szCs w:val="24"/>
          <w:lang w:val="en-GB"/>
        </w:rPr>
      </w:pPr>
      <w:bookmarkStart w:id="11" w:name="_5gknnfznwt2" w:colFirst="0" w:colLast="0"/>
      <w:bookmarkStart w:id="12" w:name="_Toc210489146"/>
      <w:bookmarkEnd w:id="11"/>
      <w:r w:rsidRPr="004021D1">
        <w:rPr>
          <w:rFonts w:ascii="Arial" w:hAnsi="Arial" w:cs="Arial"/>
          <w:sz w:val="24"/>
          <w:szCs w:val="24"/>
          <w:lang w:val="en-GB"/>
        </w:rPr>
        <w:lastRenderedPageBreak/>
        <w:t>Risks</w:t>
      </w:r>
      <w:bookmarkEnd w:id="12"/>
      <w:r w:rsidRPr="004021D1">
        <w:rPr>
          <w:rFonts w:ascii="Arial" w:hAnsi="Arial" w:cs="Arial"/>
          <w:sz w:val="24"/>
          <w:szCs w:val="24"/>
          <w:lang w:val="en-GB"/>
        </w:rPr>
        <w:t xml:space="preserve"> </w:t>
      </w:r>
    </w:p>
    <w:p w14:paraId="74FB5DE9" w14:textId="77777777" w:rsidR="001E156F" w:rsidRPr="004021D1" w:rsidRDefault="00000000" w:rsidP="003824CD">
      <w:pPr>
        <w:spacing w:before="240" w:after="240" w:line="360" w:lineRule="auto"/>
        <w:jc w:val="both"/>
        <w:rPr>
          <w:rFonts w:eastAsia="Times New Roman"/>
          <w:sz w:val="24"/>
          <w:szCs w:val="24"/>
          <w:lang w:val="en-GB"/>
        </w:rPr>
      </w:pPr>
      <w:r w:rsidRPr="004021D1">
        <w:rPr>
          <w:rFonts w:eastAsia="Times New Roman"/>
          <w:sz w:val="24"/>
          <w:szCs w:val="24"/>
          <w:lang w:val="en-GB"/>
        </w:rPr>
        <w:t>This study may face several risks. Firstly, the depth of cultural analysis could be restricted, given the availability of information pertaining to Zara internally that is accurate and current. Secondly, while secondary sources are a good start, such as reviewing annual reports, there are also several risks of corporate bias in external coverage. Additionally, the interpretivist aspect of qualitative analysis may also lead to bias through the interpretations of the data. Furthermore, limited time as well as the ability to compare Zara to advanced competitors across cultures could also be problematic.</w:t>
      </w:r>
    </w:p>
    <w:p w14:paraId="6A4EA1C9" w14:textId="56FB7B19" w:rsidR="001E156F" w:rsidRPr="004021D1" w:rsidRDefault="00000000" w:rsidP="003824CD">
      <w:pPr>
        <w:pStyle w:val="Heading1"/>
        <w:spacing w:before="240" w:after="240"/>
        <w:rPr>
          <w:rFonts w:ascii="Arial" w:hAnsi="Arial" w:cs="Arial"/>
          <w:sz w:val="24"/>
          <w:szCs w:val="24"/>
          <w:lang w:val="en-GB"/>
        </w:rPr>
      </w:pPr>
      <w:bookmarkStart w:id="13" w:name="_dl93xyrqhs1t" w:colFirst="0" w:colLast="0"/>
      <w:bookmarkStart w:id="14" w:name="_Toc210489147"/>
      <w:bookmarkEnd w:id="13"/>
      <w:r w:rsidRPr="004021D1">
        <w:rPr>
          <w:rFonts w:ascii="Arial" w:hAnsi="Arial" w:cs="Arial"/>
          <w:sz w:val="24"/>
          <w:szCs w:val="24"/>
          <w:lang w:val="en-GB"/>
        </w:rPr>
        <w:t xml:space="preserve">Timeline </w:t>
      </w:r>
      <w:r w:rsidR="0077215A" w:rsidRPr="004021D1">
        <w:rPr>
          <w:rFonts w:ascii="Arial" w:hAnsi="Arial" w:cs="Arial"/>
          <w:sz w:val="24"/>
          <w:szCs w:val="24"/>
          <w:lang w:val="en-GB"/>
        </w:rPr>
        <w:t>(Gantt chart)</w:t>
      </w:r>
      <w:bookmarkEnd w:id="14"/>
    </w:p>
    <w:p w14:paraId="65A19CD2" w14:textId="59EAC748" w:rsidR="001E156F" w:rsidRPr="004021D1" w:rsidRDefault="0029331B" w:rsidP="00FD01FC">
      <w:pPr>
        <w:spacing w:before="240" w:after="240" w:line="360" w:lineRule="auto"/>
        <w:jc w:val="center"/>
        <w:rPr>
          <w:rFonts w:eastAsia="Times New Roman"/>
          <w:sz w:val="24"/>
          <w:szCs w:val="24"/>
          <w:lang w:val="en-GB"/>
        </w:rPr>
      </w:pPr>
      <w:r w:rsidRPr="004021D1">
        <w:rPr>
          <w:noProof/>
        </w:rPr>
        <w:drawing>
          <wp:inline distT="0" distB="0" distL="0" distR="0" wp14:anchorId="6F978639" wp14:editId="0D3908E8">
            <wp:extent cx="5943600" cy="2028825"/>
            <wp:effectExtent l="0" t="0" r="0" b="9525"/>
            <wp:docPr id="730372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028825"/>
                    </a:xfrm>
                    <a:prstGeom prst="rect">
                      <a:avLst/>
                    </a:prstGeom>
                    <a:noFill/>
                    <a:ln>
                      <a:noFill/>
                    </a:ln>
                  </pic:spPr>
                </pic:pic>
              </a:graphicData>
            </a:graphic>
          </wp:inline>
        </w:drawing>
      </w:r>
    </w:p>
    <w:p w14:paraId="040A0759" w14:textId="518C4975" w:rsidR="001E156F" w:rsidRPr="004021D1" w:rsidRDefault="00000000" w:rsidP="00FD01FC">
      <w:pPr>
        <w:spacing w:before="240" w:after="240" w:line="360" w:lineRule="auto"/>
        <w:jc w:val="center"/>
        <w:rPr>
          <w:rFonts w:eastAsia="Times New Roman"/>
          <w:b/>
          <w:sz w:val="24"/>
          <w:szCs w:val="24"/>
          <w:lang w:val="en-GB"/>
        </w:rPr>
      </w:pPr>
      <w:r w:rsidRPr="004021D1">
        <w:rPr>
          <w:rFonts w:eastAsia="Times New Roman"/>
          <w:b/>
          <w:sz w:val="24"/>
          <w:szCs w:val="24"/>
          <w:lang w:val="en-GB"/>
        </w:rPr>
        <w:t>Figure 2: Research timeline</w:t>
      </w:r>
    </w:p>
    <w:p w14:paraId="0FC899C2" w14:textId="77777777" w:rsidR="001E156F" w:rsidRPr="004021D1" w:rsidRDefault="00000000" w:rsidP="00FD01FC">
      <w:pPr>
        <w:spacing w:before="240" w:after="240" w:line="360" w:lineRule="auto"/>
        <w:jc w:val="center"/>
        <w:rPr>
          <w:rFonts w:eastAsia="Times New Roman"/>
          <w:sz w:val="24"/>
          <w:szCs w:val="24"/>
          <w:lang w:val="en-GB"/>
        </w:rPr>
      </w:pPr>
      <w:r w:rsidRPr="004021D1">
        <w:rPr>
          <w:rFonts w:eastAsia="Times New Roman"/>
          <w:sz w:val="24"/>
          <w:szCs w:val="24"/>
          <w:lang w:val="en-GB"/>
        </w:rPr>
        <w:t>(Source: Self-developed)</w:t>
      </w:r>
    </w:p>
    <w:p w14:paraId="1DBF5257" w14:textId="77777777" w:rsidR="001E156F" w:rsidRPr="004021D1" w:rsidRDefault="00000000" w:rsidP="003824CD">
      <w:pPr>
        <w:spacing w:before="240" w:after="240" w:line="360" w:lineRule="auto"/>
        <w:jc w:val="both"/>
        <w:rPr>
          <w:rFonts w:eastAsia="Times New Roman"/>
          <w:sz w:val="24"/>
          <w:szCs w:val="24"/>
          <w:lang w:val="en-GB"/>
        </w:rPr>
      </w:pPr>
      <w:r w:rsidRPr="004021D1">
        <w:rPr>
          <w:sz w:val="24"/>
          <w:szCs w:val="24"/>
          <w:lang w:val="en-GB"/>
        </w:rPr>
        <w:br w:type="page"/>
      </w:r>
    </w:p>
    <w:p w14:paraId="4FC6832F" w14:textId="77777777" w:rsidR="001E156F" w:rsidRPr="004021D1" w:rsidRDefault="00000000" w:rsidP="004021D1">
      <w:pPr>
        <w:pStyle w:val="Heading1"/>
        <w:spacing w:before="240"/>
        <w:rPr>
          <w:rFonts w:ascii="Arial" w:hAnsi="Arial" w:cs="Arial"/>
          <w:sz w:val="24"/>
          <w:szCs w:val="24"/>
          <w:lang w:val="en-GB"/>
        </w:rPr>
      </w:pPr>
      <w:bookmarkStart w:id="15" w:name="_v45kwufihu0e" w:colFirst="0" w:colLast="0"/>
      <w:bookmarkStart w:id="16" w:name="_Toc210489148"/>
      <w:bookmarkEnd w:id="15"/>
      <w:r w:rsidRPr="004021D1">
        <w:rPr>
          <w:rFonts w:ascii="Arial" w:hAnsi="Arial" w:cs="Arial"/>
          <w:sz w:val="24"/>
          <w:szCs w:val="24"/>
          <w:lang w:val="en-GB"/>
        </w:rPr>
        <w:lastRenderedPageBreak/>
        <w:t>References</w:t>
      </w:r>
      <w:bookmarkEnd w:id="16"/>
    </w:p>
    <w:p w14:paraId="1EC2E5EB" w14:textId="77777777"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 xml:space="preserve">Ali, M., Shah, A.A. and Shah, S.A.A., 2021. Positivism and interpretivism. </w:t>
      </w:r>
      <w:proofErr w:type="spellStart"/>
      <w:r w:rsidRPr="004021D1">
        <w:rPr>
          <w:rFonts w:eastAsia="Times New Roman"/>
          <w:color w:val="000000" w:themeColor="text1"/>
          <w:sz w:val="24"/>
          <w:szCs w:val="24"/>
          <w:lang w:val="en-GB"/>
        </w:rPr>
        <w:t>Qlantic</w:t>
      </w:r>
      <w:proofErr w:type="spellEnd"/>
      <w:r w:rsidRPr="004021D1">
        <w:rPr>
          <w:rFonts w:eastAsia="Times New Roman"/>
          <w:color w:val="000000" w:themeColor="text1"/>
          <w:sz w:val="24"/>
          <w:szCs w:val="24"/>
          <w:lang w:val="en-GB"/>
        </w:rPr>
        <w:t xml:space="preserve"> Journal of Social Sciences, 2(1), pp.20-26.</w:t>
      </w:r>
      <w:hyperlink r:id="rId8" w:history="1">
        <w:r w:rsidRPr="004021D1">
          <w:rPr>
            <w:rStyle w:val="Hyperlink"/>
            <w:rFonts w:eastAsia="Times New Roman"/>
            <w:color w:val="000000" w:themeColor="text1"/>
            <w:sz w:val="24"/>
            <w:szCs w:val="24"/>
            <w:lang w:val="en-GB"/>
          </w:rPr>
          <w:t>https://qjss.com.pk/index.php/qjss/article/download/19/17</w:t>
        </w:r>
      </w:hyperlink>
    </w:p>
    <w:p w14:paraId="35FB279D" w14:textId="77777777" w:rsidR="00C44FA2" w:rsidRPr="004021D1" w:rsidRDefault="00C44FA2" w:rsidP="004021D1">
      <w:pPr>
        <w:spacing w:before="120" w:after="120"/>
        <w:rPr>
          <w:rFonts w:eastAsia="Times New Roman"/>
          <w:color w:val="000000" w:themeColor="text1"/>
          <w:sz w:val="24"/>
          <w:szCs w:val="24"/>
          <w:lang w:val="en-GB"/>
        </w:rPr>
      </w:pPr>
      <w:proofErr w:type="spellStart"/>
      <w:r w:rsidRPr="004021D1">
        <w:rPr>
          <w:rFonts w:eastAsia="Times New Roman"/>
          <w:color w:val="000000" w:themeColor="text1"/>
          <w:sz w:val="24"/>
          <w:szCs w:val="24"/>
          <w:lang w:val="en-GB"/>
        </w:rPr>
        <w:t>Arabeche</w:t>
      </w:r>
      <w:proofErr w:type="spellEnd"/>
      <w:r w:rsidRPr="004021D1">
        <w:rPr>
          <w:rFonts w:eastAsia="Times New Roman"/>
          <w:color w:val="000000" w:themeColor="text1"/>
          <w:sz w:val="24"/>
          <w:szCs w:val="24"/>
          <w:lang w:val="en-GB"/>
        </w:rPr>
        <w:t xml:space="preserve">, Z., Soudani, A., Brahmi, M., </w:t>
      </w:r>
      <w:proofErr w:type="spellStart"/>
      <w:r w:rsidRPr="004021D1">
        <w:rPr>
          <w:rFonts w:eastAsia="Times New Roman"/>
          <w:color w:val="000000" w:themeColor="text1"/>
          <w:sz w:val="24"/>
          <w:szCs w:val="24"/>
          <w:lang w:val="en-GB"/>
        </w:rPr>
        <w:t>Aldieri</w:t>
      </w:r>
      <w:proofErr w:type="spellEnd"/>
      <w:r w:rsidRPr="004021D1">
        <w:rPr>
          <w:rFonts w:eastAsia="Times New Roman"/>
          <w:color w:val="000000" w:themeColor="text1"/>
          <w:sz w:val="24"/>
          <w:szCs w:val="24"/>
          <w:lang w:val="en-GB"/>
        </w:rPr>
        <w:t>, L., Vinci, C.P. and Abdelli, M.E.A., 2022. Entrepreneurial orientation, organizational culture and business performance in SMEs: Evidence from emerging economy. Sustainability, 14(9), p.5160.</w:t>
      </w:r>
      <w:hyperlink r:id="rId9">
        <w:r w:rsidRPr="004021D1">
          <w:rPr>
            <w:rFonts w:eastAsia="Times New Roman"/>
            <w:color w:val="000000" w:themeColor="text1"/>
            <w:sz w:val="24"/>
            <w:szCs w:val="24"/>
            <w:u w:val="single"/>
            <w:lang w:val="en-GB"/>
          </w:rPr>
          <w:t>https://doi.org/10.3390/su14095160</w:t>
        </w:r>
      </w:hyperlink>
    </w:p>
    <w:p w14:paraId="7F2B7132" w14:textId="1B5D61CF"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Barry, C.</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2024. Prada focuses generational transition on artisans, expanding production and workforce in Italy. [online] AP News. Available at: </w:t>
      </w:r>
      <w:hyperlink r:id="rId10" w:history="1">
        <w:r w:rsidR="00521570" w:rsidRPr="004021D1">
          <w:rPr>
            <w:rStyle w:val="Hyperlink"/>
            <w:rFonts w:eastAsia="Times New Roman"/>
            <w:color w:val="000000" w:themeColor="text1"/>
            <w:sz w:val="24"/>
            <w:szCs w:val="24"/>
            <w:lang w:val="en-GB"/>
          </w:rPr>
          <w:t>https://apnews.com/article/088717ea594a2927dd8b01ca00844ef1?utm</w:t>
        </w:r>
      </w:hyperlink>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[Accessed 3 Oct. 2025].</w:t>
      </w:r>
    </w:p>
    <w:p w14:paraId="40A29016" w14:textId="77777777"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Egitim, S., 2022. Challenges of adapting to organizational culture: Internationalization through inclusive leadership and mutuality. Social Sciences &amp; Humanities Open, 5(1), p.100242.</w:t>
      </w:r>
      <w:hyperlink r:id="rId11">
        <w:r w:rsidRPr="004021D1">
          <w:rPr>
            <w:rFonts w:eastAsia="Times New Roman"/>
            <w:color w:val="000000" w:themeColor="text1"/>
            <w:sz w:val="24"/>
            <w:szCs w:val="24"/>
            <w:u w:val="single"/>
            <w:lang w:val="en-GB"/>
          </w:rPr>
          <w:t>https://doi.org/10.1016/j.ssaho.2021.100242</w:t>
        </w:r>
      </w:hyperlink>
    </w:p>
    <w:p w14:paraId="377E7ED3" w14:textId="3FD0D6C0"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Forbes</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2025. Zara. Forbes. [online] Available at: https://www.forbes.com/companies/zara/.</w:t>
      </w:r>
    </w:p>
    <w:p w14:paraId="0AD42E89" w14:textId="569C35AC"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Inditex Annual Report 2024.</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2024. Our Drivers | Our Drivers | Inditex Annual Report 2024. [online] Available at: </w:t>
      </w:r>
      <w:hyperlink r:id="rId12" w:history="1">
        <w:r w:rsidR="00521570" w:rsidRPr="004021D1">
          <w:rPr>
            <w:rStyle w:val="Hyperlink"/>
            <w:rFonts w:eastAsia="Times New Roman"/>
            <w:color w:val="000000" w:themeColor="text1"/>
            <w:sz w:val="24"/>
            <w:szCs w:val="24"/>
            <w:lang w:val="en-GB"/>
          </w:rPr>
          <w:t>https://static.inditex.com/annualreport2024/en/our-drivers?utm</w:t>
        </w:r>
      </w:hyperlink>
      <w:r w:rsidRPr="004021D1">
        <w:rPr>
          <w:rFonts w:eastAsia="Times New Roman"/>
          <w:color w:val="000000" w:themeColor="text1"/>
          <w:sz w:val="24"/>
          <w:szCs w:val="24"/>
          <w:lang w:val="en-GB"/>
        </w:rPr>
        <w:t>.</w:t>
      </w:r>
      <w:r w:rsidR="00521570" w:rsidRPr="004021D1">
        <w:rPr>
          <w:rFonts w:eastAsia="Times New Roman"/>
          <w:color w:val="000000" w:themeColor="text1"/>
          <w:sz w:val="24"/>
          <w:szCs w:val="24"/>
          <w:lang w:val="en-GB"/>
        </w:rPr>
        <w:t xml:space="preserve"> </w:t>
      </w:r>
    </w:p>
    <w:p w14:paraId="0909F4FF" w14:textId="39661B33"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Inditex</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2025. FY2024 Results. [online] inditex.com. Available at: </w:t>
      </w:r>
      <w:hyperlink r:id="rId13" w:history="1">
        <w:r w:rsidR="00521570" w:rsidRPr="004021D1">
          <w:rPr>
            <w:rStyle w:val="Hyperlink"/>
            <w:rFonts w:eastAsia="Times New Roman"/>
            <w:color w:val="000000" w:themeColor="text1"/>
            <w:sz w:val="24"/>
            <w:szCs w:val="24"/>
            <w:lang w:val="en-GB"/>
          </w:rPr>
          <w:t>https://www.inditex.com/itxcomweb/api/media/4a47faab-1d1f-4ed5-b37b-374162394b7c/2024AnnualResultsAnnexes.pdf?t=1742212218056</w:t>
        </w:r>
      </w:hyperlink>
      <w:r w:rsidRPr="004021D1">
        <w:rPr>
          <w:rFonts w:eastAsia="Times New Roman"/>
          <w:color w:val="000000" w:themeColor="text1"/>
          <w:sz w:val="24"/>
          <w:szCs w:val="24"/>
          <w:lang w:val="en-GB"/>
        </w:rPr>
        <w:t>.</w:t>
      </w:r>
      <w:r w:rsidR="00521570" w:rsidRPr="004021D1">
        <w:rPr>
          <w:rFonts w:eastAsia="Times New Roman"/>
          <w:color w:val="000000" w:themeColor="text1"/>
          <w:sz w:val="24"/>
          <w:szCs w:val="24"/>
          <w:lang w:val="en-GB"/>
        </w:rPr>
        <w:t xml:space="preserve"> </w:t>
      </w:r>
    </w:p>
    <w:p w14:paraId="5E088917" w14:textId="328C988C"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Leitch, L.</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2025. Aura takes shape: Prada, OTB and LVMH weigh the future of luxury’s blockchain solution. [online] Vogue Business. Available at: </w:t>
      </w:r>
      <w:hyperlink r:id="rId14" w:history="1">
        <w:r w:rsidR="00521570" w:rsidRPr="004021D1">
          <w:rPr>
            <w:rStyle w:val="Hyperlink"/>
            <w:rFonts w:eastAsia="Times New Roman"/>
            <w:color w:val="000000" w:themeColor="text1"/>
            <w:sz w:val="24"/>
            <w:szCs w:val="24"/>
            <w:lang w:val="en-GB"/>
          </w:rPr>
          <w:t>https://www.voguebusiness.com/story/technology/aura-takes-shape-prada-otb-and-lvmh-weigh-the-future-of-luxurys-blockchain-solution?utm</w:t>
        </w:r>
      </w:hyperlink>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[Accessed 3 Oct. 2025].</w:t>
      </w:r>
    </w:p>
    <w:p w14:paraId="088028E0" w14:textId="05260B69"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McDowell, M.</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2024. Inside LVMH’s AI Factory. [online] Vogue Business. Available at: </w:t>
      </w:r>
      <w:hyperlink r:id="rId15" w:history="1">
        <w:r w:rsidR="00521570" w:rsidRPr="004021D1">
          <w:rPr>
            <w:rStyle w:val="Hyperlink"/>
            <w:rFonts w:eastAsia="Times New Roman"/>
            <w:color w:val="000000" w:themeColor="text1"/>
            <w:sz w:val="24"/>
            <w:szCs w:val="24"/>
            <w:lang w:val="en-GB"/>
          </w:rPr>
          <w:t>https://www.voguebusiness.com/story/technology/inside-lvmhs-ai-factory?utm</w:t>
        </w:r>
      </w:hyperlink>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[Accessed 3 Oct. 2025].</w:t>
      </w:r>
    </w:p>
    <w:p w14:paraId="37ACD3F8" w14:textId="7A02B985"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Osman, A.M., Liu, Y. and Wang, Z., 2023. Influence of organizational culture on construction firms’ performance: the mediating roles of innovation and marketing capabilities. Buildings, 13(2), p.308.</w:t>
      </w:r>
      <w:r w:rsidR="00521570" w:rsidRPr="004021D1">
        <w:rPr>
          <w:rFonts w:eastAsia="Times New Roman"/>
          <w:color w:val="000000" w:themeColor="text1"/>
          <w:sz w:val="24"/>
          <w:szCs w:val="24"/>
          <w:lang w:val="en-GB"/>
        </w:rPr>
        <w:t xml:space="preserve">  </w:t>
      </w:r>
      <w:hyperlink r:id="rId16" w:history="1">
        <w:r w:rsidR="00521570" w:rsidRPr="004021D1">
          <w:rPr>
            <w:rStyle w:val="Hyperlink"/>
            <w:rFonts w:eastAsia="Times New Roman"/>
            <w:color w:val="000000" w:themeColor="text1"/>
            <w:sz w:val="24"/>
            <w:szCs w:val="24"/>
            <w:lang w:val="en-GB"/>
          </w:rPr>
          <w:t>https://doi.org/10.3390/buildings13020308</w:t>
        </w:r>
      </w:hyperlink>
      <w:r w:rsidR="00521570" w:rsidRPr="004021D1">
        <w:rPr>
          <w:color w:val="000000" w:themeColor="text1"/>
          <w:sz w:val="24"/>
          <w:szCs w:val="24"/>
          <w:lang w:val="en-GB"/>
        </w:rPr>
        <w:t xml:space="preserve"> </w:t>
      </w:r>
    </w:p>
    <w:p w14:paraId="7C4CAC94" w14:textId="6C15D4AD"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Reid, H.</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2025. Zara owner Inditex’s transport emissions jump in 2024. [online] Reuters. Available at: </w:t>
      </w:r>
      <w:hyperlink r:id="rId17" w:history="1">
        <w:r w:rsidR="00521570" w:rsidRPr="004021D1">
          <w:rPr>
            <w:rStyle w:val="Hyperlink"/>
            <w:rFonts w:eastAsia="Times New Roman"/>
            <w:color w:val="000000" w:themeColor="text1"/>
            <w:sz w:val="24"/>
            <w:szCs w:val="24"/>
            <w:lang w:val="en-GB"/>
          </w:rPr>
          <w:t>https://www.reuters.com/business/retail-consumer/zara-owner-inditexs-transport-emissions-jump-2024-2025-03-14/</w:t>
        </w:r>
      </w:hyperlink>
      <w:r w:rsidRPr="004021D1">
        <w:rPr>
          <w:rFonts w:eastAsia="Times New Roman"/>
          <w:color w:val="000000" w:themeColor="text1"/>
          <w:sz w:val="24"/>
          <w:szCs w:val="24"/>
          <w:lang w:val="en-GB"/>
        </w:rPr>
        <w:t>.</w:t>
      </w:r>
      <w:r w:rsidR="00521570" w:rsidRPr="004021D1">
        <w:rPr>
          <w:rFonts w:eastAsia="Times New Roman"/>
          <w:color w:val="000000" w:themeColor="text1"/>
          <w:sz w:val="24"/>
          <w:szCs w:val="24"/>
          <w:lang w:val="en-GB"/>
        </w:rPr>
        <w:t xml:space="preserve"> </w:t>
      </w:r>
    </w:p>
    <w:p w14:paraId="2485A1A7" w14:textId="1C645DE7"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lastRenderedPageBreak/>
        <w:t>Roll, M.</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2021. The secret of Zara’s success: A culture of customer co-creation. [online] Martin Roll. Available at: </w:t>
      </w:r>
      <w:hyperlink r:id="rId18" w:history="1">
        <w:r w:rsidR="00521570" w:rsidRPr="004021D1">
          <w:rPr>
            <w:rStyle w:val="Hyperlink"/>
            <w:rFonts w:eastAsia="Times New Roman"/>
            <w:color w:val="000000" w:themeColor="text1"/>
            <w:sz w:val="24"/>
            <w:szCs w:val="24"/>
            <w:lang w:val="en-GB"/>
          </w:rPr>
          <w:t>https://martinroll.com/resources/articles/strategy/the-secret-of-zaras-success-a-culture-of-customer-co-creation/</w:t>
        </w:r>
      </w:hyperlink>
      <w:r w:rsidRPr="004021D1">
        <w:rPr>
          <w:rFonts w:eastAsia="Times New Roman"/>
          <w:color w:val="000000" w:themeColor="text1"/>
          <w:sz w:val="24"/>
          <w:szCs w:val="24"/>
          <w:lang w:val="en-GB"/>
        </w:rPr>
        <w:t>.</w:t>
      </w:r>
      <w:r w:rsidR="00521570" w:rsidRPr="004021D1">
        <w:rPr>
          <w:rFonts w:eastAsia="Times New Roman"/>
          <w:color w:val="000000" w:themeColor="text1"/>
          <w:sz w:val="24"/>
          <w:szCs w:val="24"/>
          <w:lang w:val="en-GB"/>
        </w:rPr>
        <w:t xml:space="preserve"> </w:t>
      </w:r>
    </w:p>
    <w:p w14:paraId="35974F1F" w14:textId="77777777"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 xml:space="preserve">Rožman, M., </w:t>
      </w:r>
      <w:proofErr w:type="spellStart"/>
      <w:r w:rsidRPr="004021D1">
        <w:rPr>
          <w:rFonts w:eastAsia="Times New Roman"/>
          <w:color w:val="000000" w:themeColor="text1"/>
          <w:sz w:val="24"/>
          <w:szCs w:val="24"/>
          <w:lang w:val="en-GB"/>
        </w:rPr>
        <w:t>Tominc</w:t>
      </w:r>
      <w:proofErr w:type="spellEnd"/>
      <w:r w:rsidRPr="004021D1">
        <w:rPr>
          <w:rFonts w:eastAsia="Times New Roman"/>
          <w:color w:val="000000" w:themeColor="text1"/>
          <w:sz w:val="24"/>
          <w:szCs w:val="24"/>
          <w:lang w:val="en-GB"/>
        </w:rPr>
        <w:t xml:space="preserve">, P. and </w:t>
      </w:r>
      <w:proofErr w:type="spellStart"/>
      <w:r w:rsidRPr="004021D1">
        <w:rPr>
          <w:rFonts w:eastAsia="Times New Roman"/>
          <w:color w:val="000000" w:themeColor="text1"/>
          <w:sz w:val="24"/>
          <w:szCs w:val="24"/>
          <w:lang w:val="en-GB"/>
        </w:rPr>
        <w:t>Milfelner</w:t>
      </w:r>
      <w:proofErr w:type="spellEnd"/>
      <w:r w:rsidRPr="004021D1">
        <w:rPr>
          <w:rFonts w:eastAsia="Times New Roman"/>
          <w:color w:val="000000" w:themeColor="text1"/>
          <w:sz w:val="24"/>
          <w:szCs w:val="24"/>
          <w:lang w:val="en-GB"/>
        </w:rPr>
        <w:t>, B., 2023. Maximizing employee engagement through artificial intelligent organizational culture in the context of leadership and training of employees: Testing linear and non-linear relationships. Cogent Business &amp; Management, 10(2), p.2248732.</w:t>
      </w:r>
      <w:hyperlink r:id="rId19" w:history="1">
        <w:r w:rsidRPr="004021D1">
          <w:rPr>
            <w:rStyle w:val="Hyperlink"/>
            <w:rFonts w:eastAsia="Times New Roman"/>
            <w:color w:val="000000" w:themeColor="text1"/>
            <w:sz w:val="24"/>
            <w:szCs w:val="24"/>
            <w:lang w:val="en-GB"/>
          </w:rPr>
          <w:t>https://doi.org/10.1080/23311975.2023.2248732</w:t>
        </w:r>
      </w:hyperlink>
    </w:p>
    <w:p w14:paraId="08C32EBC" w14:textId="54312DFA"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Sarmiento, A.R.</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2025. Inditex faces scrutiny over logistics emissions and labour practices in Bangladesh. [online] </w:t>
      </w:r>
      <w:proofErr w:type="spellStart"/>
      <w:r w:rsidRPr="004021D1">
        <w:rPr>
          <w:rFonts w:eastAsia="Times New Roman"/>
          <w:color w:val="000000" w:themeColor="text1"/>
          <w:sz w:val="24"/>
          <w:szCs w:val="24"/>
          <w:lang w:val="en-GB"/>
        </w:rPr>
        <w:t>FashionUnited</w:t>
      </w:r>
      <w:proofErr w:type="spellEnd"/>
      <w:r w:rsidRPr="004021D1">
        <w:rPr>
          <w:rFonts w:eastAsia="Times New Roman"/>
          <w:color w:val="000000" w:themeColor="text1"/>
          <w:sz w:val="24"/>
          <w:szCs w:val="24"/>
          <w:lang w:val="en-GB"/>
        </w:rPr>
        <w:t xml:space="preserve">. Available at: </w:t>
      </w:r>
      <w:hyperlink r:id="rId20" w:history="1">
        <w:r w:rsidR="00521570" w:rsidRPr="004021D1">
          <w:rPr>
            <w:rStyle w:val="Hyperlink"/>
            <w:rFonts w:eastAsia="Times New Roman"/>
            <w:color w:val="000000" w:themeColor="text1"/>
            <w:sz w:val="24"/>
            <w:szCs w:val="24"/>
            <w:lang w:val="en-GB"/>
          </w:rPr>
          <w:t>https://fashionunited.in/news/business/inditex-faces-scrutiny-over-logistics-emissions-and-labour-practices-in-bangladesh/2025071550627?utm</w:t>
        </w:r>
      </w:hyperlink>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[Accessed 3 Oct. 2025].</w:t>
      </w:r>
    </w:p>
    <w:p w14:paraId="42E486F0" w14:textId="43D6DCA2"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Sarwono, J., 2022. Quantitative, qualitative and mixed method research methodology. Washington: Amazon.</w:t>
      </w:r>
      <w:hyperlink r:id="rId21">
        <w:r w:rsidRPr="004021D1">
          <w:rPr>
            <w:rFonts w:eastAsia="Times New Roman"/>
            <w:color w:val="000000" w:themeColor="text1"/>
            <w:sz w:val="24"/>
            <w:szCs w:val="24"/>
            <w:u w:val="single"/>
            <w:lang w:val="en-GB"/>
          </w:rPr>
          <w:t>https://www.researchgate.net/profile/Jonathan-Sarwono/publication/360403377_Quantitative_Qualitative_and_Mixed_Method_Research_Methodology/links/62746a533a23744a726750dc/Quantitative-Qualitative-and-Mixed-Method-Research-Methodology.pdf</w:t>
        </w:r>
      </w:hyperlink>
      <w:r w:rsidR="00521570" w:rsidRPr="004021D1">
        <w:rPr>
          <w:color w:val="000000" w:themeColor="text1"/>
          <w:sz w:val="24"/>
          <w:szCs w:val="24"/>
          <w:lang w:val="en-GB"/>
        </w:rPr>
        <w:t xml:space="preserve"> </w:t>
      </w:r>
    </w:p>
    <w:p w14:paraId="54197835" w14:textId="1A56BBB0"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Statista</w:t>
      </w:r>
      <w:r w:rsidR="00521570" w:rsidRPr="004021D1">
        <w:rPr>
          <w:rFonts w:eastAsia="Times New Roman"/>
          <w:color w:val="000000" w:themeColor="text1"/>
          <w:sz w:val="24"/>
          <w:szCs w:val="24"/>
          <w:lang w:val="en-GB"/>
        </w:rPr>
        <w:t xml:space="preserve">., </w:t>
      </w:r>
      <w:r w:rsidRPr="004021D1">
        <w:rPr>
          <w:rFonts w:eastAsia="Times New Roman"/>
          <w:color w:val="000000" w:themeColor="text1"/>
          <w:sz w:val="24"/>
          <w:szCs w:val="24"/>
          <w:lang w:val="en-GB"/>
        </w:rPr>
        <w:t xml:space="preserve">2024. Net Sales Inditex Group Worldwide by format, 2019. [online] Statista. Available at: </w:t>
      </w:r>
      <w:hyperlink r:id="rId22" w:history="1">
        <w:r w:rsidR="00521570" w:rsidRPr="004021D1">
          <w:rPr>
            <w:rStyle w:val="Hyperlink"/>
            <w:rFonts w:eastAsia="Times New Roman"/>
            <w:color w:val="000000" w:themeColor="text1"/>
            <w:sz w:val="24"/>
            <w:szCs w:val="24"/>
            <w:lang w:val="en-GB"/>
          </w:rPr>
          <w:t>https://www.statista.com/statistics/456505/sales-inditex-group-worldwide-by-format/</w:t>
        </w:r>
      </w:hyperlink>
      <w:r w:rsidRPr="004021D1">
        <w:rPr>
          <w:rFonts w:eastAsia="Times New Roman"/>
          <w:color w:val="000000" w:themeColor="text1"/>
          <w:sz w:val="24"/>
          <w:szCs w:val="24"/>
          <w:lang w:val="en-GB"/>
        </w:rPr>
        <w:t>.</w:t>
      </w:r>
      <w:r w:rsidR="00521570" w:rsidRPr="004021D1">
        <w:rPr>
          <w:rFonts w:eastAsia="Times New Roman"/>
          <w:color w:val="000000" w:themeColor="text1"/>
          <w:sz w:val="24"/>
          <w:szCs w:val="24"/>
          <w:lang w:val="en-GB"/>
        </w:rPr>
        <w:t xml:space="preserve"> </w:t>
      </w:r>
    </w:p>
    <w:p w14:paraId="70256CFB" w14:textId="77777777" w:rsidR="00C44FA2" w:rsidRPr="004021D1" w:rsidRDefault="00C44FA2" w:rsidP="004021D1">
      <w:pPr>
        <w:spacing w:before="120" w:after="120"/>
        <w:rPr>
          <w:rFonts w:eastAsia="Times New Roman"/>
          <w:color w:val="000000" w:themeColor="text1"/>
          <w:sz w:val="24"/>
          <w:szCs w:val="24"/>
          <w:lang w:val="en-GB"/>
        </w:rPr>
      </w:pPr>
      <w:r w:rsidRPr="004021D1">
        <w:rPr>
          <w:rFonts w:eastAsia="Times New Roman"/>
          <w:color w:val="000000" w:themeColor="text1"/>
          <w:sz w:val="24"/>
          <w:szCs w:val="24"/>
          <w:lang w:val="en-GB"/>
        </w:rPr>
        <w:t>Verma, P., 2024. Transforming Supply Chains Through AI: Demand Forecasting, Inventory Management, and Dynamic Optimization. Integrated Journal of Science and Technology, 1(3).</w:t>
      </w:r>
      <w:hyperlink r:id="rId23" w:history="1">
        <w:r w:rsidRPr="004021D1">
          <w:rPr>
            <w:rStyle w:val="Hyperlink"/>
            <w:rFonts w:eastAsia="Times New Roman"/>
            <w:color w:val="000000" w:themeColor="text1"/>
            <w:sz w:val="24"/>
            <w:szCs w:val="24"/>
            <w:lang w:val="en-GB"/>
          </w:rPr>
          <w:t>https://ijstpublication.com/index.php/ijst/article/download/15/15</w:t>
        </w:r>
      </w:hyperlink>
    </w:p>
    <w:p w14:paraId="66D2D051" w14:textId="77777777" w:rsidR="00C44FA2" w:rsidRPr="004021D1" w:rsidRDefault="00C44FA2" w:rsidP="004021D1">
      <w:pPr>
        <w:spacing w:before="120" w:after="120"/>
        <w:rPr>
          <w:rFonts w:eastAsia="Times New Roman"/>
          <w:color w:val="000000" w:themeColor="text1"/>
          <w:sz w:val="24"/>
          <w:szCs w:val="24"/>
          <w:lang w:val="en-GB"/>
        </w:rPr>
      </w:pPr>
      <w:proofErr w:type="spellStart"/>
      <w:r w:rsidRPr="004021D1">
        <w:rPr>
          <w:rFonts w:eastAsia="Times New Roman"/>
          <w:color w:val="000000" w:themeColor="text1"/>
          <w:sz w:val="24"/>
          <w:szCs w:val="24"/>
          <w:lang w:val="en-GB"/>
        </w:rPr>
        <w:t>Wijethilake</w:t>
      </w:r>
      <w:proofErr w:type="spellEnd"/>
      <w:r w:rsidRPr="004021D1">
        <w:rPr>
          <w:rFonts w:eastAsia="Times New Roman"/>
          <w:color w:val="000000" w:themeColor="text1"/>
          <w:sz w:val="24"/>
          <w:szCs w:val="24"/>
          <w:lang w:val="en-GB"/>
        </w:rPr>
        <w:t xml:space="preserve">, C., </w:t>
      </w:r>
      <w:proofErr w:type="spellStart"/>
      <w:r w:rsidRPr="004021D1">
        <w:rPr>
          <w:rFonts w:eastAsia="Times New Roman"/>
          <w:color w:val="000000" w:themeColor="text1"/>
          <w:sz w:val="24"/>
          <w:szCs w:val="24"/>
          <w:lang w:val="en-GB"/>
        </w:rPr>
        <w:t>Upadhaya</w:t>
      </w:r>
      <w:proofErr w:type="spellEnd"/>
      <w:r w:rsidRPr="004021D1">
        <w:rPr>
          <w:rFonts w:eastAsia="Times New Roman"/>
          <w:color w:val="000000" w:themeColor="text1"/>
          <w:sz w:val="24"/>
          <w:szCs w:val="24"/>
          <w:lang w:val="en-GB"/>
        </w:rPr>
        <w:t>, B. and Lama, T., 2023. The role of organisational culture in organisational change towards sustainability: evidence from the garment manufacturing industry. Production Planning &amp; Control, 34(3), pp.275-294.</w:t>
      </w:r>
      <w:hyperlink r:id="rId24">
        <w:r w:rsidRPr="004021D1">
          <w:rPr>
            <w:rFonts w:eastAsia="Times New Roman"/>
            <w:color w:val="000000" w:themeColor="text1"/>
            <w:sz w:val="24"/>
            <w:szCs w:val="24"/>
            <w:u w:val="single"/>
            <w:lang w:val="en-GB"/>
          </w:rPr>
          <w:t>https://doi.org/10.1080/09537287.2021.1913524</w:t>
        </w:r>
      </w:hyperlink>
    </w:p>
    <w:sectPr w:rsidR="00C44FA2" w:rsidRPr="004021D1" w:rsidSect="00A66F22">
      <w:footerReference w:type="default" r:id="rId25"/>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16FD1" w14:textId="77777777" w:rsidR="00C7736F" w:rsidRDefault="00C7736F">
      <w:pPr>
        <w:spacing w:line="240" w:lineRule="auto"/>
      </w:pPr>
      <w:r>
        <w:separator/>
      </w:r>
    </w:p>
  </w:endnote>
  <w:endnote w:type="continuationSeparator" w:id="0">
    <w:p w14:paraId="6512FF26" w14:textId="77777777" w:rsidR="00C7736F" w:rsidRDefault="00C773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2B61C9" w14:textId="77777777" w:rsidR="001E156F"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2F6FBF">
      <w:rPr>
        <w:noProof/>
        <w:color w:val="000000"/>
      </w:rPr>
      <w:t>2</w:t>
    </w:r>
    <w:r>
      <w:rPr>
        <w:color w:val="000000"/>
      </w:rPr>
      <w:fldChar w:fldCharType="end"/>
    </w:r>
  </w:p>
  <w:p w14:paraId="45533230" w14:textId="77777777" w:rsidR="001E156F" w:rsidRDefault="001E156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51D6E" w14:textId="77777777" w:rsidR="00C7736F" w:rsidRDefault="00C7736F">
      <w:pPr>
        <w:spacing w:line="240" w:lineRule="auto"/>
      </w:pPr>
      <w:r>
        <w:separator/>
      </w:r>
    </w:p>
  </w:footnote>
  <w:footnote w:type="continuationSeparator" w:id="0">
    <w:p w14:paraId="416AB8F0" w14:textId="77777777" w:rsidR="00C7736F" w:rsidRDefault="00C7736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156F"/>
    <w:rsid w:val="001859DA"/>
    <w:rsid w:val="001E156F"/>
    <w:rsid w:val="0021716A"/>
    <w:rsid w:val="0029331B"/>
    <w:rsid w:val="002F6FBF"/>
    <w:rsid w:val="00307F6E"/>
    <w:rsid w:val="003824CD"/>
    <w:rsid w:val="004021D1"/>
    <w:rsid w:val="004E473E"/>
    <w:rsid w:val="00521570"/>
    <w:rsid w:val="00586544"/>
    <w:rsid w:val="0077215A"/>
    <w:rsid w:val="00A04A3F"/>
    <w:rsid w:val="00A24650"/>
    <w:rsid w:val="00A66F22"/>
    <w:rsid w:val="00AE474D"/>
    <w:rsid w:val="00B44A36"/>
    <w:rsid w:val="00BD7CCC"/>
    <w:rsid w:val="00C009AD"/>
    <w:rsid w:val="00C0198B"/>
    <w:rsid w:val="00C115B5"/>
    <w:rsid w:val="00C44FA2"/>
    <w:rsid w:val="00C7736F"/>
    <w:rsid w:val="00CC5DC5"/>
    <w:rsid w:val="00D56C63"/>
    <w:rsid w:val="00DD26BF"/>
    <w:rsid w:val="00FD01FC"/>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A5923A"/>
  <w15:docId w15:val="{10DE4EB8-D9B1-4A0F-B1C0-0CE874B0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C44FA2"/>
    <w:rPr>
      <w:color w:val="0000FF" w:themeColor="hyperlink"/>
      <w:u w:val="single"/>
    </w:rPr>
  </w:style>
  <w:style w:type="character" w:styleId="UnresolvedMention">
    <w:name w:val="Unresolved Mention"/>
    <w:basedOn w:val="DefaultParagraphFont"/>
    <w:uiPriority w:val="99"/>
    <w:semiHidden/>
    <w:unhideWhenUsed/>
    <w:rsid w:val="00C44FA2"/>
    <w:rPr>
      <w:color w:val="605E5C"/>
      <w:shd w:val="clear" w:color="auto" w:fill="E1DFDD"/>
    </w:rPr>
  </w:style>
  <w:style w:type="paragraph" w:styleId="Header">
    <w:name w:val="header"/>
    <w:basedOn w:val="Normal"/>
    <w:link w:val="HeaderChar"/>
    <w:uiPriority w:val="99"/>
    <w:unhideWhenUsed/>
    <w:rsid w:val="00A66F22"/>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A66F22"/>
    <w:rPr>
      <w:szCs w:val="28"/>
    </w:rPr>
  </w:style>
  <w:style w:type="paragraph" w:styleId="Footer">
    <w:name w:val="footer"/>
    <w:basedOn w:val="Normal"/>
    <w:link w:val="FooterChar"/>
    <w:uiPriority w:val="99"/>
    <w:unhideWhenUsed/>
    <w:rsid w:val="00A66F22"/>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A66F22"/>
    <w:rPr>
      <w:szCs w:val="28"/>
    </w:rPr>
  </w:style>
  <w:style w:type="paragraph" w:styleId="TOC1">
    <w:name w:val="toc 1"/>
    <w:basedOn w:val="Normal"/>
    <w:next w:val="Normal"/>
    <w:autoRedefine/>
    <w:uiPriority w:val="39"/>
    <w:unhideWhenUsed/>
    <w:rsid w:val="004E473E"/>
    <w:pPr>
      <w:spacing w:after="100"/>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qjss.com.pk/index.php/qjss/article/download/19/17" TargetMode="External"/><Relationship Id="rId13" Type="http://schemas.openxmlformats.org/officeDocument/2006/relationships/hyperlink" Target="https://www.inditex.com/itxcomweb/api/media/4a47faab-1d1f-4ed5-b37b-374162394b7c/2024AnnualResultsAnnexes.pdf?t=1742212218056" TargetMode="External"/><Relationship Id="rId18" Type="http://schemas.openxmlformats.org/officeDocument/2006/relationships/hyperlink" Target="https://martinroll.com/resources/articles/strategy/the-secret-of-zaras-success-a-culture-of-customer-co-creation/"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researchgate.net/profile/Jonathan-Sarwono/publication/360403377_Quantitative_Qualitative_and_Mixed_Method_Research_Methodology/links/62746a533a23744a726750dc/Quantitative-Qualitative-and-Mixed-Method-Research-Methodology.pdf" TargetMode="External"/><Relationship Id="rId7" Type="http://schemas.openxmlformats.org/officeDocument/2006/relationships/image" Target="media/image2.emf"/><Relationship Id="rId12" Type="http://schemas.openxmlformats.org/officeDocument/2006/relationships/hyperlink" Target="https://static.inditex.com/annualreport2024/en/our-drivers?utm" TargetMode="External"/><Relationship Id="rId17" Type="http://schemas.openxmlformats.org/officeDocument/2006/relationships/hyperlink" Target="https://www.reuters.com/business/retail-consumer/zara-owner-inditexs-transport-emissions-jump-2024-2025-03-14/"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doi.org/10.3390/buildings13020308" TargetMode="External"/><Relationship Id="rId20" Type="http://schemas.openxmlformats.org/officeDocument/2006/relationships/hyperlink" Target="https://fashionunited.in/news/business/inditex-faces-scrutiny-over-logistics-emissions-and-labour-practices-in-bangladesh/2025071550627?utm"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ssaho.2021.100242" TargetMode="External"/><Relationship Id="rId24" Type="http://schemas.openxmlformats.org/officeDocument/2006/relationships/hyperlink" Target="https://doi.org/10.1080/09537287.2021.1913524" TargetMode="External"/><Relationship Id="rId5" Type="http://schemas.openxmlformats.org/officeDocument/2006/relationships/endnotes" Target="endnotes.xml"/><Relationship Id="rId15" Type="http://schemas.openxmlformats.org/officeDocument/2006/relationships/hyperlink" Target="https://www.voguebusiness.com/story/technology/inside-lvmhs-ai-factory?utm" TargetMode="External"/><Relationship Id="rId23" Type="http://schemas.openxmlformats.org/officeDocument/2006/relationships/hyperlink" Target="https://ijstpublication.com/index.php/ijst/article/download/15/15" TargetMode="External"/><Relationship Id="rId10" Type="http://schemas.openxmlformats.org/officeDocument/2006/relationships/hyperlink" Target="https://apnews.com/article/088717ea594a2927dd8b01ca00844ef1?utm" TargetMode="External"/><Relationship Id="rId19" Type="http://schemas.openxmlformats.org/officeDocument/2006/relationships/hyperlink" Target="https://doi.org/10.1080/23311975.2023.2248732" TargetMode="External"/><Relationship Id="rId4" Type="http://schemas.openxmlformats.org/officeDocument/2006/relationships/footnotes" Target="footnotes.xml"/><Relationship Id="rId9" Type="http://schemas.openxmlformats.org/officeDocument/2006/relationships/hyperlink" Target="https://doi.org/10.3390/su14095160" TargetMode="External"/><Relationship Id="rId14" Type="http://schemas.openxmlformats.org/officeDocument/2006/relationships/hyperlink" Target="https://www.voguebusiness.com/story/technology/aura-takes-shape-prada-otb-and-lvmh-weigh-the-future-of-luxurys-blockchain-solution?utm" TargetMode="External"/><Relationship Id="rId22" Type="http://schemas.openxmlformats.org/officeDocument/2006/relationships/hyperlink" Target="https://www.statista.com/statistics/456505/sales-inditex-group-worldwide-by-forma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12</Pages>
  <Words>3060</Words>
  <Characters>17443</Characters>
  <DocSecurity>0</DocSecurity>
  <Lines>145</Lines>
  <Paragraphs>40</Paragraphs>
  <ScaleCrop>false</ScaleCrop>
  <Company/>
  <LinksUpToDate>false</LinksUpToDate>
  <CharactersWithSpaces>20463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erms:created xsi:type="dcterms:W3CDTF">2025-10-04T11:22:00Z</dcterms:created>
  <dcterms:modified xsi:type="dcterms:W3CDTF">2025-10-09T10:59:00Z</dcterms:modified>
</cp:coreProperties>
</file>