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80A98" w14:textId="77777777" w:rsidR="00487661" w:rsidRPr="003F5573" w:rsidRDefault="00487661" w:rsidP="00487661">
      <w:pPr>
        <w:spacing w:after="0"/>
        <w:rPr>
          <w:rFonts w:cs="Arial"/>
          <w:b/>
          <w:sz w:val="28"/>
          <w:szCs w:val="28"/>
        </w:rPr>
      </w:pPr>
      <w:r w:rsidRPr="003F5573">
        <w:rPr>
          <w:rFonts w:cs="Arial"/>
          <w:b/>
          <w:sz w:val="28"/>
          <w:szCs w:val="28"/>
        </w:rPr>
        <w:t>How to engage employees throughout the employee lifecycle</w:t>
      </w:r>
    </w:p>
    <w:p w14:paraId="63FB38A4" w14:textId="77777777" w:rsidR="00487661" w:rsidRPr="003F5573" w:rsidRDefault="00487661" w:rsidP="00487661">
      <w:pPr>
        <w:spacing w:after="0"/>
        <w:rPr>
          <w:rFonts w:cs="Arial"/>
          <w:b/>
          <w:sz w:val="28"/>
          <w:szCs w:val="28"/>
        </w:rPr>
      </w:pPr>
    </w:p>
    <w:p w14:paraId="37B8DA19" w14:textId="77777777" w:rsidR="00487661" w:rsidRPr="003F5573" w:rsidRDefault="00487661" w:rsidP="00487661">
      <w:pPr>
        <w:spacing w:after="0"/>
        <w:rPr>
          <w:rFonts w:cs="Arial"/>
          <w:b/>
          <w:sz w:val="28"/>
          <w:szCs w:val="28"/>
        </w:rPr>
      </w:pPr>
    </w:p>
    <w:p w14:paraId="4993C7D9" w14:textId="77777777" w:rsidR="00487661" w:rsidRPr="003F5573" w:rsidRDefault="00487661" w:rsidP="00487661">
      <w:pPr>
        <w:spacing w:after="0"/>
        <w:rPr>
          <w:rFonts w:cs="Arial"/>
          <w:b/>
          <w:sz w:val="28"/>
          <w:szCs w:val="28"/>
        </w:rPr>
      </w:pPr>
      <w:r w:rsidRPr="003F5573">
        <w:rPr>
          <w:rFonts w:cs="Arial"/>
          <w:b/>
          <w:sz w:val="28"/>
          <w:szCs w:val="28"/>
        </w:rPr>
        <w:t>Name: Robert-Cristian Matyas</w:t>
      </w:r>
    </w:p>
    <w:p w14:paraId="4566B6B5" w14:textId="77777777" w:rsidR="00487661" w:rsidRPr="003F5573" w:rsidRDefault="00487661" w:rsidP="00487661">
      <w:pPr>
        <w:spacing w:after="0"/>
        <w:rPr>
          <w:rFonts w:cs="Arial"/>
          <w:b/>
          <w:sz w:val="28"/>
          <w:szCs w:val="28"/>
          <w:u w:val="single"/>
        </w:rPr>
      </w:pPr>
    </w:p>
    <w:p w14:paraId="107C26A8" w14:textId="77777777" w:rsidR="00487661" w:rsidRPr="003F5573" w:rsidRDefault="00487661" w:rsidP="00487661">
      <w:pPr>
        <w:spacing w:after="0"/>
        <w:rPr>
          <w:rFonts w:cs="Arial"/>
          <w:b/>
          <w:sz w:val="28"/>
          <w:szCs w:val="28"/>
          <w:u w:val="single"/>
        </w:rPr>
      </w:pPr>
    </w:p>
    <w:p w14:paraId="05E3B9E6" w14:textId="77777777" w:rsidR="00487661" w:rsidRPr="003F5573" w:rsidRDefault="00487661" w:rsidP="00487661">
      <w:pPr>
        <w:spacing w:after="0"/>
        <w:rPr>
          <w:rFonts w:cs="Arial"/>
          <w:b/>
          <w:sz w:val="28"/>
          <w:szCs w:val="28"/>
        </w:rPr>
      </w:pPr>
      <w:r w:rsidRPr="003F5573">
        <w:rPr>
          <w:rFonts w:cs="Arial"/>
          <w:b/>
          <w:sz w:val="28"/>
          <w:szCs w:val="28"/>
        </w:rPr>
        <w:t>Module title and code: Personnel Resourcing &amp; Development (BMIH5005)</w:t>
      </w:r>
    </w:p>
    <w:p w14:paraId="0C5F6F3F" w14:textId="77777777" w:rsidR="00487661" w:rsidRPr="003F5573" w:rsidRDefault="00487661" w:rsidP="00487661">
      <w:pPr>
        <w:spacing w:after="0"/>
        <w:rPr>
          <w:rFonts w:cs="Arial"/>
          <w:b/>
          <w:sz w:val="28"/>
          <w:szCs w:val="28"/>
        </w:rPr>
      </w:pPr>
    </w:p>
    <w:p w14:paraId="443B6A53" w14:textId="77777777" w:rsidR="00487661" w:rsidRPr="003F5573" w:rsidRDefault="00487661" w:rsidP="00487661">
      <w:pPr>
        <w:spacing w:after="0"/>
        <w:rPr>
          <w:rFonts w:cs="Arial"/>
          <w:b/>
          <w:sz w:val="28"/>
          <w:szCs w:val="28"/>
        </w:rPr>
      </w:pPr>
      <w:r w:rsidRPr="003F5573">
        <w:rPr>
          <w:rFonts w:cs="Arial"/>
          <w:b/>
          <w:sz w:val="28"/>
          <w:szCs w:val="28"/>
        </w:rPr>
        <w:t>Lecturer Name: Kathryn Roberts</w:t>
      </w:r>
    </w:p>
    <w:p w14:paraId="366AD2F6" w14:textId="77777777" w:rsidR="00487661" w:rsidRPr="003F5573" w:rsidRDefault="00487661" w:rsidP="00487661">
      <w:pPr>
        <w:spacing w:after="0"/>
        <w:rPr>
          <w:rFonts w:cs="Arial"/>
          <w:b/>
          <w:sz w:val="28"/>
          <w:szCs w:val="28"/>
        </w:rPr>
      </w:pPr>
    </w:p>
    <w:p w14:paraId="3B2BF4EB" w14:textId="77777777" w:rsidR="00487661" w:rsidRPr="003F5573" w:rsidRDefault="00487661" w:rsidP="00487661">
      <w:pPr>
        <w:spacing w:after="0"/>
        <w:rPr>
          <w:rFonts w:cs="Arial"/>
          <w:b/>
          <w:sz w:val="28"/>
          <w:szCs w:val="28"/>
        </w:rPr>
      </w:pPr>
    </w:p>
    <w:p w14:paraId="205FB523" w14:textId="77777777" w:rsidR="00487661" w:rsidRPr="003F5573" w:rsidRDefault="00487661" w:rsidP="00487661">
      <w:pPr>
        <w:spacing w:after="0"/>
        <w:rPr>
          <w:rFonts w:cs="Arial"/>
          <w:b/>
          <w:sz w:val="28"/>
          <w:szCs w:val="28"/>
        </w:rPr>
      </w:pPr>
    </w:p>
    <w:p w14:paraId="12B4CA6C" w14:textId="5B7F226A" w:rsidR="00487661" w:rsidRDefault="00487661" w:rsidP="00487661">
      <w:pPr>
        <w:spacing w:after="0"/>
        <w:rPr>
          <w:rFonts w:cs="Arial"/>
          <w:b/>
          <w:sz w:val="28"/>
          <w:szCs w:val="28"/>
        </w:rPr>
      </w:pPr>
      <w:r w:rsidRPr="003F5573">
        <w:rPr>
          <w:rFonts w:cs="Arial"/>
          <w:b/>
          <w:sz w:val="28"/>
          <w:szCs w:val="28"/>
        </w:rPr>
        <w:t>Student number: 2111528</w:t>
      </w:r>
    </w:p>
    <w:p w14:paraId="37581D17" w14:textId="4A60DA5D" w:rsidR="00487661" w:rsidRDefault="00487661" w:rsidP="00487661">
      <w:pPr>
        <w:spacing w:after="0"/>
        <w:rPr>
          <w:rFonts w:cs="Arial"/>
          <w:b/>
          <w:sz w:val="28"/>
          <w:szCs w:val="28"/>
        </w:rPr>
      </w:pPr>
    </w:p>
    <w:p w14:paraId="00A607EB" w14:textId="7C8A6596" w:rsidR="00487661" w:rsidRDefault="00487661" w:rsidP="00487661">
      <w:pPr>
        <w:spacing w:after="0"/>
        <w:rPr>
          <w:rFonts w:cs="Arial"/>
          <w:b/>
          <w:sz w:val="28"/>
          <w:szCs w:val="28"/>
        </w:rPr>
      </w:pPr>
    </w:p>
    <w:p w14:paraId="64681391" w14:textId="07C39299" w:rsidR="00487661" w:rsidRDefault="00487661" w:rsidP="00487661">
      <w:pPr>
        <w:spacing w:after="0"/>
        <w:rPr>
          <w:rFonts w:cs="Arial"/>
          <w:b/>
          <w:sz w:val="28"/>
          <w:szCs w:val="28"/>
        </w:rPr>
      </w:pPr>
    </w:p>
    <w:p w14:paraId="74DBA0CA" w14:textId="28B461D7" w:rsidR="00487661" w:rsidRDefault="00487661" w:rsidP="00487661">
      <w:pPr>
        <w:spacing w:after="0"/>
        <w:rPr>
          <w:rFonts w:cs="Arial"/>
          <w:b/>
          <w:sz w:val="28"/>
          <w:szCs w:val="28"/>
        </w:rPr>
      </w:pPr>
    </w:p>
    <w:p w14:paraId="2B1A43B5" w14:textId="29A43EFD" w:rsidR="00487661" w:rsidRDefault="00487661" w:rsidP="00487661">
      <w:pPr>
        <w:spacing w:after="0"/>
        <w:rPr>
          <w:rFonts w:cs="Arial"/>
          <w:b/>
          <w:sz w:val="28"/>
          <w:szCs w:val="28"/>
        </w:rPr>
      </w:pPr>
    </w:p>
    <w:p w14:paraId="1D112749" w14:textId="361CD7EA" w:rsidR="00487661" w:rsidRDefault="00487661" w:rsidP="00487661">
      <w:pPr>
        <w:spacing w:after="0"/>
        <w:rPr>
          <w:rFonts w:cs="Arial"/>
          <w:b/>
          <w:sz w:val="28"/>
          <w:szCs w:val="28"/>
        </w:rPr>
      </w:pPr>
    </w:p>
    <w:p w14:paraId="0B93EEEC" w14:textId="45418F14" w:rsidR="00487661" w:rsidRDefault="00487661" w:rsidP="00487661">
      <w:pPr>
        <w:spacing w:after="0"/>
        <w:rPr>
          <w:rFonts w:cs="Arial"/>
          <w:b/>
          <w:sz w:val="28"/>
          <w:szCs w:val="28"/>
        </w:rPr>
      </w:pPr>
    </w:p>
    <w:p w14:paraId="7F1AC6B5" w14:textId="414602CB" w:rsidR="00487661" w:rsidRDefault="00487661" w:rsidP="00487661">
      <w:pPr>
        <w:spacing w:after="0"/>
        <w:rPr>
          <w:rFonts w:cs="Arial"/>
          <w:b/>
          <w:sz w:val="28"/>
          <w:szCs w:val="28"/>
        </w:rPr>
      </w:pPr>
    </w:p>
    <w:p w14:paraId="35E5F519" w14:textId="51F88145" w:rsidR="00487661" w:rsidRDefault="00487661" w:rsidP="00487661">
      <w:pPr>
        <w:spacing w:after="0"/>
        <w:rPr>
          <w:rFonts w:cs="Arial"/>
          <w:b/>
          <w:sz w:val="28"/>
          <w:szCs w:val="28"/>
        </w:rPr>
      </w:pPr>
    </w:p>
    <w:p w14:paraId="45840EF4" w14:textId="763E8D24" w:rsidR="00487661" w:rsidRDefault="00487661" w:rsidP="00487661">
      <w:pPr>
        <w:spacing w:after="0"/>
        <w:rPr>
          <w:rFonts w:cs="Arial"/>
          <w:b/>
          <w:sz w:val="28"/>
          <w:szCs w:val="28"/>
        </w:rPr>
      </w:pPr>
    </w:p>
    <w:p w14:paraId="58B98A80" w14:textId="6103240B" w:rsidR="00487661" w:rsidRDefault="00487661" w:rsidP="00487661">
      <w:pPr>
        <w:spacing w:after="0"/>
        <w:rPr>
          <w:rFonts w:cs="Arial"/>
          <w:b/>
          <w:sz w:val="28"/>
          <w:szCs w:val="28"/>
        </w:rPr>
      </w:pPr>
    </w:p>
    <w:p w14:paraId="508AA824" w14:textId="7261475D" w:rsidR="00487661" w:rsidRDefault="00487661" w:rsidP="00487661">
      <w:pPr>
        <w:spacing w:after="0"/>
        <w:rPr>
          <w:rFonts w:cs="Arial"/>
          <w:b/>
          <w:sz w:val="28"/>
          <w:szCs w:val="28"/>
        </w:rPr>
      </w:pPr>
    </w:p>
    <w:p w14:paraId="18FBB645" w14:textId="0B8C35BC" w:rsidR="00487661" w:rsidRDefault="00487661" w:rsidP="00487661">
      <w:pPr>
        <w:spacing w:after="0"/>
        <w:rPr>
          <w:rFonts w:cs="Arial"/>
          <w:b/>
          <w:sz w:val="28"/>
          <w:szCs w:val="28"/>
        </w:rPr>
      </w:pPr>
    </w:p>
    <w:p w14:paraId="1CF61769" w14:textId="27ECCDC5" w:rsidR="00487661" w:rsidRDefault="00487661" w:rsidP="00487661">
      <w:pPr>
        <w:spacing w:after="0"/>
        <w:rPr>
          <w:rFonts w:cs="Arial"/>
          <w:b/>
          <w:sz w:val="28"/>
          <w:szCs w:val="28"/>
        </w:rPr>
      </w:pPr>
    </w:p>
    <w:p w14:paraId="3A303848" w14:textId="66EBED4F" w:rsidR="00487661" w:rsidRDefault="00487661" w:rsidP="00487661">
      <w:pPr>
        <w:spacing w:after="0"/>
        <w:rPr>
          <w:rFonts w:cs="Arial"/>
          <w:b/>
          <w:sz w:val="28"/>
          <w:szCs w:val="28"/>
        </w:rPr>
      </w:pPr>
    </w:p>
    <w:p w14:paraId="6E809884" w14:textId="77777777" w:rsidR="00487661" w:rsidRPr="000A46E6" w:rsidRDefault="00487661" w:rsidP="00487661">
      <w:pPr>
        <w:spacing w:after="0"/>
        <w:rPr>
          <w:rFonts w:cs="Arial"/>
          <w:bCs/>
          <w:szCs w:val="24"/>
        </w:rPr>
      </w:pPr>
      <w:r w:rsidRPr="000A46E6">
        <w:rPr>
          <w:rFonts w:cs="Arial"/>
          <w:bCs/>
          <w:szCs w:val="24"/>
        </w:rPr>
        <w:lastRenderedPageBreak/>
        <w:t>Employee lifecycle is the way of identifying and expressing different stages of employees while they are engaged in a company. The stages of the employee life cycle are the attraction, recruitment, onboarding, development, retention, and separation (Byrne, 2019). This essay will explain how the human resource department of Ritz London engages its employees throughout the employee lifecycle within the hotel organization. Employee engagement is the concept of understanding and describing the relationship between employees and the organization both qualitatively and quantitatively (Carbonara, 2022). The role of human resources, ways of engaging employees, and advantages of engaging a team will be discussed with six stages of the employee lifecycle. An example of the Ritz London hotel will be provided for discussing the way they engage their team (Faisal Malik and Akhtar, 2019). Moreover, an employee engagement model and the implementation process will be discussed by providing examples from the hospitality industry of the UK.</w:t>
      </w:r>
    </w:p>
    <w:p w14:paraId="03FBD0A9" w14:textId="0AEA4A6C" w:rsidR="00487661" w:rsidRDefault="00487661" w:rsidP="00487661">
      <w:pPr>
        <w:spacing w:after="0"/>
        <w:rPr>
          <w:rFonts w:cs="Arial"/>
          <w:b/>
          <w:sz w:val="28"/>
          <w:szCs w:val="28"/>
        </w:rPr>
      </w:pPr>
    </w:p>
    <w:p w14:paraId="26D57B8A" w14:textId="77777777" w:rsidR="00487661" w:rsidRPr="000A46E6" w:rsidRDefault="00487661" w:rsidP="00487661">
      <w:pPr>
        <w:spacing w:after="0"/>
        <w:rPr>
          <w:rFonts w:cs="Arial"/>
          <w:bCs/>
          <w:szCs w:val="24"/>
        </w:rPr>
      </w:pPr>
      <w:r w:rsidRPr="000A46E6">
        <w:rPr>
          <w:rFonts w:cs="Arial"/>
          <w:bCs/>
          <w:szCs w:val="24"/>
        </w:rPr>
        <w:t xml:space="preserve">Employee engagement is a big issue in the hospitality industry of the UK as employees tend to switch jobs because they are not happy in their working environment (Truss, 2020). The Human Resources department can play a very crucial role to engage the employees in the workplace and create a great workforce that can provide competitive advantages to Ritz London (Christensen Hughes and Rog, 2022). The HR officials need to ensure that the employees of this organization have the right skills, environment, and tools to do their job efficiently (Yadav, 2020). Moreover, HR can engage employees to make sure that they have clear career progression and contributions in this hospitality business. The HR department can motivate and inspire employees by understanding the objectives of the Ritz London and the individual contribution of employees (Christensen Hughes and Rog, 2022). They can safeguard company culture by engaging employees in their workplace. If the HR department of Ritz London can engage employees, it will help this organization to garner huge benefits from employee engagement in the workplace (Widyawati, 2020). </w:t>
      </w:r>
    </w:p>
    <w:p w14:paraId="66F11900" w14:textId="77777777" w:rsidR="00487661" w:rsidRPr="000A46E6" w:rsidRDefault="00487661" w:rsidP="00487661">
      <w:pPr>
        <w:spacing w:after="0"/>
        <w:rPr>
          <w:rFonts w:cs="Arial"/>
          <w:bCs/>
          <w:szCs w:val="24"/>
        </w:rPr>
      </w:pPr>
    </w:p>
    <w:p w14:paraId="4A58F3DC" w14:textId="77777777" w:rsidR="00487661" w:rsidRPr="000A46E6" w:rsidRDefault="00487661" w:rsidP="00487661">
      <w:pPr>
        <w:spacing w:after="0"/>
        <w:rPr>
          <w:rFonts w:cs="Arial"/>
          <w:bCs/>
          <w:szCs w:val="24"/>
        </w:rPr>
      </w:pPr>
      <w:r w:rsidRPr="000A46E6">
        <w:rPr>
          <w:rFonts w:cs="Arial"/>
          <w:bCs/>
          <w:szCs w:val="24"/>
        </w:rPr>
        <w:t xml:space="preserve">Employee engagement provides benefits of reduced employee absenteeism as employees are very satisfied with their work and workplace (Yadav, 2020). It provides better employee safety as all are working together as a team. It defines the values of a company as engaged employees working according to the objectives of a company </w:t>
      </w:r>
      <w:r w:rsidRPr="000A46E6">
        <w:rPr>
          <w:rFonts w:cs="Arial"/>
          <w:bCs/>
          <w:szCs w:val="24"/>
        </w:rPr>
        <w:lastRenderedPageBreak/>
        <w:t>to enhance its reputation (Alarifi and Al-Abbasi, 2020). The hospitality companies which are operating in the hospitality industry of the UK can reduce employee turnover through employee retention. Employees of the hospitality industry of the UK can be engaged throughout the six stages of the employee lifecycle. The stages are attraction, recruitment, onboarding, development, retention, and separation (Alarifi and Al-Abbasi, 2020).</w:t>
      </w:r>
    </w:p>
    <w:p w14:paraId="5190171D" w14:textId="77777777" w:rsidR="00487661" w:rsidRPr="000A46E6" w:rsidRDefault="00487661" w:rsidP="00487661">
      <w:pPr>
        <w:spacing w:after="0"/>
        <w:rPr>
          <w:rFonts w:cs="Arial"/>
          <w:bCs/>
          <w:szCs w:val="24"/>
        </w:rPr>
      </w:pPr>
    </w:p>
    <w:p w14:paraId="1FD3855C" w14:textId="77777777" w:rsidR="00487661" w:rsidRPr="000A46E6" w:rsidRDefault="00487661" w:rsidP="00487661">
      <w:pPr>
        <w:spacing w:after="0"/>
        <w:rPr>
          <w:rFonts w:cs="Arial"/>
          <w:bCs/>
          <w:szCs w:val="24"/>
        </w:rPr>
      </w:pPr>
      <w:r w:rsidRPr="000A46E6">
        <w:rPr>
          <w:rFonts w:cs="Arial"/>
          <w:bCs/>
          <w:szCs w:val="24"/>
        </w:rPr>
        <w:t>The attraction phase is the first stage of the employee lifecycle which occurs before the recruitment of an employee. Potential employees research hospitality companies like the Ritz London to apply for their career prospects (Byrne, 2019). Potential candidates can see the organizational structure, rules, stories, systems, and employee interaction within this hotel before applying for a job. Prospective employees will choose Ritz London as their employer for many reasons such as salary, job fit, and job title. To build engagement with these potential employees of the Ritz London, the HR officials of this hotel should use employer and consumer branding to address the interest and desires of the prospective candidates (Carbonara, 2022). The HR department needs to recognize the candidates and the underlying desire for work as an employee of the Ritz London. They need to broadcast their message to the candidates by using multiple channels such as social media, websites, and in different events (Faisal Malik and Akhtar, 2019). Moreover, the Ritz London has a career section on their website which can help the HR team to provide a one-stop shop for potential employees. The Ritz London can showcase the stories and experiences of their employees with updated career opportunities and online chatting to stay engaged with potential employees (G, S, and R, 2022). Employee referrals can be helpful to stay engaged with the right employees for the right job. This engagement in the first phase of the employee life cycle will help the HR of Ritz London to recruit the right candidates.</w:t>
      </w:r>
    </w:p>
    <w:p w14:paraId="10AFDB63" w14:textId="77777777" w:rsidR="00487661" w:rsidRPr="000A46E6" w:rsidRDefault="00487661" w:rsidP="00487661">
      <w:pPr>
        <w:spacing w:after="0"/>
        <w:rPr>
          <w:rFonts w:cs="Arial"/>
          <w:bCs/>
          <w:szCs w:val="24"/>
        </w:rPr>
      </w:pPr>
    </w:p>
    <w:p w14:paraId="45802AF3" w14:textId="77777777" w:rsidR="00487661" w:rsidRPr="000A46E6" w:rsidRDefault="00487661" w:rsidP="00487661">
      <w:pPr>
        <w:spacing w:after="0"/>
        <w:rPr>
          <w:rFonts w:cs="Arial"/>
          <w:bCs/>
          <w:szCs w:val="24"/>
        </w:rPr>
      </w:pPr>
      <w:r w:rsidRPr="000A46E6">
        <w:rPr>
          <w:rFonts w:cs="Arial"/>
          <w:bCs/>
          <w:szCs w:val="24"/>
        </w:rPr>
        <w:t xml:space="preserve">The recruitment phase can engage employees through personal communication where conversations between candidates and recruiters (Holbeche and Geoff Matthews, 2022). This will help to create a positive candidate experience by knowing the candidates before addressing the role they will play in the Ritz London. The HR team can identify the gaps in the current employment of each employee to strengthen engagement (Hutchinson, 2021). Moreover, they can build a unique value proposition </w:t>
      </w:r>
      <w:r w:rsidRPr="000A46E6">
        <w:rPr>
          <w:rFonts w:cs="Arial"/>
          <w:bCs/>
          <w:szCs w:val="24"/>
        </w:rPr>
        <w:lastRenderedPageBreak/>
        <w:t>for the candidates to make them join this organization. To engage the workforce during the recruitment phase of the employee lifecycle, the HR team need to have regular touchpoints to keep employee updated (G, S and R, 2022). The employees will not leave at any point of this stage which will feel them that Ritz London cares about their employees. This can enhance better recruitment outcomes by leaving a positive impression on the organization and having employees on board.</w:t>
      </w:r>
    </w:p>
    <w:p w14:paraId="60FC78C7" w14:textId="77777777" w:rsidR="00487661" w:rsidRPr="000A46E6" w:rsidRDefault="00487661" w:rsidP="00487661">
      <w:pPr>
        <w:spacing w:after="0"/>
        <w:rPr>
          <w:rFonts w:cs="Arial"/>
          <w:bCs/>
          <w:szCs w:val="24"/>
        </w:rPr>
      </w:pPr>
    </w:p>
    <w:p w14:paraId="50B25597" w14:textId="77777777" w:rsidR="00487661" w:rsidRPr="000A46E6" w:rsidRDefault="00487661" w:rsidP="00487661">
      <w:pPr>
        <w:spacing w:after="0"/>
        <w:rPr>
          <w:rFonts w:cs="Arial"/>
          <w:bCs/>
          <w:szCs w:val="24"/>
        </w:rPr>
      </w:pPr>
      <w:r w:rsidRPr="000A46E6">
        <w:rPr>
          <w:rFonts w:cs="Arial"/>
          <w:bCs/>
          <w:szCs w:val="24"/>
        </w:rPr>
        <w:t>The onboarding process is concerned with connecting newly hired to other employees of the Ritz London (Hutchinson, 2021). The HR team can create the first employee experience through an orientation program for newly hired employees. Personalization, reminders, and real-time communication can keep new employees valued, comfortable, and excited in their new roles at the Ritz London (Holbeche and Geoff Matthews, 2022). This on-boarding can provide a first impression of the working environment of the Ritz London. The new employees can meet with the manager and their team to learn how they can be successful in their new role. The HR managers of the Ritz London can engage the employees physically and virtually to engage employees in this stage (Kwon and Park, 2019). This will help HR officials to develop a good workforce for enhancing business success through customer satisfaction.</w:t>
      </w:r>
    </w:p>
    <w:p w14:paraId="648A5FE3" w14:textId="77777777" w:rsidR="00487661" w:rsidRPr="000A46E6" w:rsidRDefault="00487661" w:rsidP="00487661">
      <w:pPr>
        <w:spacing w:after="0"/>
        <w:rPr>
          <w:rFonts w:cs="Arial"/>
          <w:bCs/>
          <w:szCs w:val="24"/>
        </w:rPr>
      </w:pPr>
    </w:p>
    <w:p w14:paraId="2B8D8618" w14:textId="77777777" w:rsidR="00487661" w:rsidRPr="000A46E6" w:rsidRDefault="00487661" w:rsidP="00487661">
      <w:pPr>
        <w:spacing w:after="0"/>
        <w:rPr>
          <w:rFonts w:cs="Arial"/>
          <w:bCs/>
          <w:szCs w:val="24"/>
        </w:rPr>
      </w:pPr>
      <w:r w:rsidRPr="000A46E6">
        <w:rPr>
          <w:rFonts w:cs="Arial"/>
          <w:bCs/>
          <w:szCs w:val="24"/>
        </w:rPr>
        <w:t xml:space="preserve">Employees of the Ritz London will want to learn and grow while working in the hospitality industry of the UK. Opportunities for personal development will motivate them to work and stay in this hospitality business (Mcgee, 2021). They can be engaged in this employee life cycle by fostering connections between colleagues to teach each other. HR officials of the Ritz London can establish mentorship programs to teach the less experienced employee by using the expertise of the veteran staff (Mone and London, 2018). Employees can be motivated to adopt independent learning opportunities for enhancing their quality of work. The HR department can create paths of career progression for employees by providing new roles. HR officials need to collect continuous feedback from employees regarding their aspirations from the Ritz London to develop their careers (Mone and London, 2018). Moreover, employees can be engaged in the development stage by making them learn through play or experiential learning (Kwon and Park, 2019). Finally, a culture of learning can be developed by the HR department of the Ritz London to develop and engage the employees. This will increase the retention rate of employees. </w:t>
      </w:r>
    </w:p>
    <w:p w14:paraId="6F5E1F82" w14:textId="77777777" w:rsidR="00487661" w:rsidRPr="000A46E6" w:rsidRDefault="00487661" w:rsidP="00487661">
      <w:pPr>
        <w:spacing w:after="0"/>
        <w:rPr>
          <w:rFonts w:cs="Arial"/>
          <w:bCs/>
          <w:szCs w:val="24"/>
        </w:rPr>
      </w:pPr>
    </w:p>
    <w:p w14:paraId="08EBA16F" w14:textId="77777777" w:rsidR="00487661" w:rsidRPr="000A46E6" w:rsidRDefault="00487661" w:rsidP="00487661">
      <w:pPr>
        <w:spacing w:after="0"/>
        <w:rPr>
          <w:rFonts w:cs="Arial"/>
          <w:bCs/>
          <w:szCs w:val="24"/>
        </w:rPr>
      </w:pPr>
      <w:r w:rsidRPr="000A46E6">
        <w:rPr>
          <w:rFonts w:cs="Arial"/>
          <w:bCs/>
          <w:szCs w:val="24"/>
        </w:rPr>
        <w:t xml:space="preserve">Retaining employees is very important for Ritz London because they have to put lots of effort to recruit new talent and nurture them (Mcgee, 2021). Engagement is very important to retain employees by ensuring a happy and motivated workforce in the organization. Employee recognition is very important besides providing benefits to the employees which makes them valued and stay in the organization. HR of the Ritz London can provide recognition in different means in their workplace (Saran, 2021). HR should help employees to have a work-life balance which will help them to stay engaged in this stage of the employee life cycle. Wellness resources can be given to the employees to make a positive contribution to the organization (Thomas, 2020). The work of the employees of this hotel needs to be challenging rather than boring and mundane. There should be career growth and development opportunity for employees with consistent roles to play during their job. Finally, there should be transparent company goals for employees which will inspire them to achieve them rather than doing a mere job (Saran, 2021).  HR authority of the Ritz London needs to engage their employees in the retention phase to have a happy separation when they have to exit from their workplace. </w:t>
      </w:r>
    </w:p>
    <w:p w14:paraId="529CE5AE" w14:textId="77777777" w:rsidR="00487661" w:rsidRPr="000A46E6" w:rsidRDefault="00487661" w:rsidP="00487661">
      <w:pPr>
        <w:spacing w:after="0"/>
        <w:rPr>
          <w:rFonts w:cs="Arial"/>
          <w:bCs/>
          <w:szCs w:val="24"/>
        </w:rPr>
      </w:pPr>
    </w:p>
    <w:p w14:paraId="6824338D" w14:textId="77777777" w:rsidR="00487661" w:rsidRPr="000A46E6" w:rsidRDefault="00487661" w:rsidP="00487661">
      <w:pPr>
        <w:spacing w:after="0"/>
        <w:rPr>
          <w:rFonts w:cs="Arial"/>
          <w:bCs/>
          <w:szCs w:val="24"/>
        </w:rPr>
      </w:pPr>
      <w:r w:rsidRPr="000A46E6">
        <w:rPr>
          <w:rFonts w:cs="Arial"/>
          <w:bCs/>
          <w:szCs w:val="24"/>
        </w:rPr>
        <w:t xml:space="preserve">In the separation phase of the employee life cycle, an employee of the Ritz London can decide to move on because of retirement, changing career direction, or personal issues (Thomas, 2020). To make this exit a pleasant experience, the HR managers of this hotel need to engage them in this process which will make them feel that this was a great workplace and will recommend this hotel as a very good employer to their network of contacts. An effective off-boarding process can be utilized by having appropriate feedback and exit interviews from the employees (Arslan, 2021). An alumni channel can be created and maintained to keep in touch with valuable employees who have left the Ritz London (Truss, 2020). Finally, as these employees are a potential source of referrals from the pool of future talent, the HR of this hotel can promote their current opportunities and get some referrals for potential employee recruitment (Arslan, 2021). These activities in this last phase of the employee life cycle can engage the employees while they are taking an exit from this company. The role of human resources is very crucial in this whole employee life cycle process. </w:t>
      </w:r>
    </w:p>
    <w:p w14:paraId="4FDAA547" w14:textId="77777777" w:rsidR="00487661" w:rsidRPr="000A46E6" w:rsidRDefault="00487661" w:rsidP="00487661">
      <w:pPr>
        <w:spacing w:after="0"/>
        <w:rPr>
          <w:rFonts w:cs="Arial"/>
          <w:bCs/>
          <w:szCs w:val="24"/>
        </w:rPr>
      </w:pPr>
    </w:p>
    <w:p w14:paraId="120374B4" w14:textId="77777777" w:rsidR="00487661" w:rsidRPr="000A46E6" w:rsidRDefault="00487661" w:rsidP="00487661">
      <w:pPr>
        <w:spacing w:after="0"/>
        <w:rPr>
          <w:rFonts w:cs="Arial"/>
          <w:bCs/>
          <w:szCs w:val="24"/>
        </w:rPr>
      </w:pPr>
      <w:r w:rsidRPr="000A46E6">
        <w:rPr>
          <w:rFonts w:cs="Arial"/>
          <w:bCs/>
          <w:szCs w:val="24"/>
        </w:rPr>
        <w:lastRenderedPageBreak/>
        <w:t xml:space="preserve">To reduce the retention rate and increase the efficiency of my team, I can keep my team connected to the company I am working with (Salsabil, 2022). I can define my expectations to the team clearly by avoiding sugar-coating unpleasant projects and by being consistent with them. I can set a good example by showing the work of our veteran employees to help the newly hired employees to stay engaged in our organization. I can ask for input from employees which will make them valued and will work as a part of this organization (Salsabil, 2022). Moreover, I will show that I care for my team and will reward creativity in the work process to help them to stay glued to the workplace. Finally, I can implement an employee engagement model in my workplace to engage my employees. </w:t>
      </w:r>
    </w:p>
    <w:p w14:paraId="29A0E40D" w14:textId="77777777" w:rsidR="00487661" w:rsidRPr="000A46E6" w:rsidRDefault="00487661" w:rsidP="00487661">
      <w:pPr>
        <w:spacing w:after="0"/>
        <w:rPr>
          <w:rFonts w:cs="Arial"/>
          <w:bCs/>
          <w:szCs w:val="24"/>
        </w:rPr>
      </w:pPr>
    </w:p>
    <w:p w14:paraId="1C598537" w14:textId="77777777" w:rsidR="00487661" w:rsidRDefault="00487661" w:rsidP="00487661">
      <w:pPr>
        <w:spacing w:after="0"/>
        <w:rPr>
          <w:rFonts w:cs="Arial"/>
          <w:bCs/>
          <w:szCs w:val="24"/>
        </w:rPr>
      </w:pPr>
      <w:r w:rsidRPr="000A46E6">
        <w:rPr>
          <w:rFonts w:cs="Arial"/>
          <w:bCs/>
          <w:szCs w:val="24"/>
        </w:rPr>
        <w:t>Employee engagement mode is a blueprint that can make employees feel valued, productive, and empowered in their job (Saran, 2021). Maslow’s employee engagement model focuses on the needs theory and applies it to the employee experience in the workplace. Employees of the hospitality industry of the UK can be engaged by providing basic salary and remuneration with safety and security. They can be more engaged if they feel love and belonging in their workplace (Saran, 2021). If an organization can engage them in the workplace they will work better for self-esteem and will fully realize their potential in the self-actualization sta</w:t>
      </w:r>
      <w:r>
        <w:rPr>
          <w:rFonts w:cs="Arial"/>
          <w:bCs/>
          <w:szCs w:val="24"/>
        </w:rPr>
        <w:t>ge.</w:t>
      </w:r>
    </w:p>
    <w:p w14:paraId="24C8F3D9" w14:textId="700645B5" w:rsidR="00487661" w:rsidRPr="000A46E6" w:rsidRDefault="00487661" w:rsidP="00487661">
      <w:pPr>
        <w:spacing w:after="0"/>
        <w:rPr>
          <w:rFonts w:cs="Arial"/>
          <w:b/>
          <w:bCs/>
          <w:sz w:val="32"/>
          <w:szCs w:val="32"/>
        </w:rPr>
      </w:pPr>
    </w:p>
    <w:p w14:paraId="4C3F8467" w14:textId="02B4B70F" w:rsidR="00487661" w:rsidRDefault="00487661" w:rsidP="00487661">
      <w:pPr>
        <w:spacing w:after="0"/>
        <w:rPr>
          <w:rFonts w:cs="Arial"/>
          <w:szCs w:val="24"/>
        </w:rPr>
      </w:pPr>
      <w:r w:rsidRPr="000A46E6">
        <w:rPr>
          <w:rFonts w:cs="Arial"/>
          <w:szCs w:val="24"/>
        </w:rPr>
        <w:t xml:space="preserve">This essay is concerned with engaging employees with the help of the HR department of an organization. The Ritz London can engage its employees by providing different facilities and creative activities which will help them to stay glued to the workplace </w:t>
      </w:r>
      <w:r w:rsidRPr="000A46E6">
        <w:rPr>
          <w:rFonts w:cs="Arial"/>
          <w:bCs/>
          <w:szCs w:val="24"/>
        </w:rPr>
        <w:t>(Mone and London, 2018)</w:t>
      </w:r>
      <w:r w:rsidRPr="000A46E6">
        <w:rPr>
          <w:rFonts w:cs="Arial"/>
          <w:szCs w:val="24"/>
        </w:rPr>
        <w:t>. HR officials can engage employees in all six stages of the employee life cycle. It will help any hotel business who are operating in the hospitality industry of the UK</w:t>
      </w:r>
      <w:r>
        <w:rPr>
          <w:rFonts w:cs="Arial"/>
          <w:szCs w:val="24"/>
        </w:rPr>
        <w:t>.</w:t>
      </w:r>
    </w:p>
    <w:p w14:paraId="69DF780A" w14:textId="3D0CFD50" w:rsidR="00487661" w:rsidRDefault="00487661" w:rsidP="00487661">
      <w:pPr>
        <w:spacing w:after="0"/>
        <w:rPr>
          <w:rFonts w:cs="Arial"/>
          <w:szCs w:val="24"/>
        </w:rPr>
      </w:pPr>
    </w:p>
    <w:p w14:paraId="365EC333" w14:textId="6C734CE6" w:rsidR="00487661" w:rsidRDefault="00487661" w:rsidP="00487661">
      <w:pPr>
        <w:spacing w:after="0"/>
        <w:rPr>
          <w:rFonts w:cs="Arial"/>
          <w:szCs w:val="24"/>
        </w:rPr>
      </w:pPr>
    </w:p>
    <w:p w14:paraId="1E59F770" w14:textId="7C763C1B" w:rsidR="00487661" w:rsidRDefault="00487661" w:rsidP="00487661">
      <w:pPr>
        <w:spacing w:after="0"/>
        <w:rPr>
          <w:rFonts w:cs="Arial"/>
          <w:szCs w:val="24"/>
        </w:rPr>
      </w:pPr>
    </w:p>
    <w:p w14:paraId="5EECCF65" w14:textId="3DDD2BA2" w:rsidR="00487661" w:rsidRDefault="00487661" w:rsidP="00487661">
      <w:pPr>
        <w:spacing w:after="0"/>
        <w:rPr>
          <w:rFonts w:cs="Arial"/>
          <w:szCs w:val="24"/>
        </w:rPr>
      </w:pPr>
    </w:p>
    <w:p w14:paraId="68DFCCCD" w14:textId="6CC0C457" w:rsidR="00487661" w:rsidRDefault="00487661" w:rsidP="00487661">
      <w:pPr>
        <w:spacing w:after="0"/>
        <w:rPr>
          <w:rFonts w:cs="Arial"/>
          <w:szCs w:val="24"/>
        </w:rPr>
      </w:pPr>
    </w:p>
    <w:p w14:paraId="3A391EB7" w14:textId="3C5C158B" w:rsidR="00487661" w:rsidRDefault="00487661" w:rsidP="00487661">
      <w:pPr>
        <w:spacing w:after="0"/>
        <w:rPr>
          <w:rFonts w:cs="Arial"/>
          <w:szCs w:val="24"/>
        </w:rPr>
      </w:pPr>
    </w:p>
    <w:p w14:paraId="33B33EC7" w14:textId="7E7C247E" w:rsidR="00487661" w:rsidRDefault="00487661" w:rsidP="00487661">
      <w:pPr>
        <w:spacing w:after="0"/>
        <w:rPr>
          <w:rFonts w:cs="Arial"/>
          <w:szCs w:val="24"/>
        </w:rPr>
      </w:pPr>
    </w:p>
    <w:p w14:paraId="169D0DE0" w14:textId="6E115757" w:rsidR="00487661" w:rsidRPr="000A46E6" w:rsidRDefault="00487661" w:rsidP="00340C12">
      <w:pPr>
        <w:spacing w:after="0"/>
        <w:jc w:val="center"/>
        <w:rPr>
          <w:rFonts w:cs="Arial"/>
          <w:b/>
          <w:sz w:val="36"/>
          <w:szCs w:val="36"/>
          <w:u w:val="single"/>
        </w:rPr>
      </w:pPr>
      <w:r w:rsidRPr="000A46E6">
        <w:rPr>
          <w:rFonts w:cs="Arial"/>
          <w:b/>
          <w:sz w:val="36"/>
          <w:szCs w:val="36"/>
          <w:u w:val="single"/>
        </w:rPr>
        <w:lastRenderedPageBreak/>
        <w:t>Reference list</w:t>
      </w:r>
    </w:p>
    <w:p w14:paraId="2229F8D5" w14:textId="77777777" w:rsidR="00487661" w:rsidRPr="000A46E6" w:rsidRDefault="00487661" w:rsidP="00487661">
      <w:pPr>
        <w:spacing w:after="240"/>
        <w:rPr>
          <w:rFonts w:eastAsia="Times New Roman" w:cs="Arial"/>
          <w:szCs w:val="24"/>
          <w:lang w:val="en-US" w:bidi="bn-BD"/>
        </w:rPr>
      </w:pPr>
      <w:r w:rsidRPr="00340C12">
        <w:rPr>
          <w:rFonts w:eastAsia="Times New Roman" w:cs="Arial"/>
          <w:szCs w:val="24"/>
          <w:lang w:val="it-IT" w:bidi="bn-BD"/>
        </w:rPr>
        <w:t xml:space="preserve">Alarifi, A. and Al-Abbasi, J. (2020). </w:t>
      </w:r>
      <w:r w:rsidRPr="000A46E6">
        <w:rPr>
          <w:rFonts w:eastAsia="Times New Roman" w:cs="Arial"/>
          <w:szCs w:val="24"/>
          <w:lang w:val="en-US" w:bidi="bn-BD"/>
        </w:rPr>
        <w:t>Employee Engagement: The Underlying Factors. International Journal of Psychosocial Rehabilitation, 24(Special Issue 1), pp.59–67. doi:https://doi.org/10.37200/ijpr/v24sp1/pr201134.</w:t>
      </w:r>
    </w:p>
    <w:p w14:paraId="3F3BCE88" w14:textId="77777777" w:rsidR="00487661" w:rsidRPr="000A46E6" w:rsidRDefault="00487661" w:rsidP="00487661">
      <w:pPr>
        <w:spacing w:after="240"/>
        <w:rPr>
          <w:rFonts w:eastAsia="Times New Roman" w:cs="Arial"/>
          <w:szCs w:val="24"/>
          <w:lang w:val="en-US" w:bidi="bn-BD"/>
        </w:rPr>
      </w:pPr>
      <w:r w:rsidRPr="000A46E6">
        <w:rPr>
          <w:rFonts w:eastAsia="Times New Roman" w:cs="Arial"/>
          <w:szCs w:val="24"/>
          <w:lang w:val="en-US" w:bidi="bn-BD"/>
        </w:rPr>
        <w:t>Arslan, M. (2021). Organizational Cynicism and Employee Performance: Moderating Role of Employee Engagement. SSRN Electronic Journal, 1(1). doi:https://doi.org/10.2139/ssrn.3080254.</w:t>
      </w:r>
    </w:p>
    <w:p w14:paraId="746F185C" w14:textId="77777777" w:rsidR="00487661" w:rsidRPr="000A46E6" w:rsidRDefault="00487661" w:rsidP="00487661">
      <w:pPr>
        <w:spacing w:after="240"/>
        <w:rPr>
          <w:rFonts w:eastAsia="Times New Roman" w:cs="Arial"/>
          <w:szCs w:val="24"/>
          <w:lang w:val="en-US" w:bidi="bn-BD"/>
        </w:rPr>
      </w:pPr>
      <w:r w:rsidRPr="000A46E6">
        <w:rPr>
          <w:rFonts w:eastAsia="Times New Roman" w:cs="Arial"/>
          <w:szCs w:val="24"/>
          <w:lang w:val="en-US" w:bidi="bn-BD"/>
        </w:rPr>
        <w:t>Byrne, Z.S. (2019). Understanding employee engagement : theory, research, and practice. New York ; London: Routledge, Taylor &amp; Francis Group.</w:t>
      </w:r>
    </w:p>
    <w:p w14:paraId="65068345" w14:textId="77777777" w:rsidR="00487661" w:rsidRPr="000A46E6" w:rsidRDefault="00487661" w:rsidP="00487661">
      <w:pPr>
        <w:spacing w:after="240"/>
        <w:rPr>
          <w:rFonts w:eastAsia="Times New Roman" w:cs="Arial"/>
          <w:szCs w:val="24"/>
          <w:lang w:val="en-US" w:bidi="bn-BD"/>
        </w:rPr>
      </w:pPr>
      <w:r w:rsidRPr="000A46E6">
        <w:rPr>
          <w:rFonts w:eastAsia="Times New Roman" w:cs="Arial"/>
          <w:szCs w:val="24"/>
          <w:lang w:val="en-US" w:bidi="bn-BD"/>
        </w:rPr>
        <w:t>Carbonara, S. (2022). Manager’s Guide to Employee Engagement. New York: Mcgraw-Hill.</w:t>
      </w:r>
    </w:p>
    <w:p w14:paraId="45E6E607" w14:textId="77777777" w:rsidR="00487661" w:rsidRPr="000A46E6" w:rsidRDefault="00487661" w:rsidP="00487661">
      <w:pPr>
        <w:spacing w:after="240"/>
        <w:rPr>
          <w:rFonts w:eastAsia="Times New Roman" w:cs="Arial"/>
          <w:szCs w:val="24"/>
          <w:lang w:val="en-US" w:bidi="bn-BD"/>
        </w:rPr>
      </w:pPr>
      <w:r w:rsidRPr="000A46E6">
        <w:rPr>
          <w:rFonts w:eastAsia="Times New Roman" w:cs="Arial"/>
          <w:szCs w:val="24"/>
          <w:lang w:val="en-US" w:bidi="bn-BD"/>
        </w:rPr>
        <w:t>Christensen Hughes, J. and Rog, E. (2022). Talent management: A strategy for improving employee recruitment, retention and engagement within hospitality organizations. International Journal of Contemporary Hospitality Management, 20(7), pp.743–757. doi:https://doi.org/10.1108/09596110810899086.</w:t>
      </w:r>
    </w:p>
    <w:p w14:paraId="46136CF7" w14:textId="77777777" w:rsidR="00487661" w:rsidRPr="000A46E6" w:rsidRDefault="00487661" w:rsidP="00487661">
      <w:pPr>
        <w:spacing w:after="240"/>
        <w:rPr>
          <w:rFonts w:eastAsia="Times New Roman" w:cs="Arial"/>
          <w:szCs w:val="24"/>
          <w:lang w:val="en-US" w:bidi="bn-BD"/>
        </w:rPr>
      </w:pPr>
      <w:r w:rsidRPr="000A46E6">
        <w:rPr>
          <w:rFonts w:eastAsia="Times New Roman" w:cs="Arial"/>
          <w:szCs w:val="24"/>
          <w:lang w:val="en-US" w:bidi="bn-BD"/>
        </w:rPr>
        <w:t>Faisal Malik, M. and Akhtar, S. (2019). Effect of Emotional Ambivelance on Employee Creativity. Journal of Hotel &amp; Business Management, 06(02). doi:https://doi.org/10.4172/2169-0286.1000166.</w:t>
      </w:r>
    </w:p>
    <w:p w14:paraId="72481213" w14:textId="77777777" w:rsidR="00487661" w:rsidRPr="000A46E6" w:rsidRDefault="00487661" w:rsidP="00487661">
      <w:pPr>
        <w:spacing w:after="240"/>
        <w:rPr>
          <w:rFonts w:eastAsia="Times New Roman" w:cs="Arial"/>
          <w:szCs w:val="24"/>
          <w:lang w:val="en-US" w:bidi="bn-BD"/>
        </w:rPr>
      </w:pPr>
      <w:r w:rsidRPr="000A46E6">
        <w:rPr>
          <w:rFonts w:eastAsia="Times New Roman" w:cs="Arial"/>
          <w:szCs w:val="24"/>
          <w:lang w:val="en-US" w:bidi="bn-BD"/>
        </w:rPr>
        <w:t>G, S., S, J. and R, V. (2022). Employee Engagement. Journal of Advanced Research in Dynamical and Control Systems, 11(0009-SPECIAL ISSUE), pp.1100–1104. doi:https://doi.org/10.5373/jardcs/v11/20192677.</w:t>
      </w:r>
    </w:p>
    <w:p w14:paraId="51EA54A5" w14:textId="77777777" w:rsidR="00487661" w:rsidRPr="000A46E6" w:rsidRDefault="00487661" w:rsidP="00487661">
      <w:pPr>
        <w:spacing w:after="240"/>
        <w:rPr>
          <w:rFonts w:eastAsia="Times New Roman" w:cs="Arial"/>
          <w:szCs w:val="24"/>
          <w:lang w:val="en-US" w:bidi="bn-BD"/>
        </w:rPr>
      </w:pPr>
      <w:r w:rsidRPr="000A46E6">
        <w:rPr>
          <w:rFonts w:eastAsia="Times New Roman" w:cs="Arial"/>
          <w:szCs w:val="24"/>
          <w:lang w:val="en-US" w:bidi="bn-BD"/>
        </w:rPr>
        <w:t>Holbeche, L. and Geoff Matthews (2022). Engaged : unleashing your organization’s potential through employee engagement. San Francisco, Ca: Jossey-Bass.</w:t>
      </w:r>
    </w:p>
    <w:p w14:paraId="25BE0D98" w14:textId="77777777" w:rsidR="00487661" w:rsidRPr="000A46E6" w:rsidRDefault="00487661" w:rsidP="00487661">
      <w:pPr>
        <w:spacing w:after="240"/>
        <w:rPr>
          <w:rFonts w:eastAsia="Times New Roman" w:cs="Arial"/>
          <w:szCs w:val="24"/>
          <w:lang w:val="en-US" w:bidi="bn-BD"/>
        </w:rPr>
      </w:pPr>
      <w:r w:rsidRPr="000A46E6">
        <w:rPr>
          <w:rFonts w:eastAsia="Times New Roman" w:cs="Arial"/>
          <w:szCs w:val="24"/>
          <w:lang w:val="en-US" w:bidi="bn-BD"/>
        </w:rPr>
        <w:t>Hutchinson, I. (2021). People glue : employee engagement &amp; retention solutions that stick! Warriewood, N.S.W.: Woodslane Press.</w:t>
      </w:r>
    </w:p>
    <w:p w14:paraId="071C36EC" w14:textId="77777777" w:rsidR="00487661" w:rsidRPr="000A46E6" w:rsidRDefault="00487661" w:rsidP="00487661">
      <w:pPr>
        <w:spacing w:after="240"/>
        <w:rPr>
          <w:rFonts w:eastAsia="Times New Roman" w:cs="Arial"/>
          <w:szCs w:val="24"/>
          <w:lang w:val="en-US" w:bidi="bn-BD"/>
        </w:rPr>
      </w:pPr>
      <w:r w:rsidRPr="000A46E6">
        <w:rPr>
          <w:rFonts w:eastAsia="Times New Roman" w:cs="Arial"/>
          <w:szCs w:val="24"/>
          <w:lang w:val="en-US" w:bidi="bn-BD"/>
        </w:rPr>
        <w:t>Kwon, K. and Park, J. (2019). The Life Cycle of Employee Engagement Theory in HRD Research. Advances in Developing Human Resources, 21(3), pp.352–370. doi:https://doi.org/10.1177/1523422319851443.</w:t>
      </w:r>
    </w:p>
    <w:p w14:paraId="60739FC6" w14:textId="77777777" w:rsidR="00487661" w:rsidRPr="000A46E6" w:rsidRDefault="00487661" w:rsidP="00487661">
      <w:pPr>
        <w:spacing w:after="240"/>
        <w:rPr>
          <w:rFonts w:eastAsia="Times New Roman" w:cs="Arial"/>
          <w:szCs w:val="24"/>
          <w:lang w:val="en-US" w:bidi="bn-BD"/>
        </w:rPr>
      </w:pPr>
      <w:r w:rsidRPr="000A46E6">
        <w:rPr>
          <w:rFonts w:eastAsia="Times New Roman" w:cs="Arial"/>
          <w:szCs w:val="24"/>
          <w:lang w:val="en-US" w:bidi="bn-BD"/>
        </w:rPr>
        <w:lastRenderedPageBreak/>
        <w:t>Mcgee, R. (2021). Employee engagement. Chartered Institute Of Personnel And Development.</w:t>
      </w:r>
    </w:p>
    <w:p w14:paraId="4EC556EE" w14:textId="77777777" w:rsidR="00487661" w:rsidRPr="000A46E6" w:rsidRDefault="00487661" w:rsidP="00487661">
      <w:pPr>
        <w:spacing w:after="240"/>
        <w:rPr>
          <w:rFonts w:eastAsia="Times New Roman" w:cs="Arial"/>
          <w:szCs w:val="24"/>
          <w:lang w:val="en-US" w:bidi="bn-BD"/>
        </w:rPr>
      </w:pPr>
      <w:r w:rsidRPr="000A46E6">
        <w:rPr>
          <w:rFonts w:eastAsia="Times New Roman" w:cs="Arial"/>
          <w:szCs w:val="24"/>
          <w:lang w:val="en-US" w:bidi="bn-BD"/>
        </w:rPr>
        <w:t>Mone, E.M. and London, M. (2018). Employee engagement through effective performance management a practical guide for managers. New York Routledge.</w:t>
      </w:r>
    </w:p>
    <w:p w14:paraId="03A4C6CD" w14:textId="77777777" w:rsidR="00487661" w:rsidRPr="000A46E6" w:rsidRDefault="00487661" w:rsidP="00487661">
      <w:pPr>
        <w:spacing w:after="240"/>
        <w:rPr>
          <w:rFonts w:eastAsia="Times New Roman" w:cs="Arial"/>
          <w:szCs w:val="24"/>
          <w:lang w:val="en-US" w:bidi="bn-BD"/>
        </w:rPr>
      </w:pPr>
      <w:r w:rsidRPr="000A46E6">
        <w:rPr>
          <w:rFonts w:eastAsia="Times New Roman" w:cs="Arial"/>
          <w:szCs w:val="24"/>
          <w:lang w:val="en-US" w:bidi="bn-BD"/>
        </w:rPr>
        <w:t>Salsabil, M.D.I. (2022). The Impact Of High Work Performance Practices On Hospital Employee Performance: The Mediation Moderation Of Employee Engagement And Employee Extra Role. International Journal of Management and Economics Invention, 08(07). doi:https://doi.org/10.47191/ijmei/v8i7.01.</w:t>
      </w:r>
    </w:p>
    <w:p w14:paraId="636B4DE2" w14:textId="77777777" w:rsidR="00487661" w:rsidRPr="000A46E6" w:rsidRDefault="00487661" w:rsidP="00487661">
      <w:pPr>
        <w:spacing w:after="240"/>
        <w:rPr>
          <w:rFonts w:eastAsia="Times New Roman" w:cs="Arial"/>
          <w:szCs w:val="24"/>
          <w:lang w:val="en-US" w:bidi="bn-BD"/>
        </w:rPr>
      </w:pPr>
      <w:r w:rsidRPr="000A46E6">
        <w:rPr>
          <w:rFonts w:eastAsia="Times New Roman" w:cs="Arial"/>
          <w:szCs w:val="24"/>
          <w:lang w:val="en-US" w:bidi="bn-BD"/>
        </w:rPr>
        <w:t>Saran, S. (2021). Employee Engagement: Leveraging Strengths and Underpinning Weaknesses (Identifying the Factors Underlying Employee Engagement Levels in an Organization). Journal of Human Resource Management, 2(3), p.47. doi:https://doi.org/10.11648/j.jhrm.20140203.11.</w:t>
      </w:r>
    </w:p>
    <w:p w14:paraId="2697C5C6" w14:textId="77777777" w:rsidR="00487661" w:rsidRPr="000A46E6" w:rsidRDefault="00487661" w:rsidP="00487661">
      <w:pPr>
        <w:spacing w:after="240"/>
        <w:rPr>
          <w:rFonts w:eastAsia="Times New Roman" w:cs="Arial"/>
          <w:szCs w:val="24"/>
          <w:lang w:val="en-US" w:bidi="bn-BD"/>
        </w:rPr>
      </w:pPr>
      <w:r w:rsidRPr="000A46E6">
        <w:rPr>
          <w:rFonts w:eastAsia="Times New Roman" w:cs="Arial"/>
          <w:szCs w:val="24"/>
          <w:lang w:val="en-US" w:bidi="bn-BD"/>
        </w:rPr>
        <w:t>Shyam, B.R. and Ramachandra Gowda, N.K. (2022). A Comparative Study of Dynamic Nature of Product Life Cycle Stimulating Employee Life Cycle. Adarsh Journal of Management Research, 8(2), p.21. doi:https://doi.org/10.21095/ajmr/2015/v8/i2/88210.</w:t>
      </w:r>
    </w:p>
    <w:p w14:paraId="278AFB46" w14:textId="77777777" w:rsidR="00487661" w:rsidRPr="000A46E6" w:rsidRDefault="00487661" w:rsidP="00487661">
      <w:pPr>
        <w:spacing w:after="240"/>
        <w:rPr>
          <w:rFonts w:eastAsia="Times New Roman" w:cs="Arial"/>
          <w:szCs w:val="24"/>
          <w:lang w:val="en-US" w:bidi="bn-BD"/>
        </w:rPr>
      </w:pPr>
      <w:r w:rsidRPr="000A46E6">
        <w:rPr>
          <w:rFonts w:eastAsia="Times New Roman" w:cs="Arial"/>
          <w:szCs w:val="24"/>
          <w:lang w:val="en-US" w:bidi="bn-BD"/>
        </w:rPr>
        <w:t>The Ritz Hotel London. (2022). The Ritz London | The best 5 Star Luxury Hotel in Mayfair. [online] Available at: https://www.theritzlondon.com/ [Accessed 10 Feb. 2023].</w:t>
      </w:r>
    </w:p>
    <w:p w14:paraId="19D664B4" w14:textId="77777777" w:rsidR="00487661" w:rsidRPr="000A46E6" w:rsidRDefault="00487661" w:rsidP="00487661">
      <w:pPr>
        <w:spacing w:after="240"/>
        <w:rPr>
          <w:rFonts w:eastAsia="Times New Roman" w:cs="Arial"/>
          <w:szCs w:val="24"/>
          <w:lang w:val="en-US" w:bidi="bn-BD"/>
        </w:rPr>
      </w:pPr>
      <w:r w:rsidRPr="000A46E6">
        <w:rPr>
          <w:rFonts w:eastAsia="Times New Roman" w:cs="Arial"/>
          <w:szCs w:val="24"/>
          <w:lang w:val="en-US" w:bidi="bn-BD"/>
        </w:rPr>
        <w:t>Thomas, K.W. (2020). Intrinsic motivation at work : what really drives employee engagement. San Francisco: Berrett-Koehler Publishers.</w:t>
      </w:r>
    </w:p>
    <w:p w14:paraId="50E210AD" w14:textId="77777777" w:rsidR="00487661" w:rsidRPr="000A46E6" w:rsidRDefault="00487661" w:rsidP="00487661">
      <w:pPr>
        <w:spacing w:after="240"/>
        <w:rPr>
          <w:rFonts w:eastAsia="Times New Roman" w:cs="Arial"/>
          <w:szCs w:val="24"/>
          <w:lang w:val="en-US" w:bidi="bn-BD"/>
        </w:rPr>
      </w:pPr>
      <w:r w:rsidRPr="000A46E6">
        <w:rPr>
          <w:rFonts w:eastAsia="Times New Roman" w:cs="Arial"/>
          <w:szCs w:val="24"/>
          <w:lang w:val="en-US" w:bidi="bn-BD"/>
        </w:rPr>
        <w:t>Truss, C. (2020). Employee engagement in theory and practice. London ; New York: Routledge, Taylor &amp; Francis Group.</w:t>
      </w:r>
    </w:p>
    <w:p w14:paraId="0BA69B09" w14:textId="77777777" w:rsidR="00487661" w:rsidRPr="000A46E6" w:rsidRDefault="00487661" w:rsidP="00487661">
      <w:pPr>
        <w:spacing w:after="240"/>
        <w:rPr>
          <w:rFonts w:eastAsia="Times New Roman" w:cs="Arial"/>
          <w:szCs w:val="24"/>
          <w:lang w:val="en-US" w:bidi="bn-BD"/>
        </w:rPr>
      </w:pPr>
      <w:r w:rsidRPr="000A46E6">
        <w:rPr>
          <w:rFonts w:eastAsia="Times New Roman" w:cs="Arial"/>
          <w:szCs w:val="24"/>
          <w:lang w:val="en-US" w:bidi="bn-BD"/>
        </w:rPr>
        <w:t>Widyawati, S.R. (2020). The Influence of Employee Engagement, Self Esteem, Self-Efficacy On Employee Performance In Small Business. International Journal of Contemporary Research and Review, 11(04). doi:https://doi.org/10.15520/ijcrr.v11i04.799.</w:t>
      </w:r>
    </w:p>
    <w:p w14:paraId="1196681D" w14:textId="77777777" w:rsidR="00487661" w:rsidRPr="000A46E6" w:rsidRDefault="00487661" w:rsidP="00487661">
      <w:pPr>
        <w:spacing w:after="240"/>
        <w:rPr>
          <w:rFonts w:eastAsia="Times New Roman" w:cs="Arial"/>
          <w:szCs w:val="24"/>
          <w:lang w:val="en-US" w:bidi="bn-BD"/>
        </w:rPr>
      </w:pPr>
      <w:r w:rsidRPr="000A46E6">
        <w:rPr>
          <w:rFonts w:eastAsia="Times New Roman" w:cs="Arial"/>
          <w:szCs w:val="24"/>
          <w:lang w:val="en-US" w:bidi="bn-BD"/>
        </w:rPr>
        <w:lastRenderedPageBreak/>
        <w:t>Yadav, S. (2020). Determining the Relationship between Employee Engagement and Employee Satisfaction: A Review of Literature. International Journal of Psychosocial Rehabilitation, 24(5), pp.5038–5048. doi:https://doi.org/10.37200/ijpr/v24i5/pr2020211.</w:t>
      </w:r>
    </w:p>
    <w:p w14:paraId="5224CAB8" w14:textId="77777777" w:rsidR="00487661" w:rsidRPr="000A46E6" w:rsidRDefault="00487661" w:rsidP="00487661">
      <w:pPr>
        <w:spacing w:after="240"/>
        <w:rPr>
          <w:rFonts w:eastAsia="Times New Roman" w:cs="Arial"/>
          <w:szCs w:val="24"/>
          <w:lang w:val="en-US" w:bidi="bn-BD"/>
        </w:rPr>
      </w:pPr>
      <w:r w:rsidRPr="000A46E6">
        <w:rPr>
          <w:rFonts w:eastAsia="Times New Roman" w:cs="Arial"/>
          <w:szCs w:val="24"/>
          <w:lang w:val="en-US" w:bidi="bn-BD"/>
        </w:rPr>
        <w:t>Yaneva, M. (2021). Employee Satisfaction vs. Employee Engagement vs. Employee NPS. European Journal of Economics and Business Studies, 4(1), pp.221–227.</w:t>
      </w:r>
    </w:p>
    <w:p w14:paraId="7B90EB8F" w14:textId="01A9BB79" w:rsidR="00487661" w:rsidRDefault="00487661" w:rsidP="00487661">
      <w:pPr>
        <w:spacing w:after="0"/>
        <w:rPr>
          <w:rFonts w:cs="Arial"/>
          <w:szCs w:val="24"/>
        </w:rPr>
      </w:pPr>
    </w:p>
    <w:p w14:paraId="6789C16F" w14:textId="2ACEAD2C" w:rsidR="00487661" w:rsidRDefault="00487661" w:rsidP="00487661">
      <w:pPr>
        <w:spacing w:after="0"/>
        <w:rPr>
          <w:rFonts w:cs="Arial"/>
          <w:szCs w:val="24"/>
        </w:rPr>
      </w:pPr>
    </w:p>
    <w:p w14:paraId="55D63ADD" w14:textId="77777777" w:rsidR="00487661" w:rsidRDefault="00487661" w:rsidP="00487661">
      <w:pPr>
        <w:spacing w:after="0"/>
        <w:rPr>
          <w:rFonts w:cs="Arial"/>
          <w:szCs w:val="24"/>
        </w:rPr>
      </w:pPr>
    </w:p>
    <w:p w14:paraId="5935B606" w14:textId="77777777" w:rsidR="00487661" w:rsidRPr="003F5573" w:rsidRDefault="00487661" w:rsidP="00487661">
      <w:pPr>
        <w:spacing w:after="0"/>
        <w:rPr>
          <w:rFonts w:cs="Arial"/>
          <w:b/>
          <w:sz w:val="28"/>
          <w:szCs w:val="28"/>
        </w:rPr>
      </w:pPr>
    </w:p>
    <w:p w14:paraId="572C4E34" w14:textId="77777777" w:rsidR="00541616" w:rsidRDefault="00541616"/>
    <w:sectPr w:rsidR="005416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67FBD5" w14:textId="77777777" w:rsidR="00A24BAB" w:rsidRDefault="00A24BAB" w:rsidP="00487661">
      <w:pPr>
        <w:spacing w:after="0" w:line="240" w:lineRule="auto"/>
      </w:pPr>
      <w:r>
        <w:separator/>
      </w:r>
    </w:p>
  </w:endnote>
  <w:endnote w:type="continuationSeparator" w:id="0">
    <w:p w14:paraId="5EAE07D6" w14:textId="77777777" w:rsidR="00A24BAB" w:rsidRDefault="00A24BAB" w:rsidP="004876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11B733" w14:textId="77777777" w:rsidR="00A24BAB" w:rsidRDefault="00A24BAB" w:rsidP="00487661">
      <w:pPr>
        <w:spacing w:after="0" w:line="240" w:lineRule="auto"/>
      </w:pPr>
      <w:r>
        <w:separator/>
      </w:r>
    </w:p>
  </w:footnote>
  <w:footnote w:type="continuationSeparator" w:id="0">
    <w:p w14:paraId="6A756621" w14:textId="77777777" w:rsidR="00A24BAB" w:rsidRDefault="00A24BAB" w:rsidP="0048766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C67"/>
    <w:rsid w:val="00340C12"/>
    <w:rsid w:val="00487661"/>
    <w:rsid w:val="004E6752"/>
    <w:rsid w:val="00541616"/>
    <w:rsid w:val="00A24BAB"/>
    <w:rsid w:val="00B17794"/>
    <w:rsid w:val="00BD57FD"/>
    <w:rsid w:val="00C05C67"/>
    <w:rsid w:val="00F34EB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D3A574"/>
  <w15:chartTrackingRefBased/>
  <w15:docId w15:val="{71F2A10C-CC06-486F-BD0C-2A116FE9BB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7661"/>
    <w:pPr>
      <w:spacing w:after="200" w:line="360" w:lineRule="auto"/>
      <w:jc w:val="both"/>
    </w:pPr>
    <w:rPr>
      <w:rFonts w:ascii="Arial" w:eastAsia="Calibri" w:hAnsi="Arial" w:cs="Calibri"/>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7661"/>
    <w:pPr>
      <w:tabs>
        <w:tab w:val="center" w:pos="4513"/>
        <w:tab w:val="right" w:pos="9026"/>
      </w:tabs>
      <w:spacing w:after="0" w:line="240" w:lineRule="auto"/>
      <w:jc w:val="left"/>
    </w:pPr>
    <w:rPr>
      <w:rFonts w:asciiTheme="minorHAnsi" w:eastAsiaTheme="minorEastAsia" w:hAnsiTheme="minorHAnsi" w:cstheme="minorBidi"/>
      <w:sz w:val="22"/>
      <w:lang w:eastAsia="zh-CN"/>
    </w:rPr>
  </w:style>
  <w:style w:type="character" w:customStyle="1" w:styleId="HeaderChar">
    <w:name w:val="Header Char"/>
    <w:basedOn w:val="DefaultParagraphFont"/>
    <w:link w:val="Header"/>
    <w:uiPriority w:val="99"/>
    <w:rsid w:val="00487661"/>
  </w:style>
  <w:style w:type="paragraph" w:styleId="Footer">
    <w:name w:val="footer"/>
    <w:basedOn w:val="Normal"/>
    <w:link w:val="FooterChar"/>
    <w:uiPriority w:val="99"/>
    <w:unhideWhenUsed/>
    <w:rsid w:val="00487661"/>
    <w:pPr>
      <w:tabs>
        <w:tab w:val="center" w:pos="4513"/>
        <w:tab w:val="right" w:pos="9026"/>
      </w:tabs>
      <w:spacing w:after="0" w:line="240" w:lineRule="auto"/>
      <w:jc w:val="left"/>
    </w:pPr>
    <w:rPr>
      <w:rFonts w:asciiTheme="minorHAnsi" w:eastAsiaTheme="minorEastAsia" w:hAnsiTheme="minorHAnsi" w:cstheme="minorBidi"/>
      <w:sz w:val="22"/>
      <w:lang w:eastAsia="zh-CN"/>
    </w:rPr>
  </w:style>
  <w:style w:type="character" w:customStyle="1" w:styleId="FooterChar">
    <w:name w:val="Footer Char"/>
    <w:basedOn w:val="DefaultParagraphFont"/>
    <w:link w:val="Footer"/>
    <w:uiPriority w:val="99"/>
    <w:rsid w:val="004876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2397</Words>
  <Characters>13665</Characters>
  <Application>Microsoft Office Word</Application>
  <DocSecurity>0</DocSecurity>
  <Lines>113</Lines>
  <Paragraphs>32</Paragraphs>
  <ScaleCrop>false</ScaleCrop>
  <Company/>
  <LinksUpToDate>false</LinksUpToDate>
  <CharactersWithSpaces>16030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Robert-Cristian Matyas (2111528)</dc:creator>
  <cp:keywords/>
  <dc:description/>
  <cp:lastModifiedBy>Robert-Cristian Matyas (2111528)</cp:lastModifiedBy>
  <cp:revision>3</cp:revision>
  <dcterms:created xsi:type="dcterms:W3CDTF">2023-03-01T20:44:00Z</dcterms:created>
  <dcterms:modified xsi:type="dcterms:W3CDTF">2023-03-01T20:49:00Z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c608262131c0743d4c1abde1ebd06fc8ef018dab6c4f78ad820fc87331747926</vt:lpwstr>
  </property>
</Properties>
</file>