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40052" w14:textId="05386618" w:rsidR="005506A7" w:rsidRPr="005506A7" w:rsidRDefault="00CB0EF6" w:rsidP="00B823FE">
      <w:pPr>
        <w:pStyle w:val="NormalWeb"/>
        <w:spacing w:line="360" w:lineRule="auto"/>
        <w:rPr>
          <w:rFonts w:asciiTheme="minorHAnsi" w:hAnsiTheme="minorHAnsi" w:cstheme="minorHAnsi"/>
          <w:b/>
          <w:bCs/>
          <w:u w:val="single"/>
        </w:rPr>
      </w:pPr>
      <w:r w:rsidRPr="00B823FE">
        <w:rPr>
          <w:rFonts w:asciiTheme="minorHAnsi" w:hAnsiTheme="minorHAnsi" w:cstheme="minorHAnsi"/>
        </w:rPr>
        <w:t> </w:t>
      </w:r>
      <w:r w:rsidR="005E49C0" w:rsidRPr="005E49C0">
        <w:rPr>
          <w:rStyle w:val="Strong"/>
          <w:rFonts w:asciiTheme="minorHAnsi" w:hAnsiTheme="minorHAnsi" w:cstheme="minorHAnsi"/>
          <w:u w:val="single"/>
        </w:rPr>
        <w:t>Assignment 1</w:t>
      </w:r>
      <w:r w:rsidR="005506A7">
        <w:rPr>
          <w:rStyle w:val="Strong"/>
          <w:rFonts w:asciiTheme="minorHAnsi" w:hAnsiTheme="minorHAnsi" w:cstheme="minorHAnsi"/>
          <w:u w:val="single"/>
        </w:rPr>
        <w:t>: Role of organisational culture in creating an inclusive and diverse workplace within policing.</w:t>
      </w:r>
    </w:p>
    <w:p w14:paraId="26AD3FCD" w14:textId="10BCF1F0"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This assignment will explore the impact of organisational culture “Inclusion is increasingly recognised as essential to support and achieve diversity improvement” (Durham University, 2020). On fostering an environment where individuals from diverse backgrounds feel valued, respected, and have equal opportunities. Drawing on academic research, this assignment highlights the significance of addressing biases and stereotypes and promoting transparent policy and practice in cultivating an inclusive and diverse policing workforce.</w:t>
      </w:r>
    </w:p>
    <w:p w14:paraId="5F7551F2" w14:textId="63358655"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Recognising the growing recognition of inclusion is crucial for achieving diversity. The College of Policing (2020) outlines the importance of diversity and inclusion and how it is integral as a police force to be representative of the communities we serve, and having diverse teams results in better decision-making. One College of Policing (COP) initiative is that they actively seek and support the recruitment and promotion of underrepresented groups, tackling the impact of unconscious bias</w:t>
      </w:r>
      <w:r w:rsidR="00175E86">
        <w:rPr>
          <w:rFonts w:asciiTheme="minorHAnsi" w:hAnsiTheme="minorHAnsi" w:cstheme="minorHAnsi"/>
        </w:rPr>
        <w:t xml:space="preserve">, supported by the Equality Act 2010. </w:t>
      </w:r>
    </w:p>
    <w:p w14:paraId="45867C4B" w14:textId="1AE69165"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The National Police Chiefs Council (NPCC) outlines the importance of positive action within the police, as it creates a diverse workforce with a variety of skills and experiences, promotes a greater understanding of diverse communities, and, as a result, helps build trust and confidence in the public, inevitably impacting crime prevention and detection.</w:t>
      </w:r>
    </w:p>
    <w:p w14:paraId="535B2675" w14:textId="38C9D9E4"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Within the literature, Johnson et al. (2021) </w:t>
      </w:r>
      <w:r w:rsidR="007E232D" w:rsidRPr="001D434F">
        <w:rPr>
          <w:rFonts w:asciiTheme="minorHAnsi" w:hAnsiTheme="minorHAnsi" w:cstheme="minorHAnsi"/>
        </w:rPr>
        <w:t>suggests</w:t>
      </w:r>
      <w:r w:rsidRPr="001D434F">
        <w:rPr>
          <w:rFonts w:asciiTheme="minorHAnsi" w:hAnsiTheme="minorHAnsi" w:cstheme="minorHAnsi"/>
        </w:rPr>
        <w:t xml:space="preserve"> there is little research into the impact of diversity and inclusion within the police and whether this has any significance for the competency of the organisation. Forty-six serving constables </w:t>
      </w:r>
      <w:r w:rsidR="00C72A95">
        <w:rPr>
          <w:rFonts w:asciiTheme="minorHAnsi" w:hAnsiTheme="minorHAnsi" w:cstheme="minorHAnsi"/>
        </w:rPr>
        <w:t>interviewed</w:t>
      </w:r>
      <w:r w:rsidRPr="001D434F">
        <w:rPr>
          <w:rFonts w:asciiTheme="minorHAnsi" w:hAnsiTheme="minorHAnsi" w:cstheme="minorHAnsi"/>
        </w:rPr>
        <w:t xml:space="preserve"> found a lack of acceptance of diversity and bias towards those officers who share a protected characteristic. The study also suggested those involved </w:t>
      </w:r>
      <w:r w:rsidR="00A5468B" w:rsidRPr="001D434F">
        <w:rPr>
          <w:rFonts w:asciiTheme="minorHAnsi" w:hAnsiTheme="minorHAnsi" w:cstheme="minorHAnsi"/>
        </w:rPr>
        <w:t>showed</w:t>
      </w:r>
      <w:r w:rsidRPr="001D434F">
        <w:rPr>
          <w:rFonts w:asciiTheme="minorHAnsi" w:hAnsiTheme="minorHAnsi" w:cstheme="minorHAnsi"/>
        </w:rPr>
        <w:t xml:space="preserve"> </w:t>
      </w:r>
      <w:r w:rsidR="00B823FE" w:rsidRPr="001D434F">
        <w:rPr>
          <w:rFonts w:asciiTheme="minorHAnsi" w:hAnsiTheme="minorHAnsi" w:cstheme="minorHAnsi"/>
        </w:rPr>
        <w:t>bias</w:t>
      </w:r>
      <w:r w:rsidRPr="001D434F">
        <w:rPr>
          <w:rFonts w:asciiTheme="minorHAnsi" w:hAnsiTheme="minorHAnsi" w:cstheme="minorHAnsi"/>
        </w:rPr>
        <w:t xml:space="preserve"> towards officers not considered part of the majority. This is concern</w:t>
      </w:r>
      <w:r w:rsidR="00C3015C" w:rsidRPr="001D434F">
        <w:rPr>
          <w:rFonts w:asciiTheme="minorHAnsi" w:hAnsiTheme="minorHAnsi" w:cstheme="minorHAnsi"/>
        </w:rPr>
        <w:t>ing</w:t>
      </w:r>
      <w:r w:rsidRPr="001D434F">
        <w:rPr>
          <w:rFonts w:asciiTheme="minorHAnsi" w:hAnsiTheme="minorHAnsi" w:cstheme="minorHAnsi"/>
        </w:rPr>
        <w:t xml:space="preserve"> as the research (Robinson et al., 2015; Ward et al., 2020) outlines the significance of inclusion as this significantly impacts the safety of officers, improves productivity and the effectiveness of the police, and creates a better understanding between the police and the public.</w:t>
      </w:r>
    </w:p>
    <w:p w14:paraId="6ADF2ED8" w14:textId="56C5C146"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lastRenderedPageBreak/>
        <w:t>Heslop (2011) suggests that even to date, within the police, there are shared characteristics of being macho and where institutional racism, sexism, and homophobia still exist. A study by Zempi (2020) on the experiences of officers as victims of bias and prejudice found that discrimination and exclusion were still ever-present, and participants reported that they felt targeted because they shared a PC. Based on these findings, Alpert et al. (2014) indicate that it is essential that the police address these issues to create a representative police service to ensure it reflects the diverse communities they serve, thus enhancing public trust and confidence.</w:t>
      </w:r>
    </w:p>
    <w:p w14:paraId="0F14F43B" w14:textId="37E35658"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Research (Morris, 2015; Beare, 2016) indicates that minority groups have low confidence in policing, and this has significantly impacted </w:t>
      </w:r>
      <w:r w:rsidR="00C72A95">
        <w:rPr>
          <w:rFonts w:asciiTheme="minorHAnsi" w:hAnsiTheme="minorHAnsi" w:cstheme="minorHAnsi"/>
        </w:rPr>
        <w:t>upon public perception</w:t>
      </w:r>
      <w:r w:rsidRPr="001D434F">
        <w:rPr>
          <w:rFonts w:asciiTheme="minorHAnsi" w:hAnsiTheme="minorHAnsi" w:cstheme="minorHAnsi"/>
        </w:rPr>
        <w:t xml:space="preserve">. In support of these findings, a recent study conducted by Awan (2018) found that the public had low levels of trust and confidence in the police, and there were concerns that institutional racism </w:t>
      </w:r>
      <w:r w:rsidR="00791CE0" w:rsidRPr="001D434F">
        <w:rPr>
          <w:rFonts w:asciiTheme="minorHAnsi" w:hAnsiTheme="minorHAnsi" w:cstheme="minorHAnsi"/>
        </w:rPr>
        <w:t xml:space="preserve">was </w:t>
      </w:r>
      <w:r w:rsidRPr="001D434F">
        <w:rPr>
          <w:rFonts w:asciiTheme="minorHAnsi" w:hAnsiTheme="minorHAnsi" w:cstheme="minorHAnsi"/>
        </w:rPr>
        <w:t xml:space="preserve">embedded within the force. Further concerns arose for future career development from those considered part of a minority group and potentially a significant barrier to joining the police. This, in turn, is a contributing factor to the representation of minority groups within </w:t>
      </w:r>
      <w:r w:rsidR="00B1101E">
        <w:rPr>
          <w:rFonts w:asciiTheme="minorHAnsi" w:hAnsiTheme="minorHAnsi" w:cstheme="minorHAnsi"/>
        </w:rPr>
        <w:t>policing.</w:t>
      </w:r>
      <w:r w:rsidRPr="001D434F">
        <w:rPr>
          <w:rFonts w:asciiTheme="minorHAnsi" w:hAnsiTheme="minorHAnsi" w:cstheme="minorHAnsi"/>
        </w:rPr>
        <w:t xml:space="preserve"> The COP (2019) reiterated this concern, implying that BAME applicants often have less chance of passing the recruitment centre to join the police.</w:t>
      </w:r>
    </w:p>
    <w:p w14:paraId="31EA344E" w14:textId="6836161F"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Historically, there have been prominent events that have addressed underlying issues and concerns causing tension between the public and the police. In 1993, the murder of Stephen Lawrence motivated by discrimination and racism and the subsequent handling of the investigation by the police led to the Macpherson report published in 1999. </w:t>
      </w:r>
      <w:r w:rsidR="00B1101E">
        <w:rPr>
          <w:rFonts w:asciiTheme="minorHAnsi" w:hAnsiTheme="minorHAnsi" w:cstheme="minorHAnsi"/>
        </w:rPr>
        <w:t>F</w:t>
      </w:r>
      <w:r w:rsidRPr="001D434F">
        <w:rPr>
          <w:rFonts w:asciiTheme="minorHAnsi" w:hAnsiTheme="minorHAnsi" w:cstheme="minorHAnsi"/>
        </w:rPr>
        <w:t xml:space="preserve">indings from this report caused considerable damage to relations between the public and the police </w:t>
      </w:r>
      <w:r w:rsidR="00791CE0" w:rsidRPr="001D434F">
        <w:rPr>
          <w:rFonts w:asciiTheme="minorHAnsi" w:hAnsiTheme="minorHAnsi" w:cstheme="minorHAnsi"/>
        </w:rPr>
        <w:t xml:space="preserve">and </w:t>
      </w:r>
      <w:r w:rsidRPr="001D434F">
        <w:rPr>
          <w:rFonts w:asciiTheme="minorHAnsi" w:hAnsiTheme="minorHAnsi" w:cstheme="minorHAnsi"/>
        </w:rPr>
        <w:t xml:space="preserve">found that the investigation </w:t>
      </w:r>
      <w:r w:rsidR="00791CE0" w:rsidRPr="001D434F">
        <w:rPr>
          <w:rFonts w:asciiTheme="minorHAnsi" w:hAnsiTheme="minorHAnsi" w:cstheme="minorHAnsi"/>
        </w:rPr>
        <w:t xml:space="preserve">was </w:t>
      </w:r>
      <w:r w:rsidRPr="001D434F">
        <w:rPr>
          <w:rFonts w:asciiTheme="minorHAnsi" w:hAnsiTheme="minorHAnsi" w:cstheme="minorHAnsi"/>
        </w:rPr>
        <w:t xml:space="preserve">heavily impacted by institutional racism. </w:t>
      </w:r>
    </w:p>
    <w:p w14:paraId="4B804454" w14:textId="133EB86E" w:rsidR="007E0189" w:rsidRDefault="00D012F8" w:rsidP="00B823FE">
      <w:pPr>
        <w:pStyle w:val="NormalWeb"/>
        <w:spacing w:line="360" w:lineRule="auto"/>
        <w:rPr>
          <w:rFonts w:asciiTheme="minorHAnsi" w:hAnsiTheme="minorHAnsi" w:cstheme="minorHAnsi"/>
        </w:rPr>
      </w:pPr>
      <w:r>
        <w:rPr>
          <w:rFonts w:asciiTheme="minorHAnsi" w:hAnsiTheme="minorHAnsi" w:cstheme="minorHAnsi"/>
        </w:rPr>
        <w:t>The</w:t>
      </w:r>
      <w:r w:rsidR="00CB0EF6" w:rsidRPr="001D434F">
        <w:rPr>
          <w:rFonts w:asciiTheme="minorHAnsi" w:hAnsiTheme="minorHAnsi" w:cstheme="minorHAnsi"/>
        </w:rPr>
        <w:t xml:space="preserve"> Home Office (2019) acknowledged that policing has not fully represented the communities and highlighted the importance of fair and equal policing, making it a key objective to target the underrepresentation of those within the police from minority groups, BAME 7%, and females, still only at around 30% of the workforce.</w:t>
      </w:r>
      <w:r w:rsidR="007E0189">
        <w:rPr>
          <w:rFonts w:asciiTheme="minorHAnsi" w:hAnsiTheme="minorHAnsi" w:cstheme="minorHAnsi"/>
        </w:rPr>
        <w:t xml:space="preserve"> </w:t>
      </w:r>
      <w:r w:rsidR="00A52ED6">
        <w:rPr>
          <w:rFonts w:asciiTheme="minorHAnsi" w:hAnsiTheme="minorHAnsi" w:cstheme="minorHAnsi"/>
        </w:rPr>
        <w:t xml:space="preserve">A study by 7000 officers on operational outcomes identified black officers made few stop searches (29%) and arrests (21%) that white officers. Use of force was also significantly less at 32%. These results </w:t>
      </w:r>
      <w:r w:rsidR="00A52ED6">
        <w:rPr>
          <w:rFonts w:asciiTheme="minorHAnsi" w:hAnsiTheme="minorHAnsi" w:cstheme="minorHAnsi"/>
        </w:rPr>
        <w:lastRenderedPageBreak/>
        <w:t xml:space="preserve">highlight the significance by having a diverse workforce this can increase the relations between the police and the public (Starr, 2021). </w:t>
      </w:r>
    </w:p>
    <w:p w14:paraId="7BFA2EF1" w14:textId="2772E453"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In recognition of this, the NPCC and COP have developed the Police Race Action Plan. Key objectives set out to ensure policing internally addres</w:t>
      </w:r>
      <w:r w:rsidR="00791CE0" w:rsidRPr="001D434F">
        <w:rPr>
          <w:rFonts w:asciiTheme="minorHAnsi" w:hAnsiTheme="minorHAnsi" w:cstheme="minorHAnsi"/>
        </w:rPr>
        <w:t>se</w:t>
      </w:r>
      <w:r w:rsidRPr="001D434F">
        <w:rPr>
          <w:rFonts w:asciiTheme="minorHAnsi" w:hAnsiTheme="minorHAnsi" w:cstheme="minorHAnsi"/>
        </w:rPr>
        <w:t>s diversity and inclusion, representing BAME communities, providing fair and equal treatment, and eradicating bias as a motive for policing. Mandatory equality and diversity training for all police staff</w:t>
      </w:r>
      <w:r w:rsidR="008A144B" w:rsidRPr="001D434F">
        <w:rPr>
          <w:rFonts w:asciiTheme="minorHAnsi" w:hAnsiTheme="minorHAnsi" w:cstheme="minorHAnsi"/>
        </w:rPr>
        <w:t xml:space="preserve"> </w:t>
      </w:r>
      <w:r w:rsidR="00791CE0" w:rsidRPr="001D434F">
        <w:rPr>
          <w:rFonts w:asciiTheme="minorHAnsi" w:hAnsiTheme="minorHAnsi" w:cstheme="minorHAnsi"/>
        </w:rPr>
        <w:t xml:space="preserve">was </w:t>
      </w:r>
      <w:r w:rsidRPr="001D434F">
        <w:rPr>
          <w:rFonts w:asciiTheme="minorHAnsi" w:hAnsiTheme="minorHAnsi" w:cstheme="minorHAnsi"/>
        </w:rPr>
        <w:t>introduced to increase their understanding and awareness of these concerns.</w:t>
      </w:r>
    </w:p>
    <w:p w14:paraId="47E7BCC0" w14:textId="77777777"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Flores (2022) conducted a recent study on the association between members of the LGBT+ community and hate crime records. According to data from the National Crime Victimisation Survey collected between 2017 and 2019, 6.6 per 1000 LGBT people experienced violent hate crime victimisation, compared to 0.6 per 1000 non-LGBT+ people, and LGBT+ victims experienced a higher percentage of post-incident problems such as socio-economic effects and negative psychological distress. </w:t>
      </w:r>
    </w:p>
    <w:p w14:paraId="2040F808" w14:textId="1052BD25" w:rsidR="00CB0EF6"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Further into the research (Badgett, 2007</w:t>
      </w:r>
      <w:r w:rsidR="00EB5BBE">
        <w:rPr>
          <w:rFonts w:asciiTheme="minorHAnsi" w:hAnsiTheme="minorHAnsi" w:cstheme="minorHAnsi"/>
        </w:rPr>
        <w:t xml:space="preserve">) </w:t>
      </w:r>
      <w:r w:rsidRPr="001D434F">
        <w:rPr>
          <w:rFonts w:asciiTheme="minorHAnsi" w:hAnsiTheme="minorHAnsi" w:cstheme="minorHAnsi"/>
        </w:rPr>
        <w:t xml:space="preserve">comparisons </w:t>
      </w:r>
      <w:r w:rsidR="00791CE0" w:rsidRPr="001D434F">
        <w:rPr>
          <w:rFonts w:asciiTheme="minorHAnsi" w:hAnsiTheme="minorHAnsi" w:cstheme="minorHAnsi"/>
        </w:rPr>
        <w:t xml:space="preserve">were </w:t>
      </w:r>
      <w:r w:rsidRPr="001D434F">
        <w:rPr>
          <w:rFonts w:asciiTheme="minorHAnsi" w:hAnsiTheme="minorHAnsi" w:cstheme="minorHAnsi"/>
        </w:rPr>
        <w:t>made between the experiences of lesbian and gay people within the police. 66% of the 243 officers included in the study had experienced form</w:t>
      </w:r>
      <w:r w:rsidR="008A144B" w:rsidRPr="001D434F">
        <w:rPr>
          <w:rFonts w:asciiTheme="minorHAnsi" w:hAnsiTheme="minorHAnsi" w:cstheme="minorHAnsi"/>
        </w:rPr>
        <w:t>s</w:t>
      </w:r>
      <w:r w:rsidRPr="001D434F">
        <w:rPr>
          <w:rFonts w:asciiTheme="minorHAnsi" w:hAnsiTheme="minorHAnsi" w:cstheme="minorHAnsi"/>
        </w:rPr>
        <w:t xml:space="preserve"> of discrimination in the workplace. </w:t>
      </w:r>
      <w:r w:rsidR="00B1101E">
        <w:rPr>
          <w:rFonts w:asciiTheme="minorHAnsi" w:hAnsiTheme="minorHAnsi" w:cstheme="minorHAnsi"/>
        </w:rPr>
        <w:t>G</w:t>
      </w:r>
      <w:r w:rsidRPr="001D434F">
        <w:rPr>
          <w:rFonts w:asciiTheme="minorHAnsi" w:hAnsiTheme="minorHAnsi" w:cstheme="minorHAnsi"/>
        </w:rPr>
        <w:t xml:space="preserve">ay men, in comparison to lesbian officers, </w:t>
      </w:r>
      <w:r w:rsidR="00791CE0" w:rsidRPr="001D434F">
        <w:rPr>
          <w:rFonts w:asciiTheme="minorHAnsi" w:hAnsiTheme="minorHAnsi" w:cstheme="minorHAnsi"/>
        </w:rPr>
        <w:t xml:space="preserve">are </w:t>
      </w:r>
      <w:r w:rsidRPr="001D434F">
        <w:rPr>
          <w:rFonts w:asciiTheme="minorHAnsi" w:hAnsiTheme="minorHAnsi" w:cstheme="minorHAnsi"/>
        </w:rPr>
        <w:t xml:space="preserve">seen as having less opportunity for promotion within the police. Colvin (2012) believes this assumption is based on gender stereotyping, where lesbian officers </w:t>
      </w:r>
      <w:r w:rsidR="00791CE0" w:rsidRPr="001D434F">
        <w:rPr>
          <w:rFonts w:asciiTheme="minorHAnsi" w:hAnsiTheme="minorHAnsi" w:cstheme="minorHAnsi"/>
        </w:rPr>
        <w:t xml:space="preserve">are </w:t>
      </w:r>
      <w:r w:rsidRPr="001D434F">
        <w:rPr>
          <w:rFonts w:asciiTheme="minorHAnsi" w:hAnsiTheme="minorHAnsi" w:cstheme="minorHAnsi"/>
        </w:rPr>
        <w:t xml:space="preserve">seen as masculine, whereas gay men </w:t>
      </w:r>
      <w:r w:rsidR="00791CE0" w:rsidRPr="001D434F">
        <w:rPr>
          <w:rFonts w:asciiTheme="minorHAnsi" w:hAnsiTheme="minorHAnsi" w:cstheme="minorHAnsi"/>
        </w:rPr>
        <w:t xml:space="preserve">are </w:t>
      </w:r>
      <w:r w:rsidRPr="001D434F">
        <w:rPr>
          <w:rFonts w:asciiTheme="minorHAnsi" w:hAnsiTheme="minorHAnsi" w:cstheme="minorHAnsi"/>
        </w:rPr>
        <w:t xml:space="preserve">seen as feminine and weak. In support, the National LGBT+ Police Network </w:t>
      </w:r>
      <w:r w:rsidR="00791CE0" w:rsidRPr="001D434F">
        <w:rPr>
          <w:rFonts w:asciiTheme="minorHAnsi" w:hAnsiTheme="minorHAnsi" w:cstheme="minorHAnsi"/>
        </w:rPr>
        <w:t xml:space="preserve">was </w:t>
      </w:r>
      <w:r w:rsidRPr="001D434F">
        <w:rPr>
          <w:rFonts w:asciiTheme="minorHAnsi" w:hAnsiTheme="minorHAnsi" w:cstheme="minorHAnsi"/>
        </w:rPr>
        <w:t>constructed</w:t>
      </w:r>
      <w:r w:rsidR="00175E86">
        <w:rPr>
          <w:rFonts w:asciiTheme="minorHAnsi" w:hAnsiTheme="minorHAnsi" w:cstheme="minorHAnsi"/>
        </w:rPr>
        <w:t xml:space="preserve"> to promote inclusivity and equal opportunities within policing. </w:t>
      </w:r>
    </w:p>
    <w:p w14:paraId="00C8D966" w14:textId="1F042E2F" w:rsidR="00DD5B10" w:rsidRDefault="00DD5B10" w:rsidP="00B823FE">
      <w:pPr>
        <w:pStyle w:val="NormalWeb"/>
        <w:spacing w:line="360" w:lineRule="auto"/>
        <w:rPr>
          <w:rFonts w:asciiTheme="minorHAnsi" w:hAnsiTheme="minorHAnsi" w:cstheme="minorHAnsi"/>
        </w:rPr>
      </w:pPr>
      <w:proofErr w:type="gramStart"/>
      <w:r>
        <w:rPr>
          <w:rFonts w:asciiTheme="minorHAnsi" w:hAnsiTheme="minorHAnsi" w:cstheme="minorHAnsi"/>
        </w:rPr>
        <w:t>In spite of</w:t>
      </w:r>
      <w:proofErr w:type="gramEnd"/>
      <w:r>
        <w:rPr>
          <w:rFonts w:asciiTheme="minorHAnsi" w:hAnsiTheme="minorHAnsi" w:cstheme="minorHAnsi"/>
        </w:rPr>
        <w:t xml:space="preserve"> the increasing </w:t>
      </w:r>
      <w:r w:rsidR="00EB5BBE">
        <w:rPr>
          <w:rFonts w:asciiTheme="minorHAnsi" w:hAnsiTheme="minorHAnsi" w:cstheme="minorHAnsi"/>
        </w:rPr>
        <w:t>number</w:t>
      </w:r>
      <w:r>
        <w:rPr>
          <w:rFonts w:asciiTheme="minorHAnsi" w:hAnsiTheme="minorHAnsi" w:cstheme="minorHAnsi"/>
        </w:rPr>
        <w:t xml:space="preserve"> of empirical studies examining how woman and officers of black and other ethnic minority backgrounds have fared under this new organisational framework, the professional experiences of these officers have until recently been largely ignored (JONES, 2014).</w:t>
      </w:r>
    </w:p>
    <w:p w14:paraId="3E4CA7EA" w14:textId="230E01C8" w:rsidR="007C19D1" w:rsidRDefault="007C19D1" w:rsidP="007C19D1">
      <w:pPr>
        <w:pStyle w:val="NormalWeb"/>
        <w:spacing w:line="360" w:lineRule="auto"/>
        <w:rPr>
          <w:rFonts w:asciiTheme="minorHAnsi" w:hAnsiTheme="minorHAnsi" w:cstheme="minorHAnsi"/>
        </w:rPr>
      </w:pPr>
      <w:r w:rsidRPr="007C19D1">
        <w:rPr>
          <w:rFonts w:asciiTheme="minorHAnsi" w:hAnsiTheme="minorHAnsi" w:cstheme="minorHAnsi"/>
        </w:rPr>
        <w:t>In conclusion, this assignment underscores the vital role of organizational culture in promoting diversity and inclusion within policing. While progress is evident through various initiatives, persistent challenges include bias, discrimination, and historical issue</w:t>
      </w:r>
      <w:r w:rsidR="00DD5B10">
        <w:rPr>
          <w:rFonts w:asciiTheme="minorHAnsi" w:hAnsiTheme="minorHAnsi" w:cstheme="minorHAnsi"/>
        </w:rPr>
        <w:t xml:space="preserve"> more work </w:t>
      </w:r>
      <w:r w:rsidR="00DD5B10">
        <w:rPr>
          <w:rFonts w:asciiTheme="minorHAnsi" w:hAnsiTheme="minorHAnsi" w:cstheme="minorHAnsi"/>
        </w:rPr>
        <w:lastRenderedPageBreak/>
        <w:t>needs to be done to address these issues</w:t>
      </w:r>
      <w:r w:rsidRPr="007C19D1">
        <w:rPr>
          <w:rFonts w:asciiTheme="minorHAnsi" w:hAnsiTheme="minorHAnsi" w:cstheme="minorHAnsi"/>
        </w:rPr>
        <w:t>.</w:t>
      </w:r>
      <w:r w:rsidR="00C53F37">
        <w:rPr>
          <w:rFonts w:asciiTheme="minorHAnsi" w:hAnsiTheme="minorHAnsi" w:cstheme="minorHAnsi"/>
        </w:rPr>
        <w:t xml:space="preserve"> </w:t>
      </w:r>
      <w:r w:rsidRPr="007C19D1">
        <w:rPr>
          <w:rFonts w:asciiTheme="minorHAnsi" w:hAnsiTheme="minorHAnsi" w:cstheme="minorHAnsi"/>
        </w:rPr>
        <w:t>These challenges impact public trust, particularly among minority groups. Government initiatives and the Police Race Action Plan aim to address these issues.</w:t>
      </w:r>
      <w:r w:rsidR="00DD5B10">
        <w:rPr>
          <w:rFonts w:asciiTheme="minorHAnsi" w:hAnsiTheme="minorHAnsi" w:cstheme="minorHAnsi"/>
        </w:rPr>
        <w:t xml:space="preserve"> </w:t>
      </w:r>
      <w:r w:rsidRPr="007C19D1">
        <w:rPr>
          <w:rFonts w:asciiTheme="minorHAnsi" w:hAnsiTheme="minorHAnsi" w:cstheme="minorHAnsi"/>
        </w:rPr>
        <w:t xml:space="preserve">The experiences of the </w:t>
      </w:r>
      <w:r w:rsidR="00DD5B10">
        <w:rPr>
          <w:rFonts w:asciiTheme="minorHAnsi" w:hAnsiTheme="minorHAnsi" w:cstheme="minorHAnsi"/>
        </w:rPr>
        <w:t>officers from minority groups</w:t>
      </w:r>
      <w:r w:rsidRPr="007C19D1">
        <w:rPr>
          <w:rFonts w:asciiTheme="minorHAnsi" w:hAnsiTheme="minorHAnsi" w:cstheme="minorHAnsi"/>
        </w:rPr>
        <w:t xml:space="preserve"> within the police force highlight discrimination and the importance of inclusivity.</w:t>
      </w:r>
      <w:r w:rsidR="00C53F37">
        <w:rPr>
          <w:rFonts w:asciiTheme="minorHAnsi" w:hAnsiTheme="minorHAnsi" w:cstheme="minorHAnsi"/>
        </w:rPr>
        <w:t xml:space="preserve"> </w:t>
      </w:r>
      <w:r w:rsidRPr="007C19D1">
        <w:rPr>
          <w:rFonts w:asciiTheme="minorHAnsi" w:hAnsiTheme="minorHAnsi" w:cstheme="minorHAnsi"/>
        </w:rPr>
        <w:t>In brief, fostering an inclusive and diverse police force is crucial for building public trust and effective policing in the UK.</w:t>
      </w:r>
    </w:p>
    <w:p w14:paraId="0838D57A" w14:textId="1559ECAF" w:rsidR="00C56FCB" w:rsidRPr="005E49C0" w:rsidRDefault="00C56FCB" w:rsidP="00B823FE">
      <w:pPr>
        <w:spacing w:line="360" w:lineRule="auto"/>
        <w:rPr>
          <w:rFonts w:cstheme="minorHAnsi"/>
          <w:b/>
          <w:bCs/>
          <w:sz w:val="24"/>
          <w:szCs w:val="24"/>
          <w:u w:val="single"/>
        </w:rPr>
      </w:pPr>
      <w:r w:rsidRPr="005E49C0">
        <w:rPr>
          <w:rFonts w:cstheme="minorHAnsi"/>
          <w:b/>
          <w:bCs/>
          <w:sz w:val="24"/>
          <w:szCs w:val="24"/>
          <w:u w:val="single"/>
        </w:rPr>
        <w:t>Word count 1</w:t>
      </w:r>
      <w:r w:rsidR="00C72A95">
        <w:rPr>
          <w:rFonts w:cstheme="minorHAnsi"/>
          <w:b/>
          <w:bCs/>
          <w:sz w:val="24"/>
          <w:szCs w:val="24"/>
          <w:u w:val="single"/>
        </w:rPr>
        <w:t>100</w:t>
      </w:r>
    </w:p>
    <w:p w14:paraId="3A954334" w14:textId="10115F51" w:rsidR="00B202C6" w:rsidRDefault="002031B9" w:rsidP="00B202C6">
      <w:pPr>
        <w:pStyle w:val="Bibliography"/>
        <w:spacing w:line="360" w:lineRule="auto"/>
        <w:rPr>
          <w:rFonts w:cstheme="minorHAnsi"/>
          <w:b/>
          <w:bCs/>
          <w:sz w:val="24"/>
          <w:szCs w:val="24"/>
          <w:u w:val="single"/>
        </w:rPr>
      </w:pPr>
      <w:r w:rsidRPr="005E49C0">
        <w:rPr>
          <w:rFonts w:cstheme="minorHAnsi"/>
          <w:b/>
          <w:bCs/>
          <w:sz w:val="24"/>
          <w:szCs w:val="24"/>
          <w:u w:val="single"/>
        </w:rPr>
        <w:t>Reference</w:t>
      </w:r>
      <w:r w:rsidR="005E49C0" w:rsidRPr="005E49C0">
        <w:rPr>
          <w:rFonts w:cstheme="minorHAnsi"/>
          <w:b/>
          <w:bCs/>
          <w:sz w:val="24"/>
          <w:szCs w:val="24"/>
          <w:u w:val="single"/>
        </w:rPr>
        <w:t xml:space="preserve"> list</w:t>
      </w:r>
    </w:p>
    <w:p w14:paraId="3B288538" w14:textId="56B40396" w:rsidR="00E92DA4" w:rsidRPr="00B202C6" w:rsidRDefault="00E92DA4" w:rsidP="00B202C6">
      <w:pPr>
        <w:pStyle w:val="Bibliography"/>
        <w:spacing w:line="360" w:lineRule="auto"/>
        <w:rPr>
          <w:rFonts w:cstheme="minorHAnsi"/>
          <w:sz w:val="24"/>
          <w:szCs w:val="24"/>
          <w:u w:val="single"/>
        </w:rPr>
      </w:pPr>
      <w:r w:rsidRPr="008C4B7F">
        <w:rPr>
          <w:rFonts w:cstheme="minorHAnsi"/>
          <w:color w:val="000000"/>
          <w:sz w:val="24"/>
          <w:szCs w:val="24"/>
          <w:shd w:val="clear" w:color="auto" w:fill="FFFFFF"/>
        </w:rPr>
        <w:t xml:space="preserve">Alpert, G. P., Dunham, R. G., &amp; Stroshine, M. S. (2014). "Policing: Continuity and Change" (2nd ed.). Long Grove, IL: Waveland Press.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11,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1C8B99C0" w14:textId="27D0AFA1"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Awan, I. (2018). "Understanding the public perception and satisfaction of a UK police constabulary." </w:t>
      </w:r>
      <w:r w:rsidRPr="00D36162">
        <w:rPr>
          <w:rFonts w:cstheme="minorHAnsi"/>
          <w:i/>
          <w:iCs/>
          <w:color w:val="000000"/>
          <w:sz w:val="24"/>
          <w:szCs w:val="24"/>
          <w:shd w:val="clear" w:color="auto" w:fill="FFFFFF"/>
        </w:rPr>
        <w:t>Journal of Police Practice and Research,</w:t>
      </w:r>
      <w:r w:rsidRPr="008C4B7F">
        <w:rPr>
          <w:rFonts w:cstheme="minorHAnsi"/>
          <w:color w:val="000000"/>
          <w:sz w:val="24"/>
          <w:szCs w:val="24"/>
          <w:shd w:val="clear" w:color="auto" w:fill="FFFFFF"/>
        </w:rPr>
        <w:t xml:space="preserve"> 20(2), 1–10.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 xml:space="preserve">Accessed: </w:t>
      </w:r>
      <w:r w:rsidR="0060528E">
        <w:rPr>
          <w:rFonts w:cstheme="minorHAnsi"/>
          <w:color w:val="000000"/>
          <w:sz w:val="24"/>
          <w:szCs w:val="24"/>
          <w:shd w:val="clear" w:color="auto" w:fill="FFFFFF"/>
        </w:rPr>
        <w:t>August 10, 2023</w:t>
      </w:r>
      <w:r w:rsidR="00886683">
        <w:rPr>
          <w:rFonts w:cstheme="minorHAnsi"/>
          <w:color w:val="000000"/>
          <w:sz w:val="24"/>
          <w:szCs w:val="24"/>
          <w:shd w:val="clear" w:color="auto" w:fill="FFFFFF"/>
        </w:rPr>
        <w:t>)</w:t>
      </w:r>
      <w:r w:rsidR="0060528E">
        <w:rPr>
          <w:rFonts w:cstheme="minorHAnsi"/>
          <w:color w:val="000000"/>
          <w:sz w:val="24"/>
          <w:szCs w:val="24"/>
          <w:shd w:val="clear" w:color="auto" w:fill="FFFFFF"/>
        </w:rPr>
        <w:t>.</w:t>
      </w:r>
    </w:p>
    <w:p w14:paraId="32961D83" w14:textId="2BA602F5"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Beare, M. (2016). "What matters in policing? Change, values, and leadership in turbulent times." </w:t>
      </w:r>
      <w:r w:rsidRPr="00E149FB">
        <w:rPr>
          <w:rFonts w:cstheme="minorHAnsi"/>
          <w:i/>
          <w:iCs/>
          <w:color w:val="000000"/>
          <w:sz w:val="24"/>
          <w:szCs w:val="24"/>
          <w:shd w:val="clear" w:color="auto" w:fill="FFFFFF"/>
        </w:rPr>
        <w:t>Police, Practice, and Research: An International Journal</w:t>
      </w:r>
      <w:r w:rsidRPr="008C4B7F">
        <w:rPr>
          <w:rFonts w:cstheme="minorHAnsi"/>
          <w:color w:val="000000"/>
          <w:sz w:val="24"/>
          <w:szCs w:val="24"/>
          <w:shd w:val="clear" w:color="auto" w:fill="FFFFFF"/>
        </w:rPr>
        <w:t xml:space="preserve">, 18(2), 207–209.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19,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43F6FE5C" w14:textId="059AD537"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College of Policing (2014). "Hate Crime Strategy and Operational Guidance." London: College of Policing.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11,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7588EC1B" w14:textId="6E4F1CEA"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College of Policing (2019). "Police SEARCH Recruit Assessment Centre test scores by ethnicity (2017)." Available from What Do They Know?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11,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0B1A2BBB" w14:textId="688EB7A0" w:rsidR="00134198"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Duncan (2014). "Neighbourhood-level LGBT hate crimes and current illicit drug use among sexual minority youth." </w:t>
      </w:r>
      <w:r w:rsidRPr="00183B27">
        <w:rPr>
          <w:rFonts w:cstheme="minorHAnsi"/>
          <w:i/>
          <w:iCs/>
          <w:color w:val="000000"/>
          <w:sz w:val="24"/>
          <w:szCs w:val="24"/>
          <w:shd w:val="clear" w:color="auto" w:fill="FFFFFF"/>
        </w:rPr>
        <w:t>Journal of Drug and Alcohol Dependence</w:t>
      </w:r>
      <w:r w:rsidRPr="008C4B7F">
        <w:rPr>
          <w:rFonts w:cstheme="minorHAnsi"/>
          <w:color w:val="000000"/>
          <w:sz w:val="24"/>
          <w:szCs w:val="24"/>
          <w:shd w:val="clear" w:color="auto" w:fill="FFFFFF"/>
        </w:rPr>
        <w:t xml:space="preserve">, 1, 65–70.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w:t>
      </w:r>
      <w:r w:rsidR="0060528E">
        <w:rPr>
          <w:rFonts w:cstheme="minorHAnsi"/>
          <w:color w:val="000000"/>
          <w:sz w:val="24"/>
          <w:szCs w:val="24"/>
          <w:shd w:val="clear" w:color="auto" w:fill="FFFFFF"/>
        </w:rPr>
        <w:t xml:space="preserve"> August 10, 2023</w:t>
      </w:r>
      <w:r w:rsidR="00886683">
        <w:rPr>
          <w:rFonts w:cstheme="minorHAnsi"/>
          <w:color w:val="000000"/>
          <w:sz w:val="24"/>
          <w:szCs w:val="24"/>
          <w:shd w:val="clear" w:color="auto" w:fill="FFFFFF"/>
        </w:rPr>
        <w:t>)</w:t>
      </w:r>
      <w:r w:rsidR="0060528E">
        <w:rPr>
          <w:rFonts w:cstheme="minorHAnsi"/>
          <w:color w:val="000000"/>
          <w:sz w:val="24"/>
          <w:szCs w:val="24"/>
          <w:shd w:val="clear" w:color="auto" w:fill="FFFFFF"/>
        </w:rPr>
        <w:t xml:space="preserve">. </w:t>
      </w:r>
    </w:p>
    <w:p w14:paraId="68FAE153" w14:textId="4FF4A424"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Farrell, C., &amp; Barao, L. (2023). "Police officer perceptions of diversity efforts: a disconnect between the goals and the methods." </w:t>
      </w:r>
      <w:r w:rsidRPr="00C27764">
        <w:rPr>
          <w:rFonts w:cstheme="minorHAnsi"/>
          <w:i/>
          <w:iCs/>
          <w:color w:val="000000"/>
          <w:sz w:val="24"/>
          <w:szCs w:val="24"/>
          <w:shd w:val="clear" w:color="auto" w:fill="FFFFFF"/>
        </w:rPr>
        <w:t>Police Practice and Research</w:t>
      </w:r>
      <w:r w:rsidRPr="008C4B7F">
        <w:rPr>
          <w:rFonts w:cstheme="minorHAnsi"/>
          <w:color w:val="000000"/>
          <w:sz w:val="24"/>
          <w:szCs w:val="24"/>
          <w:shd w:val="clear" w:color="auto" w:fill="FFFFFF"/>
        </w:rPr>
        <w:t xml:space="preserve">, 24(2), 216-231.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16,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7BA3099C" w14:textId="65D9EE2E"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Flores, A. R. (2022). "Hate crimes against LGBT people: National Crime Victimization Survey, 2017–2019."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 xml:space="preserve">Accessed: </w:t>
      </w:r>
      <w:r w:rsidR="0060528E">
        <w:rPr>
          <w:rFonts w:cstheme="minorHAnsi"/>
          <w:color w:val="000000"/>
          <w:sz w:val="24"/>
          <w:szCs w:val="24"/>
          <w:shd w:val="clear" w:color="auto" w:fill="FFFFFF"/>
        </w:rPr>
        <w:t>August 10, 2023</w:t>
      </w:r>
      <w:r w:rsidR="00886683">
        <w:rPr>
          <w:rFonts w:cstheme="minorHAnsi"/>
          <w:color w:val="000000"/>
          <w:sz w:val="24"/>
          <w:szCs w:val="24"/>
          <w:shd w:val="clear" w:color="auto" w:fill="FFFFFF"/>
        </w:rPr>
        <w:t>)</w:t>
      </w:r>
      <w:r w:rsidR="0060528E">
        <w:rPr>
          <w:rFonts w:cstheme="minorHAnsi"/>
          <w:color w:val="000000"/>
          <w:sz w:val="24"/>
          <w:szCs w:val="24"/>
          <w:shd w:val="clear" w:color="auto" w:fill="FFFFFF"/>
        </w:rPr>
        <w:t xml:space="preserve">. </w:t>
      </w:r>
    </w:p>
    <w:p w14:paraId="38B4AB6B" w14:textId="20D4AC6D"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lastRenderedPageBreak/>
        <w:t xml:space="preserve">Hatzenbuehler, M., Duncan, D., and J. R. (2015). "Neighbourhood-Level LGBT Hate Crimes and Bullying Among Sexual Minority Youths: A Geospatial Analysis." </w:t>
      </w:r>
      <w:r w:rsidRPr="00AC586E">
        <w:rPr>
          <w:rFonts w:cstheme="minorHAnsi"/>
          <w:i/>
          <w:iCs/>
          <w:color w:val="000000"/>
          <w:sz w:val="24"/>
          <w:szCs w:val="24"/>
          <w:shd w:val="clear" w:color="auto" w:fill="FFFFFF"/>
        </w:rPr>
        <w:t>30(4),</w:t>
      </w:r>
      <w:r w:rsidRPr="008C4B7F">
        <w:rPr>
          <w:rFonts w:cstheme="minorHAnsi"/>
          <w:color w:val="000000"/>
          <w:sz w:val="24"/>
          <w:szCs w:val="24"/>
          <w:shd w:val="clear" w:color="auto" w:fill="FFFFFF"/>
        </w:rPr>
        <w:t xml:space="preserve"> 663–75.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 xml:space="preserve">Accessed: </w:t>
      </w:r>
      <w:r w:rsidR="0060528E">
        <w:rPr>
          <w:rFonts w:cstheme="minorHAnsi"/>
          <w:color w:val="000000"/>
          <w:sz w:val="24"/>
          <w:szCs w:val="24"/>
          <w:shd w:val="clear" w:color="auto" w:fill="FFFFFF"/>
        </w:rPr>
        <w:t>August 10,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06210A8E" w14:textId="4D2194DF"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Heslop, R. (2011). "Reproducing police culture in a British university: findings from an exploratory case study of police foundation degrees." </w:t>
      </w:r>
      <w:r w:rsidRPr="003E5E1E">
        <w:rPr>
          <w:rFonts w:cstheme="minorHAnsi"/>
          <w:i/>
          <w:iCs/>
          <w:color w:val="000000"/>
          <w:sz w:val="24"/>
          <w:szCs w:val="24"/>
          <w:shd w:val="clear" w:color="auto" w:fill="FFFFFF"/>
        </w:rPr>
        <w:t>Police, Practice, and Research: An International Journal</w:t>
      </w:r>
      <w:r w:rsidRPr="008C4B7F">
        <w:rPr>
          <w:rFonts w:cstheme="minorHAnsi"/>
          <w:color w:val="000000"/>
          <w:sz w:val="24"/>
          <w:szCs w:val="24"/>
          <w:shd w:val="clear" w:color="auto" w:fill="FFFFFF"/>
        </w:rPr>
        <w:t xml:space="preserve">, 2(4), 298–312.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16,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3C9EA587" w14:textId="3573F268"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Home Office (2019). "Police Workforce, England and Wales, 31 March 2019, second edition." Home Office. 978-1-78655-844-2. London, United Kingdom.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October 19,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2D4111DF" w14:textId="08BFC6BC" w:rsidR="00E92DA4"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Ipsos MORI (2016). "Public views of policing in England and Wales 2015/16." A report for HMIC.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14th August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6AE76E3F" w14:textId="506D14CC" w:rsidR="00DD5B10" w:rsidRPr="00DD5B10" w:rsidRDefault="00DD5B10" w:rsidP="008C4B7F">
      <w:pPr>
        <w:spacing w:line="360" w:lineRule="auto"/>
        <w:rPr>
          <w:rFonts w:cstheme="minorHAnsi"/>
          <w:color w:val="000000"/>
          <w:sz w:val="24"/>
          <w:szCs w:val="24"/>
          <w:shd w:val="clear" w:color="auto" w:fill="FFFFFF"/>
        </w:rPr>
      </w:pPr>
      <w:r w:rsidRPr="00DD5B10">
        <w:rPr>
          <w:rFonts w:cstheme="minorHAnsi"/>
          <w:color w:val="222222"/>
          <w:sz w:val="24"/>
          <w:szCs w:val="24"/>
          <w:shd w:val="clear" w:color="auto" w:fill="FFFFFF"/>
        </w:rPr>
        <w:t>Jones, M., 2014. </w:t>
      </w:r>
      <w:r w:rsidRPr="00DD5B10">
        <w:rPr>
          <w:rFonts w:cstheme="minorHAnsi"/>
          <w:i/>
          <w:iCs/>
          <w:color w:val="222222"/>
          <w:sz w:val="24"/>
          <w:szCs w:val="24"/>
          <w:shd w:val="clear" w:color="auto" w:fill="FFFFFF"/>
        </w:rPr>
        <w:t>A diversity stone left unturned</w:t>
      </w:r>
      <w:r w:rsidRPr="00DD5B10">
        <w:rPr>
          <w:rFonts w:cstheme="minorHAnsi"/>
          <w:color w:val="222222"/>
          <w:sz w:val="24"/>
          <w:szCs w:val="24"/>
          <w:shd w:val="clear" w:color="auto" w:fill="FFFFFF"/>
        </w:rPr>
        <w:t>. New York, NY: Routledge.</w:t>
      </w:r>
      <w:r>
        <w:rPr>
          <w:rFonts w:cstheme="minorHAnsi"/>
          <w:color w:val="222222"/>
          <w:sz w:val="24"/>
          <w:szCs w:val="24"/>
          <w:shd w:val="clear" w:color="auto" w:fill="FFFFFF"/>
        </w:rPr>
        <w:t xml:space="preserve"> </w:t>
      </w:r>
      <w:r w:rsidR="00886683">
        <w:rPr>
          <w:rFonts w:cstheme="minorHAnsi"/>
          <w:color w:val="222222"/>
          <w:sz w:val="24"/>
          <w:szCs w:val="24"/>
          <w:shd w:val="clear" w:color="auto" w:fill="FFFFFF"/>
        </w:rPr>
        <w:t>(</w:t>
      </w:r>
      <w:r>
        <w:rPr>
          <w:rFonts w:cstheme="minorHAnsi"/>
          <w:color w:val="222222"/>
          <w:sz w:val="24"/>
          <w:szCs w:val="24"/>
          <w:shd w:val="clear" w:color="auto" w:fill="FFFFFF"/>
        </w:rPr>
        <w:t>Accessed</w:t>
      </w:r>
      <w:r w:rsidR="0060528E">
        <w:rPr>
          <w:rFonts w:cstheme="minorHAnsi"/>
          <w:color w:val="222222"/>
          <w:sz w:val="24"/>
          <w:szCs w:val="24"/>
          <w:shd w:val="clear" w:color="auto" w:fill="FFFFFF"/>
        </w:rPr>
        <w:t xml:space="preserve">: </w:t>
      </w:r>
      <w:r>
        <w:rPr>
          <w:rFonts w:cstheme="minorHAnsi"/>
          <w:color w:val="222222"/>
          <w:sz w:val="24"/>
          <w:szCs w:val="24"/>
          <w:shd w:val="clear" w:color="auto" w:fill="FFFFFF"/>
        </w:rPr>
        <w:t>November 1</w:t>
      </w:r>
      <w:r w:rsidRPr="00DD5B10">
        <w:rPr>
          <w:rFonts w:cstheme="minorHAnsi"/>
          <w:color w:val="222222"/>
          <w:sz w:val="24"/>
          <w:szCs w:val="24"/>
          <w:shd w:val="clear" w:color="auto" w:fill="FFFFFF"/>
          <w:vertAlign w:val="superscript"/>
        </w:rPr>
        <w:t>st</w:t>
      </w:r>
      <w:r w:rsidR="0060528E">
        <w:rPr>
          <w:rFonts w:cstheme="minorHAnsi"/>
          <w:color w:val="222222"/>
          <w:sz w:val="24"/>
          <w:szCs w:val="24"/>
          <w:shd w:val="clear" w:color="auto" w:fill="FFFFFF"/>
        </w:rPr>
        <w:t xml:space="preserve">, </w:t>
      </w:r>
      <w:r>
        <w:rPr>
          <w:rFonts w:cstheme="minorHAnsi"/>
          <w:color w:val="222222"/>
          <w:sz w:val="24"/>
          <w:szCs w:val="24"/>
          <w:shd w:val="clear" w:color="auto" w:fill="FFFFFF"/>
        </w:rPr>
        <w:t>2023</w:t>
      </w:r>
      <w:r w:rsidR="00886683">
        <w:rPr>
          <w:rFonts w:cstheme="minorHAnsi"/>
          <w:color w:val="222222"/>
          <w:sz w:val="24"/>
          <w:szCs w:val="24"/>
          <w:shd w:val="clear" w:color="auto" w:fill="FFFFFF"/>
        </w:rPr>
        <w:t>)</w:t>
      </w:r>
      <w:r w:rsidR="0060528E">
        <w:rPr>
          <w:rFonts w:cstheme="minorHAnsi"/>
          <w:color w:val="222222"/>
          <w:sz w:val="24"/>
          <w:szCs w:val="24"/>
          <w:shd w:val="clear" w:color="auto" w:fill="FFFFFF"/>
        </w:rPr>
        <w:t xml:space="preserve">. </w:t>
      </w:r>
    </w:p>
    <w:p w14:paraId="34576C15" w14:textId="70416DE7"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Macpherson, W. (1999). "The Stephen Lawrence Inquiry." London: Home Office.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17,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18DA33D4" w14:textId="33D5C8AC"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Mason, D., Hillenbrand, C., &amp; Money, K. (2014). "Are informed citizens more trusting? Transparency of Performance Data and Trust Towards a British Police Force." </w:t>
      </w:r>
      <w:r w:rsidRPr="00E149FB">
        <w:rPr>
          <w:rFonts w:cstheme="minorHAnsi"/>
          <w:i/>
          <w:iCs/>
          <w:color w:val="000000"/>
          <w:sz w:val="24"/>
          <w:szCs w:val="24"/>
          <w:shd w:val="clear" w:color="auto" w:fill="FFFFFF"/>
        </w:rPr>
        <w:t>Journal of Business Ethics</w:t>
      </w:r>
      <w:r w:rsidRPr="008C4B7F">
        <w:rPr>
          <w:rFonts w:cstheme="minorHAnsi"/>
          <w:color w:val="000000"/>
          <w:sz w:val="24"/>
          <w:szCs w:val="24"/>
          <w:shd w:val="clear" w:color="auto" w:fill="FFFFFF"/>
        </w:rPr>
        <w:t xml:space="preserve">, 122(2), 321-341.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w:t>
      </w:r>
      <w:r w:rsidR="0060528E">
        <w:rPr>
          <w:rFonts w:cstheme="minorHAnsi"/>
          <w:color w:val="000000"/>
          <w:sz w:val="24"/>
          <w:szCs w:val="24"/>
          <w:shd w:val="clear" w:color="auto" w:fill="FFFFFF"/>
        </w:rPr>
        <w:t>:</w:t>
      </w:r>
      <w:r w:rsidRPr="008C4B7F">
        <w:rPr>
          <w:rFonts w:cstheme="minorHAnsi"/>
          <w:color w:val="000000"/>
          <w:sz w:val="24"/>
          <w:szCs w:val="24"/>
          <w:shd w:val="clear" w:color="auto" w:fill="FFFFFF"/>
        </w:rPr>
        <w:t xml:space="preserve"> August 19,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06030976" w14:textId="6834CE26" w:rsidR="00E92DA4"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Miles-Johnson, T., Fay, S., &amp; Wiedlitzka, S. (2021). "Policing minority communities: How perception of engagement and level of 'awareness' influence officer attitudes towards practice." </w:t>
      </w:r>
      <w:r w:rsidRPr="00524E20">
        <w:rPr>
          <w:rFonts w:cstheme="minorHAnsi"/>
          <w:i/>
          <w:iCs/>
          <w:color w:val="000000"/>
          <w:sz w:val="24"/>
          <w:szCs w:val="24"/>
          <w:shd w:val="clear" w:color="auto" w:fill="FFFFFF"/>
        </w:rPr>
        <w:t>Social Sciences</w:t>
      </w:r>
      <w:r w:rsidRPr="008C4B7F">
        <w:rPr>
          <w:rFonts w:cstheme="minorHAnsi"/>
          <w:color w:val="000000"/>
          <w:sz w:val="24"/>
          <w:szCs w:val="24"/>
          <w:shd w:val="clear" w:color="auto" w:fill="FFFFFF"/>
        </w:rPr>
        <w:t xml:space="preserve">, 10(2), 70.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17,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73EE3B09" w14:textId="431B85C1" w:rsidR="00134198"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Morris, C. (2015). "An international study on public confidence in police." </w:t>
      </w:r>
      <w:r w:rsidRPr="006A1CD1">
        <w:rPr>
          <w:rFonts w:cstheme="minorHAnsi"/>
          <w:i/>
          <w:iCs/>
          <w:color w:val="000000"/>
          <w:sz w:val="24"/>
          <w:szCs w:val="24"/>
          <w:shd w:val="clear" w:color="auto" w:fill="FFFFFF"/>
        </w:rPr>
        <w:t>Police, Practice, and Research: An International Journal</w:t>
      </w:r>
      <w:r w:rsidRPr="008C4B7F">
        <w:rPr>
          <w:rFonts w:cstheme="minorHAnsi"/>
          <w:color w:val="000000"/>
          <w:sz w:val="24"/>
          <w:szCs w:val="24"/>
          <w:shd w:val="clear" w:color="auto" w:fill="FFFFFF"/>
        </w:rPr>
        <w:t xml:space="preserve">, 16(5), 416-430.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12,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24663044" w14:textId="3D716AD0"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Robinson, G., Burke, L., &amp; Millings, M. (2015). "Criminal justice identities in transition: The case of devolved probation services in England and Wales." </w:t>
      </w:r>
      <w:r w:rsidRPr="0043272B">
        <w:rPr>
          <w:rFonts w:cstheme="minorHAnsi"/>
          <w:i/>
          <w:iCs/>
          <w:color w:val="000000"/>
          <w:sz w:val="24"/>
          <w:szCs w:val="24"/>
          <w:shd w:val="clear" w:color="auto" w:fill="FFFFFF"/>
        </w:rPr>
        <w:t>British Journal of Criminology</w:t>
      </w:r>
      <w:r w:rsidRPr="008C4B7F">
        <w:rPr>
          <w:rFonts w:cstheme="minorHAnsi"/>
          <w:color w:val="000000"/>
          <w:sz w:val="24"/>
          <w:szCs w:val="24"/>
          <w:shd w:val="clear" w:color="auto" w:fill="FFFFFF"/>
        </w:rPr>
        <w:t>, 56(1), 161–178.</w:t>
      </w:r>
      <w:r w:rsidR="00886683">
        <w:rPr>
          <w:rFonts w:cstheme="minorHAnsi"/>
          <w:color w:val="000000"/>
          <w:sz w:val="24"/>
          <w:szCs w:val="24"/>
          <w:shd w:val="clear" w:color="auto" w:fill="FFFFFF"/>
        </w:rPr>
        <w:t xml:space="preserve"> </w:t>
      </w:r>
      <w:proofErr w:type="gramStart"/>
      <w:r w:rsidR="00886683">
        <w:rPr>
          <w:rFonts w:cstheme="minorHAnsi"/>
          <w:color w:val="000000"/>
          <w:sz w:val="24"/>
          <w:szCs w:val="24"/>
          <w:shd w:val="clear" w:color="auto" w:fill="FFFFFF"/>
        </w:rPr>
        <w:t>(</w:t>
      </w:r>
      <w:proofErr w:type="gramEnd"/>
      <w:r w:rsidRPr="008C4B7F">
        <w:rPr>
          <w:rFonts w:cstheme="minorHAnsi"/>
          <w:color w:val="000000"/>
          <w:sz w:val="24"/>
          <w:szCs w:val="24"/>
          <w:shd w:val="clear" w:color="auto" w:fill="FFFFFF"/>
        </w:rPr>
        <w:t>Accessed: August 11,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7F565407" w14:textId="383AD388" w:rsidR="00E92DA4"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Scarman, Lord J. (1981). "The Brixton Disorders." London: HMSO.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17,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3E990626" w14:textId="399918A6" w:rsidR="00A52ED6" w:rsidRPr="00A52ED6" w:rsidRDefault="00A52ED6" w:rsidP="008C4B7F">
      <w:pPr>
        <w:spacing w:line="360" w:lineRule="auto"/>
        <w:rPr>
          <w:rFonts w:cstheme="minorHAnsi"/>
          <w:color w:val="000000"/>
          <w:sz w:val="24"/>
          <w:szCs w:val="24"/>
          <w:shd w:val="clear" w:color="auto" w:fill="FFFFFF"/>
        </w:rPr>
      </w:pPr>
      <w:r w:rsidRPr="00A52ED6">
        <w:rPr>
          <w:rFonts w:cstheme="minorHAnsi"/>
          <w:color w:val="222222"/>
          <w:sz w:val="24"/>
          <w:szCs w:val="24"/>
          <w:shd w:val="clear" w:color="auto" w:fill="FFFFFF"/>
        </w:rPr>
        <w:lastRenderedPageBreak/>
        <w:t>Starr, D., 2021. Study: Police diversity matters.</w:t>
      </w:r>
      <w:r w:rsidR="003107AB">
        <w:rPr>
          <w:rFonts w:cstheme="minorHAnsi"/>
          <w:color w:val="222222"/>
          <w:sz w:val="24"/>
          <w:szCs w:val="24"/>
          <w:shd w:val="clear" w:color="auto" w:fill="FFFFFF"/>
        </w:rPr>
        <w:t xml:space="preserve"> </w:t>
      </w:r>
      <w:r w:rsidR="00886683">
        <w:rPr>
          <w:rFonts w:cstheme="minorHAnsi"/>
          <w:color w:val="222222"/>
          <w:sz w:val="24"/>
          <w:szCs w:val="24"/>
          <w:shd w:val="clear" w:color="auto" w:fill="FFFFFF"/>
        </w:rPr>
        <w:t>(</w:t>
      </w:r>
      <w:r w:rsidR="003107AB">
        <w:rPr>
          <w:rFonts w:cstheme="minorHAnsi"/>
          <w:color w:val="222222"/>
          <w:sz w:val="24"/>
          <w:szCs w:val="24"/>
          <w:shd w:val="clear" w:color="auto" w:fill="FFFFFF"/>
        </w:rPr>
        <w:t xml:space="preserve">Accessed: </w:t>
      </w:r>
      <w:r w:rsidR="0060528E">
        <w:rPr>
          <w:rFonts w:cstheme="minorHAnsi"/>
          <w:color w:val="222222"/>
          <w:sz w:val="24"/>
          <w:szCs w:val="24"/>
          <w:shd w:val="clear" w:color="auto" w:fill="FFFFFF"/>
        </w:rPr>
        <w:t>November 8, 2023</w:t>
      </w:r>
      <w:r w:rsidR="00886683">
        <w:rPr>
          <w:rFonts w:cstheme="minorHAnsi"/>
          <w:color w:val="222222"/>
          <w:sz w:val="24"/>
          <w:szCs w:val="24"/>
          <w:shd w:val="clear" w:color="auto" w:fill="FFFFFF"/>
        </w:rPr>
        <w:t>)</w:t>
      </w:r>
      <w:r w:rsidR="0060528E">
        <w:rPr>
          <w:rFonts w:cstheme="minorHAnsi"/>
          <w:color w:val="222222"/>
          <w:sz w:val="24"/>
          <w:szCs w:val="24"/>
          <w:shd w:val="clear" w:color="auto" w:fill="FFFFFF"/>
        </w:rPr>
        <w:t xml:space="preserve">. </w:t>
      </w:r>
      <w:r w:rsidR="003107AB">
        <w:rPr>
          <w:rFonts w:cstheme="minorHAnsi"/>
          <w:color w:val="222222"/>
          <w:sz w:val="24"/>
          <w:szCs w:val="24"/>
          <w:shd w:val="clear" w:color="auto" w:fill="FFFFFF"/>
        </w:rPr>
        <w:t xml:space="preserve"> </w:t>
      </w:r>
    </w:p>
    <w:p w14:paraId="2DE27AA5" w14:textId="13CE32D7"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Walters, M. (2020). "Hate Crimes Against Trans People: Assessing Emotions, Behaviours, and Attitudes Towards Criminal Justice Agencies." </w:t>
      </w:r>
      <w:r w:rsidRPr="009F09AD">
        <w:rPr>
          <w:rFonts w:cstheme="minorHAnsi"/>
          <w:i/>
          <w:iCs/>
          <w:color w:val="000000"/>
          <w:sz w:val="24"/>
          <w:szCs w:val="24"/>
          <w:shd w:val="clear" w:color="auto" w:fill="FFFFFF"/>
        </w:rPr>
        <w:t>Journal of Interpersonal Violence</w:t>
      </w:r>
      <w:r w:rsidRPr="008C4B7F">
        <w:rPr>
          <w:rFonts w:cstheme="minorHAnsi"/>
          <w:color w:val="000000"/>
          <w:sz w:val="24"/>
          <w:szCs w:val="24"/>
          <w:shd w:val="clear" w:color="auto" w:fill="FFFFFF"/>
        </w:rPr>
        <w:t xml:space="preserve">, 35(21), 4583–4613. </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Accessed: August 17, 2023</w:t>
      </w:r>
      <w:r w:rsidR="00886683">
        <w:rPr>
          <w:rFonts w:cstheme="minorHAnsi"/>
          <w:color w:val="000000"/>
          <w:sz w:val="24"/>
          <w:szCs w:val="24"/>
          <w:shd w:val="clear" w:color="auto" w:fill="FFFFFF"/>
        </w:rPr>
        <w:t>)</w:t>
      </w:r>
      <w:r w:rsidRPr="008C4B7F">
        <w:rPr>
          <w:rFonts w:cstheme="minorHAnsi"/>
          <w:color w:val="000000"/>
          <w:sz w:val="24"/>
          <w:szCs w:val="24"/>
          <w:shd w:val="clear" w:color="auto" w:fill="FFFFFF"/>
        </w:rPr>
        <w:t>.</w:t>
      </w:r>
    </w:p>
    <w:p w14:paraId="6487C735" w14:textId="23969E20" w:rsidR="00E92DA4" w:rsidRDefault="002F72AE" w:rsidP="008C4B7F">
      <w:pPr>
        <w:spacing w:line="360" w:lineRule="auto"/>
        <w:rPr>
          <w:rFonts w:cstheme="minorHAnsi"/>
          <w:color w:val="000000"/>
          <w:sz w:val="24"/>
          <w:szCs w:val="24"/>
          <w:shd w:val="clear" w:color="auto" w:fill="FFFFFF"/>
        </w:rPr>
      </w:pPr>
      <w:proofErr w:type="spellStart"/>
      <w:r w:rsidRPr="002F72AE">
        <w:rPr>
          <w:rFonts w:cstheme="minorHAnsi"/>
          <w:color w:val="222222"/>
          <w:sz w:val="24"/>
          <w:szCs w:val="24"/>
          <w:shd w:val="clear" w:color="auto" w:fill="FFFFFF"/>
        </w:rPr>
        <w:t>Zempi</w:t>
      </w:r>
      <w:proofErr w:type="spellEnd"/>
      <w:r w:rsidRPr="002F72AE">
        <w:rPr>
          <w:rFonts w:cstheme="minorHAnsi"/>
          <w:color w:val="222222"/>
          <w:sz w:val="24"/>
          <w:szCs w:val="24"/>
          <w:shd w:val="clear" w:color="auto" w:fill="FFFFFF"/>
        </w:rPr>
        <w:t xml:space="preserve">, I., </w:t>
      </w:r>
      <w:r>
        <w:rPr>
          <w:rFonts w:cstheme="minorHAnsi"/>
          <w:color w:val="222222"/>
          <w:sz w:val="24"/>
          <w:szCs w:val="24"/>
          <w:shd w:val="clear" w:color="auto" w:fill="FFFFFF"/>
        </w:rPr>
        <w:t>(</w:t>
      </w:r>
      <w:r w:rsidRPr="002F72AE">
        <w:rPr>
          <w:rFonts w:cstheme="minorHAnsi"/>
          <w:color w:val="222222"/>
          <w:sz w:val="24"/>
          <w:szCs w:val="24"/>
          <w:shd w:val="clear" w:color="auto" w:fill="FFFFFF"/>
        </w:rPr>
        <w:t>2020</w:t>
      </w:r>
      <w:r>
        <w:rPr>
          <w:rFonts w:cstheme="minorHAnsi"/>
          <w:color w:val="222222"/>
          <w:sz w:val="24"/>
          <w:szCs w:val="24"/>
          <w:shd w:val="clear" w:color="auto" w:fill="FFFFFF"/>
        </w:rPr>
        <w:t>)</w:t>
      </w:r>
      <w:r w:rsidRPr="002F72AE">
        <w:rPr>
          <w:rFonts w:cstheme="minorHAnsi"/>
          <w:color w:val="222222"/>
          <w:sz w:val="24"/>
          <w:szCs w:val="24"/>
          <w:shd w:val="clear" w:color="auto" w:fill="FFFFFF"/>
        </w:rPr>
        <w:t xml:space="preserve">. ‘Looking back, </w:t>
      </w:r>
      <w:r>
        <w:rPr>
          <w:rFonts w:cstheme="minorHAnsi"/>
          <w:color w:val="222222"/>
          <w:sz w:val="24"/>
          <w:szCs w:val="24"/>
          <w:shd w:val="clear" w:color="auto" w:fill="FFFFFF"/>
        </w:rPr>
        <w:t>I</w:t>
      </w:r>
      <w:r w:rsidRPr="002F72AE">
        <w:rPr>
          <w:rFonts w:cstheme="minorHAnsi"/>
          <w:color w:val="222222"/>
          <w:sz w:val="24"/>
          <w:szCs w:val="24"/>
          <w:shd w:val="clear" w:color="auto" w:fill="FFFFFF"/>
        </w:rPr>
        <w:t xml:space="preserve"> wouldn’t join up again’: the lived experiences of police officers as victims of bias and prejudice perpetrated by fellow staff within an English police force. </w:t>
      </w:r>
      <w:r w:rsidRPr="002F72AE">
        <w:rPr>
          <w:rFonts w:cstheme="minorHAnsi"/>
          <w:i/>
          <w:iCs/>
          <w:color w:val="222222"/>
          <w:sz w:val="24"/>
          <w:szCs w:val="24"/>
          <w:shd w:val="clear" w:color="auto" w:fill="FFFFFF"/>
        </w:rPr>
        <w:t>Police practice and research</w:t>
      </w:r>
      <w:r w:rsidRPr="002F72AE">
        <w:rPr>
          <w:rFonts w:cstheme="minorHAnsi"/>
          <w:color w:val="222222"/>
          <w:sz w:val="24"/>
          <w:szCs w:val="24"/>
          <w:shd w:val="clear" w:color="auto" w:fill="FFFFFF"/>
        </w:rPr>
        <w:t>, </w:t>
      </w:r>
      <w:r w:rsidRPr="002F72AE">
        <w:rPr>
          <w:rFonts w:cstheme="minorHAnsi"/>
          <w:i/>
          <w:iCs/>
          <w:color w:val="222222"/>
          <w:sz w:val="24"/>
          <w:szCs w:val="24"/>
          <w:shd w:val="clear" w:color="auto" w:fill="FFFFFF"/>
        </w:rPr>
        <w:t>21</w:t>
      </w:r>
      <w:r w:rsidRPr="002F72AE">
        <w:rPr>
          <w:rFonts w:cstheme="minorHAnsi"/>
          <w:color w:val="222222"/>
          <w:sz w:val="24"/>
          <w:szCs w:val="24"/>
          <w:shd w:val="clear" w:color="auto" w:fill="FFFFFF"/>
        </w:rPr>
        <w:t>(1), pp.33-48.</w:t>
      </w:r>
      <w:r>
        <w:rPr>
          <w:rFonts w:cstheme="minorHAnsi"/>
          <w:color w:val="222222"/>
          <w:sz w:val="24"/>
          <w:szCs w:val="24"/>
          <w:shd w:val="clear" w:color="auto" w:fill="FFFFFF"/>
        </w:rPr>
        <w:t xml:space="preserve"> </w:t>
      </w:r>
      <w:r w:rsidR="00886683">
        <w:rPr>
          <w:rFonts w:cstheme="minorHAnsi"/>
          <w:color w:val="222222"/>
          <w:sz w:val="24"/>
          <w:szCs w:val="24"/>
          <w:shd w:val="clear" w:color="auto" w:fill="FFFFFF"/>
        </w:rPr>
        <w:t>(</w:t>
      </w:r>
      <w:r w:rsidR="00E92DA4" w:rsidRPr="002F72AE">
        <w:rPr>
          <w:rFonts w:cstheme="minorHAnsi"/>
          <w:color w:val="000000"/>
          <w:sz w:val="24"/>
          <w:szCs w:val="24"/>
          <w:shd w:val="clear" w:color="auto" w:fill="FFFFFF"/>
        </w:rPr>
        <w:t>Accessed: August</w:t>
      </w:r>
      <w:r w:rsidR="00E92DA4" w:rsidRPr="008C4B7F">
        <w:rPr>
          <w:rFonts w:cstheme="minorHAnsi"/>
          <w:color w:val="000000"/>
          <w:sz w:val="24"/>
          <w:szCs w:val="24"/>
          <w:shd w:val="clear" w:color="auto" w:fill="FFFFFF"/>
        </w:rPr>
        <w:t xml:space="preserve"> 16, 2023</w:t>
      </w:r>
      <w:r w:rsidR="00886683">
        <w:rPr>
          <w:rFonts w:cstheme="minorHAnsi"/>
          <w:color w:val="000000"/>
          <w:sz w:val="24"/>
          <w:szCs w:val="24"/>
          <w:shd w:val="clear" w:color="auto" w:fill="FFFFFF"/>
        </w:rPr>
        <w:t>)</w:t>
      </w:r>
      <w:r w:rsidR="00E92DA4" w:rsidRPr="008C4B7F">
        <w:rPr>
          <w:rFonts w:cstheme="minorHAnsi"/>
          <w:color w:val="000000"/>
          <w:sz w:val="24"/>
          <w:szCs w:val="24"/>
          <w:shd w:val="clear" w:color="auto" w:fill="FFFFFF"/>
        </w:rPr>
        <w:t>.</w:t>
      </w:r>
    </w:p>
    <w:p w14:paraId="01A2F8C3" w14:textId="77777777" w:rsidR="000E2DB8" w:rsidRDefault="000E2DB8" w:rsidP="008C4B7F">
      <w:pPr>
        <w:spacing w:line="360" w:lineRule="auto"/>
        <w:rPr>
          <w:rFonts w:cstheme="minorHAnsi"/>
          <w:color w:val="000000"/>
          <w:sz w:val="24"/>
          <w:szCs w:val="24"/>
          <w:shd w:val="clear" w:color="auto" w:fill="FFFFFF"/>
        </w:rPr>
      </w:pPr>
    </w:p>
    <w:p w14:paraId="7BB5B1AF" w14:textId="77777777" w:rsidR="00D5305D" w:rsidRDefault="00D5305D" w:rsidP="008C4B7F">
      <w:pPr>
        <w:spacing w:line="360" w:lineRule="auto"/>
        <w:rPr>
          <w:rFonts w:cstheme="minorHAnsi"/>
          <w:color w:val="000000"/>
          <w:sz w:val="24"/>
          <w:szCs w:val="24"/>
          <w:shd w:val="clear" w:color="auto" w:fill="FFFFFF"/>
        </w:rPr>
      </w:pPr>
    </w:p>
    <w:p w14:paraId="1B8F1C26" w14:textId="77777777" w:rsidR="00D5305D" w:rsidRDefault="00D5305D" w:rsidP="008C4B7F">
      <w:pPr>
        <w:spacing w:line="360" w:lineRule="auto"/>
        <w:rPr>
          <w:rFonts w:cstheme="minorHAnsi"/>
          <w:color w:val="000000"/>
          <w:sz w:val="24"/>
          <w:szCs w:val="24"/>
          <w:shd w:val="clear" w:color="auto" w:fill="FFFFFF"/>
        </w:rPr>
      </w:pPr>
    </w:p>
    <w:p w14:paraId="5C51575E" w14:textId="77777777" w:rsidR="00D5305D" w:rsidRDefault="00D5305D" w:rsidP="008C4B7F">
      <w:pPr>
        <w:spacing w:line="360" w:lineRule="auto"/>
        <w:rPr>
          <w:rFonts w:cstheme="minorHAnsi"/>
          <w:color w:val="000000"/>
          <w:sz w:val="24"/>
          <w:szCs w:val="24"/>
          <w:shd w:val="clear" w:color="auto" w:fill="FFFFFF"/>
        </w:rPr>
      </w:pPr>
    </w:p>
    <w:p w14:paraId="68599D61" w14:textId="77777777" w:rsidR="00D5305D" w:rsidRDefault="00D5305D" w:rsidP="008C4B7F">
      <w:pPr>
        <w:spacing w:line="360" w:lineRule="auto"/>
        <w:rPr>
          <w:rFonts w:cstheme="minorHAnsi"/>
          <w:color w:val="000000"/>
          <w:sz w:val="24"/>
          <w:szCs w:val="24"/>
          <w:shd w:val="clear" w:color="auto" w:fill="FFFFFF"/>
        </w:rPr>
      </w:pPr>
    </w:p>
    <w:p w14:paraId="405B9D08" w14:textId="77777777" w:rsidR="00D5305D" w:rsidRDefault="00D5305D" w:rsidP="008C4B7F">
      <w:pPr>
        <w:spacing w:line="360" w:lineRule="auto"/>
        <w:rPr>
          <w:rFonts w:cstheme="minorHAnsi"/>
          <w:color w:val="000000"/>
          <w:sz w:val="24"/>
          <w:szCs w:val="24"/>
          <w:shd w:val="clear" w:color="auto" w:fill="FFFFFF"/>
        </w:rPr>
      </w:pPr>
    </w:p>
    <w:p w14:paraId="519880EE" w14:textId="77777777" w:rsidR="00D5305D" w:rsidRDefault="00D5305D" w:rsidP="008C4B7F">
      <w:pPr>
        <w:spacing w:line="360" w:lineRule="auto"/>
        <w:rPr>
          <w:rFonts w:cstheme="minorHAnsi"/>
          <w:color w:val="000000"/>
          <w:sz w:val="24"/>
          <w:szCs w:val="24"/>
          <w:shd w:val="clear" w:color="auto" w:fill="FFFFFF"/>
        </w:rPr>
      </w:pPr>
    </w:p>
    <w:p w14:paraId="5883D903" w14:textId="77777777" w:rsidR="00D5305D" w:rsidRDefault="00D5305D" w:rsidP="008C4B7F">
      <w:pPr>
        <w:spacing w:line="360" w:lineRule="auto"/>
        <w:rPr>
          <w:rFonts w:cstheme="minorHAnsi"/>
          <w:color w:val="000000"/>
          <w:sz w:val="24"/>
          <w:szCs w:val="24"/>
          <w:shd w:val="clear" w:color="auto" w:fill="FFFFFF"/>
        </w:rPr>
      </w:pPr>
    </w:p>
    <w:p w14:paraId="271E4C97" w14:textId="77777777" w:rsidR="00D5305D" w:rsidRDefault="00D5305D" w:rsidP="008C4B7F">
      <w:pPr>
        <w:spacing w:line="360" w:lineRule="auto"/>
        <w:rPr>
          <w:rFonts w:cstheme="minorHAnsi"/>
          <w:color w:val="000000"/>
          <w:sz w:val="24"/>
          <w:szCs w:val="24"/>
          <w:shd w:val="clear" w:color="auto" w:fill="FFFFFF"/>
        </w:rPr>
      </w:pPr>
    </w:p>
    <w:p w14:paraId="019138EC" w14:textId="77777777" w:rsidR="00D5305D" w:rsidRDefault="00D5305D" w:rsidP="008C4B7F">
      <w:pPr>
        <w:spacing w:line="360" w:lineRule="auto"/>
        <w:rPr>
          <w:rFonts w:cstheme="minorHAnsi"/>
          <w:color w:val="000000"/>
          <w:sz w:val="24"/>
          <w:szCs w:val="24"/>
          <w:shd w:val="clear" w:color="auto" w:fill="FFFFFF"/>
        </w:rPr>
      </w:pPr>
    </w:p>
    <w:p w14:paraId="55DE8044" w14:textId="77777777" w:rsidR="00D5305D" w:rsidRDefault="00D5305D" w:rsidP="008C4B7F">
      <w:pPr>
        <w:spacing w:line="360" w:lineRule="auto"/>
        <w:rPr>
          <w:rFonts w:cstheme="minorHAnsi"/>
          <w:color w:val="000000"/>
          <w:sz w:val="24"/>
          <w:szCs w:val="24"/>
          <w:shd w:val="clear" w:color="auto" w:fill="FFFFFF"/>
        </w:rPr>
      </w:pPr>
    </w:p>
    <w:p w14:paraId="0F70B9B0" w14:textId="77777777" w:rsidR="00D5305D" w:rsidRDefault="00D5305D" w:rsidP="008C4B7F">
      <w:pPr>
        <w:spacing w:line="360" w:lineRule="auto"/>
        <w:rPr>
          <w:rFonts w:cstheme="minorHAnsi"/>
          <w:color w:val="000000"/>
          <w:sz w:val="24"/>
          <w:szCs w:val="24"/>
          <w:shd w:val="clear" w:color="auto" w:fill="FFFFFF"/>
        </w:rPr>
      </w:pPr>
    </w:p>
    <w:p w14:paraId="23F79F07" w14:textId="77777777" w:rsidR="00D5305D" w:rsidRDefault="00D5305D" w:rsidP="008C4B7F">
      <w:pPr>
        <w:spacing w:line="360" w:lineRule="auto"/>
        <w:rPr>
          <w:rFonts w:cstheme="minorHAnsi"/>
          <w:color w:val="000000"/>
          <w:sz w:val="24"/>
          <w:szCs w:val="24"/>
          <w:shd w:val="clear" w:color="auto" w:fill="FFFFFF"/>
        </w:rPr>
      </w:pPr>
    </w:p>
    <w:p w14:paraId="2A609136" w14:textId="77777777" w:rsidR="00D5305D" w:rsidRDefault="00D5305D" w:rsidP="008C4B7F">
      <w:pPr>
        <w:spacing w:line="360" w:lineRule="auto"/>
        <w:rPr>
          <w:rFonts w:cstheme="minorHAnsi"/>
          <w:color w:val="000000"/>
          <w:sz w:val="24"/>
          <w:szCs w:val="24"/>
          <w:shd w:val="clear" w:color="auto" w:fill="FFFFFF"/>
        </w:rPr>
      </w:pPr>
    </w:p>
    <w:p w14:paraId="4B64D6F0" w14:textId="77777777" w:rsidR="00D5305D" w:rsidRDefault="00D5305D" w:rsidP="008C4B7F">
      <w:pPr>
        <w:spacing w:line="360" w:lineRule="auto"/>
        <w:rPr>
          <w:rFonts w:cstheme="minorHAnsi"/>
          <w:color w:val="000000"/>
          <w:sz w:val="24"/>
          <w:szCs w:val="24"/>
          <w:shd w:val="clear" w:color="auto" w:fill="FFFFFF"/>
        </w:rPr>
      </w:pPr>
    </w:p>
    <w:p w14:paraId="085E9834" w14:textId="77777777" w:rsidR="00D5305D" w:rsidRDefault="00D5305D" w:rsidP="008C4B7F">
      <w:pPr>
        <w:spacing w:line="360" w:lineRule="auto"/>
        <w:rPr>
          <w:rFonts w:cstheme="minorHAnsi"/>
          <w:color w:val="000000"/>
          <w:sz w:val="24"/>
          <w:szCs w:val="24"/>
          <w:shd w:val="clear" w:color="auto" w:fill="FFFFFF"/>
        </w:rPr>
      </w:pPr>
    </w:p>
    <w:p w14:paraId="4B8793C9" w14:textId="77777777" w:rsidR="00D5305D" w:rsidRDefault="00D5305D" w:rsidP="008C4B7F">
      <w:pPr>
        <w:spacing w:line="360" w:lineRule="auto"/>
        <w:rPr>
          <w:rFonts w:cstheme="minorHAnsi"/>
          <w:color w:val="000000"/>
          <w:sz w:val="24"/>
          <w:szCs w:val="24"/>
          <w:shd w:val="clear" w:color="auto" w:fill="FFFFFF"/>
        </w:rPr>
      </w:pPr>
    </w:p>
    <w:p w14:paraId="67CDE6F7" w14:textId="77777777" w:rsidR="0064218F" w:rsidRDefault="0064218F" w:rsidP="008C4B7F">
      <w:pPr>
        <w:spacing w:line="360" w:lineRule="auto"/>
        <w:rPr>
          <w:rFonts w:cstheme="minorHAnsi"/>
          <w:color w:val="000000"/>
          <w:sz w:val="24"/>
          <w:szCs w:val="24"/>
          <w:shd w:val="clear" w:color="auto" w:fill="FFFFFF"/>
        </w:rPr>
      </w:pPr>
    </w:p>
    <w:p w14:paraId="7D07F75D" w14:textId="10E627AF" w:rsidR="005268CC" w:rsidRPr="00DE428E" w:rsidRDefault="005268CC" w:rsidP="00DE428E">
      <w:pPr>
        <w:pStyle w:val="NormalWeb"/>
        <w:spacing w:line="360" w:lineRule="auto"/>
        <w:rPr>
          <w:rFonts w:asciiTheme="minorHAnsi" w:hAnsiTheme="minorHAnsi" w:cstheme="minorHAnsi"/>
        </w:rPr>
      </w:pPr>
      <w:r w:rsidRPr="00DE428E">
        <w:rPr>
          <w:rStyle w:val="Strong"/>
          <w:rFonts w:asciiTheme="minorHAnsi" w:hAnsiTheme="minorHAnsi" w:cstheme="minorHAnsi"/>
          <w:u w:val="single"/>
        </w:rPr>
        <w:t>Assignment 2</w:t>
      </w:r>
      <w:r w:rsidR="005506A7">
        <w:rPr>
          <w:rStyle w:val="Strong"/>
          <w:rFonts w:asciiTheme="minorHAnsi" w:hAnsiTheme="minorHAnsi" w:cstheme="minorHAnsi"/>
          <w:u w:val="single"/>
        </w:rPr>
        <w:t>: What role do police have in investigating complex internet related crime?</w:t>
      </w:r>
    </w:p>
    <w:p w14:paraId="1EF6DD4B" w14:textId="53136492" w:rsidR="004A7B0A"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In an era of digitalization, where the internet and its related technology have become intertwined with everyday lives, cybercrime has attracted increasingly more attention. Internet-related crimes, often complex, range from identity theft</w:t>
      </w:r>
      <w:r w:rsidR="006C0275">
        <w:rPr>
          <w:rFonts w:asciiTheme="minorHAnsi" w:hAnsiTheme="minorHAnsi" w:cstheme="minorHAnsi"/>
        </w:rPr>
        <w:t xml:space="preserve"> to</w:t>
      </w:r>
      <w:r w:rsidRPr="00DE428E">
        <w:rPr>
          <w:rFonts w:asciiTheme="minorHAnsi" w:hAnsiTheme="minorHAnsi" w:cstheme="minorHAnsi"/>
        </w:rPr>
        <w:t xml:space="preserve"> more severe crimes such as</w:t>
      </w:r>
      <w:r w:rsidR="00E414AF">
        <w:rPr>
          <w:rFonts w:asciiTheme="minorHAnsi" w:hAnsiTheme="minorHAnsi" w:cstheme="minorHAnsi"/>
        </w:rPr>
        <w:t xml:space="preserve"> </w:t>
      </w:r>
      <w:r w:rsidRPr="00DE428E">
        <w:rPr>
          <w:rFonts w:asciiTheme="minorHAnsi" w:hAnsiTheme="minorHAnsi" w:cstheme="minorHAnsi"/>
        </w:rPr>
        <w:t>trafficking</w:t>
      </w:r>
      <w:r w:rsidR="00E414AF">
        <w:rPr>
          <w:rFonts w:asciiTheme="minorHAnsi" w:hAnsiTheme="minorHAnsi" w:cstheme="minorHAnsi"/>
        </w:rPr>
        <w:t xml:space="preserve"> </w:t>
      </w:r>
      <w:r w:rsidRPr="00DE428E">
        <w:rPr>
          <w:rFonts w:asciiTheme="minorHAnsi" w:hAnsiTheme="minorHAnsi" w:cstheme="minorHAnsi"/>
        </w:rPr>
        <w:t>and grooming (UK Government, 2020). Cybercrime presents a significant problem for the police, and a government report in 2018 suggests £28 million was defrauded through cybercrime in that year (Action Fraud, 2018). Cybercrime has now become such a problem that it is strongly associated with criminal activity by organised crime groups</w:t>
      </w:r>
      <w:r w:rsidR="00E414AF">
        <w:rPr>
          <w:rFonts w:asciiTheme="minorHAnsi" w:hAnsiTheme="minorHAnsi" w:cstheme="minorHAnsi"/>
        </w:rPr>
        <w:t xml:space="preserve"> and a platform for terrorist activity </w:t>
      </w:r>
      <w:r w:rsidR="00E414AF" w:rsidRPr="00DE428E">
        <w:rPr>
          <w:rFonts w:asciiTheme="minorHAnsi" w:hAnsiTheme="minorHAnsi" w:cstheme="minorHAnsi"/>
        </w:rPr>
        <w:t>(Choo, 2008)</w:t>
      </w:r>
      <w:r w:rsidR="00E414AF">
        <w:rPr>
          <w:rFonts w:asciiTheme="minorHAnsi" w:hAnsiTheme="minorHAnsi" w:cstheme="minorHAnsi"/>
        </w:rPr>
        <w:t xml:space="preserve">. </w:t>
      </w:r>
      <w:r w:rsidR="0064218F">
        <w:rPr>
          <w:rFonts w:asciiTheme="minorHAnsi" w:hAnsiTheme="minorHAnsi" w:cstheme="minorHAnsi"/>
        </w:rPr>
        <w:t xml:space="preserve">This is caused by a lack of awareness about the complexities of cybercrimes (Arora, 2016). </w:t>
      </w:r>
      <w:r w:rsidRPr="00DE428E">
        <w:rPr>
          <w:rFonts w:asciiTheme="minorHAnsi" w:hAnsiTheme="minorHAnsi" w:cstheme="minorHAnsi"/>
        </w:rPr>
        <w:t xml:space="preserve">This essay aims to analyse the varied roles that the police play in investigating complex internet-related crimes. </w:t>
      </w:r>
    </w:p>
    <w:p w14:paraId="42DC3E84" w14:textId="447B2199"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In the digital age of the police</w:t>
      </w:r>
      <w:r w:rsidR="001D736A">
        <w:rPr>
          <w:rFonts w:asciiTheme="minorHAnsi" w:hAnsiTheme="minorHAnsi" w:cstheme="minorHAnsi"/>
        </w:rPr>
        <w:t>,</w:t>
      </w:r>
      <w:r w:rsidRPr="00DE428E">
        <w:rPr>
          <w:rFonts w:asciiTheme="minorHAnsi" w:hAnsiTheme="minorHAnsi" w:cstheme="minorHAnsi"/>
        </w:rPr>
        <w:t xml:space="preserve"> this extends beyond maintaining law in the physical aspect, as online platforms have become a virtual territory that invites exploitation through the sense of anonymity (Tanczer et al., 2018). The Police and Criminal Evidence Act 1984, along with the Computer Misuse Act 1990, provides the legislative framework for police across the UK in the pursuit of cybercrime. (Legislation.gov.uk, 1984; Legislation.gov.uk, 1990). The legislative framework mandates the police to capture, investigate and prosecute offenders involved in internet</w:t>
      </w:r>
      <w:r w:rsidR="001D736A">
        <w:rPr>
          <w:rFonts w:asciiTheme="minorHAnsi" w:hAnsiTheme="minorHAnsi" w:cstheme="minorHAnsi"/>
        </w:rPr>
        <w:t>-</w:t>
      </w:r>
      <w:r w:rsidRPr="00DE428E">
        <w:rPr>
          <w:rFonts w:asciiTheme="minorHAnsi" w:hAnsiTheme="minorHAnsi" w:cstheme="minorHAnsi"/>
        </w:rPr>
        <w:t>related crimes. Internet</w:t>
      </w:r>
      <w:r w:rsidR="001D736A">
        <w:rPr>
          <w:rFonts w:asciiTheme="minorHAnsi" w:hAnsiTheme="minorHAnsi" w:cstheme="minorHAnsi"/>
        </w:rPr>
        <w:t>-</w:t>
      </w:r>
      <w:r w:rsidRPr="00DE428E">
        <w:rPr>
          <w:rFonts w:asciiTheme="minorHAnsi" w:hAnsiTheme="minorHAnsi" w:cstheme="minorHAnsi"/>
        </w:rPr>
        <w:t xml:space="preserve">related crime is particularly </w:t>
      </w:r>
      <w:r w:rsidR="009E4601" w:rsidRPr="00DE428E">
        <w:rPr>
          <w:rFonts w:asciiTheme="minorHAnsi" w:hAnsiTheme="minorHAnsi" w:cstheme="minorHAnsi"/>
        </w:rPr>
        <w:t>covert,</w:t>
      </w:r>
      <w:r w:rsidRPr="00DE428E">
        <w:rPr>
          <w:rFonts w:asciiTheme="minorHAnsi" w:hAnsiTheme="minorHAnsi" w:cstheme="minorHAnsi"/>
        </w:rPr>
        <w:t xml:space="preserve"> and the anonymity of offenders presents significant problems for the police to identify and prosecute those responsible, as it is easy to mask one’s identity (Wall, 2007). In response</w:t>
      </w:r>
      <w:r w:rsidR="001D736A">
        <w:rPr>
          <w:rFonts w:asciiTheme="minorHAnsi" w:hAnsiTheme="minorHAnsi" w:cstheme="minorHAnsi"/>
        </w:rPr>
        <w:t>,</w:t>
      </w:r>
      <w:r w:rsidRPr="00DE428E">
        <w:rPr>
          <w:rFonts w:asciiTheme="minorHAnsi" w:hAnsiTheme="minorHAnsi" w:cstheme="minorHAnsi"/>
        </w:rPr>
        <w:t xml:space="preserve"> the police have had to evolve their traditional methods of investigation and instigate specialised units that have the competency </w:t>
      </w:r>
      <w:r w:rsidR="000D5E17">
        <w:rPr>
          <w:rFonts w:asciiTheme="minorHAnsi" w:hAnsiTheme="minorHAnsi" w:cstheme="minorHAnsi"/>
        </w:rPr>
        <w:t>to deal</w:t>
      </w:r>
      <w:r w:rsidRPr="00DE428E">
        <w:rPr>
          <w:rFonts w:asciiTheme="minorHAnsi" w:hAnsiTheme="minorHAnsi" w:cstheme="minorHAnsi"/>
        </w:rPr>
        <w:t xml:space="preserve"> with such offences. The police now have a digital department that ha</w:t>
      </w:r>
      <w:r w:rsidR="000D5E17">
        <w:rPr>
          <w:rFonts w:asciiTheme="minorHAnsi" w:hAnsiTheme="minorHAnsi" w:cstheme="minorHAnsi"/>
        </w:rPr>
        <w:t>s</w:t>
      </w:r>
      <w:r w:rsidRPr="00DE428E">
        <w:rPr>
          <w:rFonts w:asciiTheme="minorHAnsi" w:hAnsiTheme="minorHAnsi" w:cstheme="minorHAnsi"/>
        </w:rPr>
        <w:t xml:space="preserve"> trained Digital Media Investigators that can assist the police in combating internet</w:t>
      </w:r>
      <w:r w:rsidR="000D5E17">
        <w:rPr>
          <w:rFonts w:asciiTheme="minorHAnsi" w:hAnsiTheme="minorHAnsi" w:cstheme="minorHAnsi"/>
        </w:rPr>
        <w:t>-</w:t>
      </w:r>
      <w:r w:rsidRPr="00DE428E">
        <w:rPr>
          <w:rFonts w:asciiTheme="minorHAnsi" w:hAnsiTheme="minorHAnsi" w:cstheme="minorHAnsi"/>
        </w:rPr>
        <w:t>related crimes. DMI’</w:t>
      </w:r>
      <w:r w:rsidR="000D5E17">
        <w:rPr>
          <w:rFonts w:asciiTheme="minorHAnsi" w:hAnsiTheme="minorHAnsi" w:cstheme="minorHAnsi"/>
        </w:rPr>
        <w:t>s</w:t>
      </w:r>
      <w:r w:rsidRPr="00DE428E">
        <w:rPr>
          <w:rFonts w:asciiTheme="minorHAnsi" w:hAnsiTheme="minorHAnsi" w:cstheme="minorHAnsi"/>
        </w:rPr>
        <w:t xml:space="preserve"> can provide specialist assistance to any investigation where digital technology exists. The role of the DMI has become increasingly pertinent in any investigation, where the National Police Chiefs Council stated that over 90% of all crime recorded now has a digital element to it (NPCC, 2020). The College of Policing has recognised the need for more specialists in this area and this has led to over 1</w:t>
      </w:r>
      <w:r w:rsidR="000D5E17">
        <w:rPr>
          <w:rFonts w:asciiTheme="minorHAnsi" w:hAnsiTheme="minorHAnsi" w:cstheme="minorHAnsi"/>
        </w:rPr>
        <w:t>,</w:t>
      </w:r>
      <w:r w:rsidRPr="00DE428E">
        <w:rPr>
          <w:rFonts w:asciiTheme="minorHAnsi" w:hAnsiTheme="minorHAnsi" w:cstheme="minorHAnsi"/>
        </w:rPr>
        <w:t xml:space="preserve">500 trained DMI since 2015 to assist frontline officers with the management of seized digital </w:t>
      </w:r>
      <w:r w:rsidRPr="00DE428E">
        <w:rPr>
          <w:rFonts w:asciiTheme="minorHAnsi" w:hAnsiTheme="minorHAnsi" w:cstheme="minorHAnsi"/>
        </w:rPr>
        <w:lastRenderedPageBreak/>
        <w:t>exhibits as evidence and develop strategies for investigations. There is a responsibility of frontline officers alongside the digital forensic departments to manage any form of exhibits obtained in an investigation appropriately to minimise the risk of contaminating or losing evidence as internet</w:t>
      </w:r>
      <w:r w:rsidR="000D5E17">
        <w:rPr>
          <w:rFonts w:asciiTheme="minorHAnsi" w:hAnsiTheme="minorHAnsi" w:cstheme="minorHAnsi"/>
        </w:rPr>
        <w:t>-</w:t>
      </w:r>
      <w:r w:rsidRPr="00DE428E">
        <w:rPr>
          <w:rFonts w:asciiTheme="minorHAnsi" w:hAnsiTheme="minorHAnsi" w:cstheme="minorHAnsi"/>
        </w:rPr>
        <w:t>related crimes can be exceedingly difficult to retrace. One issue that has arisen from this is the reluctance of victims to give their digital equipment to the police for examination which can lead to insufficient evidence towards the investigation, down to the lengthy time they may be without it (HMIC 2015).</w:t>
      </w:r>
    </w:p>
    <w:p w14:paraId="7D5AB5DB" w14:textId="36F46849"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 xml:space="preserve">One vital role of the police in combating </w:t>
      </w:r>
      <w:r w:rsidR="00E414AF">
        <w:rPr>
          <w:rFonts w:asciiTheme="minorHAnsi" w:hAnsiTheme="minorHAnsi" w:cstheme="minorHAnsi"/>
        </w:rPr>
        <w:t>these</w:t>
      </w:r>
      <w:r w:rsidRPr="00DE428E">
        <w:rPr>
          <w:rFonts w:asciiTheme="minorHAnsi" w:hAnsiTheme="minorHAnsi" w:cstheme="minorHAnsi"/>
        </w:rPr>
        <w:t xml:space="preserve"> crimes is early detection and investigation. Cybercrimes, in comparison to traditional crimes, involve tracing digital footprints, which requires a different skill set and understanding to be investigated effectively (Wall, 2008). The data collected by the police can be obtained from a variety of servers, making the investigations time-consuming and demanding. Another key role of the police in combating cybercrime lies in initiative-taking policing and prevention. Therefore, in addition to being adept at the investigation, the police need to be vigilant in predicting and preventing internet-related crimes proactively. This entails understanding the intricacies of internet technology and, in collaboration with other tech companies, creating strategies to deter criminal activity. To effectively investigate, working in collaboration with partner agencies and companies is pertinent to prevention and detection. This could mean the police having to consult with internet service providers, technology companies, other police forces, and even on an international scale through Interpol and Europol</w:t>
      </w:r>
      <w:r w:rsidR="006C0275">
        <w:rPr>
          <w:rFonts w:asciiTheme="minorHAnsi" w:hAnsiTheme="minorHAnsi" w:cstheme="minorHAnsi"/>
        </w:rPr>
        <w:t xml:space="preserve"> </w:t>
      </w:r>
      <w:r w:rsidRPr="00DE428E">
        <w:rPr>
          <w:rFonts w:asciiTheme="minorHAnsi" w:hAnsiTheme="minorHAnsi" w:cstheme="minorHAnsi"/>
        </w:rPr>
        <w:t>(Goodman &amp; Brenner, 2002; Wall, 2017). The ACPO good practice guidelines outline how digital device strategies should be implemented as part of the wider investigatory process (ACPO, 2007a and 2021a; Horsman, 2020).</w:t>
      </w:r>
    </w:p>
    <w:p w14:paraId="379CA9EE" w14:textId="6FAFA656"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Another preventive measure the police have ad</w:t>
      </w:r>
      <w:r w:rsidR="000D5E17">
        <w:rPr>
          <w:rFonts w:asciiTheme="minorHAnsi" w:hAnsiTheme="minorHAnsi" w:cstheme="minorHAnsi"/>
        </w:rPr>
        <w:t>o</w:t>
      </w:r>
      <w:r w:rsidRPr="00DE428E">
        <w:rPr>
          <w:rFonts w:asciiTheme="minorHAnsi" w:hAnsiTheme="minorHAnsi" w:cstheme="minorHAnsi"/>
        </w:rPr>
        <w:t xml:space="preserve">pted is ensuring the public </w:t>
      </w:r>
      <w:r w:rsidR="000D5E17">
        <w:rPr>
          <w:rFonts w:asciiTheme="minorHAnsi" w:hAnsiTheme="minorHAnsi" w:cstheme="minorHAnsi"/>
        </w:rPr>
        <w:t>is</w:t>
      </w:r>
      <w:r w:rsidRPr="00DE428E">
        <w:rPr>
          <w:rFonts w:asciiTheme="minorHAnsi" w:hAnsiTheme="minorHAnsi" w:cstheme="minorHAnsi"/>
        </w:rPr>
        <w:t xml:space="preserve"> educated </w:t>
      </w:r>
      <w:r w:rsidR="000D5E17">
        <w:rPr>
          <w:rFonts w:asciiTheme="minorHAnsi" w:hAnsiTheme="minorHAnsi" w:cstheme="minorHAnsi"/>
        </w:rPr>
        <w:t>about</w:t>
      </w:r>
      <w:r w:rsidRPr="00DE428E">
        <w:rPr>
          <w:rFonts w:asciiTheme="minorHAnsi" w:hAnsiTheme="minorHAnsi" w:cstheme="minorHAnsi"/>
        </w:rPr>
        <w:t xml:space="preserve"> the </w:t>
      </w:r>
      <w:r w:rsidR="006C0275" w:rsidRPr="00DE428E">
        <w:rPr>
          <w:rFonts w:asciiTheme="minorHAnsi" w:hAnsiTheme="minorHAnsi" w:cstheme="minorHAnsi"/>
        </w:rPr>
        <w:t>risk’s</w:t>
      </w:r>
      <w:r w:rsidRPr="00DE428E">
        <w:rPr>
          <w:rFonts w:asciiTheme="minorHAnsi" w:hAnsiTheme="minorHAnsi" w:cstheme="minorHAnsi"/>
        </w:rPr>
        <w:t xml:space="preserve"> cybercrime presents. </w:t>
      </w:r>
      <w:r w:rsidR="00E414AF">
        <w:rPr>
          <w:rFonts w:asciiTheme="minorHAnsi" w:hAnsiTheme="minorHAnsi" w:cstheme="minorHAnsi"/>
        </w:rPr>
        <w:t>C</w:t>
      </w:r>
      <w:r w:rsidRPr="00DE428E">
        <w:rPr>
          <w:rFonts w:asciiTheme="minorHAnsi" w:hAnsiTheme="minorHAnsi" w:cstheme="minorHAnsi"/>
        </w:rPr>
        <w:t xml:space="preserve">ampaigns set out the objective </w:t>
      </w:r>
      <w:r w:rsidR="000D5E17">
        <w:rPr>
          <w:rFonts w:asciiTheme="minorHAnsi" w:hAnsiTheme="minorHAnsi" w:cstheme="minorHAnsi"/>
        </w:rPr>
        <w:t>of educating</w:t>
      </w:r>
      <w:r w:rsidRPr="00DE428E">
        <w:rPr>
          <w:rFonts w:asciiTheme="minorHAnsi" w:hAnsiTheme="minorHAnsi" w:cstheme="minorHAnsi"/>
        </w:rPr>
        <w:t xml:space="preserve"> the public about the potential threats and the measures the public can take to protect themselves. Providing advice on issues such as passwords and safe online behaviours (National Crime Agency, 2020). An integral part of modern-day policing is the role of intelligence</w:t>
      </w:r>
      <w:r w:rsidR="000D5E17">
        <w:rPr>
          <w:rFonts w:asciiTheme="minorHAnsi" w:hAnsiTheme="minorHAnsi" w:cstheme="minorHAnsi"/>
        </w:rPr>
        <w:t>-</w:t>
      </w:r>
      <w:r w:rsidRPr="00DE428E">
        <w:rPr>
          <w:rFonts w:asciiTheme="minorHAnsi" w:hAnsiTheme="minorHAnsi" w:cstheme="minorHAnsi"/>
        </w:rPr>
        <w:t>led practice (Ratcliffe, 2008). This approach aims to enable the prediction, prevention, and disruption of internet</w:t>
      </w:r>
      <w:r w:rsidR="000D5E17">
        <w:rPr>
          <w:rFonts w:asciiTheme="minorHAnsi" w:hAnsiTheme="minorHAnsi" w:cstheme="minorHAnsi"/>
        </w:rPr>
        <w:t>-</w:t>
      </w:r>
      <w:r w:rsidRPr="00DE428E">
        <w:rPr>
          <w:rFonts w:asciiTheme="minorHAnsi" w:hAnsiTheme="minorHAnsi" w:cstheme="minorHAnsi"/>
        </w:rPr>
        <w:t>related criminal activity</w:t>
      </w:r>
      <w:r w:rsidR="006C0275">
        <w:rPr>
          <w:rFonts w:asciiTheme="minorHAnsi" w:hAnsiTheme="minorHAnsi" w:cstheme="minorHAnsi"/>
        </w:rPr>
        <w:t>.</w:t>
      </w:r>
    </w:p>
    <w:p w14:paraId="102FD3A6" w14:textId="78C7B6A4"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lastRenderedPageBreak/>
        <w:t>Early detection of internet</w:t>
      </w:r>
      <w:r w:rsidR="000D5E17">
        <w:rPr>
          <w:rFonts w:asciiTheme="minorHAnsi" w:hAnsiTheme="minorHAnsi" w:cstheme="minorHAnsi"/>
        </w:rPr>
        <w:t>-</w:t>
      </w:r>
      <w:r w:rsidRPr="00DE428E">
        <w:rPr>
          <w:rFonts w:asciiTheme="minorHAnsi" w:hAnsiTheme="minorHAnsi" w:cstheme="minorHAnsi"/>
        </w:rPr>
        <w:t>related crimes is crucial to any investigation and prevention of offences being committed. Internet</w:t>
      </w:r>
      <w:r w:rsidR="000D5E17">
        <w:rPr>
          <w:rFonts w:asciiTheme="minorHAnsi" w:hAnsiTheme="minorHAnsi" w:cstheme="minorHAnsi"/>
        </w:rPr>
        <w:t>-</w:t>
      </w:r>
      <w:r w:rsidRPr="00DE428E">
        <w:rPr>
          <w:rFonts w:asciiTheme="minorHAnsi" w:hAnsiTheme="minorHAnsi" w:cstheme="minorHAnsi"/>
        </w:rPr>
        <w:t>related crimes often go unreported due to victims’ embarrassment or lack of awareness about the crimes taking place (Easton, 2014). To combat this the police have implemented innovative techniques including artificial intelligence, to respond to reported cases promptly and effectively (Custers, 2018). Proactively working with the public and other agencies to increase awareness is pertinent to combating the evolution of internet</w:t>
      </w:r>
      <w:r w:rsidR="000D5E17">
        <w:rPr>
          <w:rFonts w:asciiTheme="minorHAnsi" w:hAnsiTheme="minorHAnsi" w:cstheme="minorHAnsi"/>
        </w:rPr>
        <w:t>-</w:t>
      </w:r>
      <w:r w:rsidRPr="00DE428E">
        <w:rPr>
          <w:rFonts w:asciiTheme="minorHAnsi" w:hAnsiTheme="minorHAnsi" w:cstheme="minorHAnsi"/>
        </w:rPr>
        <w:t xml:space="preserve">related crime. The police are tasked with the responsibility of enforcing the legislation surrounding cybersecurity for instance the Computer Misuse Act 1990 provides the legislative framework for pursuing prosecution against those responsible. Therefore, the police have the responsibility for </w:t>
      </w:r>
      <w:r w:rsidR="000D5E17">
        <w:rPr>
          <w:rFonts w:asciiTheme="minorHAnsi" w:hAnsiTheme="minorHAnsi" w:cstheme="minorHAnsi"/>
        </w:rPr>
        <w:t xml:space="preserve">the </w:t>
      </w:r>
      <w:r w:rsidRPr="00DE428E">
        <w:rPr>
          <w:rFonts w:asciiTheme="minorHAnsi" w:hAnsiTheme="minorHAnsi" w:cstheme="minorHAnsi"/>
        </w:rPr>
        <w:t>enforcement of these laws, involving the early identification of offences, gathering information and intelligence, and providing evidence for prosecution (Sommer &amp; Brown, 2011). More recently The Serious Crimes Act (2015) was introduced because of concerns that the CMA (1990) was inadequate in dealing with the more serious internet</w:t>
      </w:r>
      <w:r w:rsidR="000D5E17">
        <w:rPr>
          <w:rFonts w:asciiTheme="minorHAnsi" w:hAnsiTheme="minorHAnsi" w:cstheme="minorHAnsi"/>
        </w:rPr>
        <w:t>-</w:t>
      </w:r>
      <w:r w:rsidRPr="00DE428E">
        <w:rPr>
          <w:rFonts w:asciiTheme="minorHAnsi" w:hAnsiTheme="minorHAnsi" w:cstheme="minorHAnsi"/>
        </w:rPr>
        <w:t>related offences, providing a more robust approach.</w:t>
      </w:r>
    </w:p>
    <w:p w14:paraId="15D74606" w14:textId="1CDD4B40"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 xml:space="preserve">All involved within the police need to be able to identify these new forms of crime and know how to respond effectively to them. The National Policing Digital Strategy 2020–2023 (PDS and NPTC, 2020) was introduced to ensure officers have the necessary support </w:t>
      </w:r>
      <w:r w:rsidR="000D5E17">
        <w:rPr>
          <w:rFonts w:asciiTheme="minorHAnsi" w:hAnsiTheme="minorHAnsi" w:cstheme="minorHAnsi"/>
        </w:rPr>
        <w:t>concerning</w:t>
      </w:r>
      <w:r w:rsidRPr="00DE428E">
        <w:rPr>
          <w:rFonts w:asciiTheme="minorHAnsi" w:hAnsiTheme="minorHAnsi" w:cstheme="minorHAnsi"/>
        </w:rPr>
        <w:t xml:space="preserve"> digital policing knowledge, with the overall aim of developing a digitally competent workforce.</w:t>
      </w:r>
    </w:p>
    <w:p w14:paraId="4D037694" w14:textId="18026DE9" w:rsidR="0064218F" w:rsidRPr="00DE428E" w:rsidRDefault="005268CC" w:rsidP="0064218F">
      <w:pPr>
        <w:pStyle w:val="NormalWeb"/>
        <w:spacing w:line="360" w:lineRule="auto"/>
        <w:rPr>
          <w:rFonts w:asciiTheme="minorHAnsi" w:hAnsiTheme="minorHAnsi" w:cstheme="minorHAnsi"/>
        </w:rPr>
      </w:pPr>
      <w:r w:rsidRPr="00DE428E">
        <w:rPr>
          <w:rFonts w:asciiTheme="minorHAnsi" w:hAnsiTheme="minorHAnsi" w:cstheme="minorHAnsi"/>
        </w:rPr>
        <w:t>Within the literature (Thomas &amp; Loader, 2000; Walden, 2016) to investigate internet</w:t>
      </w:r>
      <w:r w:rsidR="000D5E17">
        <w:rPr>
          <w:rFonts w:asciiTheme="minorHAnsi" w:hAnsiTheme="minorHAnsi" w:cstheme="minorHAnsi"/>
        </w:rPr>
        <w:t>-</w:t>
      </w:r>
      <w:r w:rsidRPr="00DE428E">
        <w:rPr>
          <w:rFonts w:asciiTheme="minorHAnsi" w:hAnsiTheme="minorHAnsi" w:cstheme="minorHAnsi"/>
        </w:rPr>
        <w:t>related crimes effectively emphasis should not solely be placed on the advancement of technology but rather it should be focused on the offender’s behaviour. In doing so this will allow the police to address the underlying factors behind these crimes.</w:t>
      </w:r>
      <w:r w:rsidR="0064218F">
        <w:rPr>
          <w:rFonts w:asciiTheme="minorHAnsi" w:hAnsiTheme="minorHAnsi" w:cstheme="minorHAnsi"/>
        </w:rPr>
        <w:t xml:space="preserve"> </w:t>
      </w:r>
    </w:p>
    <w:p w14:paraId="6CF2D532" w14:textId="1D792113"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In conclusion, the police play a crucial role in combating internet-related crimes. Their responsibilities encompass enforcing laws, early detection, initiative-taking policing, prevention through education, and collaboration with various partners. Specialised units, like digital media investigators, are essential for handling cybercrimes. To stay effective, law enforcement must adapt to evolving threats and provide support to victims.</w:t>
      </w:r>
      <w:r w:rsidR="006C0275">
        <w:rPr>
          <w:rFonts w:asciiTheme="minorHAnsi" w:hAnsiTheme="minorHAnsi" w:cstheme="minorHAnsi"/>
        </w:rPr>
        <w:t xml:space="preserve"> </w:t>
      </w:r>
      <w:r w:rsidRPr="00DE428E">
        <w:rPr>
          <w:rFonts w:asciiTheme="minorHAnsi" w:hAnsiTheme="minorHAnsi" w:cstheme="minorHAnsi"/>
        </w:rPr>
        <w:t xml:space="preserve">Understanding </w:t>
      </w:r>
      <w:r w:rsidRPr="00DE428E">
        <w:rPr>
          <w:rFonts w:asciiTheme="minorHAnsi" w:hAnsiTheme="minorHAnsi" w:cstheme="minorHAnsi"/>
        </w:rPr>
        <w:lastRenderedPageBreak/>
        <w:t>cybercriminal behaviour, utilising intelligence-led strategies, and using advanced security tools are vital for the successful prevention and disruption of cybercrimes</w:t>
      </w:r>
      <w:r w:rsidR="006C0275">
        <w:rPr>
          <w:rFonts w:asciiTheme="minorHAnsi" w:hAnsiTheme="minorHAnsi" w:cstheme="minorHAnsi"/>
        </w:rPr>
        <w:t>.</w:t>
      </w:r>
    </w:p>
    <w:p w14:paraId="3AE9DE05" w14:textId="601E681A" w:rsidR="005268CC" w:rsidRPr="005E49C0" w:rsidRDefault="005268CC" w:rsidP="00DE428E">
      <w:pPr>
        <w:pStyle w:val="NormalWeb"/>
        <w:spacing w:line="360" w:lineRule="auto"/>
        <w:rPr>
          <w:rFonts w:asciiTheme="minorHAnsi" w:hAnsiTheme="minorHAnsi" w:cstheme="minorHAnsi"/>
          <w:b/>
          <w:bCs/>
        </w:rPr>
      </w:pPr>
      <w:r w:rsidRPr="005E49C0">
        <w:rPr>
          <w:rFonts w:asciiTheme="minorHAnsi" w:hAnsiTheme="minorHAnsi" w:cstheme="minorHAnsi"/>
          <w:b/>
          <w:bCs/>
          <w:u w:val="single"/>
        </w:rPr>
        <w:t>word count: 1</w:t>
      </w:r>
      <w:r w:rsidR="007065DD">
        <w:rPr>
          <w:rFonts w:asciiTheme="minorHAnsi" w:hAnsiTheme="minorHAnsi" w:cstheme="minorHAnsi"/>
          <w:b/>
          <w:bCs/>
          <w:u w:val="single"/>
        </w:rPr>
        <w:t>100</w:t>
      </w:r>
    </w:p>
    <w:p w14:paraId="46763679" w14:textId="1D159DD9" w:rsidR="00892BF6" w:rsidRPr="005E49C0" w:rsidRDefault="00B24084" w:rsidP="00DE3BC7">
      <w:pPr>
        <w:pStyle w:val="NormalWeb"/>
        <w:spacing w:line="360" w:lineRule="auto"/>
        <w:rPr>
          <w:rFonts w:asciiTheme="minorHAnsi" w:hAnsiTheme="minorHAnsi" w:cstheme="minorHAnsi"/>
          <w:b/>
          <w:bCs/>
        </w:rPr>
      </w:pPr>
      <w:r w:rsidRPr="005E49C0">
        <w:rPr>
          <w:rFonts w:asciiTheme="minorHAnsi" w:hAnsiTheme="minorHAnsi" w:cstheme="minorHAnsi"/>
          <w:b/>
          <w:bCs/>
          <w:u w:val="single"/>
        </w:rPr>
        <w:t>Reference</w:t>
      </w:r>
      <w:r w:rsidR="005E49C0">
        <w:rPr>
          <w:rFonts w:asciiTheme="minorHAnsi" w:hAnsiTheme="minorHAnsi" w:cstheme="minorHAnsi"/>
          <w:b/>
          <w:bCs/>
          <w:u w:val="single"/>
        </w:rPr>
        <w:t xml:space="preserve"> list</w:t>
      </w:r>
    </w:p>
    <w:p w14:paraId="44B105FB" w14:textId="1539741D"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ACPO – Association of Chief Police Officers (2012), </w:t>
      </w:r>
      <w:r w:rsidRPr="002146C7">
        <w:rPr>
          <w:rFonts w:asciiTheme="minorHAnsi" w:hAnsiTheme="minorHAnsi" w:cstheme="minorHAnsi"/>
          <w:i/>
          <w:iCs/>
        </w:rPr>
        <w:t>Good Practise Guide for Digital Evidence</w:t>
      </w:r>
      <w:r w:rsidRPr="00DE3BC7">
        <w:rPr>
          <w:rFonts w:asciiTheme="minorHAnsi" w:hAnsiTheme="minorHAnsi" w:cstheme="minorHAnsi"/>
        </w:rPr>
        <w:t>, Version 5. Available at: http://www.acpo.police.uk/asp/policies/Data/gpg_computer_based_evidence_v5.pdf</w:t>
      </w:r>
      <w:r w:rsidR="004C62B2">
        <w:rPr>
          <w:rFonts w:asciiTheme="minorHAnsi" w:hAnsiTheme="minorHAnsi" w:cstheme="minorHAnsi"/>
        </w:rPr>
        <w:t>. (Accessed: July 28, 2023).</w:t>
      </w:r>
    </w:p>
    <w:p w14:paraId="563F5249" w14:textId="10AD277A" w:rsidR="005A1F1F"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Action Fraud (2018). "£28 million lost by cybercrime victims." Available at https://actionfraud.police.uk/news/£28-million-lost-by-cyber-crime-victims-jul19 </w:t>
      </w:r>
      <w:r w:rsidR="004C62B2">
        <w:rPr>
          <w:rFonts w:asciiTheme="minorHAnsi" w:hAnsiTheme="minorHAnsi" w:cstheme="minorHAnsi"/>
        </w:rPr>
        <w:t xml:space="preserve">(Accessed: July 28, 2023). </w:t>
      </w:r>
    </w:p>
    <w:p w14:paraId="33734116" w14:textId="35BEB8E2" w:rsidR="00B232F5" w:rsidRPr="00B232F5" w:rsidRDefault="00B232F5" w:rsidP="00DE3BC7">
      <w:pPr>
        <w:pStyle w:val="NormalWeb"/>
        <w:spacing w:line="360" w:lineRule="auto"/>
        <w:rPr>
          <w:rFonts w:asciiTheme="minorHAnsi" w:hAnsiTheme="minorHAnsi" w:cstheme="minorHAnsi"/>
        </w:rPr>
      </w:pPr>
      <w:r w:rsidRPr="00B232F5">
        <w:rPr>
          <w:rFonts w:asciiTheme="minorHAnsi" w:hAnsiTheme="minorHAnsi" w:cstheme="minorHAnsi"/>
          <w:color w:val="222222"/>
          <w:shd w:val="clear" w:color="auto" w:fill="FFFFFF"/>
        </w:rPr>
        <w:t xml:space="preserve">Arora, B., 2016. Exploring and </w:t>
      </w:r>
      <w:r w:rsidR="004C62B2" w:rsidRPr="00B232F5">
        <w:rPr>
          <w:rFonts w:asciiTheme="minorHAnsi" w:hAnsiTheme="minorHAnsi" w:cstheme="minorHAnsi"/>
          <w:color w:val="222222"/>
          <w:shd w:val="clear" w:color="auto" w:fill="FFFFFF"/>
        </w:rPr>
        <w:t>analysing</w:t>
      </w:r>
      <w:r w:rsidRPr="00B232F5">
        <w:rPr>
          <w:rFonts w:asciiTheme="minorHAnsi" w:hAnsiTheme="minorHAnsi" w:cstheme="minorHAnsi"/>
          <w:color w:val="222222"/>
          <w:shd w:val="clear" w:color="auto" w:fill="FFFFFF"/>
        </w:rPr>
        <w:t xml:space="preserve"> Internet crimes and their behaviours. </w:t>
      </w:r>
      <w:r w:rsidRPr="00B232F5">
        <w:rPr>
          <w:rFonts w:asciiTheme="minorHAnsi" w:hAnsiTheme="minorHAnsi" w:cstheme="minorHAnsi"/>
          <w:i/>
          <w:iCs/>
          <w:color w:val="222222"/>
          <w:shd w:val="clear" w:color="auto" w:fill="FFFFFF"/>
        </w:rPr>
        <w:t>Perspectives in Science</w:t>
      </w:r>
      <w:r w:rsidRPr="00B232F5">
        <w:rPr>
          <w:rFonts w:asciiTheme="minorHAnsi" w:hAnsiTheme="minorHAnsi" w:cstheme="minorHAnsi"/>
          <w:color w:val="222222"/>
          <w:shd w:val="clear" w:color="auto" w:fill="FFFFFF"/>
        </w:rPr>
        <w:t>, </w:t>
      </w:r>
      <w:r w:rsidRPr="00B232F5">
        <w:rPr>
          <w:rFonts w:asciiTheme="minorHAnsi" w:hAnsiTheme="minorHAnsi" w:cstheme="minorHAnsi"/>
          <w:i/>
          <w:iCs/>
          <w:color w:val="222222"/>
          <w:shd w:val="clear" w:color="auto" w:fill="FFFFFF"/>
        </w:rPr>
        <w:t>8</w:t>
      </w:r>
      <w:r w:rsidRPr="00B232F5">
        <w:rPr>
          <w:rFonts w:asciiTheme="minorHAnsi" w:hAnsiTheme="minorHAnsi" w:cstheme="minorHAnsi"/>
          <w:color w:val="222222"/>
          <w:shd w:val="clear" w:color="auto" w:fill="FFFFFF"/>
        </w:rPr>
        <w:t>, pp.540-542.</w:t>
      </w:r>
      <w:r w:rsidR="003107AB">
        <w:rPr>
          <w:rFonts w:asciiTheme="minorHAnsi" w:hAnsiTheme="minorHAnsi" w:cstheme="minorHAnsi"/>
          <w:color w:val="222222"/>
          <w:shd w:val="clear" w:color="auto" w:fill="FFFFFF"/>
        </w:rPr>
        <w:t xml:space="preserve"> </w:t>
      </w:r>
      <w:r w:rsidR="004C62B2">
        <w:rPr>
          <w:rFonts w:asciiTheme="minorHAnsi" w:hAnsiTheme="minorHAnsi" w:cstheme="minorHAnsi"/>
          <w:color w:val="222222"/>
          <w:shd w:val="clear" w:color="auto" w:fill="FFFFFF"/>
        </w:rPr>
        <w:t>(</w:t>
      </w:r>
      <w:r w:rsidR="003107AB">
        <w:rPr>
          <w:rFonts w:asciiTheme="minorHAnsi" w:hAnsiTheme="minorHAnsi" w:cstheme="minorHAnsi"/>
          <w:color w:val="222222"/>
          <w:shd w:val="clear" w:color="auto" w:fill="FFFFFF"/>
        </w:rPr>
        <w:t>Accessed</w:t>
      </w:r>
      <w:r w:rsidR="004C62B2">
        <w:rPr>
          <w:rFonts w:asciiTheme="minorHAnsi" w:hAnsiTheme="minorHAnsi" w:cstheme="minorHAnsi"/>
          <w:color w:val="222222"/>
          <w:shd w:val="clear" w:color="auto" w:fill="FFFFFF"/>
        </w:rPr>
        <w:t xml:space="preserve">: November 8, 2023). </w:t>
      </w:r>
    </w:p>
    <w:p w14:paraId="5644AE22" w14:textId="5F4AA0CC"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Bossler, A.M., Holt, T.J., Cross, C., et al (2019). "Policing fraud in England and Wales: examining constables’ and sergeants’ online fraud preparedness." </w:t>
      </w:r>
      <w:r w:rsidRPr="00474B56">
        <w:rPr>
          <w:rFonts w:asciiTheme="minorHAnsi" w:hAnsiTheme="minorHAnsi" w:cstheme="minorHAnsi"/>
          <w:i/>
          <w:iCs/>
        </w:rPr>
        <w:t>Security Journal</w:t>
      </w:r>
      <w:r w:rsidRPr="00DE3BC7">
        <w:rPr>
          <w:rFonts w:asciiTheme="minorHAnsi" w:hAnsiTheme="minorHAnsi" w:cstheme="minorHAnsi"/>
        </w:rPr>
        <w:t xml:space="preserve">, 33, 1–18. </w:t>
      </w:r>
      <w:r w:rsidR="004C62B2">
        <w:rPr>
          <w:rFonts w:asciiTheme="minorHAnsi" w:hAnsiTheme="minorHAnsi" w:cstheme="minorHAnsi"/>
        </w:rPr>
        <w:t xml:space="preserve">(Accessed: August 12, 2023). </w:t>
      </w:r>
    </w:p>
    <w:p w14:paraId="23D9329C" w14:textId="7F40EB0F"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Choo, K., &amp; Smith, R</w:t>
      </w:r>
      <w:r w:rsidR="000D5E17">
        <w:rPr>
          <w:rFonts w:asciiTheme="minorHAnsi" w:hAnsiTheme="minorHAnsi" w:cstheme="minorHAnsi"/>
        </w:rPr>
        <w:t>.</w:t>
      </w:r>
      <w:r>
        <w:rPr>
          <w:rFonts w:asciiTheme="minorHAnsi" w:hAnsiTheme="minorHAnsi" w:cstheme="minorHAnsi"/>
        </w:rPr>
        <w:t xml:space="preserve"> </w:t>
      </w:r>
      <w:r w:rsidRPr="00DE3BC7">
        <w:rPr>
          <w:rFonts w:asciiTheme="minorHAnsi" w:hAnsiTheme="minorHAnsi" w:cstheme="minorHAnsi"/>
        </w:rPr>
        <w:t xml:space="preserve">(2008). "Criminal exploitation of online systems by organised crime groups." </w:t>
      </w:r>
      <w:r w:rsidRPr="00474B56">
        <w:rPr>
          <w:rFonts w:asciiTheme="minorHAnsi" w:hAnsiTheme="minorHAnsi" w:cstheme="minorHAnsi"/>
          <w:i/>
          <w:iCs/>
        </w:rPr>
        <w:t>Australian Institute of Criminology</w:t>
      </w:r>
      <w:r w:rsidRPr="00DE3BC7">
        <w:rPr>
          <w:rFonts w:asciiTheme="minorHAnsi" w:hAnsiTheme="minorHAnsi" w:cstheme="minorHAnsi"/>
        </w:rPr>
        <w:t xml:space="preserve">. Available at https://www.aic.gov.au/publications/tandi/tandi350 </w:t>
      </w:r>
      <w:r w:rsidR="004C62B2">
        <w:rPr>
          <w:rFonts w:asciiTheme="minorHAnsi" w:hAnsiTheme="minorHAnsi" w:cstheme="minorHAnsi"/>
        </w:rPr>
        <w:t>(</w:t>
      </w:r>
      <w:r w:rsidRPr="00DE3BC7">
        <w:rPr>
          <w:rFonts w:asciiTheme="minorHAnsi" w:hAnsiTheme="minorHAnsi" w:cstheme="minorHAnsi"/>
        </w:rPr>
        <w:t>Accessed: August 16, 2023</w:t>
      </w:r>
      <w:r w:rsidR="004C62B2">
        <w:rPr>
          <w:rFonts w:asciiTheme="minorHAnsi" w:hAnsiTheme="minorHAnsi" w:cstheme="minorHAnsi"/>
        </w:rPr>
        <w:t>).</w:t>
      </w:r>
    </w:p>
    <w:p w14:paraId="5E773F7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College of Policing</w:t>
      </w:r>
      <w:r>
        <w:rPr>
          <w:rFonts w:asciiTheme="minorHAnsi" w:hAnsiTheme="minorHAnsi" w:cstheme="minorHAnsi"/>
        </w:rPr>
        <w:t xml:space="preserve"> </w:t>
      </w:r>
      <w:r w:rsidRPr="00DE3BC7">
        <w:rPr>
          <w:rFonts w:asciiTheme="minorHAnsi" w:hAnsiTheme="minorHAnsi" w:cstheme="minorHAnsi"/>
        </w:rPr>
        <w:t>(2020). "Investigation Process." Retrieved from: https://www.app.college.police.uk/app-content/investigations/investigation-process (Accessed: May 27, 2023).</w:t>
      </w:r>
    </w:p>
    <w:p w14:paraId="1FCBC727"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Computer Misuse Act (1990)</w:t>
      </w:r>
      <w:r>
        <w:rPr>
          <w:rFonts w:asciiTheme="minorHAnsi" w:hAnsiTheme="minorHAnsi" w:cstheme="minorHAnsi"/>
        </w:rPr>
        <w:t>.</w:t>
      </w:r>
      <w:r w:rsidRPr="00DE3BC7">
        <w:rPr>
          <w:rFonts w:asciiTheme="minorHAnsi" w:hAnsiTheme="minorHAnsi" w:cstheme="minorHAnsi"/>
        </w:rPr>
        <w:t xml:space="preserve"> Available at Legislation.gov.uk/ukpga/1990/18/contents/ (Accessed: August 17, 2023).</w:t>
      </w:r>
    </w:p>
    <w:p w14:paraId="67A3D8BD"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lastRenderedPageBreak/>
        <w:t>CPS legal guidance on theft act offences (2019). Available at https://www.cps.gov.uk/legal-guidance/theft-act-offences (Accessed: August 16, 2023).</w:t>
      </w:r>
    </w:p>
    <w:p w14:paraId="13BEC5F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Custers, B</w:t>
      </w:r>
      <w:r>
        <w:rPr>
          <w:rFonts w:asciiTheme="minorHAnsi" w:hAnsiTheme="minorHAnsi" w:cstheme="minorHAnsi"/>
        </w:rPr>
        <w:t xml:space="preserve"> </w:t>
      </w:r>
      <w:r w:rsidRPr="00DE3BC7">
        <w:rPr>
          <w:rFonts w:asciiTheme="minorHAnsi" w:hAnsiTheme="minorHAnsi" w:cstheme="minorHAnsi"/>
        </w:rPr>
        <w:t xml:space="preserve">(2018). "The Future of Cybercrime and Cyberterrorism: With an International Perspective." </w:t>
      </w:r>
      <w:r w:rsidRPr="00AB32EE">
        <w:rPr>
          <w:rFonts w:asciiTheme="minorHAnsi" w:hAnsiTheme="minorHAnsi" w:cstheme="minorHAnsi"/>
          <w:i/>
          <w:iCs/>
        </w:rPr>
        <w:t>Wolf Legal Publishers</w:t>
      </w:r>
      <w:r w:rsidRPr="00DE3BC7">
        <w:rPr>
          <w:rFonts w:asciiTheme="minorHAnsi" w:hAnsiTheme="minorHAnsi" w:cstheme="minorHAnsi"/>
        </w:rPr>
        <w:t>. (Accessed: August 12, 2023).</w:t>
      </w:r>
    </w:p>
    <w:p w14:paraId="18BE7A5E"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Easton, S (2014). "Crime and Justice." </w:t>
      </w:r>
      <w:r w:rsidRPr="00AB32EE">
        <w:rPr>
          <w:rFonts w:asciiTheme="minorHAnsi" w:hAnsiTheme="minorHAnsi" w:cstheme="minorHAnsi"/>
          <w:i/>
          <w:iCs/>
        </w:rPr>
        <w:t>Oxford University Press</w:t>
      </w:r>
      <w:r w:rsidRPr="00DE3BC7">
        <w:rPr>
          <w:rFonts w:asciiTheme="minorHAnsi" w:hAnsiTheme="minorHAnsi" w:cstheme="minorHAnsi"/>
        </w:rPr>
        <w:t>. (Accessed: August 12, 2023).</w:t>
      </w:r>
    </w:p>
    <w:p w14:paraId="5E691A80"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Finklea, K., &amp; Theohary, C (2015). "Cybercrime: Conceptual Issues for Congress and the U.S. Law Enforcement." </w:t>
      </w:r>
      <w:r w:rsidRPr="0098696B">
        <w:rPr>
          <w:rFonts w:asciiTheme="minorHAnsi" w:hAnsiTheme="minorHAnsi" w:cstheme="minorHAnsi"/>
          <w:i/>
          <w:iCs/>
        </w:rPr>
        <w:t>Congressional Research Service.</w:t>
      </w:r>
      <w:r w:rsidRPr="00DE3BC7">
        <w:rPr>
          <w:rFonts w:asciiTheme="minorHAnsi" w:hAnsiTheme="minorHAnsi" w:cstheme="minorHAnsi"/>
        </w:rPr>
        <w:t xml:space="preserve"> Available at https://fas.org.sgo/crs/misc/r42547.pdf. (Accessed: July 19, 2023).</w:t>
      </w:r>
    </w:p>
    <w:p w14:paraId="012A7CBE"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Gogolin, G. Jones (2010). "Law enforcement's ability to deal with digital crime and the implications for business." </w:t>
      </w:r>
      <w:r w:rsidRPr="0098696B">
        <w:rPr>
          <w:rFonts w:asciiTheme="minorHAnsi" w:hAnsiTheme="minorHAnsi" w:cstheme="minorHAnsi"/>
          <w:i/>
          <w:iCs/>
        </w:rPr>
        <w:t>Information Security Journal: A Global Perspective,</w:t>
      </w:r>
      <w:r w:rsidRPr="00DE3BC7">
        <w:rPr>
          <w:rFonts w:asciiTheme="minorHAnsi" w:hAnsiTheme="minorHAnsi" w:cstheme="minorHAnsi"/>
        </w:rPr>
        <w:t xml:space="preserve"> 19(3), 109–117. (Accessed: August 12, 2023).</w:t>
      </w:r>
    </w:p>
    <w:p w14:paraId="56002923"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Goodman, M.D., Brenner, S.W (2002). "The emerging consensus on criminal conduct in cyberspace." </w:t>
      </w:r>
      <w:r w:rsidRPr="0098696B">
        <w:rPr>
          <w:rFonts w:asciiTheme="minorHAnsi" w:hAnsiTheme="minorHAnsi" w:cstheme="minorHAnsi"/>
          <w:i/>
          <w:iCs/>
        </w:rPr>
        <w:t>International Journal of Law and Information Technology,</w:t>
      </w:r>
      <w:r w:rsidRPr="00DE3BC7">
        <w:rPr>
          <w:rFonts w:asciiTheme="minorHAnsi" w:hAnsiTheme="minorHAnsi" w:cstheme="minorHAnsi"/>
        </w:rPr>
        <w:t xml:space="preserve"> 10(2), 139–223. (Accessed: July 16, 2023).</w:t>
      </w:r>
    </w:p>
    <w:p w14:paraId="5F3712A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HM Government</w:t>
      </w:r>
      <w:r>
        <w:rPr>
          <w:rFonts w:asciiTheme="minorHAnsi" w:hAnsiTheme="minorHAnsi" w:cstheme="minorHAnsi"/>
        </w:rPr>
        <w:t xml:space="preserve"> </w:t>
      </w:r>
      <w:r w:rsidRPr="00DE3BC7">
        <w:rPr>
          <w:rFonts w:asciiTheme="minorHAnsi" w:hAnsiTheme="minorHAnsi" w:cstheme="minorHAnsi"/>
        </w:rPr>
        <w:t xml:space="preserve">(2016). "National Cyber Security Strategy 2016-2021." </w:t>
      </w:r>
      <w:r w:rsidRPr="0098696B">
        <w:rPr>
          <w:rFonts w:asciiTheme="minorHAnsi" w:hAnsiTheme="minorHAnsi" w:cstheme="minorHAnsi"/>
          <w:i/>
          <w:iCs/>
        </w:rPr>
        <w:t>London.</w:t>
      </w:r>
      <w:r w:rsidRPr="00DE3BC7">
        <w:rPr>
          <w:rFonts w:asciiTheme="minorHAnsi" w:hAnsiTheme="minorHAnsi" w:cstheme="minorHAnsi"/>
        </w:rPr>
        <w:t xml:space="preserve"> (Accessed: 29 August 2023).</w:t>
      </w:r>
    </w:p>
    <w:p w14:paraId="5ED4A940"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HMIC: Her Majesty’s Inspectorate of Constabulary (2015). "Real lives, real crimes: a study of digital crime and policing." </w:t>
      </w:r>
      <w:r w:rsidRPr="0098696B">
        <w:rPr>
          <w:rFonts w:asciiTheme="minorHAnsi" w:hAnsiTheme="minorHAnsi" w:cstheme="minorHAnsi"/>
          <w:i/>
          <w:iCs/>
        </w:rPr>
        <w:t>London</w:t>
      </w:r>
      <w:r>
        <w:rPr>
          <w:rFonts w:asciiTheme="minorHAnsi" w:hAnsiTheme="minorHAnsi" w:cstheme="minorHAnsi"/>
          <w:i/>
          <w:iCs/>
        </w:rPr>
        <w:t>.</w:t>
      </w:r>
      <w:r w:rsidRPr="00DE3BC7">
        <w:rPr>
          <w:rFonts w:asciiTheme="minorHAnsi" w:hAnsiTheme="minorHAnsi" w:cstheme="minorHAnsi"/>
        </w:rPr>
        <w:t xml:space="preserve"> (Accessed: August 17, 2023).</w:t>
      </w:r>
    </w:p>
    <w:p w14:paraId="1F6DE8C0" w14:textId="0B2DB39C"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Horsman, G</w:t>
      </w:r>
      <w:r w:rsidR="000D5E17">
        <w:rPr>
          <w:rFonts w:asciiTheme="minorHAnsi" w:hAnsiTheme="minorHAnsi" w:cstheme="minorHAnsi"/>
        </w:rPr>
        <w:t>.</w:t>
      </w:r>
      <w:r w:rsidRPr="00DE3BC7">
        <w:rPr>
          <w:rFonts w:asciiTheme="minorHAnsi" w:hAnsiTheme="minorHAnsi" w:cstheme="minorHAnsi"/>
        </w:rPr>
        <w:t xml:space="preserve"> (2020). "ACPO Principles for Digital Evidence: Time for an Update." </w:t>
      </w:r>
      <w:r w:rsidRPr="00EF5169">
        <w:rPr>
          <w:rFonts w:asciiTheme="minorHAnsi" w:hAnsiTheme="minorHAnsi" w:cstheme="minorHAnsi"/>
          <w:i/>
          <w:iCs/>
        </w:rPr>
        <w:t>Forensic Science International: Reports</w:t>
      </w:r>
      <w:r w:rsidRPr="00DE3BC7">
        <w:rPr>
          <w:rFonts w:asciiTheme="minorHAnsi" w:hAnsiTheme="minorHAnsi" w:cstheme="minorHAnsi"/>
        </w:rPr>
        <w:t>, 2. Available at https://www.scienceidrect.com/science/article/pii/s2665910720300220# (Accessed: August 29, 2023).</w:t>
      </w:r>
    </w:p>
    <w:p w14:paraId="5686C1D3" w14:textId="0255081E"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NPCC: National Police Chief Council</w:t>
      </w:r>
      <w:r>
        <w:rPr>
          <w:rFonts w:asciiTheme="minorHAnsi" w:hAnsiTheme="minorHAnsi" w:cstheme="minorHAnsi"/>
        </w:rPr>
        <w:t xml:space="preserve"> </w:t>
      </w:r>
      <w:r w:rsidRPr="00DE3BC7">
        <w:rPr>
          <w:rFonts w:asciiTheme="minorHAnsi" w:hAnsiTheme="minorHAnsi" w:cstheme="minorHAnsi"/>
        </w:rPr>
        <w:t xml:space="preserve">(2020). "Digital forensics science strategy." Available at: https://www.npcc.police.uk/FreedomofInformation/Reportsreviewsandresponsestoconsultations.aspx (Accessed: </w:t>
      </w:r>
      <w:r w:rsidR="004C62B2">
        <w:rPr>
          <w:rFonts w:asciiTheme="minorHAnsi" w:hAnsiTheme="minorHAnsi" w:cstheme="minorHAnsi"/>
        </w:rPr>
        <w:t>July 21,</w:t>
      </w:r>
      <w:r w:rsidRPr="00DE3BC7">
        <w:rPr>
          <w:rFonts w:asciiTheme="minorHAnsi" w:hAnsiTheme="minorHAnsi" w:cstheme="minorHAnsi"/>
        </w:rPr>
        <w:t xml:space="preserve"> 2023).</w:t>
      </w:r>
    </w:p>
    <w:p w14:paraId="0AC69EB6" w14:textId="13250E04"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lastRenderedPageBreak/>
        <w:t>ONS (2018). "Crime in England and Wales: Additional Tables on Fraud and Cybercrime, Office for National Statistics." Available at: https://www.ons.gov.uk/peoplepopulationandcommunity/crimeandjustice/datasets/crimeenglandandwanlesexperimentaltables (Accessed</w:t>
      </w:r>
      <w:r w:rsidR="004C62B2">
        <w:rPr>
          <w:rFonts w:asciiTheme="minorHAnsi" w:hAnsiTheme="minorHAnsi" w:cstheme="minorHAnsi"/>
        </w:rPr>
        <w:t>:</w:t>
      </w:r>
      <w:r w:rsidRPr="00DE3BC7">
        <w:rPr>
          <w:rFonts w:asciiTheme="minorHAnsi" w:hAnsiTheme="minorHAnsi" w:cstheme="minorHAnsi"/>
        </w:rPr>
        <w:t xml:space="preserve"> July 17, 2023).</w:t>
      </w:r>
    </w:p>
    <w:p w14:paraId="00C3648B"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PACE (1984). Available at: Legislation.gov.uk, https://www.legislation.gov.uk/ukpga/1984/60/contents.</w:t>
      </w:r>
    </w:p>
    <w:p w14:paraId="62F4D35A" w14:textId="0F975BE4"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PDS and NPTC</w:t>
      </w:r>
      <w:r>
        <w:rPr>
          <w:rFonts w:asciiTheme="minorHAnsi" w:hAnsiTheme="minorHAnsi" w:cstheme="minorHAnsi"/>
        </w:rPr>
        <w:t xml:space="preserve"> </w:t>
      </w:r>
      <w:r w:rsidRPr="00DE3BC7">
        <w:rPr>
          <w:rFonts w:asciiTheme="minorHAnsi" w:hAnsiTheme="minorHAnsi" w:cstheme="minorHAnsi"/>
        </w:rPr>
        <w:t xml:space="preserve">(2020). "National Policing Digital Strategy 2020–2030: Digital, Data, and Technology Strategy," co-authored by the </w:t>
      </w:r>
      <w:r w:rsidRPr="00876C85">
        <w:rPr>
          <w:rFonts w:asciiTheme="minorHAnsi" w:hAnsiTheme="minorHAnsi" w:cstheme="minorHAnsi"/>
          <w:i/>
          <w:iCs/>
        </w:rPr>
        <w:t>Police Digital Service</w:t>
      </w:r>
      <w:r w:rsidRPr="00DE3BC7">
        <w:rPr>
          <w:rFonts w:asciiTheme="minorHAnsi" w:hAnsiTheme="minorHAnsi" w:cstheme="minorHAnsi"/>
        </w:rPr>
        <w:t xml:space="preserve"> and the </w:t>
      </w:r>
      <w:r w:rsidRPr="00876C85">
        <w:rPr>
          <w:rFonts w:asciiTheme="minorHAnsi" w:hAnsiTheme="minorHAnsi" w:cstheme="minorHAnsi"/>
          <w:i/>
          <w:iCs/>
        </w:rPr>
        <w:t>National Police Technology Council</w:t>
      </w:r>
      <w:r w:rsidRPr="00DE3BC7">
        <w:rPr>
          <w:rFonts w:asciiTheme="minorHAnsi" w:hAnsiTheme="minorHAnsi" w:cstheme="minorHAnsi"/>
        </w:rPr>
        <w:t>. Available at https://pds.police.uk/wp-content/uploads/2020/01/National-Policing-Digital-Strategy-2020-2030.pdf (Accessed</w:t>
      </w:r>
      <w:r w:rsidR="004C62B2">
        <w:rPr>
          <w:rFonts w:asciiTheme="minorHAnsi" w:hAnsiTheme="minorHAnsi" w:cstheme="minorHAnsi"/>
        </w:rPr>
        <w:t>:</w:t>
      </w:r>
      <w:r w:rsidRPr="00DE3BC7">
        <w:rPr>
          <w:rFonts w:asciiTheme="minorHAnsi" w:hAnsiTheme="minorHAnsi" w:cstheme="minorHAnsi"/>
        </w:rPr>
        <w:t xml:space="preserve"> August 29, 2023).</w:t>
      </w:r>
    </w:p>
    <w:p w14:paraId="655D2000" w14:textId="3CACF94B"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Ratcliffe, J. (2008). "Intelligence-led policing." </w:t>
      </w:r>
      <w:r w:rsidRPr="002177EF">
        <w:rPr>
          <w:rFonts w:asciiTheme="minorHAnsi" w:hAnsiTheme="minorHAnsi" w:cstheme="minorHAnsi"/>
          <w:i/>
          <w:iCs/>
        </w:rPr>
        <w:t>Willan Pub.</w:t>
      </w:r>
      <w:r w:rsidRPr="00DE3BC7">
        <w:rPr>
          <w:rFonts w:asciiTheme="minorHAnsi" w:hAnsiTheme="minorHAnsi" w:cstheme="minorHAnsi"/>
        </w:rPr>
        <w:t xml:space="preserve"> Available at https://www.worldcat.org/title/intelligence-led-policing/oclc/262887018. (Accessed</w:t>
      </w:r>
      <w:r w:rsidR="004C62B2">
        <w:rPr>
          <w:rFonts w:asciiTheme="minorHAnsi" w:hAnsiTheme="minorHAnsi" w:cstheme="minorHAnsi"/>
        </w:rPr>
        <w:t>:</w:t>
      </w:r>
      <w:r w:rsidRPr="00DE3BC7">
        <w:rPr>
          <w:rFonts w:asciiTheme="minorHAnsi" w:hAnsiTheme="minorHAnsi" w:cstheme="minorHAnsi"/>
        </w:rPr>
        <w:t xml:space="preserve"> July 19, 2023).</w:t>
      </w:r>
    </w:p>
    <w:p w14:paraId="40A1926A" w14:textId="0ED2A2C8"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Tanczer, L., I. Steenmans, I. Brass, and M. Carr (2018). "Interconnected World: Emerging Risks and Opportunities on the Internet of Things (IoT)." </w:t>
      </w:r>
      <w:r w:rsidRPr="001F2B56">
        <w:rPr>
          <w:rFonts w:asciiTheme="minorHAnsi" w:hAnsiTheme="minorHAnsi" w:cstheme="minorHAnsi"/>
          <w:i/>
          <w:iCs/>
        </w:rPr>
        <w:t xml:space="preserve">London: </w:t>
      </w:r>
      <w:r w:rsidR="00E34014" w:rsidRPr="001F2B56">
        <w:rPr>
          <w:rFonts w:asciiTheme="minorHAnsi" w:hAnsiTheme="minorHAnsi" w:cstheme="minorHAnsi"/>
          <w:i/>
          <w:iCs/>
        </w:rPr>
        <w:t>Lloyds</w:t>
      </w:r>
      <w:r w:rsidRPr="001F2B56">
        <w:rPr>
          <w:rFonts w:asciiTheme="minorHAnsi" w:hAnsiTheme="minorHAnsi" w:cstheme="minorHAnsi"/>
          <w:i/>
          <w:iCs/>
        </w:rPr>
        <w:t xml:space="preserve"> of London.</w:t>
      </w:r>
      <w:r w:rsidRPr="00DE3BC7">
        <w:rPr>
          <w:rFonts w:asciiTheme="minorHAnsi" w:hAnsiTheme="minorHAnsi" w:cstheme="minorHAnsi"/>
        </w:rPr>
        <w:t xml:space="preserve"> (Accessed: July 19, 2023).</w:t>
      </w:r>
    </w:p>
    <w:p w14:paraId="117AD45D" w14:textId="52E48651"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Thomas, D., and Loader, B (2000). "Cybercrime: law enforcement, security, and surveillance in the information age." </w:t>
      </w:r>
      <w:r w:rsidRPr="00465CA4">
        <w:rPr>
          <w:rFonts w:asciiTheme="minorHAnsi" w:hAnsiTheme="minorHAnsi" w:cstheme="minorHAnsi"/>
          <w:i/>
          <w:iCs/>
        </w:rPr>
        <w:t>Routledge, London. Journal of Social Policy,</w:t>
      </w:r>
      <w:r w:rsidRPr="00DE3BC7">
        <w:rPr>
          <w:rFonts w:asciiTheme="minorHAnsi" w:hAnsiTheme="minorHAnsi" w:cstheme="minorHAnsi"/>
        </w:rPr>
        <w:t xml:space="preserve"> 30(1), 149–188 (Accessed</w:t>
      </w:r>
      <w:r w:rsidR="004C62B2">
        <w:rPr>
          <w:rFonts w:asciiTheme="minorHAnsi" w:hAnsiTheme="minorHAnsi" w:cstheme="minorHAnsi"/>
        </w:rPr>
        <w:t>:</w:t>
      </w:r>
      <w:r w:rsidRPr="00DE3BC7">
        <w:rPr>
          <w:rFonts w:asciiTheme="minorHAnsi" w:hAnsiTheme="minorHAnsi" w:cstheme="minorHAnsi"/>
        </w:rPr>
        <w:t xml:space="preserve"> July 19, 2023).</w:t>
      </w:r>
    </w:p>
    <w:p w14:paraId="30319DD2"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UK Government (2020). "Cybercrime: UK full report 2020." Available at https://www.gov.uk/government/statistics/cyber-crime-uk-full-report-2020. (Accessed August 16, 2023).</w:t>
      </w:r>
    </w:p>
    <w:p w14:paraId="7A80574E" w14:textId="2401A3A0"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Wall, D.S</w:t>
      </w:r>
      <w:r>
        <w:rPr>
          <w:rFonts w:asciiTheme="minorHAnsi" w:hAnsiTheme="minorHAnsi" w:cstheme="minorHAnsi"/>
        </w:rPr>
        <w:t xml:space="preserve"> </w:t>
      </w:r>
      <w:r w:rsidRPr="00DE3BC7">
        <w:rPr>
          <w:rFonts w:asciiTheme="minorHAnsi" w:hAnsiTheme="minorHAnsi" w:cstheme="minorHAnsi"/>
        </w:rPr>
        <w:t xml:space="preserve">(2007). "Policing Cybercrimes: Situating the Public Police in Networks of Security Within Cyberspace." </w:t>
      </w:r>
      <w:r w:rsidRPr="00C01EC7">
        <w:rPr>
          <w:rFonts w:asciiTheme="minorHAnsi" w:hAnsiTheme="minorHAnsi" w:cstheme="minorHAnsi"/>
          <w:i/>
          <w:iCs/>
        </w:rPr>
        <w:t>Police Practice and Research,</w:t>
      </w:r>
      <w:r w:rsidRPr="00DE3BC7">
        <w:rPr>
          <w:rFonts w:asciiTheme="minorHAnsi" w:hAnsiTheme="minorHAnsi" w:cstheme="minorHAnsi"/>
        </w:rPr>
        <w:t xml:space="preserve"> 8(2), 183-205 (Accessed</w:t>
      </w:r>
      <w:r w:rsidR="004C62B2">
        <w:rPr>
          <w:rFonts w:asciiTheme="minorHAnsi" w:hAnsiTheme="minorHAnsi" w:cstheme="minorHAnsi"/>
        </w:rPr>
        <w:t>:</w:t>
      </w:r>
      <w:r w:rsidRPr="00DE3BC7">
        <w:rPr>
          <w:rFonts w:asciiTheme="minorHAnsi" w:hAnsiTheme="minorHAnsi" w:cstheme="minorHAnsi"/>
        </w:rPr>
        <w:t xml:space="preserve"> August 17, 2023).</w:t>
      </w:r>
    </w:p>
    <w:p w14:paraId="28A23942" w14:textId="6DEEEE90"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lastRenderedPageBreak/>
        <w:t xml:space="preserve">Whelan, C (2016). "Organisational culture and cultural change: A network perspective." </w:t>
      </w:r>
      <w:r w:rsidRPr="00CA2655">
        <w:rPr>
          <w:rFonts w:asciiTheme="minorHAnsi" w:hAnsiTheme="minorHAnsi" w:cstheme="minorHAnsi"/>
          <w:i/>
          <w:iCs/>
        </w:rPr>
        <w:t>Australian and New Zealand Journal of Criminology</w:t>
      </w:r>
      <w:r w:rsidRPr="00DE3BC7">
        <w:rPr>
          <w:rFonts w:asciiTheme="minorHAnsi" w:hAnsiTheme="minorHAnsi" w:cstheme="minorHAnsi"/>
        </w:rPr>
        <w:t>, 4(4), 583-699 (Accessed</w:t>
      </w:r>
      <w:r w:rsidR="004C62B2">
        <w:rPr>
          <w:rFonts w:asciiTheme="minorHAnsi" w:hAnsiTheme="minorHAnsi" w:cstheme="minorHAnsi"/>
        </w:rPr>
        <w:t>:</w:t>
      </w:r>
      <w:r w:rsidRPr="00DE3BC7">
        <w:rPr>
          <w:rFonts w:asciiTheme="minorHAnsi" w:hAnsiTheme="minorHAnsi" w:cstheme="minorHAnsi"/>
        </w:rPr>
        <w:t xml:space="preserve"> August 12,</w:t>
      </w:r>
      <w:r>
        <w:rPr>
          <w:rFonts w:asciiTheme="minorHAnsi" w:hAnsiTheme="minorHAnsi" w:cstheme="minorHAnsi"/>
        </w:rPr>
        <w:t xml:space="preserve"> </w:t>
      </w:r>
      <w:r w:rsidRPr="00DE3BC7">
        <w:rPr>
          <w:rFonts w:asciiTheme="minorHAnsi" w:hAnsiTheme="minorHAnsi" w:cstheme="minorHAnsi"/>
        </w:rPr>
        <w:t>2023).</w:t>
      </w:r>
    </w:p>
    <w:p w14:paraId="727B5E6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Wilson-Kovacs, D (2021). "Digital media investigators: challenges and opportunities in the use of digital forensics in police investigations in England and Wales." </w:t>
      </w:r>
      <w:r w:rsidRPr="00CA2655">
        <w:rPr>
          <w:rFonts w:asciiTheme="minorHAnsi" w:hAnsiTheme="minorHAnsi" w:cstheme="minorHAnsi"/>
          <w:i/>
          <w:iCs/>
        </w:rPr>
        <w:t>Policing,</w:t>
      </w:r>
      <w:r w:rsidRPr="00DE3BC7">
        <w:rPr>
          <w:rFonts w:asciiTheme="minorHAnsi" w:hAnsiTheme="minorHAnsi" w:cstheme="minorHAnsi"/>
        </w:rPr>
        <w:t xml:space="preserve"> 44(4), pp. 669–682. (Accessed: July 29, 2023).</w:t>
      </w:r>
    </w:p>
    <w:p w14:paraId="4396496C" w14:textId="77777777" w:rsidR="004A7B0A" w:rsidRDefault="004A7B0A" w:rsidP="008D425A">
      <w:pPr>
        <w:pStyle w:val="NormalWeb"/>
        <w:spacing w:line="360" w:lineRule="auto"/>
        <w:rPr>
          <w:rFonts w:cstheme="minorHAnsi"/>
          <w:color w:val="000000"/>
          <w:shd w:val="clear" w:color="auto" w:fill="FFFFFF"/>
        </w:rPr>
      </w:pPr>
    </w:p>
    <w:p w14:paraId="7000BAC0" w14:textId="77777777" w:rsidR="007065DD" w:rsidRDefault="007065DD" w:rsidP="008D425A">
      <w:pPr>
        <w:pStyle w:val="NormalWeb"/>
        <w:spacing w:line="360" w:lineRule="auto"/>
        <w:rPr>
          <w:rFonts w:cstheme="minorHAnsi"/>
          <w:color w:val="000000"/>
          <w:shd w:val="clear" w:color="auto" w:fill="FFFFFF"/>
        </w:rPr>
      </w:pPr>
    </w:p>
    <w:p w14:paraId="6BFBC356" w14:textId="77777777" w:rsidR="007065DD" w:rsidRDefault="007065DD" w:rsidP="008D425A">
      <w:pPr>
        <w:pStyle w:val="NormalWeb"/>
        <w:spacing w:line="360" w:lineRule="auto"/>
        <w:rPr>
          <w:rFonts w:cstheme="minorHAnsi"/>
          <w:color w:val="000000"/>
          <w:shd w:val="clear" w:color="auto" w:fill="FFFFFF"/>
        </w:rPr>
      </w:pPr>
    </w:p>
    <w:p w14:paraId="6ABE93ED" w14:textId="77777777" w:rsidR="007065DD" w:rsidRDefault="007065DD" w:rsidP="008D425A">
      <w:pPr>
        <w:pStyle w:val="NormalWeb"/>
        <w:spacing w:line="360" w:lineRule="auto"/>
        <w:rPr>
          <w:rFonts w:cstheme="minorHAnsi"/>
          <w:color w:val="000000"/>
          <w:shd w:val="clear" w:color="auto" w:fill="FFFFFF"/>
        </w:rPr>
      </w:pPr>
    </w:p>
    <w:p w14:paraId="5DB26391" w14:textId="77777777" w:rsidR="007065DD" w:rsidRDefault="007065DD" w:rsidP="008D425A">
      <w:pPr>
        <w:pStyle w:val="NormalWeb"/>
        <w:spacing w:line="360" w:lineRule="auto"/>
        <w:rPr>
          <w:rFonts w:cstheme="minorHAnsi"/>
          <w:color w:val="000000"/>
          <w:shd w:val="clear" w:color="auto" w:fill="FFFFFF"/>
        </w:rPr>
      </w:pPr>
    </w:p>
    <w:p w14:paraId="3C1C5E1D" w14:textId="77777777" w:rsidR="007065DD" w:rsidRDefault="007065DD" w:rsidP="008D425A">
      <w:pPr>
        <w:pStyle w:val="NormalWeb"/>
        <w:spacing w:line="360" w:lineRule="auto"/>
        <w:rPr>
          <w:rFonts w:cstheme="minorHAnsi"/>
          <w:color w:val="000000"/>
          <w:shd w:val="clear" w:color="auto" w:fill="FFFFFF"/>
        </w:rPr>
      </w:pPr>
    </w:p>
    <w:p w14:paraId="43414EBF" w14:textId="77777777" w:rsidR="007065DD" w:rsidRDefault="007065DD" w:rsidP="008D425A">
      <w:pPr>
        <w:pStyle w:val="NormalWeb"/>
        <w:spacing w:line="360" w:lineRule="auto"/>
        <w:rPr>
          <w:rFonts w:cstheme="minorHAnsi"/>
          <w:color w:val="000000"/>
          <w:shd w:val="clear" w:color="auto" w:fill="FFFFFF"/>
        </w:rPr>
      </w:pPr>
    </w:p>
    <w:p w14:paraId="56E7A207" w14:textId="77777777" w:rsidR="007065DD" w:rsidRDefault="007065DD" w:rsidP="008D425A">
      <w:pPr>
        <w:pStyle w:val="NormalWeb"/>
        <w:spacing w:line="360" w:lineRule="auto"/>
        <w:rPr>
          <w:rFonts w:cstheme="minorHAnsi"/>
          <w:color w:val="000000"/>
          <w:shd w:val="clear" w:color="auto" w:fill="FFFFFF"/>
        </w:rPr>
      </w:pPr>
    </w:p>
    <w:p w14:paraId="1CE0D479" w14:textId="77777777" w:rsidR="007065DD" w:rsidRDefault="007065DD" w:rsidP="008D425A">
      <w:pPr>
        <w:pStyle w:val="NormalWeb"/>
        <w:spacing w:line="360" w:lineRule="auto"/>
        <w:rPr>
          <w:rFonts w:cstheme="minorHAnsi"/>
          <w:color w:val="000000"/>
          <w:shd w:val="clear" w:color="auto" w:fill="FFFFFF"/>
        </w:rPr>
      </w:pPr>
    </w:p>
    <w:p w14:paraId="60019196" w14:textId="77777777" w:rsidR="007065DD" w:rsidRDefault="007065DD" w:rsidP="008D425A">
      <w:pPr>
        <w:pStyle w:val="NormalWeb"/>
        <w:spacing w:line="360" w:lineRule="auto"/>
        <w:rPr>
          <w:rFonts w:cstheme="minorHAnsi"/>
          <w:color w:val="000000"/>
          <w:shd w:val="clear" w:color="auto" w:fill="FFFFFF"/>
        </w:rPr>
      </w:pPr>
    </w:p>
    <w:p w14:paraId="70D3C756" w14:textId="77777777" w:rsidR="007065DD" w:rsidRDefault="007065DD" w:rsidP="008D425A">
      <w:pPr>
        <w:pStyle w:val="NormalWeb"/>
        <w:spacing w:line="360" w:lineRule="auto"/>
        <w:rPr>
          <w:rFonts w:cstheme="minorHAnsi"/>
          <w:color w:val="000000"/>
          <w:shd w:val="clear" w:color="auto" w:fill="FFFFFF"/>
        </w:rPr>
      </w:pPr>
    </w:p>
    <w:p w14:paraId="33E5631C" w14:textId="77777777" w:rsidR="007065DD" w:rsidRDefault="007065DD" w:rsidP="008D425A">
      <w:pPr>
        <w:pStyle w:val="NormalWeb"/>
        <w:spacing w:line="360" w:lineRule="auto"/>
        <w:rPr>
          <w:rFonts w:cstheme="minorHAnsi"/>
          <w:color w:val="000000"/>
          <w:shd w:val="clear" w:color="auto" w:fill="FFFFFF"/>
        </w:rPr>
      </w:pPr>
    </w:p>
    <w:p w14:paraId="6EDC3463" w14:textId="77777777" w:rsidR="007065DD" w:rsidRDefault="007065DD" w:rsidP="008D425A">
      <w:pPr>
        <w:pStyle w:val="NormalWeb"/>
        <w:spacing w:line="360" w:lineRule="auto"/>
        <w:rPr>
          <w:rFonts w:cstheme="minorHAnsi"/>
          <w:color w:val="000000"/>
          <w:shd w:val="clear" w:color="auto" w:fill="FFFFFF"/>
        </w:rPr>
      </w:pPr>
    </w:p>
    <w:p w14:paraId="7E76954A" w14:textId="77777777" w:rsidR="007065DD" w:rsidRDefault="007065DD" w:rsidP="008D425A">
      <w:pPr>
        <w:pStyle w:val="NormalWeb"/>
        <w:spacing w:line="360" w:lineRule="auto"/>
        <w:rPr>
          <w:rFonts w:cstheme="minorHAnsi"/>
          <w:color w:val="000000"/>
          <w:shd w:val="clear" w:color="auto" w:fill="FFFFFF"/>
        </w:rPr>
      </w:pPr>
    </w:p>
    <w:p w14:paraId="0A533EC7" w14:textId="77777777" w:rsidR="007065DD" w:rsidRDefault="007065DD" w:rsidP="008D425A">
      <w:pPr>
        <w:pStyle w:val="NormalWeb"/>
        <w:spacing w:line="360" w:lineRule="auto"/>
        <w:rPr>
          <w:rFonts w:cstheme="minorHAnsi"/>
          <w:color w:val="000000"/>
          <w:shd w:val="clear" w:color="auto" w:fill="FFFFFF"/>
        </w:rPr>
      </w:pPr>
    </w:p>
    <w:p w14:paraId="1B56F7EC" w14:textId="77777777" w:rsidR="007065DD" w:rsidRDefault="007065DD" w:rsidP="008D425A">
      <w:pPr>
        <w:pStyle w:val="NormalWeb"/>
        <w:spacing w:line="360" w:lineRule="auto"/>
        <w:rPr>
          <w:rFonts w:cstheme="minorHAnsi"/>
          <w:color w:val="000000"/>
          <w:shd w:val="clear" w:color="auto" w:fill="FFFFFF"/>
        </w:rPr>
      </w:pPr>
    </w:p>
    <w:p w14:paraId="1159F2FB" w14:textId="77777777" w:rsidR="007065DD" w:rsidRDefault="007065DD" w:rsidP="008D425A">
      <w:pPr>
        <w:pStyle w:val="NormalWeb"/>
        <w:spacing w:line="360" w:lineRule="auto"/>
        <w:rPr>
          <w:rFonts w:cstheme="minorHAnsi"/>
          <w:color w:val="000000"/>
          <w:shd w:val="clear" w:color="auto" w:fill="FFFFFF"/>
        </w:rPr>
      </w:pPr>
    </w:p>
    <w:p w14:paraId="0DAC6E4C" w14:textId="4B57A0F7" w:rsidR="005E49C0" w:rsidRPr="008D425A" w:rsidRDefault="005E49C0" w:rsidP="008D425A">
      <w:pPr>
        <w:pStyle w:val="NormalWeb"/>
        <w:spacing w:line="360" w:lineRule="auto"/>
        <w:rPr>
          <w:rFonts w:asciiTheme="minorHAnsi" w:hAnsiTheme="minorHAnsi" w:cstheme="minorHAnsi"/>
          <w:b/>
          <w:bCs/>
          <w:color w:val="000000"/>
          <w:u w:val="single"/>
          <w:shd w:val="clear" w:color="auto" w:fill="FFFFFF"/>
        </w:rPr>
      </w:pPr>
      <w:r w:rsidRPr="008D425A">
        <w:rPr>
          <w:rFonts w:asciiTheme="minorHAnsi" w:hAnsiTheme="minorHAnsi" w:cstheme="minorHAnsi"/>
          <w:b/>
          <w:bCs/>
          <w:color w:val="000000"/>
          <w:u w:val="single"/>
          <w:shd w:val="clear" w:color="auto" w:fill="FFFFFF"/>
        </w:rPr>
        <w:t>Assignment 3</w:t>
      </w:r>
      <w:r w:rsidR="005506A7">
        <w:rPr>
          <w:rFonts w:asciiTheme="minorHAnsi" w:hAnsiTheme="minorHAnsi" w:cstheme="minorHAnsi"/>
          <w:b/>
          <w:bCs/>
          <w:color w:val="000000"/>
          <w:u w:val="single"/>
          <w:shd w:val="clear" w:color="auto" w:fill="FFFFFF"/>
        </w:rPr>
        <w:t xml:space="preserve">: Covert Human Intelligence Sources. Critically evaluate the use of CHIS in the investigation of serious and organised crime. </w:t>
      </w:r>
    </w:p>
    <w:p w14:paraId="58C70E45" w14:textId="63EC09F0"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Covert Human Intelligence Sources (CHIS) play a pivotal role in numerous inquiries concerning serious and organised crime (SOC). Under Section 29 of the Regulation of Investigatory Powers Act 2000 (RIPA), this authorises the power of a CHIS to establish or maintain a relationship with a person for the covert purpose of an investigation, to covertly use a relationship with a person to obtain information to form a line of inquiry into an investigation and to disclose that information (Home Office 2021). These surveillance tools play a significant role in preventing and safeguarding victims and potential victims from criminal activity.</w:t>
      </w:r>
    </w:p>
    <w:p w14:paraId="677B567D" w14:textId="7146387E"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CHIS covers an array of intelligence, ranging from undercover officers to informants that are directly linked to criminal activity (Westera, Williamson, &amp; Rowe, 2017).  The main objective set out is their ability to infiltrate criminal groups and gain access to valuable information, which would normally be difficult to obtain through other methods of overt practice. Within the literature, most academic research highlights the importance of CHIS in combating serious and organised crime, but there are some conflicting arguments surrounding this based on the ethical and privacy complexities associated with these forms of surveillance to obtain information (Levi &amp; Maguire, 2004; Kruisbergen et al., 2017).</w:t>
      </w:r>
    </w:p>
    <w:p w14:paraId="01B1E90F" w14:textId="470234D6"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As previously mentioned, a CHIS can also use offenders themselves. An informant can use the assisting prosecutions legislation under the SOCPA (2005), under which an agreement can be made with the offender to secure evidence for the prosecution of others involved in criminal activity. This process can lead to securing vital evidence and infiltrating the OCG circle.</w:t>
      </w:r>
      <w:r w:rsidR="00B14F57">
        <w:rPr>
          <w:rFonts w:asciiTheme="minorHAnsi" w:hAnsiTheme="minorHAnsi" w:cstheme="minorHAnsi"/>
        </w:rPr>
        <w:t xml:space="preserve"> However, there is a risk associated with the interaction between the police and the criminal community because it can lead to unethical behaviour or even corruption (Crous, 2011). </w:t>
      </w:r>
    </w:p>
    <w:p w14:paraId="21468A4A" w14:textId="36ABFEC0"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An optimal way to critically evaluate CHIS in SOC investigations is by analysing recent cases. One example is an investigation into drug trafficking, weapons smuggling, and human </w:t>
      </w:r>
      <w:r w:rsidRPr="008D425A">
        <w:rPr>
          <w:rFonts w:asciiTheme="minorHAnsi" w:hAnsiTheme="minorHAnsi" w:cstheme="minorHAnsi"/>
        </w:rPr>
        <w:lastRenderedPageBreak/>
        <w:t xml:space="preserve">trafficking in 2018 within the UK. The operation was significantly aided by CHIS, who infiltrated their way into the criminal circle of the organised crime group to gather critical insight into the ongoing activity and subsequently gather the necessary evidence for the investigation (Europol, 2018). SOC poses a threat to both national and international security, and the role of CHIS within the UK has been seen as a key resource </w:t>
      </w:r>
      <w:r w:rsidR="000D5E17">
        <w:rPr>
          <w:rFonts w:asciiTheme="minorHAnsi" w:hAnsiTheme="minorHAnsi" w:cstheme="minorHAnsi"/>
        </w:rPr>
        <w:t>in</w:t>
      </w:r>
      <w:r w:rsidRPr="008D425A">
        <w:rPr>
          <w:rFonts w:asciiTheme="minorHAnsi" w:hAnsiTheme="minorHAnsi" w:cstheme="minorHAnsi"/>
        </w:rPr>
        <w:t xml:space="preserve"> combating these forms of criminal activity. In many cases, victims of these crimes are unwilling to report and support prosecution due to fear and intimidation from the perpetrators. In this instance, CHIS proves to be a successful resource as it can help the police understand the dynamics of the crimes taking place, allowing appropriate safeguarding measures for the victims (UK Legislation, 2015). Nevertheless, although CHIS plays a crucial role in safeguarding victims of SOC, this requires a multi-agency approach to fully support the victims. Moreover, the nature of these crimes often operates discretely, which makes it difficult for the police to detect and investigate. For example, human trafficking and drug smuggling can sometimes go unnoticed, so whereas conventional investigative techniques may not be as successful, the use of CHIS can provide invaluable insight into the ongoing activity.</w:t>
      </w:r>
    </w:p>
    <w:p w14:paraId="2A340850" w14:textId="15878E34" w:rsidR="00F04973" w:rsidRPr="008D425A" w:rsidRDefault="000D5E17" w:rsidP="008D425A">
      <w:pPr>
        <w:pStyle w:val="NormalWeb"/>
        <w:spacing w:line="360" w:lineRule="auto"/>
        <w:rPr>
          <w:rFonts w:asciiTheme="minorHAnsi" w:hAnsiTheme="minorHAnsi" w:cstheme="minorHAnsi"/>
        </w:rPr>
      </w:pPr>
      <w:r>
        <w:rPr>
          <w:rFonts w:asciiTheme="minorHAnsi" w:hAnsiTheme="minorHAnsi" w:cstheme="minorHAnsi"/>
        </w:rPr>
        <w:t>T</w:t>
      </w:r>
      <w:r w:rsidR="00F04973" w:rsidRPr="008D425A">
        <w:rPr>
          <w:rFonts w:asciiTheme="minorHAnsi" w:hAnsiTheme="minorHAnsi" w:cstheme="minorHAnsi"/>
        </w:rPr>
        <w:t>he literature (Nunan, 2020), highlights the importance of CHIS in providing reliable information and intelligence for the police in investigating SOC. Nunan (2020) outlines how CHIS can be considered a cost-effective method, and despite CHIS costing around £22 million between 2011 and 2016 in the UK, data gathered by the Home Office (2018) shows that this cost in comparison to the cost of certain crimes taking place is minor; fraud alone costs £4.7 billion.  Furthermore, the Home Office (2018</w:t>
      </w:r>
      <w:r w:rsidR="003B1CB0">
        <w:rPr>
          <w:rFonts w:asciiTheme="minorHAnsi" w:hAnsiTheme="minorHAnsi" w:cstheme="minorHAnsi"/>
        </w:rPr>
        <w:t>)</w:t>
      </w:r>
      <w:r w:rsidR="00F04973" w:rsidRPr="008D425A">
        <w:rPr>
          <w:rFonts w:asciiTheme="minorHAnsi" w:hAnsiTheme="minorHAnsi" w:cstheme="minorHAnsi"/>
        </w:rPr>
        <w:t xml:space="preserve"> </w:t>
      </w:r>
      <w:r>
        <w:rPr>
          <w:rFonts w:asciiTheme="minorHAnsi" w:hAnsiTheme="minorHAnsi" w:cstheme="minorHAnsi"/>
        </w:rPr>
        <w:t xml:space="preserve">and </w:t>
      </w:r>
      <w:r w:rsidR="00F04973" w:rsidRPr="008D425A">
        <w:rPr>
          <w:rFonts w:asciiTheme="minorHAnsi" w:hAnsiTheme="minorHAnsi" w:cstheme="minorHAnsi"/>
        </w:rPr>
        <w:t>Child Exploitation and Online Protection Centre (2020) suggest that CHIS operations within the area of London have led to 3</w:t>
      </w:r>
      <w:r>
        <w:rPr>
          <w:rFonts w:asciiTheme="minorHAnsi" w:hAnsiTheme="minorHAnsi" w:cstheme="minorHAnsi"/>
        </w:rPr>
        <w:t>,</w:t>
      </w:r>
      <w:r w:rsidR="00F04973" w:rsidRPr="008D425A">
        <w:rPr>
          <w:rFonts w:asciiTheme="minorHAnsi" w:hAnsiTheme="minorHAnsi" w:cstheme="minorHAnsi"/>
        </w:rPr>
        <w:t>500 arrests alone and have outlined a recent case study. In 2013, CHIS prevented an organised paedophile networ</w:t>
      </w:r>
      <w:r w:rsidR="003B1CB0">
        <w:rPr>
          <w:rFonts w:asciiTheme="minorHAnsi" w:hAnsiTheme="minorHAnsi" w:cstheme="minorHAnsi"/>
        </w:rPr>
        <w:t>k, where t</w:t>
      </w:r>
      <w:r w:rsidR="00F04973" w:rsidRPr="008D425A">
        <w:rPr>
          <w:rFonts w:asciiTheme="minorHAnsi" w:hAnsiTheme="minorHAnsi" w:cstheme="minorHAnsi"/>
        </w:rPr>
        <w:t>he information obtained by the CHIS led to the arrest of a man, who was subsequently remanded and received a lengthy custodial sentence.</w:t>
      </w:r>
    </w:p>
    <w:p w14:paraId="292F9DDC" w14:textId="0C9757B8"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However, Stanier &amp; Nunan (2018), like other relevant research discussed, outline how the role of CHIS does provide some negativity, mainly because of the sensitive nature and privacy aspect of obtaining information and intelligence. </w:t>
      </w:r>
      <w:r w:rsidR="00B14F57" w:rsidRPr="00B14F57">
        <w:rPr>
          <w:rFonts w:asciiTheme="minorHAnsi" w:hAnsiTheme="minorHAnsi" w:cstheme="minorHAnsi"/>
          <w:color w:val="333333"/>
          <w:shd w:val="clear" w:color="auto" w:fill="FFFFFF"/>
        </w:rPr>
        <w:t>Furthermore</w:t>
      </w:r>
      <w:r w:rsidRPr="00B14F57">
        <w:rPr>
          <w:rFonts w:asciiTheme="minorHAnsi" w:hAnsiTheme="minorHAnsi" w:cstheme="minorHAnsi"/>
        </w:rPr>
        <w:t>,</w:t>
      </w:r>
      <w:r w:rsidRPr="008D425A">
        <w:rPr>
          <w:rFonts w:asciiTheme="minorHAnsi" w:hAnsiTheme="minorHAnsi" w:cstheme="minorHAnsi"/>
        </w:rPr>
        <w:t xml:space="preserve"> the study conducted by Nunan (2020) outlines the relationship between call handlers within the police and CHIS. </w:t>
      </w:r>
      <w:r w:rsidRPr="008D425A">
        <w:rPr>
          <w:rFonts w:asciiTheme="minorHAnsi" w:hAnsiTheme="minorHAnsi" w:cstheme="minorHAnsi"/>
        </w:rPr>
        <w:lastRenderedPageBreak/>
        <w:t>The study outlines the importance of building rapport between the call handlers and CHIS in providing reliable intelligence</w:t>
      </w:r>
      <w:r w:rsidR="003B1CB0">
        <w:rPr>
          <w:rFonts w:asciiTheme="minorHAnsi" w:hAnsiTheme="minorHAnsi" w:cstheme="minorHAnsi"/>
        </w:rPr>
        <w:t xml:space="preserve">. </w:t>
      </w:r>
      <w:r w:rsidRPr="008D425A">
        <w:rPr>
          <w:rFonts w:asciiTheme="minorHAnsi" w:hAnsiTheme="minorHAnsi" w:cstheme="minorHAnsi"/>
        </w:rPr>
        <w:t>The study of 105 telephone interactions between call handlers and CHIS found that a more positive rapport significantly correlated with intelligence. This outlines the importance of a positive relationship with CHIS to maximise the potential of obtaining intelligence for an investigation.</w:t>
      </w:r>
    </w:p>
    <w:p w14:paraId="22C7CEA0" w14:textId="534AD9E9"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In recent times there ha</w:t>
      </w:r>
      <w:r w:rsidR="000D5E17">
        <w:rPr>
          <w:rFonts w:asciiTheme="minorHAnsi" w:hAnsiTheme="minorHAnsi" w:cstheme="minorHAnsi"/>
        </w:rPr>
        <w:t>ve</w:t>
      </w:r>
      <w:r w:rsidRPr="008D425A">
        <w:rPr>
          <w:rFonts w:asciiTheme="minorHAnsi" w:hAnsiTheme="minorHAnsi" w:cstheme="minorHAnsi"/>
        </w:rPr>
        <w:t xml:space="preserve"> been conflicting arguments in the use of juveniles as CHIS. The Covert Human Intelligence Act (2021) was introduced to allow children to act as CHIS for the police. This act allows the children to engage in criminal activity with no repercussions to enable the gathering of information and intelligence. This act has come under some scrutiny and a recent study by Arthur (2023) outlined the concerns raised by the charity Just for Kids Law. Concerns were addressed for the safeguarding of these children putting them at risk of emotional and physical harm and how we should not be encouraging children to engage in any form of criminal activity. (Hinton et</w:t>
      </w:r>
      <w:r w:rsidR="000D5E17">
        <w:rPr>
          <w:rFonts w:asciiTheme="minorHAnsi" w:hAnsiTheme="minorHAnsi" w:cstheme="minorHAnsi"/>
        </w:rPr>
        <w:t xml:space="preserve"> </w:t>
      </w:r>
      <w:r w:rsidRPr="008D425A">
        <w:rPr>
          <w:rFonts w:asciiTheme="minorHAnsi" w:hAnsiTheme="minorHAnsi" w:cstheme="minorHAnsi"/>
        </w:rPr>
        <w:t>al.,2021) also suggest there is evidence that engaging children in criminal activity ha</w:t>
      </w:r>
      <w:r w:rsidR="00C6627F">
        <w:rPr>
          <w:rFonts w:asciiTheme="minorHAnsi" w:hAnsiTheme="minorHAnsi" w:cstheme="minorHAnsi"/>
        </w:rPr>
        <w:t>rms</w:t>
      </w:r>
      <w:r w:rsidRPr="008D425A">
        <w:rPr>
          <w:rFonts w:asciiTheme="minorHAnsi" w:hAnsiTheme="minorHAnsi" w:cstheme="minorHAnsi"/>
        </w:rPr>
        <w:t xml:space="preserve"> that child’s expectations o</w:t>
      </w:r>
      <w:r w:rsidR="00C6627F">
        <w:rPr>
          <w:rFonts w:asciiTheme="minorHAnsi" w:hAnsiTheme="minorHAnsi" w:cstheme="minorHAnsi"/>
        </w:rPr>
        <w:t>f</w:t>
      </w:r>
      <w:r w:rsidRPr="008D425A">
        <w:rPr>
          <w:rFonts w:asciiTheme="minorHAnsi" w:hAnsiTheme="minorHAnsi" w:cstheme="minorHAnsi"/>
        </w:rPr>
        <w:t xml:space="preserve"> life.</w:t>
      </w:r>
    </w:p>
    <w:p w14:paraId="664E9176" w14:textId="2F123EA9"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Further</w:t>
      </w:r>
      <w:r w:rsidR="00C6627F">
        <w:rPr>
          <w:rFonts w:asciiTheme="minorHAnsi" w:hAnsiTheme="minorHAnsi" w:cstheme="minorHAnsi"/>
        </w:rPr>
        <w:t>,</w:t>
      </w:r>
      <w:r w:rsidRPr="008D425A">
        <w:rPr>
          <w:rFonts w:asciiTheme="minorHAnsi" w:hAnsiTheme="minorHAnsi" w:cstheme="minorHAnsi"/>
        </w:rPr>
        <w:t xml:space="preserve"> into the literature, (</w:t>
      </w:r>
      <w:r w:rsidR="003B1CB0">
        <w:rPr>
          <w:rFonts w:asciiTheme="minorHAnsi" w:hAnsiTheme="minorHAnsi" w:cstheme="minorHAnsi"/>
        </w:rPr>
        <w:t xml:space="preserve">Innes, </w:t>
      </w:r>
      <w:r w:rsidRPr="008D425A">
        <w:rPr>
          <w:rFonts w:asciiTheme="minorHAnsi" w:hAnsiTheme="minorHAnsi" w:cstheme="minorHAnsi"/>
        </w:rPr>
        <w:t>2000; Grizbovska, 2022) suggests covert techniques can potentially have a damaging effect on the legitimacy of the police and criminal justice system, where there have been incidents of CHIS being involved in criminal activity themselves, yet the police have still considered using any of the information obtained by the CHIS for an investigation.</w:t>
      </w:r>
    </w:p>
    <w:p w14:paraId="6F2F44B0" w14:textId="05B8EDE9"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Furthermore, there have been arguments as to whether any information or material obtained by a CHIS can be used as evidence in an investigation. The Home Office (2021) outlines how any material obtained from a CHIS can be used </w:t>
      </w:r>
      <w:r w:rsidR="003B17C5" w:rsidRPr="008D425A">
        <w:rPr>
          <w:rFonts w:asciiTheme="minorHAnsi" w:hAnsiTheme="minorHAnsi" w:cstheme="minorHAnsi"/>
        </w:rPr>
        <w:t>evidentially but</w:t>
      </w:r>
      <w:r w:rsidRPr="008D425A">
        <w:rPr>
          <w:rFonts w:asciiTheme="minorHAnsi" w:hAnsiTheme="minorHAnsi" w:cstheme="minorHAnsi"/>
        </w:rPr>
        <w:t xml:space="preserve"> emphasises the importance of obtaining appropriate authorization </w:t>
      </w:r>
      <w:r w:rsidR="00DC1B70">
        <w:rPr>
          <w:rFonts w:asciiTheme="minorHAnsi" w:hAnsiTheme="minorHAnsi" w:cstheme="minorHAnsi"/>
        </w:rPr>
        <w:t>before</w:t>
      </w:r>
      <w:r w:rsidRPr="008D425A">
        <w:rPr>
          <w:rFonts w:asciiTheme="minorHAnsi" w:hAnsiTheme="minorHAnsi" w:cstheme="minorHAnsi"/>
        </w:rPr>
        <w:t xml:space="preserve"> ensuring no evidence is admissible </w:t>
      </w:r>
      <w:r w:rsidR="00DC1B70">
        <w:rPr>
          <w:rFonts w:asciiTheme="minorHAnsi" w:hAnsiTheme="minorHAnsi" w:cstheme="minorHAnsi"/>
        </w:rPr>
        <w:t>in</w:t>
      </w:r>
      <w:r w:rsidRPr="008D425A">
        <w:rPr>
          <w:rFonts w:asciiTheme="minorHAnsi" w:hAnsiTheme="minorHAnsi" w:cstheme="minorHAnsi"/>
        </w:rPr>
        <w:t xml:space="preserve"> court.</w:t>
      </w:r>
    </w:p>
    <w:p w14:paraId="16F9E17D" w14:textId="0F442A10" w:rsidR="004D60B4" w:rsidRPr="008D425A" w:rsidRDefault="004D60B4"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In </w:t>
      </w:r>
      <w:r w:rsidR="0015183A">
        <w:rPr>
          <w:rFonts w:asciiTheme="minorHAnsi" w:hAnsiTheme="minorHAnsi" w:cstheme="minorHAnsi"/>
        </w:rPr>
        <w:t>conclusion</w:t>
      </w:r>
      <w:r w:rsidRPr="008D425A">
        <w:rPr>
          <w:rFonts w:asciiTheme="minorHAnsi" w:hAnsiTheme="minorHAnsi" w:cstheme="minorHAnsi"/>
        </w:rPr>
        <w:t>, Covert Human Intelligence Sources play a crucial role in serious and organi</w:t>
      </w:r>
      <w:r w:rsidR="003B1CB0">
        <w:rPr>
          <w:rFonts w:asciiTheme="minorHAnsi" w:hAnsiTheme="minorHAnsi" w:cstheme="minorHAnsi"/>
        </w:rPr>
        <w:t>s</w:t>
      </w:r>
      <w:r w:rsidRPr="008D425A">
        <w:rPr>
          <w:rFonts w:asciiTheme="minorHAnsi" w:hAnsiTheme="minorHAnsi" w:cstheme="minorHAnsi"/>
        </w:rPr>
        <w:t>ed crime</w:t>
      </w:r>
      <w:r w:rsidR="003B1CB0">
        <w:rPr>
          <w:rFonts w:asciiTheme="minorHAnsi" w:hAnsiTheme="minorHAnsi" w:cstheme="minorHAnsi"/>
        </w:rPr>
        <w:t xml:space="preserve"> </w:t>
      </w:r>
      <w:r w:rsidRPr="008D425A">
        <w:rPr>
          <w:rFonts w:asciiTheme="minorHAnsi" w:hAnsiTheme="minorHAnsi" w:cstheme="minorHAnsi"/>
        </w:rPr>
        <w:t>investigations. They operate under the Regulation of Investigatory Powers Act 2000 (RIPA), gathering vital information while raising ethical and privacy concerns.</w:t>
      </w:r>
      <w:r w:rsidR="00235767" w:rsidRPr="008D425A">
        <w:rPr>
          <w:rFonts w:asciiTheme="minorHAnsi" w:hAnsiTheme="minorHAnsi" w:cstheme="minorHAnsi"/>
        </w:rPr>
        <w:t xml:space="preserve"> </w:t>
      </w:r>
      <w:r w:rsidRPr="008D425A">
        <w:rPr>
          <w:rFonts w:asciiTheme="minorHAnsi" w:hAnsiTheme="minorHAnsi" w:cstheme="minorHAnsi"/>
        </w:rPr>
        <w:t>Recent cases highlight their significance in gaining insights and evidence. Yet, issues such as involving juveniles and potential legal complexities require ongoing scrutiny.</w:t>
      </w:r>
      <w:r w:rsidR="00235767" w:rsidRPr="008D425A">
        <w:rPr>
          <w:rFonts w:asciiTheme="minorHAnsi" w:hAnsiTheme="minorHAnsi" w:cstheme="minorHAnsi"/>
        </w:rPr>
        <w:t xml:space="preserve"> </w:t>
      </w:r>
      <w:r w:rsidRPr="008D425A">
        <w:rPr>
          <w:rFonts w:asciiTheme="minorHAnsi" w:hAnsiTheme="minorHAnsi" w:cstheme="minorHAnsi"/>
        </w:rPr>
        <w:t xml:space="preserve">In essence, CHIS remain </w:t>
      </w:r>
      <w:r w:rsidRPr="008D425A">
        <w:rPr>
          <w:rFonts w:asciiTheme="minorHAnsi" w:hAnsiTheme="minorHAnsi" w:cstheme="minorHAnsi"/>
        </w:rPr>
        <w:lastRenderedPageBreak/>
        <w:t>invaluable in SOC investigations, but their ethical implications and legal considerations demand continuous attention.</w:t>
      </w:r>
    </w:p>
    <w:p w14:paraId="56C304C0" w14:textId="10FF3BB7" w:rsidR="008D425A" w:rsidRPr="008D425A" w:rsidRDefault="00F04973" w:rsidP="008D425A">
      <w:pPr>
        <w:pStyle w:val="NormalWeb"/>
        <w:spacing w:line="360" w:lineRule="auto"/>
        <w:rPr>
          <w:rFonts w:asciiTheme="minorHAnsi" w:hAnsiTheme="minorHAnsi" w:cstheme="minorHAnsi"/>
          <w:b/>
          <w:bCs/>
          <w:u w:val="single"/>
        </w:rPr>
      </w:pPr>
      <w:r w:rsidRPr="008D425A">
        <w:rPr>
          <w:rFonts w:asciiTheme="minorHAnsi" w:hAnsiTheme="minorHAnsi" w:cstheme="minorHAnsi"/>
          <w:b/>
          <w:bCs/>
          <w:u w:val="single"/>
        </w:rPr>
        <w:t>Current word count: 1</w:t>
      </w:r>
      <w:r w:rsidR="0015183A">
        <w:rPr>
          <w:rFonts w:asciiTheme="minorHAnsi" w:hAnsiTheme="minorHAnsi" w:cstheme="minorHAnsi"/>
          <w:b/>
          <w:bCs/>
          <w:u w:val="single"/>
        </w:rPr>
        <w:t>0</w:t>
      </w:r>
      <w:r w:rsidR="003B1CB0">
        <w:rPr>
          <w:rFonts w:asciiTheme="minorHAnsi" w:hAnsiTheme="minorHAnsi" w:cstheme="minorHAnsi"/>
          <w:b/>
          <w:bCs/>
          <w:u w:val="single"/>
        </w:rPr>
        <w:t>99</w:t>
      </w:r>
    </w:p>
    <w:p w14:paraId="423EC008" w14:textId="77777777" w:rsidR="008D425A" w:rsidRPr="008D425A" w:rsidRDefault="008D425A" w:rsidP="008D425A">
      <w:pPr>
        <w:pStyle w:val="NormalWeb"/>
        <w:spacing w:line="360" w:lineRule="auto"/>
        <w:rPr>
          <w:rFonts w:asciiTheme="minorHAnsi" w:hAnsiTheme="minorHAnsi" w:cstheme="minorHAnsi"/>
          <w:b/>
          <w:bCs/>
          <w:u w:val="single"/>
        </w:rPr>
      </w:pPr>
      <w:r w:rsidRPr="008D425A">
        <w:rPr>
          <w:rFonts w:asciiTheme="minorHAnsi" w:hAnsiTheme="minorHAnsi" w:cstheme="minorHAnsi"/>
          <w:b/>
          <w:bCs/>
          <w:u w:val="single"/>
        </w:rPr>
        <w:t>Reference list</w:t>
      </w:r>
    </w:p>
    <w:p w14:paraId="32477CA0" w14:textId="71B98CCF"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Arthur, R. &amp; Kirk, T. (2023) "Children as Covert Human Intelligence Sources: Spies First, Children Second." </w:t>
      </w:r>
      <w:r w:rsidRPr="008D425A">
        <w:rPr>
          <w:rFonts w:asciiTheme="minorHAnsi" w:hAnsiTheme="minorHAnsi" w:cstheme="minorHAnsi"/>
          <w:i/>
          <w:iCs/>
        </w:rPr>
        <w:t>Journal of Youth Justice</w:t>
      </w:r>
      <w:r w:rsidRPr="008D425A">
        <w:rPr>
          <w:rFonts w:asciiTheme="minorHAnsi" w:hAnsiTheme="minorHAnsi" w:cstheme="minorHAnsi"/>
        </w:rPr>
        <w:t xml:space="preserve">, 1–15.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7, 2023</w:t>
      </w:r>
      <w:r w:rsidR="00052E6C">
        <w:rPr>
          <w:rFonts w:asciiTheme="minorHAnsi" w:hAnsiTheme="minorHAnsi" w:cstheme="minorHAnsi"/>
        </w:rPr>
        <w:t>).</w:t>
      </w:r>
    </w:p>
    <w:p w14:paraId="7B84D911" w14:textId="52622A8D" w:rsidR="009F5520"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Child Exposure and Online Protection Centre (2020) "Threat assessment of child sexual exploitation and abuse."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July 24, 2023</w:t>
      </w:r>
      <w:r w:rsidR="00052E6C">
        <w:rPr>
          <w:rFonts w:asciiTheme="minorHAnsi" w:hAnsiTheme="minorHAnsi" w:cstheme="minorHAnsi"/>
        </w:rPr>
        <w:t>).</w:t>
      </w:r>
    </w:p>
    <w:p w14:paraId="257558BE" w14:textId="2D533626" w:rsidR="00A616B6" w:rsidRPr="00A616B6" w:rsidRDefault="00A616B6" w:rsidP="008D425A">
      <w:pPr>
        <w:pStyle w:val="NormalWeb"/>
        <w:spacing w:line="360" w:lineRule="auto"/>
        <w:rPr>
          <w:rFonts w:asciiTheme="minorHAnsi" w:hAnsiTheme="minorHAnsi" w:cstheme="minorHAnsi"/>
        </w:rPr>
      </w:pPr>
      <w:r w:rsidRPr="00A616B6">
        <w:rPr>
          <w:rFonts w:asciiTheme="minorHAnsi" w:hAnsiTheme="minorHAnsi" w:cstheme="minorHAnsi"/>
          <w:color w:val="222222"/>
          <w:shd w:val="clear" w:color="auto" w:fill="FFFFFF"/>
        </w:rPr>
        <w:t>Crous, C., 2011. Managing covert human intelligence sources: Lessons for police commanders. </w:t>
      </w:r>
      <w:r w:rsidRPr="00A616B6">
        <w:rPr>
          <w:rFonts w:asciiTheme="minorHAnsi" w:hAnsiTheme="minorHAnsi" w:cstheme="minorHAnsi"/>
          <w:i/>
          <w:iCs/>
          <w:color w:val="222222"/>
          <w:shd w:val="clear" w:color="auto" w:fill="FFFFFF"/>
        </w:rPr>
        <w:t>Australasian Policing</w:t>
      </w:r>
      <w:r w:rsidRPr="00A616B6">
        <w:rPr>
          <w:rFonts w:asciiTheme="minorHAnsi" w:hAnsiTheme="minorHAnsi" w:cstheme="minorHAnsi"/>
          <w:color w:val="222222"/>
          <w:shd w:val="clear" w:color="auto" w:fill="FFFFFF"/>
        </w:rPr>
        <w:t>, </w:t>
      </w:r>
      <w:r w:rsidRPr="00A616B6">
        <w:rPr>
          <w:rFonts w:asciiTheme="minorHAnsi" w:hAnsiTheme="minorHAnsi" w:cstheme="minorHAnsi"/>
          <w:i/>
          <w:iCs/>
          <w:color w:val="222222"/>
          <w:shd w:val="clear" w:color="auto" w:fill="FFFFFF"/>
        </w:rPr>
        <w:t>3</w:t>
      </w:r>
      <w:r w:rsidRPr="00A616B6">
        <w:rPr>
          <w:rFonts w:asciiTheme="minorHAnsi" w:hAnsiTheme="minorHAnsi" w:cstheme="minorHAnsi"/>
          <w:color w:val="222222"/>
          <w:shd w:val="clear" w:color="auto" w:fill="FFFFFF"/>
        </w:rPr>
        <w:t>(2), pp.12-15.</w:t>
      </w:r>
      <w:r w:rsidR="003107AB">
        <w:rPr>
          <w:rFonts w:asciiTheme="minorHAnsi" w:hAnsiTheme="minorHAnsi" w:cstheme="minorHAnsi"/>
          <w:color w:val="222222"/>
          <w:shd w:val="clear" w:color="auto" w:fill="FFFFFF"/>
        </w:rPr>
        <w:t xml:space="preserve"> </w:t>
      </w:r>
      <w:r w:rsidR="00052E6C">
        <w:rPr>
          <w:rFonts w:asciiTheme="minorHAnsi" w:hAnsiTheme="minorHAnsi" w:cstheme="minorHAnsi"/>
          <w:color w:val="222222"/>
          <w:shd w:val="clear" w:color="auto" w:fill="FFFFFF"/>
        </w:rPr>
        <w:t>(</w:t>
      </w:r>
      <w:r w:rsidR="003107AB">
        <w:rPr>
          <w:rFonts w:asciiTheme="minorHAnsi" w:hAnsiTheme="minorHAnsi" w:cstheme="minorHAnsi"/>
          <w:color w:val="222222"/>
          <w:shd w:val="clear" w:color="auto" w:fill="FFFFFF"/>
        </w:rPr>
        <w:t>Accessed</w:t>
      </w:r>
      <w:r w:rsidR="00052E6C">
        <w:rPr>
          <w:rFonts w:asciiTheme="minorHAnsi" w:hAnsiTheme="minorHAnsi" w:cstheme="minorHAnsi"/>
          <w:color w:val="222222"/>
          <w:shd w:val="clear" w:color="auto" w:fill="FFFFFF"/>
        </w:rPr>
        <w:t xml:space="preserve">: November 8, 2023). </w:t>
      </w:r>
    </w:p>
    <w:p w14:paraId="3288644D" w14:textId="41AACD9C"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Duran, R. (2011) "Covert Human Intelligence Sources: The 'Unlovely' Face of Police Work." </w:t>
      </w:r>
      <w:r w:rsidRPr="008D425A">
        <w:rPr>
          <w:rFonts w:asciiTheme="minorHAnsi" w:hAnsiTheme="minorHAnsi" w:cstheme="minorHAnsi"/>
          <w:i/>
          <w:iCs/>
        </w:rPr>
        <w:t>International Criminal Justice Review,</w:t>
      </w:r>
      <w:r w:rsidRPr="008D425A">
        <w:rPr>
          <w:rFonts w:asciiTheme="minorHAnsi" w:hAnsiTheme="minorHAnsi" w:cstheme="minorHAnsi"/>
        </w:rPr>
        <w:t xml:space="preserve"> 21(3), pp. 317-318. Available at: [https://journals.sagepub.com/doi/abs/10.1177/1057567711410301].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August 14, 2023</w:t>
      </w:r>
      <w:r w:rsidR="00052E6C">
        <w:rPr>
          <w:rFonts w:asciiTheme="minorHAnsi" w:hAnsiTheme="minorHAnsi" w:cstheme="minorHAnsi"/>
        </w:rPr>
        <w:t>).</w:t>
      </w:r>
    </w:p>
    <w:p w14:paraId="357CB304" w14:textId="46E45C04"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Harfield, C. &amp; Harfield, K. (2005) </w:t>
      </w:r>
      <w:r w:rsidRPr="008D425A">
        <w:rPr>
          <w:rFonts w:asciiTheme="minorHAnsi" w:hAnsiTheme="minorHAnsi" w:cstheme="minorHAnsi"/>
          <w:i/>
          <w:iCs/>
        </w:rPr>
        <w:t>Covert Investigation</w:t>
      </w:r>
      <w:r w:rsidRPr="008D425A">
        <w:rPr>
          <w:rFonts w:asciiTheme="minorHAnsi" w:hAnsiTheme="minorHAnsi" w:cstheme="minorHAnsi"/>
        </w:rPr>
        <w:t xml:space="preserve">. Oxford: Oxford University Press.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13, 2023</w:t>
      </w:r>
      <w:r w:rsidR="00052E6C">
        <w:rPr>
          <w:rFonts w:asciiTheme="minorHAnsi" w:hAnsiTheme="minorHAnsi" w:cstheme="minorHAnsi"/>
        </w:rPr>
        <w:t>).</w:t>
      </w:r>
    </w:p>
    <w:p w14:paraId="0BEC8084" w14:textId="29C09989"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Hinton, M., Tillyer, M., &amp; Tillyer, R. (2021) "Victimization, offending, and expectations for future success among high-risk youth." </w:t>
      </w:r>
      <w:r w:rsidRPr="008D425A">
        <w:rPr>
          <w:rFonts w:asciiTheme="minorHAnsi" w:hAnsiTheme="minorHAnsi" w:cstheme="minorHAnsi"/>
          <w:i/>
          <w:iCs/>
        </w:rPr>
        <w:t xml:space="preserve">Deviant </w:t>
      </w:r>
      <w:r w:rsidR="00931AA7" w:rsidRPr="008D425A">
        <w:rPr>
          <w:rFonts w:asciiTheme="minorHAnsi" w:hAnsiTheme="minorHAnsi" w:cstheme="minorHAnsi"/>
          <w:i/>
          <w:iCs/>
        </w:rPr>
        <w:t>Behaviour</w:t>
      </w:r>
      <w:r w:rsidRPr="008D425A">
        <w:rPr>
          <w:rFonts w:asciiTheme="minorHAnsi" w:hAnsiTheme="minorHAnsi" w:cstheme="minorHAnsi"/>
        </w:rPr>
        <w:t xml:space="preserve">, 42(6), pp. 777-791.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9, 2023</w:t>
      </w:r>
      <w:r w:rsidR="00052E6C">
        <w:rPr>
          <w:rFonts w:asciiTheme="minorHAnsi" w:hAnsiTheme="minorHAnsi" w:cstheme="minorHAnsi"/>
        </w:rPr>
        <w:t>).</w:t>
      </w:r>
    </w:p>
    <w:p w14:paraId="0B0AF630" w14:textId="5CCEDE7B"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Home Office (2018) </w:t>
      </w:r>
      <w:r w:rsidRPr="008D425A">
        <w:rPr>
          <w:rFonts w:asciiTheme="minorHAnsi" w:hAnsiTheme="minorHAnsi" w:cstheme="minorHAnsi"/>
          <w:i/>
          <w:iCs/>
        </w:rPr>
        <w:t>Covert Human Intelligence Sources Revised Code of Practice</w:t>
      </w:r>
      <w:r w:rsidRPr="008D425A">
        <w:rPr>
          <w:rFonts w:asciiTheme="minorHAnsi" w:hAnsiTheme="minorHAnsi" w:cstheme="minorHAnsi"/>
        </w:rPr>
        <w:t xml:space="preserve">. London: Home Office. </w:t>
      </w:r>
      <w:r w:rsidR="00052E6C">
        <w:rPr>
          <w:rFonts w:asciiTheme="minorHAnsi" w:hAnsiTheme="minorHAnsi" w:cstheme="minorHAnsi"/>
        </w:rPr>
        <w:t>(Ac</w:t>
      </w:r>
      <w:r w:rsidRPr="008D425A">
        <w:rPr>
          <w:rFonts w:asciiTheme="minorHAnsi" w:hAnsiTheme="minorHAnsi" w:cstheme="minorHAnsi"/>
        </w:rPr>
        <w:t>cessed</w:t>
      </w:r>
      <w:r w:rsidR="00052E6C">
        <w:rPr>
          <w:rFonts w:asciiTheme="minorHAnsi" w:hAnsiTheme="minorHAnsi" w:cstheme="minorHAnsi"/>
        </w:rPr>
        <w:t>:</w:t>
      </w:r>
      <w:r w:rsidRPr="008D425A">
        <w:rPr>
          <w:rFonts w:asciiTheme="minorHAnsi" w:hAnsiTheme="minorHAnsi" w:cstheme="minorHAnsi"/>
        </w:rPr>
        <w:t xml:space="preserve"> September 9, 2023</w:t>
      </w:r>
      <w:r w:rsidR="00052E6C">
        <w:rPr>
          <w:rFonts w:asciiTheme="minorHAnsi" w:hAnsiTheme="minorHAnsi" w:cstheme="minorHAnsi"/>
        </w:rPr>
        <w:t>).</w:t>
      </w:r>
    </w:p>
    <w:p w14:paraId="3E9345B0" w14:textId="354D0B0A"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Home Office (2021) "Covert Human Intelligence Sources Bill Factsheet." Available at: [https://www.gov.uk/human-intelligence-sources-bill-factsheet-accessible-version].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12, 2023</w:t>
      </w:r>
      <w:r w:rsidR="00052E6C">
        <w:rPr>
          <w:rFonts w:asciiTheme="minorHAnsi" w:hAnsiTheme="minorHAnsi" w:cstheme="minorHAnsi"/>
        </w:rPr>
        <w:t>).</w:t>
      </w:r>
    </w:p>
    <w:p w14:paraId="32E537E5" w14:textId="2EB05B1C"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lastRenderedPageBreak/>
        <w:t xml:space="preserve">Innes, M. (2000) "Professionalizing the Role of the Police Informant: The British Experience." </w:t>
      </w:r>
      <w:r w:rsidRPr="008D425A">
        <w:rPr>
          <w:rFonts w:asciiTheme="minorHAnsi" w:hAnsiTheme="minorHAnsi" w:cstheme="minorHAnsi"/>
          <w:i/>
          <w:iCs/>
        </w:rPr>
        <w:t>Policing and Society: An International Journal</w:t>
      </w:r>
      <w:r w:rsidRPr="008D425A">
        <w:rPr>
          <w:rFonts w:asciiTheme="minorHAnsi" w:hAnsiTheme="minorHAnsi" w:cstheme="minorHAnsi"/>
        </w:rPr>
        <w:t xml:space="preserve">, 9(4), pp. 357-383.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August 27, 2023</w:t>
      </w:r>
      <w:r w:rsidR="00052E6C">
        <w:rPr>
          <w:rFonts w:asciiTheme="minorHAnsi" w:hAnsiTheme="minorHAnsi" w:cstheme="minorHAnsi"/>
        </w:rPr>
        <w:t>)</w:t>
      </w:r>
    </w:p>
    <w:p w14:paraId="3439F1AD" w14:textId="7DEF5859" w:rsidR="009F5520" w:rsidRPr="008D425A" w:rsidRDefault="009F5520" w:rsidP="00052E6C">
      <w:pPr>
        <w:pStyle w:val="NormalWeb"/>
        <w:spacing w:line="360" w:lineRule="auto"/>
        <w:rPr>
          <w:rFonts w:asciiTheme="minorHAnsi" w:hAnsiTheme="minorHAnsi" w:cstheme="minorHAnsi"/>
        </w:rPr>
      </w:pPr>
      <w:r w:rsidRPr="008D425A">
        <w:rPr>
          <w:rFonts w:asciiTheme="minorHAnsi" w:hAnsiTheme="minorHAnsi" w:cstheme="minorHAnsi"/>
        </w:rPr>
        <w:t xml:space="preserve">Kruisbergen, E., Huisman, W., &amp; Kleemans, E.R. (2018) "The challenges of fighting sex trafficking in the legalized prostitution market of the Netherlands." </w:t>
      </w:r>
      <w:r w:rsidRPr="008D425A">
        <w:rPr>
          <w:rFonts w:asciiTheme="minorHAnsi" w:hAnsiTheme="minorHAnsi" w:cstheme="minorHAnsi"/>
          <w:i/>
          <w:iCs/>
        </w:rPr>
        <w:t>Crime Law and Social Change</w:t>
      </w:r>
      <w:r w:rsidRPr="008D425A">
        <w:rPr>
          <w:rFonts w:asciiTheme="minorHAnsi" w:hAnsiTheme="minorHAnsi" w:cstheme="minorHAnsi"/>
        </w:rPr>
        <w:t xml:space="preserve">, 61, pp. 215-228.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1, 2023]</w:t>
      </w:r>
    </w:p>
    <w:p w14:paraId="2DF93664" w14:textId="6CE2C005"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Nunan, J. et al. (2020) "The impact of rapport on intelligence yield: police source handler telephone interactions with covert human intelligence sources." </w:t>
      </w:r>
      <w:r w:rsidRPr="008D425A">
        <w:rPr>
          <w:rFonts w:asciiTheme="minorHAnsi" w:hAnsiTheme="minorHAnsi" w:cstheme="minorHAnsi"/>
          <w:i/>
          <w:iCs/>
        </w:rPr>
        <w:t>Journal of Psychiatry, Psychology, and Law</w:t>
      </w:r>
      <w:r w:rsidRPr="008D425A">
        <w:rPr>
          <w:rFonts w:asciiTheme="minorHAnsi" w:hAnsiTheme="minorHAnsi" w:cstheme="minorHAnsi"/>
        </w:rPr>
        <w:t xml:space="preserve">, 29, pp. 1-19.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3, 2023</w:t>
      </w:r>
      <w:r w:rsidR="00052E6C">
        <w:rPr>
          <w:rFonts w:asciiTheme="minorHAnsi" w:hAnsiTheme="minorHAnsi" w:cstheme="minorHAnsi"/>
        </w:rPr>
        <w:t>).</w:t>
      </w:r>
    </w:p>
    <w:p w14:paraId="4CA86B2D" w14:textId="6BB114B8"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Nunan, J., Stanier, I., Milne, R., Shawyer, A., &amp; Walsh, D. (2020) "Source handlers' perceptions of the interviewing processes employed with informants." </w:t>
      </w:r>
      <w:r w:rsidRPr="008D425A">
        <w:rPr>
          <w:rFonts w:asciiTheme="minorHAnsi" w:hAnsiTheme="minorHAnsi" w:cstheme="minorHAnsi"/>
          <w:i/>
          <w:iCs/>
        </w:rPr>
        <w:t xml:space="preserve">Journal of Policing, Intelligence, and </w:t>
      </w:r>
      <w:r w:rsidR="003B17C5" w:rsidRPr="008D425A">
        <w:rPr>
          <w:rFonts w:asciiTheme="minorHAnsi" w:hAnsiTheme="minorHAnsi" w:cstheme="minorHAnsi"/>
          <w:i/>
          <w:iCs/>
        </w:rPr>
        <w:t>Counterterrorism</w:t>
      </w:r>
      <w:r w:rsidRPr="008D425A">
        <w:rPr>
          <w:rFonts w:asciiTheme="minorHAnsi" w:hAnsiTheme="minorHAnsi" w:cstheme="minorHAnsi"/>
        </w:rPr>
        <w:t xml:space="preserve">, 15(3), pp. 244-262.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7, 2023</w:t>
      </w:r>
      <w:r w:rsidR="00052E6C">
        <w:rPr>
          <w:rFonts w:asciiTheme="minorHAnsi" w:hAnsiTheme="minorHAnsi" w:cstheme="minorHAnsi"/>
        </w:rPr>
        <w:t>)</w:t>
      </w:r>
    </w:p>
    <w:p w14:paraId="742476CF" w14:textId="7E68CE9A"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Roberts, L. (2009) "An intelligence-led approach to police liaison." </w:t>
      </w:r>
      <w:r w:rsidRPr="008D425A">
        <w:rPr>
          <w:rFonts w:asciiTheme="minorHAnsi" w:hAnsiTheme="minorHAnsi" w:cstheme="minorHAnsi"/>
          <w:i/>
          <w:iCs/>
        </w:rPr>
        <w:t xml:space="preserve">Journal of Policing, Intelligence, and </w:t>
      </w:r>
      <w:r w:rsidR="003B17C5" w:rsidRPr="008D425A">
        <w:rPr>
          <w:rFonts w:asciiTheme="minorHAnsi" w:hAnsiTheme="minorHAnsi" w:cstheme="minorHAnsi"/>
          <w:i/>
          <w:iCs/>
        </w:rPr>
        <w:t>Counterterrorism</w:t>
      </w:r>
      <w:r w:rsidRPr="008D425A">
        <w:rPr>
          <w:rFonts w:asciiTheme="minorHAnsi" w:hAnsiTheme="minorHAnsi" w:cstheme="minorHAnsi"/>
        </w:rPr>
        <w:t xml:space="preserve">, 4(1), pp. 20-32.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13, 2023</w:t>
      </w:r>
      <w:r w:rsidR="00052E6C">
        <w:rPr>
          <w:rFonts w:asciiTheme="minorHAnsi" w:hAnsiTheme="minorHAnsi" w:cstheme="minorHAnsi"/>
        </w:rPr>
        <w:t>).</w:t>
      </w:r>
    </w:p>
    <w:p w14:paraId="35EEDEC2" w14:textId="7BD456AC"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Royal United Services Institute for Defence and Security Studies (2020) "Intelligence sharing and the fight against terrorism." Available at: [https://rusi.org/explore-our-research/publications/commentary/intelligence-sharing-and-fight-against-terrorism].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1, 2023</w:t>
      </w:r>
      <w:r w:rsidR="00052E6C">
        <w:rPr>
          <w:rFonts w:asciiTheme="minorHAnsi" w:hAnsiTheme="minorHAnsi" w:cstheme="minorHAnsi"/>
        </w:rPr>
        <w:t>).</w:t>
      </w:r>
    </w:p>
    <w:p w14:paraId="27E4802F" w14:textId="530B632A"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Stanier, I.P. &amp; Nunan, J. (2018) "Reframing intelligence interviews: The applicability of psychological research to HUMINT elicitation." In A. Griffiths &amp; R. Milne (Eds.), </w:t>
      </w:r>
      <w:r w:rsidRPr="008D425A">
        <w:rPr>
          <w:rFonts w:asciiTheme="minorHAnsi" w:hAnsiTheme="minorHAnsi" w:cstheme="minorHAnsi"/>
          <w:i/>
          <w:iCs/>
        </w:rPr>
        <w:t>Psychology of Investigation: Theory into Practice</w:t>
      </w:r>
      <w:r w:rsidRPr="008D425A">
        <w:rPr>
          <w:rFonts w:asciiTheme="minorHAnsi" w:hAnsiTheme="minorHAnsi" w:cstheme="minorHAnsi"/>
        </w:rPr>
        <w:t xml:space="preserve">, pp. 226-248. London: Routledge.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7, 2023</w:t>
      </w:r>
      <w:r w:rsidR="00052E6C">
        <w:rPr>
          <w:rFonts w:asciiTheme="minorHAnsi" w:hAnsiTheme="minorHAnsi" w:cstheme="minorHAnsi"/>
        </w:rPr>
        <w:t>).</w:t>
      </w:r>
    </w:p>
    <w:p w14:paraId="04165E66" w14:textId="45B9DC9A"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UK Legislation (1996) "The Criminal Procedure and Investigations Act." Available at: [https://www.legislation.gov.uk/ukpga/1996/25/contents].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13, 2023</w:t>
      </w:r>
      <w:r w:rsidR="00052E6C">
        <w:rPr>
          <w:rFonts w:asciiTheme="minorHAnsi" w:hAnsiTheme="minorHAnsi" w:cstheme="minorHAnsi"/>
        </w:rPr>
        <w:t>).</w:t>
      </w:r>
    </w:p>
    <w:p w14:paraId="693021EE" w14:textId="60D8C46A"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lastRenderedPageBreak/>
        <w:t xml:space="preserve">UK Legislation (2021) "Covert Human Intelligence Sources (Criminal Conduct) Act." Available at: [https://www.legislation.gov.uk/ukpga/2021/6/contents/enacted].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7, 2023</w:t>
      </w:r>
      <w:r w:rsidR="00052E6C">
        <w:rPr>
          <w:rFonts w:asciiTheme="minorHAnsi" w:hAnsiTheme="minorHAnsi" w:cstheme="minorHAnsi"/>
        </w:rPr>
        <w:t>)</w:t>
      </w:r>
    </w:p>
    <w:p w14:paraId="76928E1C" w14:textId="57589576"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UL Legislation (2015) </w:t>
      </w:r>
      <w:r w:rsidRPr="008D425A">
        <w:rPr>
          <w:rFonts w:asciiTheme="minorHAnsi" w:hAnsiTheme="minorHAnsi" w:cstheme="minorHAnsi"/>
          <w:i/>
          <w:iCs/>
        </w:rPr>
        <w:t>Modern Slavery Act</w:t>
      </w:r>
      <w:r w:rsidRPr="008D425A">
        <w:rPr>
          <w:rFonts w:asciiTheme="minorHAnsi" w:hAnsiTheme="minorHAnsi" w:cstheme="minorHAnsi"/>
        </w:rPr>
        <w:t xml:space="preserve">. Available at: [https://www.legislation.gov.uk/ukpga/2015/30/contents].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3, 2023</w:t>
      </w:r>
      <w:r w:rsidR="00052E6C">
        <w:rPr>
          <w:rFonts w:asciiTheme="minorHAnsi" w:hAnsiTheme="minorHAnsi" w:cstheme="minorHAnsi"/>
        </w:rPr>
        <w:t>).</w:t>
      </w:r>
    </w:p>
    <w:p w14:paraId="6F62C287" w14:textId="665FC4A5"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Westera, N. J. J., Williamson, H., &amp; Rowe, E. (2017) "Covert human intelligence sources: The unlovely face of police work." Available at: [https://onlinelibrary.wiley.com/doi/abs/10.1002/bsl.2302].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August 14, 2023</w:t>
      </w:r>
      <w:r w:rsidR="00052E6C">
        <w:rPr>
          <w:rFonts w:asciiTheme="minorHAnsi" w:hAnsiTheme="minorHAnsi" w:cstheme="minorHAnsi"/>
        </w:rPr>
        <w:t>).</w:t>
      </w:r>
    </w:p>
    <w:p w14:paraId="3ACDA6B6" w14:textId="5826E4BC" w:rsidR="009F5520" w:rsidRPr="008D425A" w:rsidRDefault="009F5520" w:rsidP="008D425A">
      <w:pPr>
        <w:pStyle w:val="NormalWeb"/>
        <w:spacing w:line="360" w:lineRule="auto"/>
        <w:rPr>
          <w:rFonts w:asciiTheme="minorHAnsi" w:hAnsiTheme="minorHAnsi" w:cstheme="minorHAnsi"/>
          <w:u w:val="single"/>
        </w:rPr>
      </w:pPr>
      <w:r w:rsidRPr="008D425A">
        <w:rPr>
          <w:rFonts w:asciiTheme="minorHAnsi" w:hAnsiTheme="minorHAnsi" w:cstheme="minorHAnsi"/>
        </w:rPr>
        <w:t xml:space="preserve">Wood, D. (2021) </w:t>
      </w:r>
      <w:r w:rsidRPr="008D425A">
        <w:rPr>
          <w:rFonts w:asciiTheme="minorHAnsi" w:hAnsiTheme="minorHAnsi" w:cstheme="minorHAnsi"/>
          <w:i/>
          <w:iCs/>
        </w:rPr>
        <w:t>Blackstone's Handbook for Policing Students</w:t>
      </w:r>
      <w:r w:rsidRPr="008D425A">
        <w:rPr>
          <w:rFonts w:asciiTheme="minorHAnsi" w:hAnsiTheme="minorHAnsi" w:cstheme="minorHAnsi"/>
        </w:rPr>
        <w:t xml:space="preserve">, 16th ed. Oxford: Oxford University Press, pp. 550-56. </w:t>
      </w:r>
      <w:r w:rsidR="00052E6C">
        <w:rPr>
          <w:rFonts w:asciiTheme="minorHAnsi" w:hAnsiTheme="minorHAnsi" w:cstheme="minorHAnsi"/>
        </w:rPr>
        <w:t>(</w:t>
      </w:r>
      <w:r w:rsidRPr="008D425A">
        <w:rPr>
          <w:rFonts w:asciiTheme="minorHAnsi" w:hAnsiTheme="minorHAnsi" w:cstheme="minorHAnsi"/>
        </w:rPr>
        <w:t>Accessed</w:t>
      </w:r>
      <w:r w:rsidR="00052E6C">
        <w:rPr>
          <w:rFonts w:asciiTheme="minorHAnsi" w:hAnsiTheme="minorHAnsi" w:cstheme="minorHAnsi"/>
        </w:rPr>
        <w:t>:</w:t>
      </w:r>
      <w:r w:rsidRPr="008D425A">
        <w:rPr>
          <w:rFonts w:asciiTheme="minorHAnsi" w:hAnsiTheme="minorHAnsi" w:cstheme="minorHAnsi"/>
        </w:rPr>
        <w:t xml:space="preserve"> September 21, 2023</w:t>
      </w:r>
      <w:r w:rsidR="00052E6C">
        <w:rPr>
          <w:rFonts w:asciiTheme="minorHAnsi" w:hAnsiTheme="minorHAnsi" w:cstheme="minorHAnsi"/>
          <w:u w:val="single"/>
        </w:rPr>
        <w:t xml:space="preserve">). </w:t>
      </w:r>
    </w:p>
    <w:p w14:paraId="7A083191" w14:textId="1DC88E7B" w:rsidR="005E49C0" w:rsidRDefault="005E49C0" w:rsidP="008D425A">
      <w:pPr>
        <w:pStyle w:val="NormalWeb"/>
        <w:spacing w:line="360" w:lineRule="auto"/>
        <w:rPr>
          <w:rFonts w:asciiTheme="minorHAnsi" w:hAnsiTheme="minorHAnsi" w:cstheme="minorHAnsi"/>
          <w:u w:val="single"/>
        </w:rPr>
      </w:pPr>
    </w:p>
    <w:p w14:paraId="7AFAFEC2" w14:textId="77777777" w:rsidR="001D41EF" w:rsidRDefault="001D41EF" w:rsidP="008D425A">
      <w:pPr>
        <w:pStyle w:val="NormalWeb"/>
        <w:spacing w:line="360" w:lineRule="auto"/>
        <w:rPr>
          <w:rFonts w:asciiTheme="minorHAnsi" w:hAnsiTheme="minorHAnsi" w:cstheme="minorHAnsi"/>
          <w:u w:val="single"/>
        </w:rPr>
      </w:pPr>
    </w:p>
    <w:p w14:paraId="1337C50D" w14:textId="77777777" w:rsidR="001D41EF" w:rsidRDefault="001D41EF" w:rsidP="008D425A">
      <w:pPr>
        <w:pStyle w:val="NormalWeb"/>
        <w:spacing w:line="360" w:lineRule="auto"/>
        <w:rPr>
          <w:rFonts w:asciiTheme="minorHAnsi" w:hAnsiTheme="minorHAnsi" w:cstheme="minorHAnsi"/>
          <w:u w:val="single"/>
        </w:rPr>
      </w:pPr>
    </w:p>
    <w:p w14:paraId="5CFA3208" w14:textId="77777777" w:rsidR="001D41EF" w:rsidRDefault="001D41EF" w:rsidP="008D425A">
      <w:pPr>
        <w:pStyle w:val="NormalWeb"/>
        <w:spacing w:line="360" w:lineRule="auto"/>
        <w:rPr>
          <w:rFonts w:asciiTheme="minorHAnsi" w:hAnsiTheme="minorHAnsi" w:cstheme="minorHAnsi"/>
          <w:u w:val="single"/>
        </w:rPr>
      </w:pPr>
    </w:p>
    <w:p w14:paraId="0AF9A877" w14:textId="77777777" w:rsidR="001D41EF" w:rsidRDefault="001D41EF" w:rsidP="008D425A">
      <w:pPr>
        <w:pStyle w:val="NormalWeb"/>
        <w:spacing w:line="360" w:lineRule="auto"/>
        <w:rPr>
          <w:rFonts w:asciiTheme="minorHAnsi" w:hAnsiTheme="minorHAnsi" w:cstheme="minorHAnsi"/>
          <w:u w:val="single"/>
        </w:rPr>
      </w:pPr>
    </w:p>
    <w:p w14:paraId="476A7FAC" w14:textId="77777777" w:rsidR="001D41EF" w:rsidRDefault="001D41EF" w:rsidP="008D425A">
      <w:pPr>
        <w:pStyle w:val="NormalWeb"/>
        <w:spacing w:line="360" w:lineRule="auto"/>
        <w:rPr>
          <w:rFonts w:asciiTheme="minorHAnsi" w:hAnsiTheme="minorHAnsi" w:cstheme="minorHAnsi"/>
          <w:u w:val="single"/>
        </w:rPr>
      </w:pPr>
    </w:p>
    <w:p w14:paraId="26FA3C0F" w14:textId="77777777" w:rsidR="001D41EF" w:rsidRDefault="001D41EF" w:rsidP="008D425A">
      <w:pPr>
        <w:pStyle w:val="NormalWeb"/>
        <w:spacing w:line="360" w:lineRule="auto"/>
        <w:rPr>
          <w:rFonts w:asciiTheme="minorHAnsi" w:hAnsiTheme="minorHAnsi" w:cstheme="minorHAnsi"/>
          <w:u w:val="single"/>
        </w:rPr>
      </w:pPr>
    </w:p>
    <w:p w14:paraId="482F0F27" w14:textId="77777777" w:rsidR="001D41EF" w:rsidRDefault="001D41EF" w:rsidP="008D425A">
      <w:pPr>
        <w:pStyle w:val="NormalWeb"/>
        <w:spacing w:line="360" w:lineRule="auto"/>
        <w:rPr>
          <w:rFonts w:asciiTheme="minorHAnsi" w:hAnsiTheme="minorHAnsi" w:cstheme="minorHAnsi"/>
          <w:u w:val="single"/>
        </w:rPr>
      </w:pPr>
    </w:p>
    <w:p w14:paraId="52DF342F" w14:textId="77777777" w:rsidR="001D41EF" w:rsidRDefault="001D41EF" w:rsidP="008D425A">
      <w:pPr>
        <w:pStyle w:val="NormalWeb"/>
        <w:spacing w:line="360" w:lineRule="auto"/>
        <w:rPr>
          <w:rFonts w:asciiTheme="minorHAnsi" w:hAnsiTheme="minorHAnsi" w:cstheme="minorHAnsi"/>
          <w:u w:val="single"/>
        </w:rPr>
      </w:pPr>
    </w:p>
    <w:p w14:paraId="0BAEED24" w14:textId="77777777" w:rsidR="001D41EF" w:rsidRDefault="001D41EF" w:rsidP="008D425A">
      <w:pPr>
        <w:pStyle w:val="NormalWeb"/>
        <w:spacing w:line="360" w:lineRule="auto"/>
        <w:rPr>
          <w:rFonts w:asciiTheme="minorHAnsi" w:hAnsiTheme="minorHAnsi" w:cstheme="minorHAnsi"/>
          <w:u w:val="single"/>
        </w:rPr>
      </w:pPr>
    </w:p>
    <w:p w14:paraId="44C10451" w14:textId="77777777" w:rsidR="001D41EF" w:rsidRDefault="001D41EF" w:rsidP="008D425A">
      <w:pPr>
        <w:pStyle w:val="NormalWeb"/>
        <w:spacing w:line="360" w:lineRule="auto"/>
        <w:rPr>
          <w:rFonts w:asciiTheme="minorHAnsi" w:hAnsiTheme="minorHAnsi" w:cstheme="minorHAnsi"/>
          <w:u w:val="single"/>
        </w:rPr>
      </w:pPr>
    </w:p>
    <w:p w14:paraId="66062258" w14:textId="77777777" w:rsidR="001D41EF" w:rsidRDefault="001D41EF" w:rsidP="008D425A">
      <w:pPr>
        <w:pStyle w:val="NormalWeb"/>
        <w:spacing w:line="360" w:lineRule="auto"/>
        <w:rPr>
          <w:rFonts w:asciiTheme="minorHAnsi" w:hAnsiTheme="minorHAnsi" w:cstheme="minorHAnsi"/>
          <w:u w:val="single"/>
        </w:rPr>
      </w:pPr>
    </w:p>
    <w:p w14:paraId="53B06D8A" w14:textId="77777777" w:rsidR="001D41EF" w:rsidRDefault="001D41EF" w:rsidP="008D425A">
      <w:pPr>
        <w:pStyle w:val="NormalWeb"/>
        <w:spacing w:line="360" w:lineRule="auto"/>
        <w:rPr>
          <w:rFonts w:asciiTheme="minorHAnsi" w:hAnsiTheme="minorHAnsi" w:cstheme="minorHAnsi"/>
          <w:u w:val="single"/>
        </w:rPr>
      </w:pPr>
    </w:p>
    <w:p w14:paraId="397CE516" w14:textId="1DEA6DDD" w:rsidR="00BC28F2" w:rsidRDefault="00BC28F2" w:rsidP="008D425A">
      <w:pPr>
        <w:pStyle w:val="NormalWeb"/>
        <w:spacing w:line="360" w:lineRule="auto"/>
        <w:rPr>
          <w:rFonts w:asciiTheme="minorHAnsi" w:hAnsiTheme="minorHAnsi" w:cstheme="minorHAnsi"/>
          <w:color w:val="FF0000"/>
        </w:rPr>
      </w:pPr>
      <w:r w:rsidRPr="00BC28F2">
        <w:rPr>
          <w:rFonts w:asciiTheme="minorHAnsi" w:hAnsiTheme="minorHAnsi" w:cstheme="minorHAnsi"/>
          <w:b/>
          <w:bCs/>
          <w:u w:val="single"/>
        </w:rPr>
        <w:t>Assignment 4</w:t>
      </w:r>
      <w:r w:rsidR="005506A7">
        <w:rPr>
          <w:rFonts w:asciiTheme="minorHAnsi" w:hAnsiTheme="minorHAnsi" w:cstheme="minorHAnsi"/>
          <w:b/>
          <w:bCs/>
          <w:u w:val="single"/>
        </w:rPr>
        <w:t>: Outline potential links between serious and organised crime and public protection issues, how might bias impact on the investigation of such incidents?</w:t>
      </w:r>
    </w:p>
    <w:p w14:paraId="0CF7D0B2" w14:textId="77777777"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Serious and organised crime (SOC) in recent years has become a major concern for the police within the UK and worldwide. The links to public protection (PP) issues provoke an even more complex set of challenges. This essay aims to outline these issues and explain how investigative bias can play a detrimental role in understanding such incidents.</w:t>
      </w:r>
    </w:p>
    <w:p w14:paraId="1A0DF46A" w14:textId="28E4159C"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SOC can be characterised as coordinated criminal activity by a network of people </w:t>
      </w:r>
      <w:r w:rsidR="00C6627F">
        <w:rPr>
          <w:rFonts w:asciiTheme="minorHAnsi" w:hAnsiTheme="minorHAnsi" w:cstheme="minorHAnsi"/>
        </w:rPr>
        <w:t>continu</w:t>
      </w:r>
      <w:r w:rsidR="00DC1B70">
        <w:rPr>
          <w:rFonts w:asciiTheme="minorHAnsi" w:hAnsiTheme="minorHAnsi" w:cstheme="minorHAnsi"/>
        </w:rPr>
        <w:t>ous</w:t>
      </w:r>
      <w:r w:rsidR="00C6627F">
        <w:rPr>
          <w:rFonts w:asciiTheme="minorHAnsi" w:hAnsiTheme="minorHAnsi" w:cstheme="minorHAnsi"/>
        </w:rPr>
        <w:t>ly</w:t>
      </w:r>
      <w:r w:rsidRPr="00273E58">
        <w:rPr>
          <w:rFonts w:asciiTheme="minorHAnsi" w:hAnsiTheme="minorHAnsi" w:cstheme="minorHAnsi"/>
        </w:rPr>
        <w:t>, usually for financial gain (CPS, 2022). The Crown Prosecution Service highlights that SOC is a major threat to public safety and national security within the UK, making it imperative that these offences are investigated rigorously. When relating PP to SOC, it is apparent that these crimes provide an immediate threat to public safety. Public protection measures are developed with the aim of preventing crime, reducing the likelihood of harm occurring, and developing safer communities (Granath, 2015). The dynamic nature of SOC is a consistent problem and a major challenge for the police and the safety of the public.</w:t>
      </w:r>
    </w:p>
    <w:p w14:paraId="1D426759" w14:textId="4C3CA50F" w:rsidR="009F1D73"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Significant areas of potential links between SOC and PP revolve around serious acquisitive crimes such as drug smuggling and dealing, which can have devastating implications for communities. County lines is a term used to describe a SOC that is involved in exporting illegal drugs throughout the UK. The National Crime Agency (2017) outlines the significant challenges the police face and how this is a major PP issue. Exploitation of the young and vulnerable is common, and they are often exposed to physical, psychological, and sexual abuse. An article published by Robinson, Mclean, and Desnley (2018) outlines the problems associated with organised crime </w:t>
      </w:r>
      <w:r w:rsidR="00DC1B70">
        <w:rPr>
          <w:rFonts w:asciiTheme="minorHAnsi" w:hAnsiTheme="minorHAnsi" w:cstheme="minorHAnsi"/>
        </w:rPr>
        <w:t>concerning</w:t>
      </w:r>
      <w:r w:rsidRPr="00273E58">
        <w:rPr>
          <w:rFonts w:asciiTheme="minorHAnsi" w:hAnsiTheme="minorHAnsi" w:cstheme="minorHAnsi"/>
        </w:rPr>
        <w:t xml:space="preserve"> county lines within two cities in the UK, Glasgow and Merseyside. Findings</w:t>
      </w:r>
      <w:r w:rsidR="008236C4">
        <w:rPr>
          <w:rFonts w:asciiTheme="minorHAnsi" w:hAnsiTheme="minorHAnsi" w:cstheme="minorHAnsi"/>
        </w:rPr>
        <w:t xml:space="preserve"> </w:t>
      </w:r>
      <w:r w:rsidRPr="00273E58">
        <w:rPr>
          <w:rFonts w:asciiTheme="minorHAnsi" w:hAnsiTheme="minorHAnsi" w:cstheme="minorHAnsi"/>
        </w:rPr>
        <w:t>suggest</w:t>
      </w:r>
      <w:r w:rsidR="008236C4">
        <w:rPr>
          <w:rFonts w:asciiTheme="minorHAnsi" w:hAnsiTheme="minorHAnsi" w:cstheme="minorHAnsi"/>
        </w:rPr>
        <w:t>,</w:t>
      </w:r>
      <w:r w:rsidRPr="00273E58">
        <w:rPr>
          <w:rFonts w:asciiTheme="minorHAnsi" w:hAnsiTheme="minorHAnsi" w:cstheme="minorHAnsi"/>
        </w:rPr>
        <w:t xml:space="preserve"> child criminal exploitation was apparent within county lines of activity, and this was often due to children in debt to the perpetrators and children involved motivated by money and personal status. Criminal gangs were found to employ children as young as 12 to distribute drugs to mask their own identities (HM Government, 2018). This is of major concern and presents a PP issue where vulnerable young children are at risk of violence, harm, and repercussions for being involved in criminal </w:t>
      </w:r>
      <w:r w:rsidRPr="00273E58">
        <w:rPr>
          <w:rFonts w:asciiTheme="minorHAnsi" w:hAnsiTheme="minorHAnsi" w:cstheme="minorHAnsi"/>
        </w:rPr>
        <w:lastRenderedPageBreak/>
        <w:t>activity. County lines, despite being associated with the distribution of drugs, also provide other offences where human trafficking is now used to exploit vulnerable persons to become drug runners for criminals. Slawson (2018) reported that in 2018, two gang members were prosecuted for running a county</w:t>
      </w:r>
      <w:r w:rsidR="00DC1B70">
        <w:rPr>
          <w:rFonts w:asciiTheme="minorHAnsi" w:hAnsiTheme="minorHAnsi" w:cstheme="minorHAnsi"/>
        </w:rPr>
        <w:t>-</w:t>
      </w:r>
      <w:r w:rsidRPr="00273E58">
        <w:rPr>
          <w:rFonts w:asciiTheme="minorHAnsi" w:hAnsiTheme="minorHAnsi" w:cstheme="minorHAnsi"/>
        </w:rPr>
        <w:t xml:space="preserve">line OCG where they had recruited vulnerable women to transport and sell drugs. Again, this is a major PP issue as women are being targeted for criminal activity, and the means to exploit this is usually manipulation and acts of violence. Robinson (2018) suggested that </w:t>
      </w:r>
      <w:r w:rsidR="00DC1B70">
        <w:rPr>
          <w:rFonts w:asciiTheme="minorHAnsi" w:hAnsiTheme="minorHAnsi" w:cstheme="minorHAnsi"/>
        </w:rPr>
        <w:t>preventing</w:t>
      </w:r>
      <w:r w:rsidRPr="00273E58">
        <w:rPr>
          <w:rFonts w:asciiTheme="minorHAnsi" w:hAnsiTheme="minorHAnsi" w:cstheme="minorHAnsi"/>
        </w:rPr>
        <w:t xml:space="preserve"> and safeguard</w:t>
      </w:r>
      <w:r w:rsidR="00DC1B70">
        <w:rPr>
          <w:rFonts w:asciiTheme="minorHAnsi" w:hAnsiTheme="minorHAnsi" w:cstheme="minorHAnsi"/>
        </w:rPr>
        <w:t>ing</w:t>
      </w:r>
      <w:r w:rsidRPr="00273E58">
        <w:rPr>
          <w:rFonts w:asciiTheme="minorHAnsi" w:hAnsiTheme="minorHAnsi" w:cstheme="minorHAnsi"/>
        </w:rPr>
        <w:t xml:space="preserve"> vulnerable victims requires a multi-agency response, and the necessary safeguarding processes must be implemented.</w:t>
      </w:r>
      <w:r w:rsidR="009F1D73">
        <w:rPr>
          <w:rFonts w:asciiTheme="minorHAnsi" w:hAnsiTheme="minorHAnsi" w:cstheme="minorHAnsi"/>
        </w:rPr>
        <w:t xml:space="preserve"> The relationship between the police and partner agencies has significantly improved because of greater communication and awareness of each other’s responsibilities. The collaboration was praised in a recent </w:t>
      </w:r>
      <w:proofErr w:type="gramStart"/>
      <w:r w:rsidR="009F1D73">
        <w:rPr>
          <w:rFonts w:asciiTheme="minorHAnsi" w:hAnsiTheme="minorHAnsi" w:cstheme="minorHAnsi"/>
        </w:rPr>
        <w:t>Home</w:t>
      </w:r>
      <w:proofErr w:type="gramEnd"/>
      <w:r w:rsidR="009F1D73">
        <w:rPr>
          <w:rFonts w:asciiTheme="minorHAnsi" w:hAnsiTheme="minorHAnsi" w:cstheme="minorHAnsi"/>
        </w:rPr>
        <w:t xml:space="preserve"> Office evaluation, which stated since intelligence sharing has improved, there had been more disruptive activities, more </w:t>
      </w:r>
      <w:r w:rsidR="008236C4">
        <w:rPr>
          <w:rFonts w:asciiTheme="minorHAnsi" w:hAnsiTheme="minorHAnsi" w:cstheme="minorHAnsi"/>
        </w:rPr>
        <w:t>arrests,</w:t>
      </w:r>
      <w:r w:rsidR="009F1D73">
        <w:rPr>
          <w:rFonts w:asciiTheme="minorHAnsi" w:hAnsiTheme="minorHAnsi" w:cstheme="minorHAnsi"/>
        </w:rPr>
        <w:t xml:space="preserve"> and more referrals for safeguarding </w:t>
      </w:r>
      <w:r w:rsidR="009F1D73">
        <w:rPr>
          <w:rFonts w:asciiTheme="minorHAnsi" w:hAnsiTheme="minorHAnsi" w:cstheme="minorHAnsi"/>
        </w:rPr>
        <w:t>(Staniforth, 2019).</w:t>
      </w:r>
    </w:p>
    <w:p w14:paraId="019A40E9" w14:textId="6AE09D3B"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The method of cuckooing has become a major problem within the UK, where criminals will exploit and use the homes of the vulnerable to facilitate ongoing criminal activity. Again, manipulation and threats of violence are often the means used for exploitation. Research conducted by Spicer (2020) found the method of cuckooing resulted in an increased risk of criminali</w:t>
      </w:r>
      <w:r w:rsidR="008236C4">
        <w:rPr>
          <w:rFonts w:asciiTheme="minorHAnsi" w:hAnsiTheme="minorHAnsi" w:cstheme="minorHAnsi"/>
        </w:rPr>
        <w:t>s</w:t>
      </w:r>
      <w:r w:rsidRPr="00273E58">
        <w:rPr>
          <w:rFonts w:asciiTheme="minorHAnsi" w:hAnsiTheme="minorHAnsi" w:cstheme="minorHAnsi"/>
        </w:rPr>
        <w:t>ation for the vulnerable who had been exploited, and the wider social context has a major impact on the socio-economic status of the vulnerable.</w:t>
      </w:r>
    </w:p>
    <w:p w14:paraId="15B8E7DD" w14:textId="0F257A98"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More recently, new emerging crimes are </w:t>
      </w:r>
      <w:r w:rsidR="003B17C5" w:rsidRPr="00273E58">
        <w:rPr>
          <w:rFonts w:asciiTheme="minorHAnsi" w:hAnsiTheme="minorHAnsi" w:cstheme="minorHAnsi"/>
        </w:rPr>
        <w:t>evolving</w:t>
      </w:r>
      <w:r w:rsidRPr="00273E58">
        <w:rPr>
          <w:rFonts w:asciiTheme="minorHAnsi" w:hAnsiTheme="minorHAnsi" w:cstheme="minorHAnsi"/>
        </w:rPr>
        <w:t xml:space="preserve"> human trafficking, modern-day slavery, child sexual exploitation, and cybercrime (Crocker et al., 2017). Organised human trafficking and modern-day slavery are now considered major threats to the safety of the public. Traditionally, these offences are seen as most prevalent overseas, but more recently, this has become a major issue within the UK, again posing as a major PP issue. Within the literature (Crocker et al., 2017), it is stated that around 17% of total crimes committed are linked to SOC, but this is believed to be greatly underestimated due to concerns about the level of reporting from victims.</w:t>
      </w:r>
    </w:p>
    <w:p w14:paraId="71A3CC1F" w14:textId="3DA89838"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SOC is one of the most critical issues that modern-day policing is faced with, and tackling SOC is one of the priorities set out by the Government's National Security Risk Assessment (HM Government, 2015). Alongside this, the Serious Crime Act (2015) was introduced to </w:t>
      </w:r>
      <w:r w:rsidRPr="00273E58">
        <w:rPr>
          <w:rFonts w:asciiTheme="minorHAnsi" w:hAnsiTheme="minorHAnsi" w:cstheme="minorHAnsi"/>
        </w:rPr>
        <w:lastRenderedPageBreak/>
        <w:t>provide a more robust response to preventing these forms of crime. A recent study that identified 18 subjects involved in low-level organised crime in the Manchester area outlined some concerning statistics. 33% had a close family member linked to an OCG, and 89% were already familiar with social services (Marshall </w:t>
      </w:r>
      <w:r w:rsidRPr="00273E58">
        <w:rPr>
          <w:rFonts w:asciiTheme="minorHAnsi" w:hAnsiTheme="minorHAnsi" w:cstheme="minorHAnsi"/>
          <w:i/>
          <w:iCs/>
        </w:rPr>
        <w:t>et al.</w:t>
      </w:r>
      <w:r w:rsidRPr="00273E58">
        <w:rPr>
          <w:rFonts w:asciiTheme="minorHAnsi" w:hAnsiTheme="minorHAnsi" w:cstheme="minorHAnsi"/>
        </w:rPr>
        <w:t>, 2005; Hallsworth, 2005). These results are supported by previous research (Disley and Liddle, 2016; Bennett and Holloway, 2004) highlighting the close affiliation between children and OCG and the relationship between OCG and previous low-level criminal activity.</w:t>
      </w:r>
    </w:p>
    <w:p w14:paraId="33DAA781" w14:textId="1A5A72A2"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Despite the widespread implications of SOC, bias in investigating these incidents can have a considerable effect on the outcome. Confirmation bias, for instance, can prompt investigators to seek information that would support their preconceived beliefs rather than consider any contradicting evidence part of an investigation (Meterko, 2022; Ask &amp; Granhag, 2005). Also, within the literature (Pearson et al., 2009; Richardson, 2017), there are concerns surrounding unconscious bias as part of an investigation. Unconscious bias, involving racial, cultural, and socioeconomic stereotypes, can also influence an investigator's motivation and reasoning behind an investigation. Investigative bias poses severe challenges </w:t>
      </w:r>
      <w:r w:rsidR="00DC1B70">
        <w:rPr>
          <w:rFonts w:asciiTheme="minorHAnsi" w:hAnsiTheme="minorHAnsi" w:cstheme="minorHAnsi"/>
        </w:rPr>
        <w:t>to</w:t>
      </w:r>
      <w:r w:rsidRPr="00273E58">
        <w:rPr>
          <w:rFonts w:asciiTheme="minorHAnsi" w:hAnsiTheme="minorHAnsi" w:cstheme="minorHAnsi"/>
        </w:rPr>
        <w:t xml:space="preserve"> public protection, as investigations affected by cognitive bias can lead to unjust outcomes. This in turn can result in a loss of public trust in the police, and this can have damaging implications for the safety and protection of the public itself. Public trust is imperative to ensure public cooperation in crime prevention (Hough et al., 2007).</w:t>
      </w:r>
    </w:p>
    <w:p w14:paraId="43DA0AAA" w14:textId="4929BFAB" w:rsidR="00152CCB" w:rsidRPr="00273E58" w:rsidRDefault="003118FD" w:rsidP="00273E58">
      <w:pPr>
        <w:pStyle w:val="NormalWeb"/>
        <w:spacing w:line="360" w:lineRule="auto"/>
        <w:rPr>
          <w:rFonts w:asciiTheme="minorHAnsi" w:hAnsiTheme="minorHAnsi" w:cstheme="minorHAnsi"/>
        </w:rPr>
      </w:pPr>
      <w:r w:rsidRPr="00273E58">
        <w:rPr>
          <w:rFonts w:asciiTheme="minorHAnsi" w:hAnsiTheme="minorHAnsi" w:cstheme="minorHAnsi"/>
        </w:rPr>
        <w:t>In conclusion, serious and organized crime (SOC) poses a significant threat to public safety and national security in the UK. It endangers vulnerable individuals and communities, making public protection measures imperative. Investigative bias can hinder the understanding and resolution of SOC-related issues, eroding public trust and jeopardizing safety. To combat SOC effectively, a multifaceted approach, including legal frameworks, fair investigations, and community involvement, is essential. As SOC evolves, society must adapt, staying informed and addressing bias to safeguard its citizens. By working collectively and upholding public protection principles, we can better confront the challenges SOC presents and mitigate its impact on our society.</w:t>
      </w:r>
    </w:p>
    <w:p w14:paraId="030F1691" w14:textId="46C24D15" w:rsidR="005D6044" w:rsidRDefault="00C03467" w:rsidP="00273E58">
      <w:pPr>
        <w:pStyle w:val="NormalWeb"/>
        <w:spacing w:line="360" w:lineRule="auto"/>
        <w:rPr>
          <w:rFonts w:asciiTheme="minorHAnsi" w:hAnsiTheme="minorHAnsi" w:cstheme="minorHAnsi"/>
          <w:b/>
          <w:bCs/>
        </w:rPr>
      </w:pPr>
      <w:r w:rsidRPr="00273E58">
        <w:rPr>
          <w:rFonts w:asciiTheme="minorHAnsi" w:hAnsiTheme="minorHAnsi" w:cstheme="minorHAnsi"/>
          <w:b/>
          <w:bCs/>
          <w:u w:val="single"/>
        </w:rPr>
        <w:t>W</w:t>
      </w:r>
      <w:r w:rsidR="00E65F5E" w:rsidRPr="00273E58">
        <w:rPr>
          <w:rFonts w:asciiTheme="minorHAnsi" w:hAnsiTheme="minorHAnsi" w:cstheme="minorHAnsi"/>
          <w:b/>
          <w:bCs/>
          <w:u w:val="single"/>
        </w:rPr>
        <w:t>ord count: 1</w:t>
      </w:r>
      <w:r w:rsidR="00BF55D4" w:rsidRPr="00273E58">
        <w:rPr>
          <w:rFonts w:asciiTheme="minorHAnsi" w:hAnsiTheme="minorHAnsi" w:cstheme="minorHAnsi"/>
          <w:b/>
          <w:bCs/>
          <w:u w:val="single"/>
        </w:rPr>
        <w:t>0</w:t>
      </w:r>
      <w:r w:rsidR="008236C4">
        <w:rPr>
          <w:rFonts w:asciiTheme="minorHAnsi" w:hAnsiTheme="minorHAnsi" w:cstheme="minorHAnsi"/>
          <w:b/>
          <w:bCs/>
          <w:u w:val="single"/>
        </w:rPr>
        <w:t>99</w:t>
      </w:r>
    </w:p>
    <w:p w14:paraId="22D84148" w14:textId="6B49A36A" w:rsidR="00782B80" w:rsidRPr="005D6044" w:rsidRDefault="00813514" w:rsidP="00273E58">
      <w:pPr>
        <w:pStyle w:val="NormalWeb"/>
        <w:spacing w:line="360" w:lineRule="auto"/>
        <w:rPr>
          <w:rFonts w:asciiTheme="minorHAnsi" w:hAnsiTheme="minorHAnsi" w:cstheme="minorHAnsi"/>
          <w:b/>
          <w:bCs/>
        </w:rPr>
      </w:pPr>
      <w:r w:rsidRPr="00273E58">
        <w:rPr>
          <w:rFonts w:asciiTheme="minorHAnsi" w:hAnsiTheme="minorHAnsi" w:cstheme="minorHAnsi"/>
          <w:b/>
          <w:bCs/>
          <w:u w:val="single"/>
        </w:rPr>
        <w:lastRenderedPageBreak/>
        <w:t>Reference list</w:t>
      </w:r>
    </w:p>
    <w:p w14:paraId="03D3B498" w14:textId="79A8F02C" w:rsidR="00C03467"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Ask, K. Granhag, and P. (2005). "Motivational sources of confirmation bias in criminal investigations: the need for cognitive closure." Journal of Investigative Psychology Offender Profiling, 2(1), 43–63.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11, 2023</w:t>
      </w:r>
      <w:r w:rsidR="00052E6C">
        <w:rPr>
          <w:rFonts w:asciiTheme="minorHAnsi" w:hAnsiTheme="minorHAnsi" w:cstheme="minorHAnsi"/>
        </w:rPr>
        <w:t>).</w:t>
      </w:r>
    </w:p>
    <w:p w14:paraId="06F329AB" w14:textId="0DCBF7D0"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Bennett, T., and Holloway, K. (2004). "Gang membership, drugs, and crime in the UK." British Journal of Criminology, 44(3), 305–323.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12, 2023</w:t>
      </w:r>
      <w:r w:rsidR="00052E6C">
        <w:rPr>
          <w:rFonts w:asciiTheme="minorHAnsi" w:hAnsiTheme="minorHAnsi" w:cstheme="minorHAnsi"/>
        </w:rPr>
        <w:t>)</w:t>
      </w:r>
      <w:r w:rsidRPr="00273E58">
        <w:rPr>
          <w:rFonts w:asciiTheme="minorHAnsi" w:hAnsiTheme="minorHAnsi" w:cstheme="minorHAnsi"/>
        </w:rPr>
        <w:t>.</w:t>
      </w:r>
    </w:p>
    <w:p w14:paraId="39139CF2" w14:textId="1799A692"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Blanchette, K., and Brown, S.L. (2006). </w:t>
      </w:r>
      <w:r w:rsidRPr="00273E58">
        <w:rPr>
          <w:rFonts w:asciiTheme="minorHAnsi" w:hAnsiTheme="minorHAnsi" w:cstheme="minorHAnsi"/>
          <w:i/>
          <w:iCs/>
        </w:rPr>
        <w:t>The Assessment and Treatment of Women Offenders: An Integrative Perspective</w:t>
      </w:r>
      <w:r w:rsidRPr="00273E58">
        <w:rPr>
          <w:rFonts w:asciiTheme="minorHAnsi" w:hAnsiTheme="minorHAnsi" w:cstheme="minorHAnsi"/>
        </w:rPr>
        <w:t xml:space="preserve">. John Wiley &amp; Sons, West Sussex.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13, 2023</w:t>
      </w:r>
      <w:r w:rsidR="00052E6C">
        <w:rPr>
          <w:rFonts w:asciiTheme="minorHAnsi" w:hAnsiTheme="minorHAnsi" w:cstheme="minorHAnsi"/>
        </w:rPr>
        <w:t>)</w:t>
      </w:r>
      <w:r w:rsidRPr="00273E58">
        <w:rPr>
          <w:rFonts w:asciiTheme="minorHAnsi" w:hAnsiTheme="minorHAnsi" w:cstheme="minorHAnsi"/>
        </w:rPr>
        <w:t>.</w:t>
      </w:r>
    </w:p>
    <w:p w14:paraId="733D15AA" w14:textId="6E8A9E01"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Broadhurst et al. (2019). "Cybercrime in Progress: Theory and Prevention of Technology-Enabled Offences." Available at: [</w:t>
      </w:r>
      <w:r w:rsidR="00273E58" w:rsidRPr="00273E58">
        <w:rPr>
          <w:rFonts w:asciiTheme="minorHAnsi" w:hAnsiTheme="minorHAnsi" w:cstheme="minorHAnsi"/>
        </w:rPr>
        <w:t>www.crcpress.com/cybercrime-in-progress] (</w:t>
      </w:r>
      <w:r w:rsidRPr="00273E58">
        <w:rPr>
          <w:rFonts w:asciiTheme="minorHAnsi" w:hAnsiTheme="minorHAnsi" w:cstheme="minorHAnsi"/>
        </w:rPr>
        <w:t xml:space="preserve">www.crcpress.com/cybercrime-in-progress).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4, 2023</w:t>
      </w:r>
      <w:r w:rsidR="00052E6C">
        <w:rPr>
          <w:rFonts w:asciiTheme="minorHAnsi" w:hAnsiTheme="minorHAnsi" w:cstheme="minorHAnsi"/>
        </w:rPr>
        <w:t>)</w:t>
      </w:r>
      <w:r w:rsidRPr="00273E58">
        <w:rPr>
          <w:rFonts w:asciiTheme="minorHAnsi" w:hAnsiTheme="minorHAnsi" w:cstheme="minorHAnsi"/>
        </w:rPr>
        <w:t>.</w:t>
      </w:r>
    </w:p>
    <w:p w14:paraId="6AB536D7" w14:textId="2F361F87"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Bullock, K. and Tilley, N. (2002). "Shootings, gangs and violent incidents in Manchester: developing a crime reduction strategy." Crime Reduction Research Series 13. Home Office, London. Available at: [</w:t>
      </w:r>
      <w:r w:rsidR="003B17C5" w:rsidRPr="00273E58">
        <w:rPr>
          <w:rFonts w:asciiTheme="minorHAnsi" w:hAnsiTheme="minorHAnsi" w:cstheme="minorHAnsi"/>
        </w:rPr>
        <w:t>http://discovery.ucl.ac.uk/id/eprint/1411392] (</w:t>
      </w:r>
      <w:r w:rsidRPr="00273E58">
        <w:rPr>
          <w:rFonts w:asciiTheme="minorHAnsi" w:hAnsiTheme="minorHAnsi" w:cstheme="minorHAnsi"/>
        </w:rPr>
        <w:t xml:space="preserve">http://discovery.ucl.ac.uk/id/eprint/1411392).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August 18, 2023</w:t>
      </w:r>
      <w:r w:rsidR="00052E6C">
        <w:rPr>
          <w:rFonts w:asciiTheme="minorHAnsi" w:hAnsiTheme="minorHAnsi" w:cstheme="minorHAnsi"/>
        </w:rPr>
        <w:t>)</w:t>
      </w:r>
      <w:r w:rsidRPr="00273E58">
        <w:rPr>
          <w:rFonts w:asciiTheme="minorHAnsi" w:hAnsiTheme="minorHAnsi" w:cstheme="minorHAnsi"/>
        </w:rPr>
        <w:t>.</w:t>
      </w:r>
    </w:p>
    <w:p w14:paraId="077ABA3C" w14:textId="10CB87FF"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Crocker, R., and Webb, S. (2017). "The impact of organised crime in local communities." The Police Foundation. Available at: [</w:t>
      </w:r>
      <w:r w:rsidR="003B17C5" w:rsidRPr="00273E58">
        <w:rPr>
          <w:rFonts w:asciiTheme="minorHAnsi" w:hAnsiTheme="minorHAnsi" w:cstheme="minorHAnsi"/>
        </w:rPr>
        <w:t>http://www.policefoundation.org.uk/wp-content/uploads/2017/10/oc_in_local_communities_final.pdf] (</w:t>
      </w:r>
      <w:r w:rsidRPr="00273E58">
        <w:rPr>
          <w:rFonts w:asciiTheme="minorHAnsi" w:hAnsiTheme="minorHAnsi" w:cstheme="minorHAnsi"/>
        </w:rPr>
        <w:t xml:space="preserve">http://www.policefoundation.org.uk/wp-content/uploads/2017/10/oc_in_local_communities_final.pdf).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August 17, 2023</w:t>
      </w:r>
      <w:r w:rsidR="00052E6C">
        <w:rPr>
          <w:rFonts w:asciiTheme="minorHAnsi" w:hAnsiTheme="minorHAnsi" w:cstheme="minorHAnsi"/>
        </w:rPr>
        <w:t>)</w:t>
      </w:r>
      <w:r w:rsidRPr="00273E58">
        <w:rPr>
          <w:rFonts w:asciiTheme="minorHAnsi" w:hAnsiTheme="minorHAnsi" w:cstheme="minorHAnsi"/>
        </w:rPr>
        <w:t>.</w:t>
      </w:r>
    </w:p>
    <w:p w14:paraId="6B4B81D5" w14:textId="5940887B"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Crown Prosecution Service (2022). "Organised crime strategy." Crown Copyright. Available at: [</w:t>
      </w:r>
      <w:r w:rsidR="003B17C5" w:rsidRPr="00273E58">
        <w:rPr>
          <w:rFonts w:asciiTheme="minorHAnsi" w:hAnsiTheme="minorHAnsi" w:cstheme="minorHAnsi"/>
        </w:rPr>
        <w:t>https://www.cps.gov.uk/organised-crime-strategy] (</w:t>
      </w:r>
      <w:r w:rsidRPr="00273E58">
        <w:rPr>
          <w:rFonts w:asciiTheme="minorHAnsi" w:hAnsiTheme="minorHAnsi" w:cstheme="minorHAnsi"/>
        </w:rPr>
        <w:t xml:space="preserve">https://www.cps.gov.uk/organised-crime-strategy).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August 29, 2023</w:t>
      </w:r>
      <w:r w:rsidR="00052E6C">
        <w:rPr>
          <w:rFonts w:asciiTheme="minorHAnsi" w:hAnsiTheme="minorHAnsi" w:cstheme="minorHAnsi"/>
        </w:rPr>
        <w:t>)</w:t>
      </w:r>
      <w:r w:rsidRPr="00273E58">
        <w:rPr>
          <w:rFonts w:asciiTheme="minorHAnsi" w:hAnsiTheme="minorHAnsi" w:cstheme="minorHAnsi"/>
        </w:rPr>
        <w:t>.</w:t>
      </w:r>
    </w:p>
    <w:p w14:paraId="5DA892CF" w14:textId="5F5BB373"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Disley, E., and Liddle, M. (2016). "Local perspectives in ending gang and youth violence areas: perceptions of the nature of urban street gangs." Home Office. Available at: </w:t>
      </w:r>
      <w:r w:rsidRPr="00273E58">
        <w:rPr>
          <w:rFonts w:asciiTheme="minorHAnsi" w:hAnsiTheme="minorHAnsi" w:cstheme="minorHAnsi"/>
        </w:rPr>
        <w:lastRenderedPageBreak/>
        <w:t>[</w:t>
      </w:r>
      <w:r w:rsidR="003B17C5" w:rsidRPr="00273E58">
        <w:rPr>
          <w:rFonts w:asciiTheme="minorHAnsi" w:hAnsiTheme="minorHAnsi" w:cstheme="minorHAnsi"/>
        </w:rPr>
        <w:t>www.gov.uk/government/uploads/system/uploads/attachment_data/file/491802/horr88.pdf] (</w:t>
      </w:r>
      <w:r w:rsidRPr="00273E58">
        <w:rPr>
          <w:rFonts w:asciiTheme="minorHAnsi" w:hAnsiTheme="minorHAnsi" w:cstheme="minorHAnsi"/>
        </w:rPr>
        <w:t xml:space="preserve">www.gov.uk/government/uploads/system/uploads/attachment_data/file/491802/horr88.pdf).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12, 2023</w:t>
      </w:r>
      <w:r w:rsidR="00052E6C">
        <w:rPr>
          <w:rFonts w:asciiTheme="minorHAnsi" w:hAnsiTheme="minorHAnsi" w:cstheme="minorHAnsi"/>
        </w:rPr>
        <w:t>)</w:t>
      </w:r>
      <w:r w:rsidRPr="00273E58">
        <w:rPr>
          <w:rFonts w:asciiTheme="minorHAnsi" w:hAnsiTheme="minorHAnsi" w:cstheme="minorHAnsi"/>
        </w:rPr>
        <w:t>.</w:t>
      </w:r>
    </w:p>
    <w:p w14:paraId="680C1880" w14:textId="1C25E2B2"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Flood-Page, C., Campbell, S., Harrington, V., and Miller, J. (2000). "Youth Crime: Findings from the 1998–1999 Youth Lifestyle Survey." Home Office Research Study 209, Home Office, London.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7, 2023</w:t>
      </w:r>
      <w:r w:rsidR="00052E6C">
        <w:rPr>
          <w:rFonts w:asciiTheme="minorHAnsi" w:hAnsiTheme="minorHAnsi" w:cstheme="minorHAnsi"/>
        </w:rPr>
        <w:t>)</w:t>
      </w:r>
      <w:r w:rsidRPr="00273E58">
        <w:rPr>
          <w:rFonts w:asciiTheme="minorHAnsi" w:hAnsiTheme="minorHAnsi" w:cstheme="minorHAnsi"/>
        </w:rPr>
        <w:t>.</w:t>
      </w:r>
    </w:p>
    <w:p w14:paraId="42D24559" w14:textId="42DEA8EC"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Francis, B., Humphreys, L., Kirby, S., and Soothill, K. (2013). "Understanding criminal careers in organised crime." Home Office.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September 27, 2023</w:t>
      </w:r>
      <w:r w:rsidR="00052E6C">
        <w:rPr>
          <w:rFonts w:asciiTheme="minorHAnsi" w:hAnsiTheme="minorHAnsi" w:cstheme="minorHAnsi"/>
        </w:rPr>
        <w:t>)</w:t>
      </w:r>
      <w:r w:rsidRPr="00273E58">
        <w:rPr>
          <w:rFonts w:asciiTheme="minorHAnsi" w:hAnsiTheme="minorHAnsi" w:cstheme="minorHAnsi"/>
        </w:rPr>
        <w:t>.</w:t>
      </w:r>
    </w:p>
    <w:p w14:paraId="06DC99DB" w14:textId="3A63650F"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Granarth, S. (2015). </w:t>
      </w:r>
      <w:r w:rsidRPr="00273E58">
        <w:rPr>
          <w:rFonts w:asciiTheme="minorHAnsi" w:hAnsiTheme="minorHAnsi" w:cstheme="minorHAnsi"/>
          <w:i/>
          <w:iCs/>
        </w:rPr>
        <w:t>Public order and public security in a democratic society</w:t>
      </w:r>
      <w:r w:rsidRPr="00273E58">
        <w:rPr>
          <w:rFonts w:asciiTheme="minorHAnsi" w:hAnsiTheme="minorHAnsi" w:cstheme="minorHAnsi"/>
        </w:rPr>
        <w:t>. Routledge. Available at: [</w:t>
      </w:r>
      <w:r w:rsidR="003B17C5" w:rsidRPr="00273E58">
        <w:rPr>
          <w:rFonts w:asciiTheme="minorHAnsi" w:hAnsiTheme="minorHAnsi" w:cstheme="minorHAnsi"/>
        </w:rPr>
        <w:t>www.routledge.com/books] (</w:t>
      </w:r>
      <w:r w:rsidRPr="00273E58">
        <w:rPr>
          <w:rFonts w:asciiTheme="minorHAnsi" w:hAnsiTheme="minorHAnsi" w:cstheme="minorHAnsi"/>
        </w:rPr>
        <w:t xml:space="preserve">www.routledge.com/books).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September 23, 2023</w:t>
      </w:r>
      <w:r w:rsidR="00052E6C">
        <w:rPr>
          <w:rFonts w:asciiTheme="minorHAnsi" w:hAnsiTheme="minorHAnsi" w:cstheme="minorHAnsi"/>
        </w:rPr>
        <w:t>)</w:t>
      </w:r>
      <w:r w:rsidRPr="00273E58">
        <w:rPr>
          <w:rFonts w:asciiTheme="minorHAnsi" w:hAnsiTheme="minorHAnsi" w:cstheme="minorHAnsi"/>
        </w:rPr>
        <w:t>.</w:t>
      </w:r>
    </w:p>
    <w:p w14:paraId="2586E589" w14:textId="13862FC8"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Hallsworth, S. (2005). </w:t>
      </w:r>
      <w:r w:rsidRPr="00273E58">
        <w:rPr>
          <w:rFonts w:asciiTheme="minorHAnsi" w:hAnsiTheme="minorHAnsi" w:cstheme="minorHAnsi"/>
          <w:i/>
          <w:iCs/>
        </w:rPr>
        <w:t>Street Crime</w:t>
      </w:r>
      <w:r w:rsidRPr="00273E58">
        <w:rPr>
          <w:rFonts w:asciiTheme="minorHAnsi" w:hAnsiTheme="minorHAnsi" w:cstheme="minorHAnsi"/>
        </w:rPr>
        <w:t xml:space="preserve">. Willan Publishing, Cullompton.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3, 2023</w:t>
      </w:r>
      <w:r w:rsidR="00052E6C">
        <w:rPr>
          <w:rFonts w:asciiTheme="minorHAnsi" w:hAnsiTheme="minorHAnsi" w:cstheme="minorHAnsi"/>
        </w:rPr>
        <w:t>)</w:t>
      </w:r>
      <w:r w:rsidRPr="00273E58">
        <w:rPr>
          <w:rFonts w:asciiTheme="minorHAnsi" w:hAnsiTheme="minorHAnsi" w:cstheme="minorHAnsi"/>
        </w:rPr>
        <w:t>.</w:t>
      </w:r>
    </w:p>
    <w:p w14:paraId="0F5CF52F" w14:textId="7EAEBADA" w:rsidR="007C41E8"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Hough, M. (2007). "Policing, new public management, and legitimacy." In Tyler, T. (Ed.), </w:t>
      </w:r>
      <w:r w:rsidRPr="00273E58">
        <w:rPr>
          <w:rFonts w:asciiTheme="minorHAnsi" w:hAnsiTheme="minorHAnsi" w:cstheme="minorHAnsi"/>
          <w:i/>
          <w:iCs/>
        </w:rPr>
        <w:t>Legitimacy and criminal justice</w:t>
      </w:r>
      <w:r w:rsidRPr="00273E58">
        <w:rPr>
          <w:rFonts w:asciiTheme="minorHAnsi" w:hAnsiTheme="minorHAnsi" w:cstheme="minorHAnsi"/>
        </w:rPr>
        <w:t xml:space="preserve">. New York: Russell Sage Foundation.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11, 2023</w:t>
      </w:r>
      <w:r w:rsidR="00052E6C">
        <w:rPr>
          <w:rFonts w:asciiTheme="minorHAnsi" w:hAnsiTheme="minorHAnsi" w:cstheme="minorHAnsi"/>
        </w:rPr>
        <w:t>)</w:t>
      </w:r>
      <w:r w:rsidRPr="00273E58">
        <w:rPr>
          <w:rFonts w:asciiTheme="minorHAnsi" w:hAnsiTheme="minorHAnsi" w:cstheme="minorHAnsi"/>
        </w:rPr>
        <w:t>.</w:t>
      </w:r>
    </w:p>
    <w:p w14:paraId="3E78F967" w14:textId="2568F611"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Marshall, B., Webb, B., and Tilley, N. (2005). "Rationalisation of Current Research on Guns, Gangs, and Other Weapons: Phase 1." University College London Jill Dando Institute of Crime Science, London.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17, 2023</w:t>
      </w:r>
      <w:r w:rsidR="00052E6C">
        <w:rPr>
          <w:rFonts w:asciiTheme="minorHAnsi" w:hAnsiTheme="minorHAnsi" w:cstheme="minorHAnsi"/>
        </w:rPr>
        <w:t>)</w:t>
      </w:r>
      <w:r w:rsidRPr="00273E58">
        <w:rPr>
          <w:rFonts w:asciiTheme="minorHAnsi" w:hAnsiTheme="minorHAnsi" w:cstheme="minorHAnsi"/>
        </w:rPr>
        <w:t>.</w:t>
      </w:r>
    </w:p>
    <w:p w14:paraId="4B235A3A" w14:textId="558DF02A"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Medina, J., Aldridge, J., Shute, J., and Ross, A. (2013). "Measuring gang membership in England and Wales: a latent class analysis with Eurogang survey questions." </w:t>
      </w:r>
      <w:r w:rsidRPr="00273E58">
        <w:rPr>
          <w:rFonts w:asciiTheme="minorHAnsi" w:hAnsiTheme="minorHAnsi" w:cstheme="minorHAnsi"/>
          <w:i/>
          <w:iCs/>
        </w:rPr>
        <w:t>European Journal of Criminology</w:t>
      </w:r>
      <w:r w:rsidRPr="00273E58">
        <w:rPr>
          <w:rFonts w:asciiTheme="minorHAnsi" w:hAnsiTheme="minorHAnsi" w:cstheme="minorHAnsi"/>
        </w:rPr>
        <w:t xml:space="preserve">, 10(5), 591-605.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9, 2023</w:t>
      </w:r>
      <w:r w:rsidR="00052E6C">
        <w:rPr>
          <w:rFonts w:asciiTheme="minorHAnsi" w:hAnsiTheme="minorHAnsi" w:cstheme="minorHAnsi"/>
        </w:rPr>
        <w:t>)</w:t>
      </w:r>
      <w:r w:rsidRPr="00273E58">
        <w:rPr>
          <w:rFonts w:asciiTheme="minorHAnsi" w:hAnsiTheme="minorHAnsi" w:cstheme="minorHAnsi"/>
        </w:rPr>
        <w:t>.</w:t>
      </w:r>
    </w:p>
    <w:p w14:paraId="6195F51E" w14:textId="3D9E5A90"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Meterko, V. (2022). "Cognitive Biases in Criminal Case Evaluation: A Review of the Journal of Police and Criminal Psychology," 37(1), pp. 101–122. Available at: [</w:t>
      </w:r>
      <w:r w:rsidR="003B17C5" w:rsidRPr="00273E58">
        <w:rPr>
          <w:rFonts w:asciiTheme="minorHAnsi" w:hAnsiTheme="minorHAnsi" w:cstheme="minorHAnsi"/>
        </w:rPr>
        <w:t xml:space="preserve">https://link.springer.com/article/10.1007/s11896-020-09425-8#Sec11] </w:t>
      </w:r>
      <w:r w:rsidR="003B17C5" w:rsidRPr="00273E58">
        <w:rPr>
          <w:rFonts w:asciiTheme="minorHAnsi" w:hAnsiTheme="minorHAnsi" w:cstheme="minorHAnsi"/>
        </w:rPr>
        <w:lastRenderedPageBreak/>
        <w:t>(</w:t>
      </w:r>
      <w:r w:rsidRPr="00273E58">
        <w:rPr>
          <w:rFonts w:asciiTheme="minorHAnsi" w:hAnsiTheme="minorHAnsi" w:cstheme="minorHAnsi"/>
        </w:rPr>
        <w:t xml:space="preserve">https://link.springer.com/article/10.1007/s11896-020-09425-8#Sec11).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September 21, 2023</w:t>
      </w:r>
      <w:r w:rsidR="00052E6C">
        <w:rPr>
          <w:rFonts w:asciiTheme="minorHAnsi" w:hAnsiTheme="minorHAnsi" w:cstheme="minorHAnsi"/>
        </w:rPr>
        <w:t>)</w:t>
      </w:r>
      <w:r w:rsidRPr="00273E58">
        <w:rPr>
          <w:rFonts w:asciiTheme="minorHAnsi" w:hAnsiTheme="minorHAnsi" w:cstheme="minorHAnsi"/>
        </w:rPr>
        <w:t>.</w:t>
      </w:r>
    </w:p>
    <w:p w14:paraId="26B97014" w14:textId="0DCAC9D6"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National Crime Agency (2017). "County lines violence, exploitation, and drug supply 2017." Available at: [</w:t>
      </w:r>
      <w:r w:rsidR="003B17C5" w:rsidRPr="00273E58">
        <w:rPr>
          <w:rFonts w:asciiTheme="minorHAnsi" w:hAnsiTheme="minorHAnsi" w:cstheme="minorHAnsi"/>
        </w:rPr>
        <w:t>www.nationalcrimeagency.gov.uk/who-we-are/publications/234-county-lines-violen-ce-exploitation [1] drug</w:t>
      </w:r>
      <w:r w:rsidRPr="00273E58">
        <w:rPr>
          <w:rFonts w:asciiTheme="minorHAnsi" w:hAnsiTheme="minorHAnsi" w:cstheme="minorHAnsi"/>
        </w:rPr>
        <w:t>-supply-2017/</w:t>
      </w:r>
      <w:r w:rsidR="00931AA7" w:rsidRPr="00273E58">
        <w:rPr>
          <w:rFonts w:asciiTheme="minorHAnsi" w:hAnsiTheme="minorHAnsi" w:cstheme="minorHAnsi"/>
        </w:rPr>
        <w:t>file] (www.nationalcrimeagency.gov.uk/who-we-are/publications/234-county-lines-violen-ce-exploitation [1] drug</w:t>
      </w:r>
      <w:r w:rsidRPr="00273E58">
        <w:rPr>
          <w:rFonts w:asciiTheme="minorHAnsi" w:hAnsiTheme="minorHAnsi" w:cstheme="minorHAnsi"/>
        </w:rPr>
        <w:t xml:space="preserve">-supply-2017/file).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9, 2023</w:t>
      </w:r>
      <w:r w:rsidR="00052E6C">
        <w:rPr>
          <w:rFonts w:asciiTheme="minorHAnsi" w:hAnsiTheme="minorHAnsi" w:cstheme="minorHAnsi"/>
        </w:rPr>
        <w:t>)</w:t>
      </w:r>
      <w:r w:rsidRPr="00273E58">
        <w:rPr>
          <w:rFonts w:asciiTheme="minorHAnsi" w:hAnsiTheme="minorHAnsi" w:cstheme="minorHAnsi"/>
        </w:rPr>
        <w:t>.</w:t>
      </w:r>
    </w:p>
    <w:p w14:paraId="27B694FA" w14:textId="75D7F5B1"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Pearson AR, Dovidio JF, and Gaertner SL (2009). "The nature of contemporary prejudice: insights from aversive racism." </w:t>
      </w:r>
      <w:r w:rsidRPr="00273E58">
        <w:rPr>
          <w:rFonts w:asciiTheme="minorHAnsi" w:hAnsiTheme="minorHAnsi" w:cstheme="minorHAnsi"/>
          <w:i/>
          <w:iCs/>
        </w:rPr>
        <w:t>Soc Pers Psychol Compass</w:t>
      </w:r>
      <w:r w:rsidRPr="00273E58">
        <w:rPr>
          <w:rFonts w:asciiTheme="minorHAnsi" w:hAnsiTheme="minorHAnsi" w:cstheme="minorHAnsi"/>
        </w:rPr>
        <w:t>, 3(3), 314–338. [</w:t>
      </w:r>
      <w:r w:rsidR="003B17C5" w:rsidRPr="00273E58">
        <w:rPr>
          <w:rFonts w:asciiTheme="minorHAnsi" w:hAnsiTheme="minorHAnsi" w:cstheme="minorHAnsi"/>
        </w:rPr>
        <w:t>https://doi.org/10.1111/j.1751-9004.2009.00183.x] (</w:t>
      </w:r>
      <w:r w:rsidRPr="00273E58">
        <w:rPr>
          <w:rFonts w:asciiTheme="minorHAnsi" w:hAnsiTheme="minorHAnsi" w:cstheme="minorHAnsi"/>
        </w:rPr>
        <w:t xml:space="preserve">https://doi.org/10.1111/j.1751-9004.2009.00183.x).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11, 2023</w:t>
      </w:r>
      <w:r w:rsidR="00052E6C">
        <w:rPr>
          <w:rFonts w:asciiTheme="minorHAnsi" w:hAnsiTheme="minorHAnsi" w:cstheme="minorHAnsi"/>
        </w:rPr>
        <w:t>)</w:t>
      </w:r>
      <w:r w:rsidRPr="00273E58">
        <w:rPr>
          <w:rFonts w:asciiTheme="minorHAnsi" w:hAnsiTheme="minorHAnsi" w:cstheme="minorHAnsi"/>
        </w:rPr>
        <w:t>.</w:t>
      </w:r>
    </w:p>
    <w:p w14:paraId="562E3421" w14:textId="22FCEA77"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Pitts, J., Hope, T.H.M., and McGibbon, I. (2017). </w:t>
      </w:r>
      <w:r w:rsidRPr="00273E58">
        <w:rPr>
          <w:rFonts w:asciiTheme="minorHAnsi" w:hAnsiTheme="minorHAnsi" w:cstheme="minorHAnsi"/>
          <w:i/>
          <w:iCs/>
        </w:rPr>
        <w:t>Preventing Organised Crime</w:t>
      </w:r>
      <w:r w:rsidRPr="00273E58">
        <w:rPr>
          <w:rFonts w:asciiTheme="minorHAnsi" w:hAnsiTheme="minorHAnsi" w:cstheme="minorHAnsi"/>
        </w:rPr>
        <w:t xml:space="preserve">, University of Bedfordshire, Institute of Applied Social Research, Monograph, ISBN 978-1-911168-05-8.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12, 2023</w:t>
      </w:r>
      <w:r w:rsidR="00052E6C">
        <w:rPr>
          <w:rFonts w:asciiTheme="minorHAnsi" w:hAnsiTheme="minorHAnsi" w:cstheme="minorHAnsi"/>
        </w:rPr>
        <w:t>)</w:t>
      </w:r>
      <w:r w:rsidRPr="00273E58">
        <w:rPr>
          <w:rFonts w:asciiTheme="minorHAnsi" w:hAnsiTheme="minorHAnsi" w:cstheme="minorHAnsi"/>
        </w:rPr>
        <w:t>.</w:t>
      </w:r>
    </w:p>
    <w:p w14:paraId="2BCE5762" w14:textId="34BDEFE7"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Richardson, LS (2017). "Systemic triage: implicit racial bias in the criminal courtroom." </w:t>
      </w:r>
      <w:r w:rsidRPr="00273E58">
        <w:rPr>
          <w:rFonts w:asciiTheme="minorHAnsi" w:hAnsiTheme="minorHAnsi" w:cstheme="minorHAnsi"/>
          <w:i/>
          <w:iCs/>
        </w:rPr>
        <w:t>Yale Law J</w:t>
      </w:r>
      <w:r w:rsidRPr="00273E58">
        <w:rPr>
          <w:rFonts w:asciiTheme="minorHAnsi" w:hAnsiTheme="minorHAnsi" w:cstheme="minorHAnsi"/>
        </w:rPr>
        <w:t xml:space="preserve">, 126(3), 862–893.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4, 2023</w:t>
      </w:r>
      <w:r w:rsidR="00052E6C">
        <w:rPr>
          <w:rFonts w:asciiTheme="minorHAnsi" w:hAnsiTheme="minorHAnsi" w:cstheme="minorHAnsi"/>
        </w:rPr>
        <w:t>)</w:t>
      </w:r>
      <w:r w:rsidRPr="00273E58">
        <w:rPr>
          <w:rFonts w:asciiTheme="minorHAnsi" w:hAnsiTheme="minorHAnsi" w:cstheme="minorHAnsi"/>
        </w:rPr>
        <w:t>.</w:t>
      </w:r>
    </w:p>
    <w:p w14:paraId="2A1A299E" w14:textId="0C124636"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Robinson G., McLean R., and Densley J. (2018). "Working county lines: child criminal exploitation and illicit drug dealing in Glasgow and Merseyside." </w:t>
      </w:r>
      <w:r w:rsidRPr="00273E58">
        <w:rPr>
          <w:rFonts w:asciiTheme="minorHAnsi" w:hAnsiTheme="minorHAnsi" w:cstheme="minorHAnsi"/>
          <w:i/>
          <w:iCs/>
        </w:rPr>
        <w:t xml:space="preserve">Int J Offender Ther Comp Criminol. </w:t>
      </w:r>
      <w:r w:rsidRPr="00273E58">
        <w:rPr>
          <w:rFonts w:asciiTheme="minorHAnsi" w:hAnsiTheme="minorHAnsi" w:cstheme="minorHAnsi"/>
        </w:rPr>
        <w:t>[</w:t>
      </w:r>
      <w:r w:rsidR="003B17C5" w:rsidRPr="00273E58">
        <w:rPr>
          <w:rFonts w:asciiTheme="minorHAnsi" w:hAnsiTheme="minorHAnsi" w:cstheme="minorHAnsi"/>
        </w:rPr>
        <w:t>https://doi.org.ezproxy.uwtsd.ac.uk/10.1177/0306624X18806742] (</w:t>
      </w:r>
      <w:r w:rsidRPr="00273E58">
        <w:rPr>
          <w:rFonts w:asciiTheme="minorHAnsi" w:hAnsiTheme="minorHAnsi" w:cstheme="minorHAnsi"/>
        </w:rPr>
        <w:t xml:space="preserve">https://doi.org.ezproxy.uwtsd.ac.uk/10.1177/0306624X18806742).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9, 2023</w:t>
      </w:r>
      <w:r w:rsidR="00052E6C">
        <w:rPr>
          <w:rFonts w:asciiTheme="minorHAnsi" w:hAnsiTheme="minorHAnsi" w:cstheme="minorHAnsi"/>
        </w:rPr>
        <w:t>)</w:t>
      </w:r>
      <w:r w:rsidRPr="00273E58">
        <w:rPr>
          <w:rFonts w:asciiTheme="minorHAnsi" w:hAnsiTheme="minorHAnsi" w:cstheme="minorHAnsi"/>
        </w:rPr>
        <w:t>.</w:t>
      </w:r>
    </w:p>
    <w:p w14:paraId="400CC8E2" w14:textId="7B42AD99"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(2018, April 13). "Two men were jailed for gang-related human trafficking offences." </w:t>
      </w:r>
      <w:r w:rsidRPr="005037F7">
        <w:rPr>
          <w:rFonts w:asciiTheme="minorHAnsi" w:hAnsiTheme="minorHAnsi" w:cstheme="minorHAnsi"/>
          <w:i/>
          <w:iCs/>
        </w:rPr>
        <w:t>The Guardian</w:t>
      </w:r>
      <w:r w:rsidRPr="00273E58">
        <w:rPr>
          <w:rFonts w:asciiTheme="minorHAnsi" w:hAnsiTheme="minorHAnsi" w:cstheme="minorHAnsi"/>
        </w:rPr>
        <w:t>. Retrieved from [</w:t>
      </w:r>
      <w:r w:rsidR="003B17C5" w:rsidRPr="00273E58">
        <w:rPr>
          <w:rFonts w:asciiTheme="minorHAnsi" w:hAnsiTheme="minorHAnsi" w:cstheme="minorHAnsi"/>
        </w:rPr>
        <w:t>https://www.theguardian.com/uk-news/2018/apr/13/two-men-jailed-for-gang-related-human-trafficking-offences] (</w:t>
      </w:r>
      <w:r w:rsidRPr="00273E58">
        <w:rPr>
          <w:rFonts w:asciiTheme="minorHAnsi" w:hAnsiTheme="minorHAnsi" w:cstheme="minorHAnsi"/>
        </w:rPr>
        <w:t xml:space="preserve">https://www.theguardian.com/uk-news/2018/apr/13/two-men-jailed-for-gang-related-human-trafficking-offences).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October 4, 2023</w:t>
      </w:r>
      <w:r w:rsidR="00052E6C">
        <w:rPr>
          <w:rFonts w:asciiTheme="minorHAnsi" w:hAnsiTheme="minorHAnsi" w:cstheme="minorHAnsi"/>
        </w:rPr>
        <w:t>)</w:t>
      </w:r>
      <w:r w:rsidRPr="00273E58">
        <w:rPr>
          <w:rFonts w:asciiTheme="minorHAnsi" w:hAnsiTheme="minorHAnsi" w:cstheme="minorHAnsi"/>
        </w:rPr>
        <w:t>.</w:t>
      </w:r>
    </w:p>
    <w:p w14:paraId="39C8AF8C" w14:textId="5ECB4105" w:rsidR="00157155"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lastRenderedPageBreak/>
        <w:t xml:space="preserve">Spicer J (2018). "‘That’s their brand, their business’: how police officers are interpreting county lines." </w:t>
      </w:r>
      <w:r w:rsidRPr="005037F7">
        <w:rPr>
          <w:rFonts w:asciiTheme="minorHAnsi" w:hAnsiTheme="minorHAnsi" w:cstheme="minorHAnsi"/>
          <w:i/>
          <w:iCs/>
        </w:rPr>
        <w:t>Polic Soc</w:t>
      </w:r>
      <w:r w:rsidRPr="00273E58">
        <w:rPr>
          <w:rFonts w:asciiTheme="minorHAnsi" w:hAnsiTheme="minorHAnsi" w:cstheme="minorHAnsi"/>
        </w:rPr>
        <w:t>.</w:t>
      </w:r>
      <w:r w:rsidR="005037F7">
        <w:rPr>
          <w:rFonts w:asciiTheme="minorHAnsi" w:hAnsiTheme="minorHAnsi" w:cstheme="minorHAnsi"/>
        </w:rPr>
        <w:t xml:space="preserve"> </w:t>
      </w:r>
      <w:r w:rsidRPr="00273E58">
        <w:rPr>
          <w:rFonts w:asciiTheme="minorHAnsi" w:hAnsiTheme="minorHAnsi" w:cstheme="minorHAnsi"/>
        </w:rPr>
        <w:t>[</w:t>
      </w:r>
      <w:r w:rsidR="003B17C5" w:rsidRPr="00273E58">
        <w:rPr>
          <w:rFonts w:asciiTheme="minorHAnsi" w:hAnsiTheme="minorHAnsi" w:cstheme="minorHAnsi"/>
        </w:rPr>
        <w:t>https://doi.org.ezproxy.uwtsd.ac.uk/10.1080/10439463.2018.1445742] (</w:t>
      </w:r>
      <w:r w:rsidRPr="00273E58">
        <w:rPr>
          <w:rFonts w:asciiTheme="minorHAnsi" w:hAnsiTheme="minorHAnsi" w:cstheme="minorHAnsi"/>
        </w:rPr>
        <w:t xml:space="preserve">https://doi.org.ezproxy.uwtsd.ac.uk/10.1080/10439463.2018.1445742).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September 13, 2023</w:t>
      </w:r>
      <w:r w:rsidR="00052E6C">
        <w:rPr>
          <w:rFonts w:asciiTheme="minorHAnsi" w:hAnsiTheme="minorHAnsi" w:cstheme="minorHAnsi"/>
        </w:rPr>
        <w:t>)</w:t>
      </w:r>
      <w:r w:rsidRPr="00273E58">
        <w:rPr>
          <w:rFonts w:asciiTheme="minorHAnsi" w:hAnsiTheme="minorHAnsi" w:cstheme="minorHAnsi"/>
        </w:rPr>
        <w:t>.</w:t>
      </w:r>
    </w:p>
    <w:p w14:paraId="1F1FD99D" w14:textId="5F4D8A61" w:rsidR="00782B80"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Spicer, J., Moyle, L., and Coomber, R. (2020). "The variable and evolving nature of ‘cuckooing’ as a form of criminal exploitation in street-level drug markets." </w:t>
      </w:r>
      <w:r w:rsidRPr="005D6044">
        <w:rPr>
          <w:rFonts w:asciiTheme="minorHAnsi" w:hAnsiTheme="minorHAnsi" w:cstheme="minorHAnsi"/>
          <w:i/>
          <w:iCs/>
        </w:rPr>
        <w:t>Trends in Organized Crime</w:t>
      </w:r>
      <w:r w:rsidRPr="00273E58">
        <w:rPr>
          <w:rFonts w:asciiTheme="minorHAnsi" w:hAnsiTheme="minorHAnsi" w:cstheme="minorHAnsi"/>
        </w:rPr>
        <w:t>, 23(4), 301-323. [</w:t>
      </w:r>
      <w:r w:rsidR="003B17C5" w:rsidRPr="00273E58">
        <w:rPr>
          <w:rFonts w:asciiTheme="minorHAnsi" w:hAnsiTheme="minorHAnsi" w:cstheme="minorHAnsi"/>
        </w:rPr>
        <w:t>https://link-springer-com.ezproxy.uwtsd.ac.uk/article/10.1007/s12117-019-09368-5] (</w:t>
      </w:r>
      <w:r w:rsidRPr="00273E58">
        <w:rPr>
          <w:rFonts w:asciiTheme="minorHAnsi" w:hAnsiTheme="minorHAnsi" w:cstheme="minorHAnsi"/>
        </w:rPr>
        <w:t xml:space="preserve">https://link-springer-com.ezproxy.uwtsd.ac.uk/article/10.1007/s12117-019-09368-5). </w:t>
      </w:r>
      <w:r w:rsidR="00052E6C">
        <w:rPr>
          <w:rFonts w:asciiTheme="minorHAnsi" w:hAnsiTheme="minorHAnsi" w:cstheme="minorHAnsi"/>
        </w:rPr>
        <w:t>(</w:t>
      </w:r>
      <w:r w:rsidRPr="00273E58">
        <w:rPr>
          <w:rFonts w:asciiTheme="minorHAnsi" w:hAnsiTheme="minorHAnsi" w:cstheme="minorHAnsi"/>
        </w:rPr>
        <w:t>Accessed</w:t>
      </w:r>
      <w:r w:rsidR="00052E6C">
        <w:rPr>
          <w:rFonts w:asciiTheme="minorHAnsi" w:hAnsiTheme="minorHAnsi" w:cstheme="minorHAnsi"/>
        </w:rPr>
        <w:t>:</w:t>
      </w:r>
      <w:r w:rsidRPr="00273E58">
        <w:rPr>
          <w:rFonts w:asciiTheme="minorHAnsi" w:hAnsiTheme="minorHAnsi" w:cstheme="minorHAnsi"/>
        </w:rPr>
        <w:t xml:space="preserve"> September 21, 2023</w:t>
      </w:r>
      <w:r w:rsidR="00052E6C">
        <w:rPr>
          <w:rFonts w:asciiTheme="minorHAnsi" w:hAnsiTheme="minorHAnsi" w:cstheme="minorHAnsi"/>
        </w:rPr>
        <w:t>)</w:t>
      </w:r>
      <w:r w:rsidRPr="00273E58">
        <w:rPr>
          <w:rFonts w:asciiTheme="minorHAnsi" w:hAnsiTheme="minorHAnsi" w:cstheme="minorHAnsi"/>
        </w:rPr>
        <w:t>.</w:t>
      </w:r>
    </w:p>
    <w:p w14:paraId="2C83E6D3" w14:textId="197710B5" w:rsidR="002362A6" w:rsidRPr="00273E58" w:rsidRDefault="002362A6" w:rsidP="00273E58">
      <w:pPr>
        <w:pStyle w:val="NormalWeb"/>
        <w:spacing w:line="360" w:lineRule="auto"/>
        <w:rPr>
          <w:rFonts w:asciiTheme="minorHAnsi" w:hAnsiTheme="minorHAnsi" w:cstheme="minorHAnsi"/>
        </w:rPr>
      </w:pPr>
      <w:r w:rsidRPr="002362A6">
        <w:rPr>
          <w:rFonts w:asciiTheme="minorHAnsi" w:hAnsiTheme="minorHAnsi" w:cstheme="minorHAnsi"/>
          <w:color w:val="222222"/>
          <w:shd w:val="clear" w:color="auto" w:fill="FFFFFF"/>
        </w:rPr>
        <w:t>Staniforth, R.A., Jennings, U., Henderson, J. and Mitchell, S., 2019. Using multi-agency, multi-professional collaboration to reduce serious violence and organized crime. </w:t>
      </w:r>
      <w:r w:rsidRPr="002362A6">
        <w:rPr>
          <w:rFonts w:asciiTheme="minorHAnsi" w:hAnsiTheme="minorHAnsi" w:cstheme="minorHAnsi"/>
          <w:i/>
          <w:iCs/>
          <w:color w:val="222222"/>
          <w:shd w:val="clear" w:color="auto" w:fill="FFFFFF"/>
        </w:rPr>
        <w:t>Journal of community safety and well-being</w:t>
      </w:r>
      <w:r w:rsidRPr="002362A6">
        <w:rPr>
          <w:rFonts w:asciiTheme="minorHAnsi" w:hAnsiTheme="minorHAnsi" w:cstheme="minorHAnsi"/>
          <w:color w:val="222222"/>
          <w:shd w:val="clear" w:color="auto" w:fill="FFFFFF"/>
        </w:rPr>
        <w:t>, </w:t>
      </w:r>
      <w:r w:rsidRPr="002362A6">
        <w:rPr>
          <w:rFonts w:asciiTheme="minorHAnsi" w:hAnsiTheme="minorHAnsi" w:cstheme="minorHAnsi"/>
          <w:i/>
          <w:iCs/>
          <w:color w:val="222222"/>
          <w:shd w:val="clear" w:color="auto" w:fill="FFFFFF"/>
        </w:rPr>
        <w:t>4</w:t>
      </w:r>
      <w:r w:rsidRPr="002362A6">
        <w:rPr>
          <w:rFonts w:asciiTheme="minorHAnsi" w:hAnsiTheme="minorHAnsi" w:cstheme="minorHAnsi"/>
          <w:color w:val="222222"/>
          <w:shd w:val="clear" w:color="auto" w:fill="FFFFFF"/>
        </w:rPr>
        <w:t>(3), pp.63-65</w:t>
      </w:r>
      <w:r>
        <w:rPr>
          <w:rFonts w:ascii="Arial" w:hAnsi="Arial" w:cs="Arial"/>
          <w:color w:val="222222"/>
          <w:sz w:val="20"/>
          <w:szCs w:val="20"/>
          <w:shd w:val="clear" w:color="auto" w:fill="FFFFFF"/>
        </w:rPr>
        <w:t>.</w:t>
      </w:r>
      <w:r w:rsidR="003107AB">
        <w:rPr>
          <w:rFonts w:ascii="Arial" w:hAnsi="Arial" w:cs="Arial"/>
          <w:color w:val="222222"/>
          <w:sz w:val="20"/>
          <w:szCs w:val="20"/>
          <w:shd w:val="clear" w:color="auto" w:fill="FFFFFF"/>
        </w:rPr>
        <w:t xml:space="preserve"> </w:t>
      </w:r>
      <w:r w:rsidR="00052E6C">
        <w:rPr>
          <w:rFonts w:ascii="Arial" w:hAnsi="Arial" w:cs="Arial"/>
          <w:color w:val="222222"/>
          <w:sz w:val="20"/>
          <w:szCs w:val="20"/>
          <w:shd w:val="clear" w:color="auto" w:fill="FFFFFF"/>
        </w:rPr>
        <w:t>(</w:t>
      </w:r>
      <w:r w:rsidR="003107AB" w:rsidRPr="003107AB">
        <w:rPr>
          <w:rFonts w:asciiTheme="minorHAnsi" w:hAnsiTheme="minorHAnsi" w:cstheme="minorHAnsi"/>
          <w:color w:val="222222"/>
          <w:shd w:val="clear" w:color="auto" w:fill="FFFFFF"/>
        </w:rPr>
        <w:t>Accessed: November 8, 2023</w:t>
      </w:r>
      <w:r w:rsidR="00052E6C">
        <w:rPr>
          <w:rFonts w:asciiTheme="minorHAnsi" w:hAnsiTheme="minorHAnsi" w:cstheme="minorHAnsi"/>
          <w:color w:val="222222"/>
          <w:shd w:val="clear" w:color="auto" w:fill="FFFFFF"/>
        </w:rPr>
        <w:t>)</w:t>
      </w:r>
      <w:r w:rsidR="003107AB" w:rsidRPr="003107AB">
        <w:rPr>
          <w:rFonts w:asciiTheme="minorHAnsi" w:hAnsiTheme="minorHAnsi" w:cstheme="minorHAnsi"/>
          <w:color w:val="222222"/>
          <w:shd w:val="clear" w:color="auto" w:fill="FFFFFF"/>
        </w:rPr>
        <w:t>.</w:t>
      </w:r>
      <w:r w:rsidR="003107AB">
        <w:rPr>
          <w:rFonts w:ascii="Arial" w:hAnsi="Arial" w:cs="Arial"/>
          <w:color w:val="222222"/>
          <w:sz w:val="20"/>
          <w:szCs w:val="20"/>
          <w:shd w:val="clear" w:color="auto" w:fill="FFFFFF"/>
        </w:rPr>
        <w:t xml:space="preserve"> </w:t>
      </w:r>
    </w:p>
    <w:p w14:paraId="352F82D4" w14:textId="3A865970"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The Children’s Society (2017). "APPG on runaway and missing children and adults: briefing note on the event on disrupting exploitation of children along ‘county </w:t>
      </w:r>
      <w:r w:rsidR="003B17C5" w:rsidRPr="00273E58">
        <w:rPr>
          <w:rFonts w:asciiTheme="minorHAnsi" w:hAnsiTheme="minorHAnsi" w:cstheme="minorHAnsi"/>
        </w:rPr>
        <w:t>lines</w:t>
      </w:r>
      <w:r w:rsidRPr="00273E58">
        <w:rPr>
          <w:rFonts w:asciiTheme="minorHAnsi" w:hAnsiTheme="minorHAnsi" w:cstheme="minorHAnsi"/>
        </w:rPr>
        <w:t>." Available at: [</w:t>
      </w:r>
      <w:r w:rsidR="003B17C5" w:rsidRPr="00273E58">
        <w:rPr>
          <w:rFonts w:asciiTheme="minorHAnsi" w:hAnsiTheme="minorHAnsi" w:cstheme="minorHAnsi"/>
        </w:rPr>
        <w:t>www.childrenssociety.org] (</w:t>
      </w:r>
      <w:r w:rsidRPr="00273E58">
        <w:rPr>
          <w:rFonts w:asciiTheme="minorHAnsi" w:hAnsiTheme="minorHAnsi" w:cstheme="minorHAnsi"/>
        </w:rPr>
        <w:t xml:space="preserve">www.childrenssociety.org). </w:t>
      </w:r>
      <w:r w:rsidR="00052E6C">
        <w:rPr>
          <w:rFonts w:asciiTheme="minorHAnsi" w:hAnsiTheme="minorHAnsi" w:cstheme="minorHAnsi"/>
        </w:rPr>
        <w:t>(</w:t>
      </w:r>
      <w:r w:rsidRPr="00273E58">
        <w:rPr>
          <w:rFonts w:asciiTheme="minorHAnsi" w:hAnsiTheme="minorHAnsi" w:cstheme="minorHAnsi"/>
        </w:rPr>
        <w:t>Accessed: October 1, 2023</w:t>
      </w:r>
      <w:r w:rsidR="00052E6C">
        <w:rPr>
          <w:rFonts w:asciiTheme="minorHAnsi" w:hAnsiTheme="minorHAnsi" w:cstheme="minorHAnsi"/>
        </w:rPr>
        <w:t>)</w:t>
      </w:r>
      <w:r w:rsidRPr="00273E58">
        <w:rPr>
          <w:rFonts w:asciiTheme="minorHAnsi" w:hAnsiTheme="minorHAnsi" w:cstheme="minorHAnsi"/>
        </w:rPr>
        <w:t>.</w:t>
      </w:r>
    </w:p>
    <w:p w14:paraId="7ABAC7C5" w14:textId="77777777" w:rsidR="00782B80" w:rsidRPr="00782B80" w:rsidRDefault="00782B80" w:rsidP="00782B80">
      <w:pPr>
        <w:pStyle w:val="NormalWeb"/>
        <w:rPr>
          <w:u w:val="single"/>
        </w:rPr>
      </w:pPr>
    </w:p>
    <w:p w14:paraId="7C68CB05" w14:textId="107873AE" w:rsidR="004D6A06" w:rsidRPr="004D6A06" w:rsidRDefault="004D6A06" w:rsidP="00782B80">
      <w:pPr>
        <w:pStyle w:val="NormalWeb"/>
        <w:rPr>
          <w:rFonts w:asciiTheme="minorHAnsi" w:hAnsiTheme="minorHAnsi" w:cstheme="minorHAnsi"/>
        </w:rPr>
      </w:pPr>
    </w:p>
    <w:sectPr w:rsidR="004D6A06" w:rsidRPr="004D6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1tjQ0MzQwtDAxsjRV0lEKTi0uzszPAykwqgUAM6CewSwAAAA="/>
  </w:docVars>
  <w:rsids>
    <w:rsidRoot w:val="00C56FCB"/>
    <w:rsid w:val="00035242"/>
    <w:rsid w:val="00047B1D"/>
    <w:rsid w:val="00052E6C"/>
    <w:rsid w:val="0007326B"/>
    <w:rsid w:val="00074B3F"/>
    <w:rsid w:val="00096A6A"/>
    <w:rsid w:val="000A07B6"/>
    <w:rsid w:val="000D5E17"/>
    <w:rsid w:val="000E2DB8"/>
    <w:rsid w:val="000E4135"/>
    <w:rsid w:val="000F139F"/>
    <w:rsid w:val="000F42AA"/>
    <w:rsid w:val="001046B9"/>
    <w:rsid w:val="00134198"/>
    <w:rsid w:val="0015183A"/>
    <w:rsid w:val="00152CCB"/>
    <w:rsid w:val="00157155"/>
    <w:rsid w:val="001668A3"/>
    <w:rsid w:val="001732A2"/>
    <w:rsid w:val="00175E86"/>
    <w:rsid w:val="00183B27"/>
    <w:rsid w:val="00187CCE"/>
    <w:rsid w:val="001A47B4"/>
    <w:rsid w:val="001D41EF"/>
    <w:rsid w:val="001D434F"/>
    <w:rsid w:val="001D4AB7"/>
    <w:rsid w:val="001D736A"/>
    <w:rsid w:val="001F2B56"/>
    <w:rsid w:val="002031B9"/>
    <w:rsid w:val="00210BE6"/>
    <w:rsid w:val="00211ED4"/>
    <w:rsid w:val="00212381"/>
    <w:rsid w:val="002146C7"/>
    <w:rsid w:val="00214C9B"/>
    <w:rsid w:val="002177EF"/>
    <w:rsid w:val="00220E41"/>
    <w:rsid w:val="00235767"/>
    <w:rsid w:val="00236113"/>
    <w:rsid w:val="002362A6"/>
    <w:rsid w:val="00242E22"/>
    <w:rsid w:val="002564B3"/>
    <w:rsid w:val="00273E58"/>
    <w:rsid w:val="00283267"/>
    <w:rsid w:val="00285C08"/>
    <w:rsid w:val="00290D8F"/>
    <w:rsid w:val="002F72AE"/>
    <w:rsid w:val="003107AB"/>
    <w:rsid w:val="003118FD"/>
    <w:rsid w:val="00314C8C"/>
    <w:rsid w:val="00320556"/>
    <w:rsid w:val="00326280"/>
    <w:rsid w:val="00327304"/>
    <w:rsid w:val="00386C1B"/>
    <w:rsid w:val="003B17C5"/>
    <w:rsid w:val="003B1CB0"/>
    <w:rsid w:val="003E1879"/>
    <w:rsid w:val="003E5E1E"/>
    <w:rsid w:val="003F7555"/>
    <w:rsid w:val="00412BF3"/>
    <w:rsid w:val="0043272B"/>
    <w:rsid w:val="00465CA4"/>
    <w:rsid w:val="00474B56"/>
    <w:rsid w:val="004A7B0A"/>
    <w:rsid w:val="004C62B2"/>
    <w:rsid w:val="004D48A4"/>
    <w:rsid w:val="004D60B4"/>
    <w:rsid w:val="004D6A06"/>
    <w:rsid w:val="004E1D5F"/>
    <w:rsid w:val="004E20AF"/>
    <w:rsid w:val="004F40B6"/>
    <w:rsid w:val="005037F7"/>
    <w:rsid w:val="00524E20"/>
    <w:rsid w:val="005268CC"/>
    <w:rsid w:val="005506A7"/>
    <w:rsid w:val="00554895"/>
    <w:rsid w:val="00563D88"/>
    <w:rsid w:val="005A1F1F"/>
    <w:rsid w:val="005D25DE"/>
    <w:rsid w:val="005D6044"/>
    <w:rsid w:val="005E49C0"/>
    <w:rsid w:val="005F1120"/>
    <w:rsid w:val="00603C89"/>
    <w:rsid w:val="0060528E"/>
    <w:rsid w:val="00622F15"/>
    <w:rsid w:val="0064218F"/>
    <w:rsid w:val="006A1CD1"/>
    <w:rsid w:val="006C0275"/>
    <w:rsid w:val="006C2826"/>
    <w:rsid w:val="006D2A1F"/>
    <w:rsid w:val="006D4EF1"/>
    <w:rsid w:val="007065DD"/>
    <w:rsid w:val="00713243"/>
    <w:rsid w:val="00723FA4"/>
    <w:rsid w:val="0076692A"/>
    <w:rsid w:val="00782B80"/>
    <w:rsid w:val="00791CE0"/>
    <w:rsid w:val="007B502E"/>
    <w:rsid w:val="007B73C4"/>
    <w:rsid w:val="007C19D1"/>
    <w:rsid w:val="007C41E8"/>
    <w:rsid w:val="007E0189"/>
    <w:rsid w:val="007E170A"/>
    <w:rsid w:val="007E232D"/>
    <w:rsid w:val="007F6109"/>
    <w:rsid w:val="0080101B"/>
    <w:rsid w:val="00813514"/>
    <w:rsid w:val="00815653"/>
    <w:rsid w:val="008236C4"/>
    <w:rsid w:val="00834576"/>
    <w:rsid w:val="00867773"/>
    <w:rsid w:val="008762C5"/>
    <w:rsid w:val="00876C85"/>
    <w:rsid w:val="00886683"/>
    <w:rsid w:val="00892BF6"/>
    <w:rsid w:val="00894C7D"/>
    <w:rsid w:val="008A144B"/>
    <w:rsid w:val="008B2935"/>
    <w:rsid w:val="008C4B7F"/>
    <w:rsid w:val="008D2824"/>
    <w:rsid w:val="008D425A"/>
    <w:rsid w:val="008E4B1E"/>
    <w:rsid w:val="00920A6E"/>
    <w:rsid w:val="00931AA7"/>
    <w:rsid w:val="00943B6A"/>
    <w:rsid w:val="00963EC1"/>
    <w:rsid w:val="0098696B"/>
    <w:rsid w:val="00990A1E"/>
    <w:rsid w:val="009B3926"/>
    <w:rsid w:val="009B6BB4"/>
    <w:rsid w:val="009E4601"/>
    <w:rsid w:val="009E573F"/>
    <w:rsid w:val="009F09AD"/>
    <w:rsid w:val="009F1D73"/>
    <w:rsid w:val="009F5520"/>
    <w:rsid w:val="00A117C6"/>
    <w:rsid w:val="00A14B58"/>
    <w:rsid w:val="00A4017D"/>
    <w:rsid w:val="00A52CC0"/>
    <w:rsid w:val="00A52ED6"/>
    <w:rsid w:val="00A5468B"/>
    <w:rsid w:val="00A616B6"/>
    <w:rsid w:val="00AB32EE"/>
    <w:rsid w:val="00AB76DE"/>
    <w:rsid w:val="00AC586E"/>
    <w:rsid w:val="00AC7EEA"/>
    <w:rsid w:val="00B1101E"/>
    <w:rsid w:val="00B14F57"/>
    <w:rsid w:val="00B202C6"/>
    <w:rsid w:val="00B232F5"/>
    <w:rsid w:val="00B24084"/>
    <w:rsid w:val="00B30A95"/>
    <w:rsid w:val="00B321FB"/>
    <w:rsid w:val="00B36032"/>
    <w:rsid w:val="00B823FE"/>
    <w:rsid w:val="00B926F5"/>
    <w:rsid w:val="00B93CB4"/>
    <w:rsid w:val="00BA4EFC"/>
    <w:rsid w:val="00BB34C6"/>
    <w:rsid w:val="00BB7C5A"/>
    <w:rsid w:val="00BC28F2"/>
    <w:rsid w:val="00BD04AB"/>
    <w:rsid w:val="00BF55D4"/>
    <w:rsid w:val="00C01EC7"/>
    <w:rsid w:val="00C03467"/>
    <w:rsid w:val="00C1370D"/>
    <w:rsid w:val="00C27764"/>
    <w:rsid w:val="00C3015C"/>
    <w:rsid w:val="00C53F37"/>
    <w:rsid w:val="00C56FCB"/>
    <w:rsid w:val="00C648EB"/>
    <w:rsid w:val="00C6627F"/>
    <w:rsid w:val="00C7206D"/>
    <w:rsid w:val="00C72A95"/>
    <w:rsid w:val="00C72C15"/>
    <w:rsid w:val="00C91750"/>
    <w:rsid w:val="00CA0802"/>
    <w:rsid w:val="00CA2655"/>
    <w:rsid w:val="00CB0EF6"/>
    <w:rsid w:val="00CB486B"/>
    <w:rsid w:val="00CB4C84"/>
    <w:rsid w:val="00CF1D95"/>
    <w:rsid w:val="00CF380B"/>
    <w:rsid w:val="00D012F8"/>
    <w:rsid w:val="00D14435"/>
    <w:rsid w:val="00D357E9"/>
    <w:rsid w:val="00D36162"/>
    <w:rsid w:val="00D37C94"/>
    <w:rsid w:val="00D41D3E"/>
    <w:rsid w:val="00D50296"/>
    <w:rsid w:val="00D5305D"/>
    <w:rsid w:val="00D57B47"/>
    <w:rsid w:val="00D83545"/>
    <w:rsid w:val="00D94A49"/>
    <w:rsid w:val="00DB2C96"/>
    <w:rsid w:val="00DB61B7"/>
    <w:rsid w:val="00DB7774"/>
    <w:rsid w:val="00DC1B70"/>
    <w:rsid w:val="00DC3BED"/>
    <w:rsid w:val="00DD5B10"/>
    <w:rsid w:val="00DE3BC7"/>
    <w:rsid w:val="00DE428E"/>
    <w:rsid w:val="00DF1E62"/>
    <w:rsid w:val="00E00E80"/>
    <w:rsid w:val="00E1024F"/>
    <w:rsid w:val="00E12B4D"/>
    <w:rsid w:val="00E149FB"/>
    <w:rsid w:val="00E244CD"/>
    <w:rsid w:val="00E34014"/>
    <w:rsid w:val="00E414AF"/>
    <w:rsid w:val="00E65F5E"/>
    <w:rsid w:val="00E834EA"/>
    <w:rsid w:val="00E92DA4"/>
    <w:rsid w:val="00EB5BBE"/>
    <w:rsid w:val="00ED0C83"/>
    <w:rsid w:val="00EE0B59"/>
    <w:rsid w:val="00EF5169"/>
    <w:rsid w:val="00F04973"/>
    <w:rsid w:val="00F11C36"/>
    <w:rsid w:val="00F14B19"/>
    <w:rsid w:val="00F44AE0"/>
    <w:rsid w:val="00FB4B27"/>
    <w:rsid w:val="00FD6702"/>
    <w:rsid w:val="00FE6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904D2"/>
  <w15:chartTrackingRefBased/>
  <w15:docId w15:val="{1EF1D911-1259-4B54-993E-018EB2E60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6FCB"/>
    <w:rPr>
      <w:color w:val="0000FF"/>
      <w:u w:val="single"/>
    </w:rPr>
  </w:style>
  <w:style w:type="character" w:customStyle="1" w:styleId="visually-hidden">
    <w:name w:val="visually-hidden"/>
    <w:basedOn w:val="DefaultParagraphFont"/>
    <w:rsid w:val="00C56FCB"/>
  </w:style>
  <w:style w:type="paragraph" w:styleId="Bibliography">
    <w:name w:val="Bibliography"/>
    <w:basedOn w:val="Normal"/>
    <w:next w:val="Normal"/>
    <w:uiPriority w:val="37"/>
    <w:unhideWhenUsed/>
    <w:rsid w:val="00C56FCB"/>
    <w:rPr>
      <w:kern w:val="2"/>
      <w14:ligatures w14:val="standardContextual"/>
    </w:rPr>
  </w:style>
  <w:style w:type="character" w:customStyle="1" w:styleId="hlfld-contribauthor">
    <w:name w:val="hlfld-contribauthor"/>
    <w:basedOn w:val="DefaultParagraphFont"/>
    <w:rsid w:val="00C56FCB"/>
  </w:style>
  <w:style w:type="character" w:customStyle="1" w:styleId="nlmgiven-names">
    <w:name w:val="nlm_given-names"/>
    <w:basedOn w:val="DefaultParagraphFont"/>
    <w:rsid w:val="00C56FCB"/>
  </w:style>
  <w:style w:type="character" w:customStyle="1" w:styleId="nlmyear">
    <w:name w:val="nlm_year"/>
    <w:basedOn w:val="DefaultParagraphFont"/>
    <w:rsid w:val="00C56FCB"/>
  </w:style>
  <w:style w:type="character" w:customStyle="1" w:styleId="nlmarticle-title">
    <w:name w:val="nlm_article-title"/>
    <w:basedOn w:val="DefaultParagraphFont"/>
    <w:rsid w:val="00C56FCB"/>
  </w:style>
  <w:style w:type="character" w:customStyle="1" w:styleId="nlmfpage">
    <w:name w:val="nlm_fpage"/>
    <w:basedOn w:val="DefaultParagraphFont"/>
    <w:rsid w:val="00C56FCB"/>
  </w:style>
  <w:style w:type="character" w:customStyle="1" w:styleId="nlmlpage">
    <w:name w:val="nlm_lpage"/>
    <w:basedOn w:val="DefaultParagraphFont"/>
    <w:rsid w:val="00C56FCB"/>
  </w:style>
  <w:style w:type="character" w:customStyle="1" w:styleId="nlmedition">
    <w:name w:val="nlm_edition"/>
    <w:basedOn w:val="DefaultParagraphFont"/>
    <w:rsid w:val="00C56FCB"/>
  </w:style>
  <w:style w:type="character" w:customStyle="1" w:styleId="nlmpublisher-loc">
    <w:name w:val="nlm_publisher-loc"/>
    <w:basedOn w:val="DefaultParagraphFont"/>
    <w:rsid w:val="00C56FCB"/>
  </w:style>
  <w:style w:type="character" w:customStyle="1" w:styleId="nlmpublisher-name">
    <w:name w:val="nlm_publisher-name"/>
    <w:basedOn w:val="DefaultParagraphFont"/>
    <w:rsid w:val="00C56FCB"/>
  </w:style>
  <w:style w:type="character" w:customStyle="1" w:styleId="separator">
    <w:name w:val="separator"/>
    <w:basedOn w:val="DefaultParagraphFont"/>
    <w:rsid w:val="00C56FCB"/>
  </w:style>
  <w:style w:type="character" w:customStyle="1" w:styleId="nlmsource">
    <w:name w:val="nlm_source"/>
    <w:basedOn w:val="DefaultParagraphFont"/>
    <w:rsid w:val="00C56FCB"/>
  </w:style>
  <w:style w:type="character" w:customStyle="1" w:styleId="reflink-block">
    <w:name w:val="reflink-block"/>
    <w:basedOn w:val="DefaultParagraphFont"/>
    <w:rsid w:val="00C56FCB"/>
  </w:style>
  <w:style w:type="character" w:styleId="FollowedHyperlink">
    <w:name w:val="FollowedHyperlink"/>
    <w:basedOn w:val="DefaultParagraphFont"/>
    <w:uiPriority w:val="99"/>
    <w:semiHidden/>
    <w:unhideWhenUsed/>
    <w:rsid w:val="00FB4B27"/>
    <w:rPr>
      <w:color w:val="954F72" w:themeColor="followedHyperlink"/>
      <w:u w:val="single"/>
    </w:rPr>
  </w:style>
  <w:style w:type="paragraph" w:styleId="NormalWeb">
    <w:name w:val="Normal (Web)"/>
    <w:basedOn w:val="Normal"/>
    <w:uiPriority w:val="99"/>
    <w:unhideWhenUsed/>
    <w:rsid w:val="00A52C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B0EF6"/>
    <w:rPr>
      <w:b/>
      <w:bCs/>
    </w:rPr>
  </w:style>
  <w:style w:type="character" w:customStyle="1" w:styleId="authors">
    <w:name w:val="authors"/>
    <w:basedOn w:val="DefaultParagraphFont"/>
    <w:rsid w:val="0080101B"/>
  </w:style>
  <w:style w:type="character" w:customStyle="1" w:styleId="Date1">
    <w:name w:val="Date1"/>
    <w:basedOn w:val="DefaultParagraphFont"/>
    <w:rsid w:val="0080101B"/>
  </w:style>
  <w:style w:type="character" w:customStyle="1" w:styleId="arttitle">
    <w:name w:val="art_title"/>
    <w:basedOn w:val="DefaultParagraphFont"/>
    <w:rsid w:val="0080101B"/>
  </w:style>
  <w:style w:type="character" w:customStyle="1" w:styleId="serialtitle">
    <w:name w:val="serial_title"/>
    <w:basedOn w:val="DefaultParagraphFont"/>
    <w:rsid w:val="0080101B"/>
  </w:style>
  <w:style w:type="character" w:customStyle="1" w:styleId="volumeissue">
    <w:name w:val="volume_issue"/>
    <w:basedOn w:val="DefaultParagraphFont"/>
    <w:rsid w:val="0080101B"/>
  </w:style>
  <w:style w:type="character" w:customStyle="1" w:styleId="pagerange">
    <w:name w:val="page_range"/>
    <w:basedOn w:val="DefaultParagraphFont"/>
    <w:rsid w:val="0080101B"/>
  </w:style>
  <w:style w:type="character" w:customStyle="1" w:styleId="nlmchapter-title">
    <w:name w:val="nlm_chapter-title"/>
    <w:basedOn w:val="DefaultParagraphFont"/>
    <w:rsid w:val="0080101B"/>
  </w:style>
  <w:style w:type="character" w:styleId="Emphasis">
    <w:name w:val="Emphasis"/>
    <w:basedOn w:val="DefaultParagraphFont"/>
    <w:uiPriority w:val="20"/>
    <w:qFormat/>
    <w:rsid w:val="0080101B"/>
    <w:rPr>
      <w:i/>
      <w:iCs/>
    </w:rPr>
  </w:style>
  <w:style w:type="paragraph" w:customStyle="1" w:styleId="xmsonormal">
    <w:name w:val="x_msonormal"/>
    <w:basedOn w:val="Normal"/>
    <w:rsid w:val="00327304"/>
    <w:pPr>
      <w:spacing w:after="0"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4C6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02316">
      <w:bodyDiv w:val="1"/>
      <w:marLeft w:val="0"/>
      <w:marRight w:val="0"/>
      <w:marTop w:val="0"/>
      <w:marBottom w:val="0"/>
      <w:divBdr>
        <w:top w:val="none" w:sz="0" w:space="0" w:color="auto"/>
        <w:left w:val="none" w:sz="0" w:space="0" w:color="auto"/>
        <w:bottom w:val="none" w:sz="0" w:space="0" w:color="auto"/>
        <w:right w:val="none" w:sz="0" w:space="0" w:color="auto"/>
      </w:divBdr>
    </w:div>
    <w:div w:id="1272710829">
      <w:bodyDiv w:val="1"/>
      <w:marLeft w:val="0"/>
      <w:marRight w:val="0"/>
      <w:marTop w:val="0"/>
      <w:marBottom w:val="0"/>
      <w:divBdr>
        <w:top w:val="none" w:sz="0" w:space="0" w:color="auto"/>
        <w:left w:val="none" w:sz="0" w:space="0" w:color="auto"/>
        <w:bottom w:val="none" w:sz="0" w:space="0" w:color="auto"/>
        <w:right w:val="none" w:sz="0" w:space="0" w:color="auto"/>
      </w:divBdr>
    </w:div>
    <w:div w:id="1302732244">
      <w:bodyDiv w:val="1"/>
      <w:marLeft w:val="0"/>
      <w:marRight w:val="0"/>
      <w:marTop w:val="0"/>
      <w:marBottom w:val="0"/>
      <w:divBdr>
        <w:top w:val="none" w:sz="0" w:space="0" w:color="auto"/>
        <w:left w:val="none" w:sz="0" w:space="0" w:color="auto"/>
        <w:bottom w:val="none" w:sz="0" w:space="0" w:color="auto"/>
        <w:right w:val="none" w:sz="0" w:space="0" w:color="auto"/>
      </w:divBdr>
    </w:div>
    <w:div w:id="1363090396">
      <w:bodyDiv w:val="1"/>
      <w:marLeft w:val="0"/>
      <w:marRight w:val="0"/>
      <w:marTop w:val="0"/>
      <w:marBottom w:val="0"/>
      <w:divBdr>
        <w:top w:val="none" w:sz="0" w:space="0" w:color="auto"/>
        <w:left w:val="none" w:sz="0" w:space="0" w:color="auto"/>
        <w:bottom w:val="none" w:sz="0" w:space="0" w:color="auto"/>
        <w:right w:val="none" w:sz="0" w:space="0" w:color="auto"/>
      </w:divBdr>
    </w:div>
    <w:div w:id="1444810984">
      <w:bodyDiv w:val="1"/>
      <w:marLeft w:val="0"/>
      <w:marRight w:val="0"/>
      <w:marTop w:val="0"/>
      <w:marBottom w:val="0"/>
      <w:divBdr>
        <w:top w:val="none" w:sz="0" w:space="0" w:color="auto"/>
        <w:left w:val="none" w:sz="0" w:space="0" w:color="auto"/>
        <w:bottom w:val="none" w:sz="0" w:space="0" w:color="auto"/>
        <w:right w:val="none" w:sz="0" w:space="0" w:color="auto"/>
      </w:divBdr>
    </w:div>
    <w:div w:id="1988627043">
      <w:bodyDiv w:val="1"/>
      <w:marLeft w:val="0"/>
      <w:marRight w:val="0"/>
      <w:marTop w:val="0"/>
      <w:marBottom w:val="0"/>
      <w:divBdr>
        <w:top w:val="none" w:sz="0" w:space="0" w:color="auto"/>
        <w:left w:val="none" w:sz="0" w:space="0" w:color="auto"/>
        <w:bottom w:val="none" w:sz="0" w:space="0" w:color="auto"/>
        <w:right w:val="none" w:sz="0" w:space="0" w:color="auto"/>
      </w:divBdr>
    </w:div>
    <w:div w:id="214133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And22</b:Tag>
    <b:SourceType>JournalArticle</b:SourceType>
    <b:Guid>{C335147C-961C-4843-93E0-EB7139FE140B}</b:Guid>
    <b:Title>Hate crimes against LGBT people: National Crime Victimization Survey, 2017-2019</b:Title>
    <b:Year>2022</b:Year>
    <b:Author>
      <b:Author>
        <b:NameList>
          <b:Person>
            <b:Last>Flores</b:Last>
            <b:First>Andrew</b:First>
            <b:Middle>R</b:Middle>
          </b:Person>
        </b:NameList>
      </b:Author>
    </b:Author>
    <b:RefOrder>2</b:RefOrder>
  </b:Source>
  <b:Source>
    <b:Tag>Hat15</b:Tag>
    <b:SourceType>JournalArticle</b:SourceType>
    <b:Guid>{CD73951F-8148-4711-9B2C-55791225BFD5}</b:Guid>
    <b:Author>
      <b:Author>
        <b:NameList>
          <b:Person>
            <b:Last>Hatzenbuehler</b:Last>
            <b:First>M</b:First>
          </b:Person>
          <b:Person>
            <b:Last>Duncan</b:Last>
            <b:First>D</b:First>
            <b:Middle>&amp; Johnson, R</b:Middle>
          </b:Person>
        </b:NameList>
      </b:Author>
    </b:Author>
    <b:Title>Neighborhood-Level LGBT Hate Crimes and Bullying Among Sexual Minority Youths: A Geospatial Analysis</b:Title>
    <b:Year>2015</b:Year>
    <b:Pages>663-75</b:Pages>
    <b:Volume>30</b:Volume>
    <b:Issue>4</b:Issue>
    <b:RefOrder>3</b:RefOrder>
  </b:Source>
  <b:Source>
    <b:Tag>Dun14</b:Tag>
    <b:SourceType>JournalArticle</b:SourceType>
    <b:Guid>{48BB6E2E-C4E0-42BA-93C9-75AC119FDF96}</b:Guid>
    <b:Author>
      <b:Author>
        <b:NameList>
          <b:Person>
            <b:Last>Duncan</b:Last>
          </b:Person>
        </b:NameList>
      </b:Author>
    </b:Author>
    <b:Title>Neighborhood-level LGBT hate crimes and current illicit drug use among sexual minority youth</b:Title>
    <b:JournalName>Journal of Drug and Alcohol Dependance </b:JournalName>
    <b:Year>2014</b:Year>
    <b:Pages>65-70</b:Pages>
    <b:Volume>1</b:Volume>
    <b:RefOrder>4</b:RefOrder>
  </b:Source>
  <b:Source>
    <b:Tag>Mar20</b:Tag>
    <b:SourceType>JournalArticle</b:SourceType>
    <b:Guid>{165E4F16-26AF-4869-9448-6ABA759AACE0}</b:Guid>
    <b:Author>
      <b:Author>
        <b:NameList>
          <b:Person>
            <b:Last>Walters</b:Last>
            <b:First>M</b:First>
          </b:Person>
        </b:NameList>
      </b:Author>
    </b:Author>
    <b:Title>Hate Crimes Against Trans People: Assessing Emotions, Behaviors, and Attitudes Toward Criminal Justice Agencies</b:Title>
    <b:JournalName>Journal of interpersonal violence</b:JournalName>
    <b:Year>2020</b:Year>
    <b:Pages>4583-4613</b:Pages>
    <b:Volume>35</b:Volume>
    <b:Issue>21</b:Issue>
    <b:RefOrder>5</b:RefOrder>
  </b:Source>
  <b:Source>
    <b:Tag>Awa18</b:Tag>
    <b:SourceType>JournalArticle</b:SourceType>
    <b:Guid>{1D4B4D13-62CF-4BC2-B508-CDFD2742F325}</b:Guid>
    <b:Author>
      <b:Author>
        <b:NameList>
          <b:Person>
            <b:Last>Awan</b:Last>
            <b:First>I</b:First>
          </b:Person>
        </b:NameList>
      </b:Author>
    </b:Author>
    <b:Title>Understanding the public perception and satisfaction of a UK police constabulary</b:Title>
    <b:JournalName>Police practice and research </b:JournalName>
    <b:Year>2018</b:Year>
    <b:Pages>1-10</b:Pages>
    <b:Volume>20</b:Volume>
    <b:Issue>2</b:Issue>
    <b:RefOrder>1</b:RefOrder>
  </b:Source>
</b:Sources>
</file>

<file path=customXml/itemProps1.xml><?xml version="1.0" encoding="utf-8"?>
<ds:datastoreItem xmlns:ds="http://schemas.openxmlformats.org/officeDocument/2006/customXml" ds:itemID="{301B93E7-C63C-4D4A-A2E6-E305C947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26</Pages>
  <Words>7444</Words>
  <Characters>42436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Secker,James swp8231</cp:lastModifiedBy>
  <cp:revision>24</cp:revision>
  <dcterms:created xsi:type="dcterms:W3CDTF">2023-11-02T10:16:00Z</dcterms:created>
  <dcterms:modified xsi:type="dcterms:W3CDTF">2023-11-09T09:29:00Z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2023-11-02T10:16:06Z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106ec193-16e8-4f55-928a-63f32afb7939</vt:lpwstr>
  </property>
  <property fmtid="{D5CDD505-2E9C-101B-9397-08002B2CF9AE}" pid="8" name="MSIP_Label_66cf8fe5-b7b7-4df7-b38d-1c61ac2f6639_ContentBits">
    <vt:lpwstr>0</vt:lpwstr>
  </property>
</Properties>
</file>