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BB371" w14:textId="77777777" w:rsidR="00786531" w:rsidRDefault="00786531" w:rsidP="00786531">
      <w:pPr>
        <w:spacing w:line="360" w:lineRule="auto"/>
        <w:jc w:val="center"/>
        <w:rPr>
          <w:b/>
          <w:bCs/>
          <w:sz w:val="24"/>
          <w:szCs w:val="24"/>
        </w:rPr>
      </w:pPr>
    </w:p>
    <w:p w14:paraId="443FECBD" w14:textId="77777777" w:rsidR="00786531" w:rsidRDefault="00786531" w:rsidP="00786531">
      <w:pPr>
        <w:spacing w:line="360" w:lineRule="auto"/>
        <w:jc w:val="center"/>
        <w:rPr>
          <w:b/>
          <w:bCs/>
          <w:sz w:val="24"/>
          <w:szCs w:val="24"/>
        </w:rPr>
      </w:pPr>
    </w:p>
    <w:p w14:paraId="49FC778B" w14:textId="6FF33C47" w:rsidR="00700A72" w:rsidRPr="001D771C" w:rsidRDefault="008B2F17" w:rsidP="00786531">
      <w:pPr>
        <w:spacing w:line="360" w:lineRule="auto"/>
        <w:jc w:val="center"/>
        <w:rPr>
          <w:b/>
          <w:bCs/>
          <w:sz w:val="24"/>
          <w:szCs w:val="24"/>
        </w:rPr>
      </w:pPr>
      <w:r>
        <w:rPr>
          <w:b/>
          <w:bCs/>
          <w:sz w:val="24"/>
          <w:szCs w:val="24"/>
        </w:rPr>
        <w:t xml:space="preserve">  </w:t>
      </w:r>
      <w:r w:rsidR="00786531" w:rsidRPr="00786531">
        <w:rPr>
          <w:b/>
          <w:bCs/>
          <w:noProof/>
          <w:sz w:val="24"/>
          <w:szCs w:val="24"/>
          <w:lang w:val="en-IN" w:eastAsia="en-IN"/>
        </w:rPr>
        <w:drawing>
          <wp:inline distT="0" distB="0" distL="0" distR="0" wp14:anchorId="27674BF1" wp14:editId="41997FDA">
            <wp:extent cx="4928870" cy="1760646"/>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23814" cy="1794561"/>
                    </a:xfrm>
                    <a:prstGeom prst="rect">
                      <a:avLst/>
                    </a:prstGeom>
                  </pic:spPr>
                </pic:pic>
              </a:graphicData>
            </a:graphic>
          </wp:inline>
        </w:drawing>
      </w:r>
    </w:p>
    <w:p w14:paraId="5A57CC7B" w14:textId="77777777" w:rsidR="00873435" w:rsidRPr="001D771C" w:rsidRDefault="00873435">
      <w:pPr>
        <w:spacing w:line="360" w:lineRule="auto"/>
        <w:jc w:val="both"/>
        <w:rPr>
          <w:b/>
          <w:bCs/>
          <w:sz w:val="24"/>
          <w:szCs w:val="24"/>
        </w:rPr>
      </w:pPr>
    </w:p>
    <w:p w14:paraId="31069982" w14:textId="77777777" w:rsidR="008B2F17" w:rsidRDefault="008B2F17" w:rsidP="008B2F17">
      <w:pPr>
        <w:spacing w:line="360" w:lineRule="auto"/>
        <w:jc w:val="center"/>
        <w:rPr>
          <w:b/>
          <w:bCs/>
          <w:sz w:val="28"/>
          <w:szCs w:val="28"/>
        </w:rPr>
      </w:pPr>
    </w:p>
    <w:p w14:paraId="00FA1BA1" w14:textId="41D2460D" w:rsidR="00786531" w:rsidRPr="008B2F17" w:rsidRDefault="00786531" w:rsidP="008B2F17">
      <w:pPr>
        <w:spacing w:line="360" w:lineRule="auto"/>
        <w:jc w:val="center"/>
        <w:rPr>
          <w:b/>
          <w:bCs/>
          <w:sz w:val="28"/>
          <w:szCs w:val="28"/>
        </w:rPr>
      </w:pPr>
      <w:r w:rsidRPr="008B2F17">
        <w:rPr>
          <w:b/>
          <w:bCs/>
          <w:sz w:val="28"/>
          <w:szCs w:val="28"/>
        </w:rPr>
        <w:t>Programme: Master of Business Administration</w:t>
      </w:r>
    </w:p>
    <w:p w14:paraId="0046777B" w14:textId="77777777" w:rsidR="00786531" w:rsidRPr="008B2F17" w:rsidRDefault="00786531" w:rsidP="008B2F17">
      <w:pPr>
        <w:spacing w:line="360" w:lineRule="auto"/>
        <w:jc w:val="center"/>
        <w:rPr>
          <w:b/>
          <w:bCs/>
          <w:sz w:val="28"/>
          <w:szCs w:val="28"/>
        </w:rPr>
      </w:pPr>
      <w:r w:rsidRPr="008B2F17">
        <w:rPr>
          <w:b/>
          <w:bCs/>
          <w:sz w:val="28"/>
          <w:szCs w:val="28"/>
        </w:rPr>
        <w:t>Module: International Business Concepts</w:t>
      </w:r>
    </w:p>
    <w:p w14:paraId="51F31EF5" w14:textId="2A626D15" w:rsidR="00873435" w:rsidRPr="008B2F17" w:rsidRDefault="00786531" w:rsidP="008B2F17">
      <w:pPr>
        <w:spacing w:line="360" w:lineRule="auto"/>
        <w:jc w:val="center"/>
        <w:rPr>
          <w:b/>
          <w:bCs/>
          <w:sz w:val="28"/>
          <w:szCs w:val="28"/>
        </w:rPr>
      </w:pPr>
      <w:r w:rsidRPr="008B2F17">
        <w:rPr>
          <w:b/>
          <w:bCs/>
          <w:sz w:val="28"/>
          <w:szCs w:val="28"/>
        </w:rPr>
        <w:t>Module Code: LCMB7034</w:t>
      </w:r>
    </w:p>
    <w:p w14:paraId="21CBD29E" w14:textId="3A06E49F" w:rsidR="00786531" w:rsidRPr="008B2F17" w:rsidRDefault="00786531" w:rsidP="008B2F17">
      <w:pPr>
        <w:spacing w:line="360" w:lineRule="auto"/>
        <w:jc w:val="center"/>
        <w:rPr>
          <w:b/>
          <w:bCs/>
          <w:sz w:val="28"/>
          <w:szCs w:val="28"/>
        </w:rPr>
      </w:pPr>
      <w:r w:rsidRPr="008B2F17">
        <w:rPr>
          <w:b/>
          <w:bCs/>
          <w:sz w:val="28"/>
          <w:szCs w:val="28"/>
        </w:rPr>
        <w:t>Lecturer: Akshay Narayanan</w:t>
      </w:r>
    </w:p>
    <w:p w14:paraId="75A9388F" w14:textId="27331AC3" w:rsidR="00786531" w:rsidRPr="008B2F17" w:rsidRDefault="00786531" w:rsidP="008B2F17">
      <w:pPr>
        <w:spacing w:line="360" w:lineRule="auto"/>
        <w:jc w:val="center"/>
        <w:rPr>
          <w:b/>
          <w:bCs/>
          <w:sz w:val="28"/>
          <w:szCs w:val="28"/>
        </w:rPr>
      </w:pPr>
      <w:r w:rsidRPr="008B2F17">
        <w:rPr>
          <w:b/>
          <w:bCs/>
          <w:sz w:val="28"/>
          <w:szCs w:val="28"/>
        </w:rPr>
        <w:t>Student name:</w:t>
      </w:r>
      <w:r w:rsidR="008B2F17" w:rsidRPr="008B2F17">
        <w:rPr>
          <w:b/>
          <w:bCs/>
          <w:sz w:val="28"/>
          <w:szCs w:val="28"/>
        </w:rPr>
        <w:t xml:space="preserve"> Naima Nadimahmed Arab.</w:t>
      </w:r>
    </w:p>
    <w:p w14:paraId="357D8C64" w14:textId="483B412C" w:rsidR="00786531" w:rsidRPr="008B2F17" w:rsidRDefault="00786531" w:rsidP="008B2F17">
      <w:pPr>
        <w:spacing w:line="360" w:lineRule="auto"/>
        <w:jc w:val="center"/>
        <w:rPr>
          <w:b/>
          <w:bCs/>
          <w:sz w:val="28"/>
          <w:szCs w:val="28"/>
        </w:rPr>
      </w:pPr>
      <w:r w:rsidRPr="008B2F17">
        <w:rPr>
          <w:b/>
          <w:bCs/>
          <w:sz w:val="28"/>
          <w:szCs w:val="28"/>
        </w:rPr>
        <w:t>Student ID number:</w:t>
      </w:r>
      <w:r w:rsidR="008B2F17" w:rsidRPr="008B2F17">
        <w:rPr>
          <w:b/>
          <w:bCs/>
          <w:sz w:val="28"/>
          <w:szCs w:val="28"/>
        </w:rPr>
        <w:t>2503320</w:t>
      </w:r>
    </w:p>
    <w:p w14:paraId="4F5EB7C4" w14:textId="77777777" w:rsidR="004A4A80" w:rsidRPr="001D771C" w:rsidRDefault="004A4A80" w:rsidP="008B2F17">
      <w:pPr>
        <w:spacing w:line="360" w:lineRule="auto"/>
        <w:jc w:val="center"/>
        <w:rPr>
          <w:b/>
          <w:bCs/>
          <w:sz w:val="24"/>
          <w:szCs w:val="24"/>
        </w:rPr>
      </w:pPr>
    </w:p>
    <w:p w14:paraId="0DD676CF" w14:textId="77777777" w:rsidR="00873435" w:rsidRPr="00C51DF3" w:rsidRDefault="00873435" w:rsidP="008B2F17">
      <w:pPr>
        <w:spacing w:line="360" w:lineRule="auto"/>
        <w:jc w:val="center"/>
        <w:rPr>
          <w:b/>
          <w:bCs/>
          <w:sz w:val="32"/>
          <w:szCs w:val="32"/>
        </w:rPr>
      </w:pPr>
    </w:p>
    <w:p w14:paraId="25535B0B" w14:textId="0DB69FC2" w:rsidR="00C51DF3" w:rsidRPr="00C51DF3" w:rsidRDefault="00C51DF3" w:rsidP="008B2F17">
      <w:pPr>
        <w:jc w:val="center"/>
        <w:rPr>
          <w:b/>
          <w:bCs/>
          <w:sz w:val="32"/>
          <w:szCs w:val="32"/>
        </w:rPr>
      </w:pPr>
    </w:p>
    <w:p w14:paraId="1DDC72CF" w14:textId="6D4573AF" w:rsidR="00251155" w:rsidRPr="001D771C" w:rsidRDefault="00C51DF3">
      <w:pPr>
        <w:rPr>
          <w:b/>
          <w:bCs/>
          <w:sz w:val="24"/>
          <w:szCs w:val="24"/>
        </w:rPr>
      </w:pPr>
      <w:r w:rsidRPr="001D771C">
        <w:rPr>
          <w:b/>
          <w:bCs/>
          <w:sz w:val="24"/>
          <w:szCs w:val="24"/>
        </w:rPr>
        <w:br w:type="page"/>
      </w:r>
    </w:p>
    <w:sdt>
      <w:sdtPr>
        <w:rPr>
          <w:rFonts w:ascii="Arial" w:eastAsia="Arial" w:hAnsi="Arial" w:cs="Arial"/>
          <w:color w:val="auto"/>
          <w:sz w:val="22"/>
          <w:szCs w:val="22"/>
        </w:rPr>
        <w:id w:val="1619801008"/>
        <w:docPartObj>
          <w:docPartGallery w:val="Table of Contents"/>
          <w:docPartUnique/>
        </w:docPartObj>
      </w:sdtPr>
      <w:sdtEndPr>
        <w:rPr>
          <w:b/>
          <w:bCs/>
          <w:sz w:val="24"/>
          <w:szCs w:val="24"/>
        </w:rPr>
      </w:sdtEndPr>
      <w:sdtContent>
        <w:p w14:paraId="00DB72D4" w14:textId="717954D9" w:rsidR="00251155" w:rsidRPr="001D771C" w:rsidRDefault="00251155" w:rsidP="001C1C2B">
          <w:pPr>
            <w:pStyle w:val="TOCHeading"/>
            <w:spacing w:line="240" w:lineRule="auto"/>
            <w:jc w:val="center"/>
            <w:rPr>
              <w:rFonts w:ascii="Arial" w:hAnsi="Arial" w:cs="Arial"/>
              <w:b/>
              <w:bCs/>
              <w:color w:val="auto"/>
              <w:sz w:val="28"/>
              <w:szCs w:val="28"/>
            </w:rPr>
          </w:pPr>
          <w:r w:rsidRPr="001D771C">
            <w:rPr>
              <w:rFonts w:ascii="Arial" w:hAnsi="Arial" w:cs="Arial"/>
              <w:b/>
              <w:bCs/>
              <w:color w:val="auto"/>
              <w:sz w:val="28"/>
              <w:szCs w:val="28"/>
            </w:rPr>
            <w:t>TABLE OF CONTENTS</w:t>
          </w:r>
        </w:p>
        <w:p w14:paraId="77FFEF2E" w14:textId="2AD09BBF" w:rsidR="007B0101" w:rsidRDefault="00251155">
          <w:pPr>
            <w:pStyle w:val="TOC1"/>
            <w:tabs>
              <w:tab w:val="right" w:leader="dot" w:pos="9350"/>
            </w:tabs>
            <w:rPr>
              <w:rFonts w:asciiTheme="minorHAnsi" w:eastAsiaTheme="minorEastAsia" w:hAnsiTheme="minorHAnsi" w:cstheme="minorBidi"/>
              <w:noProof/>
              <w:kern w:val="2"/>
              <w:sz w:val="24"/>
              <w:szCs w:val="24"/>
              <w14:ligatures w14:val="standardContextual"/>
            </w:rPr>
          </w:pPr>
          <w:r w:rsidRPr="001D771C">
            <w:rPr>
              <w:sz w:val="24"/>
              <w:szCs w:val="24"/>
            </w:rPr>
            <w:fldChar w:fldCharType="begin"/>
          </w:r>
          <w:r w:rsidRPr="001D771C">
            <w:rPr>
              <w:sz w:val="24"/>
              <w:szCs w:val="24"/>
            </w:rPr>
            <w:instrText xml:space="preserve"> TOC \o "1-3" \h \z \u </w:instrText>
          </w:r>
          <w:r w:rsidRPr="001D771C">
            <w:rPr>
              <w:sz w:val="24"/>
              <w:szCs w:val="24"/>
            </w:rPr>
            <w:fldChar w:fldCharType="separate"/>
          </w:r>
          <w:hyperlink w:anchor="_Toc223813166" w:history="1">
            <w:r w:rsidR="007B0101" w:rsidRPr="00B734A0">
              <w:rPr>
                <w:rStyle w:val="Hyperlink"/>
                <w:noProof/>
              </w:rPr>
              <w:t>Section 1</w:t>
            </w:r>
            <w:r w:rsidR="007B0101">
              <w:rPr>
                <w:noProof/>
                <w:webHidden/>
              </w:rPr>
              <w:tab/>
            </w:r>
            <w:r w:rsidR="007B0101">
              <w:rPr>
                <w:noProof/>
                <w:webHidden/>
              </w:rPr>
              <w:fldChar w:fldCharType="begin"/>
            </w:r>
            <w:r w:rsidR="007B0101">
              <w:rPr>
                <w:noProof/>
                <w:webHidden/>
              </w:rPr>
              <w:instrText xml:space="preserve"> PAGEREF _Toc223813166 \h </w:instrText>
            </w:r>
            <w:r w:rsidR="007B0101">
              <w:rPr>
                <w:noProof/>
                <w:webHidden/>
              </w:rPr>
            </w:r>
            <w:r w:rsidR="007B0101">
              <w:rPr>
                <w:noProof/>
                <w:webHidden/>
              </w:rPr>
              <w:fldChar w:fldCharType="separate"/>
            </w:r>
            <w:r w:rsidR="007B0101">
              <w:rPr>
                <w:noProof/>
                <w:webHidden/>
              </w:rPr>
              <w:t>1</w:t>
            </w:r>
            <w:r w:rsidR="007B0101">
              <w:rPr>
                <w:noProof/>
                <w:webHidden/>
              </w:rPr>
              <w:fldChar w:fldCharType="end"/>
            </w:r>
          </w:hyperlink>
        </w:p>
        <w:p w14:paraId="3087B119" w14:textId="6130A5F9" w:rsidR="007B0101" w:rsidRDefault="007B010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3813167" w:history="1">
            <w:r w:rsidRPr="00B734A0">
              <w:rPr>
                <w:rStyle w:val="Hyperlink"/>
                <w:noProof/>
              </w:rPr>
              <w:t>1. Introduction</w:t>
            </w:r>
            <w:r>
              <w:rPr>
                <w:noProof/>
                <w:webHidden/>
              </w:rPr>
              <w:tab/>
            </w:r>
            <w:r>
              <w:rPr>
                <w:noProof/>
                <w:webHidden/>
              </w:rPr>
              <w:fldChar w:fldCharType="begin"/>
            </w:r>
            <w:r>
              <w:rPr>
                <w:noProof/>
                <w:webHidden/>
              </w:rPr>
              <w:instrText xml:space="preserve"> PAGEREF _Toc223813167 \h </w:instrText>
            </w:r>
            <w:r>
              <w:rPr>
                <w:noProof/>
                <w:webHidden/>
              </w:rPr>
            </w:r>
            <w:r>
              <w:rPr>
                <w:noProof/>
                <w:webHidden/>
              </w:rPr>
              <w:fldChar w:fldCharType="separate"/>
            </w:r>
            <w:r>
              <w:rPr>
                <w:noProof/>
                <w:webHidden/>
              </w:rPr>
              <w:t>1</w:t>
            </w:r>
            <w:r>
              <w:rPr>
                <w:noProof/>
                <w:webHidden/>
              </w:rPr>
              <w:fldChar w:fldCharType="end"/>
            </w:r>
          </w:hyperlink>
        </w:p>
        <w:p w14:paraId="60A1C972" w14:textId="43A3F7DE" w:rsidR="007B0101" w:rsidRDefault="007B010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3813168" w:history="1">
            <w:r w:rsidRPr="00B734A0">
              <w:rPr>
                <w:rStyle w:val="Hyperlink"/>
                <w:noProof/>
              </w:rPr>
              <w:t>2. Industry and Country Overview</w:t>
            </w:r>
            <w:r>
              <w:rPr>
                <w:noProof/>
                <w:webHidden/>
              </w:rPr>
              <w:tab/>
            </w:r>
            <w:r>
              <w:rPr>
                <w:noProof/>
                <w:webHidden/>
              </w:rPr>
              <w:fldChar w:fldCharType="begin"/>
            </w:r>
            <w:r>
              <w:rPr>
                <w:noProof/>
                <w:webHidden/>
              </w:rPr>
              <w:instrText xml:space="preserve"> PAGEREF _Toc223813168 \h </w:instrText>
            </w:r>
            <w:r>
              <w:rPr>
                <w:noProof/>
                <w:webHidden/>
              </w:rPr>
            </w:r>
            <w:r>
              <w:rPr>
                <w:noProof/>
                <w:webHidden/>
              </w:rPr>
              <w:fldChar w:fldCharType="separate"/>
            </w:r>
            <w:r>
              <w:rPr>
                <w:noProof/>
                <w:webHidden/>
              </w:rPr>
              <w:t>2</w:t>
            </w:r>
            <w:r>
              <w:rPr>
                <w:noProof/>
                <w:webHidden/>
              </w:rPr>
              <w:fldChar w:fldCharType="end"/>
            </w:r>
          </w:hyperlink>
        </w:p>
        <w:p w14:paraId="39BA118D" w14:textId="438F378D"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69" w:history="1">
            <w:r w:rsidRPr="00B734A0">
              <w:rPr>
                <w:rStyle w:val="Hyperlink"/>
                <w:noProof/>
              </w:rPr>
              <w:t>2.1 Introduction to the Ultra-Luxury Automobile Industry in the USA</w:t>
            </w:r>
            <w:r>
              <w:rPr>
                <w:noProof/>
                <w:webHidden/>
              </w:rPr>
              <w:tab/>
            </w:r>
            <w:r>
              <w:rPr>
                <w:noProof/>
                <w:webHidden/>
              </w:rPr>
              <w:fldChar w:fldCharType="begin"/>
            </w:r>
            <w:r>
              <w:rPr>
                <w:noProof/>
                <w:webHidden/>
              </w:rPr>
              <w:instrText xml:space="preserve"> PAGEREF _Toc223813169 \h </w:instrText>
            </w:r>
            <w:r>
              <w:rPr>
                <w:noProof/>
                <w:webHidden/>
              </w:rPr>
            </w:r>
            <w:r>
              <w:rPr>
                <w:noProof/>
                <w:webHidden/>
              </w:rPr>
              <w:fldChar w:fldCharType="separate"/>
            </w:r>
            <w:r>
              <w:rPr>
                <w:noProof/>
                <w:webHidden/>
              </w:rPr>
              <w:t>2</w:t>
            </w:r>
            <w:r>
              <w:rPr>
                <w:noProof/>
                <w:webHidden/>
              </w:rPr>
              <w:fldChar w:fldCharType="end"/>
            </w:r>
          </w:hyperlink>
        </w:p>
        <w:p w14:paraId="324020B8" w14:textId="50AE2162"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70" w:history="1">
            <w:r w:rsidRPr="00B734A0">
              <w:rPr>
                <w:rStyle w:val="Hyperlink"/>
                <w:noProof/>
              </w:rPr>
              <w:t>2.2 Size, Scope, and Economic Importance of the Industry</w:t>
            </w:r>
            <w:r>
              <w:rPr>
                <w:noProof/>
                <w:webHidden/>
              </w:rPr>
              <w:tab/>
            </w:r>
            <w:r>
              <w:rPr>
                <w:noProof/>
                <w:webHidden/>
              </w:rPr>
              <w:fldChar w:fldCharType="begin"/>
            </w:r>
            <w:r>
              <w:rPr>
                <w:noProof/>
                <w:webHidden/>
              </w:rPr>
              <w:instrText xml:space="preserve"> PAGEREF _Toc223813170 \h </w:instrText>
            </w:r>
            <w:r>
              <w:rPr>
                <w:noProof/>
                <w:webHidden/>
              </w:rPr>
            </w:r>
            <w:r>
              <w:rPr>
                <w:noProof/>
                <w:webHidden/>
              </w:rPr>
              <w:fldChar w:fldCharType="separate"/>
            </w:r>
            <w:r>
              <w:rPr>
                <w:noProof/>
                <w:webHidden/>
              </w:rPr>
              <w:t>2</w:t>
            </w:r>
            <w:r>
              <w:rPr>
                <w:noProof/>
                <w:webHidden/>
              </w:rPr>
              <w:fldChar w:fldCharType="end"/>
            </w:r>
          </w:hyperlink>
        </w:p>
        <w:p w14:paraId="61340C28" w14:textId="0FCBB743"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71" w:history="1">
            <w:r w:rsidRPr="00B734A0">
              <w:rPr>
                <w:rStyle w:val="Hyperlink"/>
                <w:noProof/>
              </w:rPr>
              <w:t>2.3 Major Domestic and Multinational Firms: Competitive Positioning</w:t>
            </w:r>
            <w:r>
              <w:rPr>
                <w:noProof/>
                <w:webHidden/>
              </w:rPr>
              <w:tab/>
            </w:r>
            <w:r>
              <w:rPr>
                <w:noProof/>
                <w:webHidden/>
              </w:rPr>
              <w:fldChar w:fldCharType="begin"/>
            </w:r>
            <w:r>
              <w:rPr>
                <w:noProof/>
                <w:webHidden/>
              </w:rPr>
              <w:instrText xml:space="preserve"> PAGEREF _Toc223813171 \h </w:instrText>
            </w:r>
            <w:r>
              <w:rPr>
                <w:noProof/>
                <w:webHidden/>
              </w:rPr>
            </w:r>
            <w:r>
              <w:rPr>
                <w:noProof/>
                <w:webHidden/>
              </w:rPr>
              <w:fldChar w:fldCharType="separate"/>
            </w:r>
            <w:r>
              <w:rPr>
                <w:noProof/>
                <w:webHidden/>
              </w:rPr>
              <w:t>5</w:t>
            </w:r>
            <w:r>
              <w:rPr>
                <w:noProof/>
                <w:webHidden/>
              </w:rPr>
              <w:fldChar w:fldCharType="end"/>
            </w:r>
          </w:hyperlink>
        </w:p>
        <w:p w14:paraId="24C34827" w14:textId="28FD766D" w:rsidR="007B0101" w:rsidRDefault="007B010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3813172" w:history="1">
            <w:r w:rsidRPr="00B734A0">
              <w:rPr>
                <w:rStyle w:val="Hyperlink"/>
                <w:noProof/>
              </w:rPr>
              <w:t>3. Porter's Diamond Model of National Advantage-Global Competitiveness of the Ultra-Luxury Automobile Industry in the USA</w:t>
            </w:r>
            <w:r>
              <w:rPr>
                <w:noProof/>
                <w:webHidden/>
              </w:rPr>
              <w:tab/>
            </w:r>
            <w:r>
              <w:rPr>
                <w:noProof/>
                <w:webHidden/>
              </w:rPr>
              <w:fldChar w:fldCharType="begin"/>
            </w:r>
            <w:r>
              <w:rPr>
                <w:noProof/>
                <w:webHidden/>
              </w:rPr>
              <w:instrText xml:space="preserve"> PAGEREF _Toc223813172 \h </w:instrText>
            </w:r>
            <w:r>
              <w:rPr>
                <w:noProof/>
                <w:webHidden/>
              </w:rPr>
            </w:r>
            <w:r>
              <w:rPr>
                <w:noProof/>
                <w:webHidden/>
              </w:rPr>
              <w:fldChar w:fldCharType="separate"/>
            </w:r>
            <w:r>
              <w:rPr>
                <w:noProof/>
                <w:webHidden/>
              </w:rPr>
              <w:t>7</w:t>
            </w:r>
            <w:r>
              <w:rPr>
                <w:noProof/>
                <w:webHidden/>
              </w:rPr>
              <w:fldChar w:fldCharType="end"/>
            </w:r>
          </w:hyperlink>
        </w:p>
        <w:p w14:paraId="72B3D00A" w14:textId="210B27CC"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73" w:history="1">
            <w:r w:rsidRPr="00B734A0">
              <w:rPr>
                <w:rStyle w:val="Hyperlink"/>
                <w:noProof/>
              </w:rPr>
              <w:t>3.1 Factor Conditions</w:t>
            </w:r>
            <w:r>
              <w:rPr>
                <w:noProof/>
                <w:webHidden/>
              </w:rPr>
              <w:tab/>
            </w:r>
            <w:r>
              <w:rPr>
                <w:noProof/>
                <w:webHidden/>
              </w:rPr>
              <w:fldChar w:fldCharType="begin"/>
            </w:r>
            <w:r>
              <w:rPr>
                <w:noProof/>
                <w:webHidden/>
              </w:rPr>
              <w:instrText xml:space="preserve"> PAGEREF _Toc223813173 \h </w:instrText>
            </w:r>
            <w:r>
              <w:rPr>
                <w:noProof/>
                <w:webHidden/>
              </w:rPr>
            </w:r>
            <w:r>
              <w:rPr>
                <w:noProof/>
                <w:webHidden/>
              </w:rPr>
              <w:fldChar w:fldCharType="separate"/>
            </w:r>
            <w:r>
              <w:rPr>
                <w:noProof/>
                <w:webHidden/>
              </w:rPr>
              <w:t>7</w:t>
            </w:r>
            <w:r>
              <w:rPr>
                <w:noProof/>
                <w:webHidden/>
              </w:rPr>
              <w:fldChar w:fldCharType="end"/>
            </w:r>
          </w:hyperlink>
        </w:p>
        <w:p w14:paraId="77410198" w14:textId="2C6C7EC1"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74" w:history="1">
            <w:r w:rsidRPr="00B734A0">
              <w:rPr>
                <w:rStyle w:val="Hyperlink"/>
                <w:noProof/>
              </w:rPr>
              <w:t>3.2 Demand Conditions</w:t>
            </w:r>
            <w:r>
              <w:rPr>
                <w:noProof/>
                <w:webHidden/>
              </w:rPr>
              <w:tab/>
            </w:r>
            <w:r>
              <w:rPr>
                <w:noProof/>
                <w:webHidden/>
              </w:rPr>
              <w:fldChar w:fldCharType="begin"/>
            </w:r>
            <w:r>
              <w:rPr>
                <w:noProof/>
                <w:webHidden/>
              </w:rPr>
              <w:instrText xml:space="preserve"> PAGEREF _Toc223813174 \h </w:instrText>
            </w:r>
            <w:r>
              <w:rPr>
                <w:noProof/>
                <w:webHidden/>
              </w:rPr>
            </w:r>
            <w:r>
              <w:rPr>
                <w:noProof/>
                <w:webHidden/>
              </w:rPr>
              <w:fldChar w:fldCharType="separate"/>
            </w:r>
            <w:r>
              <w:rPr>
                <w:noProof/>
                <w:webHidden/>
              </w:rPr>
              <w:t>9</w:t>
            </w:r>
            <w:r>
              <w:rPr>
                <w:noProof/>
                <w:webHidden/>
              </w:rPr>
              <w:fldChar w:fldCharType="end"/>
            </w:r>
          </w:hyperlink>
        </w:p>
        <w:p w14:paraId="13E72F10" w14:textId="23DA5A7A"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75" w:history="1">
            <w:r w:rsidRPr="00B734A0">
              <w:rPr>
                <w:rStyle w:val="Hyperlink"/>
                <w:noProof/>
              </w:rPr>
              <w:t>3.3 Related and Supporting Industries</w:t>
            </w:r>
            <w:r>
              <w:rPr>
                <w:noProof/>
                <w:webHidden/>
              </w:rPr>
              <w:tab/>
            </w:r>
            <w:r>
              <w:rPr>
                <w:noProof/>
                <w:webHidden/>
              </w:rPr>
              <w:fldChar w:fldCharType="begin"/>
            </w:r>
            <w:r>
              <w:rPr>
                <w:noProof/>
                <w:webHidden/>
              </w:rPr>
              <w:instrText xml:space="preserve"> PAGEREF _Toc223813175 \h </w:instrText>
            </w:r>
            <w:r>
              <w:rPr>
                <w:noProof/>
                <w:webHidden/>
              </w:rPr>
            </w:r>
            <w:r>
              <w:rPr>
                <w:noProof/>
                <w:webHidden/>
              </w:rPr>
              <w:fldChar w:fldCharType="separate"/>
            </w:r>
            <w:r>
              <w:rPr>
                <w:noProof/>
                <w:webHidden/>
              </w:rPr>
              <w:t>9</w:t>
            </w:r>
            <w:r>
              <w:rPr>
                <w:noProof/>
                <w:webHidden/>
              </w:rPr>
              <w:fldChar w:fldCharType="end"/>
            </w:r>
          </w:hyperlink>
        </w:p>
        <w:p w14:paraId="2705429E" w14:textId="12431DBF"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76" w:history="1">
            <w:r w:rsidRPr="00B734A0">
              <w:rPr>
                <w:rStyle w:val="Hyperlink"/>
                <w:noProof/>
              </w:rPr>
              <w:t>3.4 Firm Strategy, Structure, and Rivalry</w:t>
            </w:r>
            <w:r>
              <w:rPr>
                <w:noProof/>
                <w:webHidden/>
              </w:rPr>
              <w:tab/>
            </w:r>
            <w:r>
              <w:rPr>
                <w:noProof/>
                <w:webHidden/>
              </w:rPr>
              <w:fldChar w:fldCharType="begin"/>
            </w:r>
            <w:r>
              <w:rPr>
                <w:noProof/>
                <w:webHidden/>
              </w:rPr>
              <w:instrText xml:space="preserve"> PAGEREF _Toc223813176 \h </w:instrText>
            </w:r>
            <w:r>
              <w:rPr>
                <w:noProof/>
                <w:webHidden/>
              </w:rPr>
            </w:r>
            <w:r>
              <w:rPr>
                <w:noProof/>
                <w:webHidden/>
              </w:rPr>
              <w:fldChar w:fldCharType="separate"/>
            </w:r>
            <w:r>
              <w:rPr>
                <w:noProof/>
                <w:webHidden/>
              </w:rPr>
              <w:t>10</w:t>
            </w:r>
            <w:r>
              <w:rPr>
                <w:noProof/>
                <w:webHidden/>
              </w:rPr>
              <w:fldChar w:fldCharType="end"/>
            </w:r>
          </w:hyperlink>
        </w:p>
        <w:p w14:paraId="0FD97E05" w14:textId="22A83140"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77" w:history="1">
            <w:r w:rsidRPr="00B734A0">
              <w:rPr>
                <w:rStyle w:val="Hyperlink"/>
                <w:noProof/>
              </w:rPr>
              <w:t>3.5 Government and Chance</w:t>
            </w:r>
            <w:r>
              <w:rPr>
                <w:noProof/>
                <w:webHidden/>
              </w:rPr>
              <w:tab/>
            </w:r>
            <w:r>
              <w:rPr>
                <w:noProof/>
                <w:webHidden/>
              </w:rPr>
              <w:fldChar w:fldCharType="begin"/>
            </w:r>
            <w:r>
              <w:rPr>
                <w:noProof/>
                <w:webHidden/>
              </w:rPr>
              <w:instrText xml:space="preserve"> PAGEREF _Toc223813177 \h </w:instrText>
            </w:r>
            <w:r>
              <w:rPr>
                <w:noProof/>
                <w:webHidden/>
              </w:rPr>
            </w:r>
            <w:r>
              <w:rPr>
                <w:noProof/>
                <w:webHidden/>
              </w:rPr>
              <w:fldChar w:fldCharType="separate"/>
            </w:r>
            <w:r>
              <w:rPr>
                <w:noProof/>
                <w:webHidden/>
              </w:rPr>
              <w:t>11</w:t>
            </w:r>
            <w:r>
              <w:rPr>
                <w:noProof/>
                <w:webHidden/>
              </w:rPr>
              <w:fldChar w:fldCharType="end"/>
            </w:r>
          </w:hyperlink>
        </w:p>
        <w:p w14:paraId="25C43865" w14:textId="35EE6469" w:rsidR="007B0101" w:rsidRDefault="007B010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3813178" w:history="1">
            <w:r w:rsidRPr="00B734A0">
              <w:rPr>
                <w:rStyle w:val="Hyperlink"/>
                <w:noProof/>
              </w:rPr>
              <w:t>4. Critical Evaluation of Rolls-Royce Motor Cars' Operations in the USA</w:t>
            </w:r>
            <w:r>
              <w:rPr>
                <w:noProof/>
                <w:webHidden/>
              </w:rPr>
              <w:tab/>
            </w:r>
            <w:r>
              <w:rPr>
                <w:noProof/>
                <w:webHidden/>
              </w:rPr>
              <w:fldChar w:fldCharType="begin"/>
            </w:r>
            <w:r>
              <w:rPr>
                <w:noProof/>
                <w:webHidden/>
              </w:rPr>
              <w:instrText xml:space="preserve"> PAGEREF _Toc223813178 \h </w:instrText>
            </w:r>
            <w:r>
              <w:rPr>
                <w:noProof/>
                <w:webHidden/>
              </w:rPr>
            </w:r>
            <w:r>
              <w:rPr>
                <w:noProof/>
                <w:webHidden/>
              </w:rPr>
              <w:fldChar w:fldCharType="separate"/>
            </w:r>
            <w:r>
              <w:rPr>
                <w:noProof/>
                <w:webHidden/>
              </w:rPr>
              <w:t>13</w:t>
            </w:r>
            <w:r>
              <w:rPr>
                <w:noProof/>
                <w:webHidden/>
              </w:rPr>
              <w:fldChar w:fldCharType="end"/>
            </w:r>
          </w:hyperlink>
        </w:p>
        <w:p w14:paraId="73B44578" w14:textId="262380B0"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79" w:history="1">
            <w:r w:rsidRPr="00B734A0">
              <w:rPr>
                <w:rStyle w:val="Hyperlink"/>
                <w:noProof/>
              </w:rPr>
              <w:t>4.1 Overall Market Attractiveness: Benefits, Costs, and Risks</w:t>
            </w:r>
            <w:r>
              <w:rPr>
                <w:noProof/>
                <w:webHidden/>
              </w:rPr>
              <w:tab/>
            </w:r>
            <w:r>
              <w:rPr>
                <w:noProof/>
                <w:webHidden/>
              </w:rPr>
              <w:fldChar w:fldCharType="begin"/>
            </w:r>
            <w:r>
              <w:rPr>
                <w:noProof/>
                <w:webHidden/>
              </w:rPr>
              <w:instrText xml:space="preserve"> PAGEREF _Toc223813179 \h </w:instrText>
            </w:r>
            <w:r>
              <w:rPr>
                <w:noProof/>
                <w:webHidden/>
              </w:rPr>
            </w:r>
            <w:r>
              <w:rPr>
                <w:noProof/>
                <w:webHidden/>
              </w:rPr>
              <w:fldChar w:fldCharType="separate"/>
            </w:r>
            <w:r>
              <w:rPr>
                <w:noProof/>
                <w:webHidden/>
              </w:rPr>
              <w:t>13</w:t>
            </w:r>
            <w:r>
              <w:rPr>
                <w:noProof/>
                <w:webHidden/>
              </w:rPr>
              <w:fldChar w:fldCharType="end"/>
            </w:r>
          </w:hyperlink>
        </w:p>
        <w:p w14:paraId="65D9F112" w14:textId="6E910362"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80" w:history="1">
            <w:r w:rsidRPr="00B734A0">
              <w:rPr>
                <w:rStyle w:val="Hyperlink"/>
                <w:noProof/>
              </w:rPr>
              <w:t>4.2 Political Environment</w:t>
            </w:r>
            <w:r>
              <w:rPr>
                <w:noProof/>
                <w:webHidden/>
              </w:rPr>
              <w:tab/>
            </w:r>
            <w:r>
              <w:rPr>
                <w:noProof/>
                <w:webHidden/>
              </w:rPr>
              <w:fldChar w:fldCharType="begin"/>
            </w:r>
            <w:r>
              <w:rPr>
                <w:noProof/>
                <w:webHidden/>
              </w:rPr>
              <w:instrText xml:space="preserve"> PAGEREF _Toc223813180 \h </w:instrText>
            </w:r>
            <w:r>
              <w:rPr>
                <w:noProof/>
                <w:webHidden/>
              </w:rPr>
            </w:r>
            <w:r>
              <w:rPr>
                <w:noProof/>
                <w:webHidden/>
              </w:rPr>
              <w:fldChar w:fldCharType="separate"/>
            </w:r>
            <w:r>
              <w:rPr>
                <w:noProof/>
                <w:webHidden/>
              </w:rPr>
              <w:t>14</w:t>
            </w:r>
            <w:r>
              <w:rPr>
                <w:noProof/>
                <w:webHidden/>
              </w:rPr>
              <w:fldChar w:fldCharType="end"/>
            </w:r>
          </w:hyperlink>
        </w:p>
        <w:p w14:paraId="75022FB4" w14:textId="27CE920E"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81" w:history="1">
            <w:r w:rsidRPr="00B734A0">
              <w:rPr>
                <w:rStyle w:val="Hyperlink"/>
                <w:noProof/>
              </w:rPr>
              <w:t>4.3 Economic Environment</w:t>
            </w:r>
            <w:r>
              <w:rPr>
                <w:noProof/>
                <w:webHidden/>
              </w:rPr>
              <w:tab/>
            </w:r>
            <w:r>
              <w:rPr>
                <w:noProof/>
                <w:webHidden/>
              </w:rPr>
              <w:fldChar w:fldCharType="begin"/>
            </w:r>
            <w:r>
              <w:rPr>
                <w:noProof/>
                <w:webHidden/>
              </w:rPr>
              <w:instrText xml:space="preserve"> PAGEREF _Toc223813181 \h </w:instrText>
            </w:r>
            <w:r>
              <w:rPr>
                <w:noProof/>
                <w:webHidden/>
              </w:rPr>
            </w:r>
            <w:r>
              <w:rPr>
                <w:noProof/>
                <w:webHidden/>
              </w:rPr>
              <w:fldChar w:fldCharType="separate"/>
            </w:r>
            <w:r>
              <w:rPr>
                <w:noProof/>
                <w:webHidden/>
              </w:rPr>
              <w:t>16</w:t>
            </w:r>
            <w:r>
              <w:rPr>
                <w:noProof/>
                <w:webHidden/>
              </w:rPr>
              <w:fldChar w:fldCharType="end"/>
            </w:r>
          </w:hyperlink>
        </w:p>
        <w:p w14:paraId="6FED095E" w14:textId="5814C6D0"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82" w:history="1">
            <w:r w:rsidRPr="00B734A0">
              <w:rPr>
                <w:rStyle w:val="Hyperlink"/>
                <w:noProof/>
              </w:rPr>
              <w:t>4.4 Legal Environment</w:t>
            </w:r>
            <w:r>
              <w:rPr>
                <w:noProof/>
                <w:webHidden/>
              </w:rPr>
              <w:tab/>
            </w:r>
            <w:r>
              <w:rPr>
                <w:noProof/>
                <w:webHidden/>
              </w:rPr>
              <w:fldChar w:fldCharType="begin"/>
            </w:r>
            <w:r>
              <w:rPr>
                <w:noProof/>
                <w:webHidden/>
              </w:rPr>
              <w:instrText xml:space="preserve"> PAGEREF _Toc223813182 \h </w:instrText>
            </w:r>
            <w:r>
              <w:rPr>
                <w:noProof/>
                <w:webHidden/>
              </w:rPr>
            </w:r>
            <w:r>
              <w:rPr>
                <w:noProof/>
                <w:webHidden/>
              </w:rPr>
              <w:fldChar w:fldCharType="separate"/>
            </w:r>
            <w:r>
              <w:rPr>
                <w:noProof/>
                <w:webHidden/>
              </w:rPr>
              <w:t>18</w:t>
            </w:r>
            <w:r>
              <w:rPr>
                <w:noProof/>
                <w:webHidden/>
              </w:rPr>
              <w:fldChar w:fldCharType="end"/>
            </w:r>
          </w:hyperlink>
        </w:p>
        <w:p w14:paraId="738D5A73" w14:textId="3C5B1C52"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83" w:history="1">
            <w:r w:rsidRPr="00B734A0">
              <w:rPr>
                <w:rStyle w:val="Hyperlink"/>
                <w:noProof/>
              </w:rPr>
              <w:t>4.5 Cultural Environment</w:t>
            </w:r>
            <w:r>
              <w:rPr>
                <w:noProof/>
                <w:webHidden/>
              </w:rPr>
              <w:tab/>
            </w:r>
            <w:r>
              <w:rPr>
                <w:noProof/>
                <w:webHidden/>
              </w:rPr>
              <w:fldChar w:fldCharType="begin"/>
            </w:r>
            <w:r>
              <w:rPr>
                <w:noProof/>
                <w:webHidden/>
              </w:rPr>
              <w:instrText xml:space="preserve"> PAGEREF _Toc223813183 \h </w:instrText>
            </w:r>
            <w:r>
              <w:rPr>
                <w:noProof/>
                <w:webHidden/>
              </w:rPr>
            </w:r>
            <w:r>
              <w:rPr>
                <w:noProof/>
                <w:webHidden/>
              </w:rPr>
              <w:fldChar w:fldCharType="separate"/>
            </w:r>
            <w:r>
              <w:rPr>
                <w:noProof/>
                <w:webHidden/>
              </w:rPr>
              <w:t>20</w:t>
            </w:r>
            <w:r>
              <w:rPr>
                <w:noProof/>
                <w:webHidden/>
              </w:rPr>
              <w:fldChar w:fldCharType="end"/>
            </w:r>
          </w:hyperlink>
        </w:p>
        <w:p w14:paraId="10D3DEFF" w14:textId="3AE6F710"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84" w:history="1">
            <w:r w:rsidRPr="00B734A0">
              <w:rPr>
                <w:rStyle w:val="Hyperlink"/>
                <w:noProof/>
              </w:rPr>
              <w:t>4.6 Technological Environment</w:t>
            </w:r>
            <w:r>
              <w:rPr>
                <w:noProof/>
                <w:webHidden/>
              </w:rPr>
              <w:tab/>
            </w:r>
            <w:r>
              <w:rPr>
                <w:noProof/>
                <w:webHidden/>
              </w:rPr>
              <w:fldChar w:fldCharType="begin"/>
            </w:r>
            <w:r>
              <w:rPr>
                <w:noProof/>
                <w:webHidden/>
              </w:rPr>
              <w:instrText xml:space="preserve"> PAGEREF _Toc223813184 \h </w:instrText>
            </w:r>
            <w:r>
              <w:rPr>
                <w:noProof/>
                <w:webHidden/>
              </w:rPr>
            </w:r>
            <w:r>
              <w:rPr>
                <w:noProof/>
                <w:webHidden/>
              </w:rPr>
              <w:fldChar w:fldCharType="separate"/>
            </w:r>
            <w:r>
              <w:rPr>
                <w:noProof/>
                <w:webHidden/>
              </w:rPr>
              <w:t>21</w:t>
            </w:r>
            <w:r>
              <w:rPr>
                <w:noProof/>
                <w:webHidden/>
              </w:rPr>
              <w:fldChar w:fldCharType="end"/>
            </w:r>
          </w:hyperlink>
        </w:p>
        <w:p w14:paraId="2B1EA1CC" w14:textId="4157B7D9" w:rsidR="007B0101" w:rsidRDefault="007B010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3813185" w:history="1">
            <w:r w:rsidRPr="00B734A0">
              <w:rPr>
                <w:rStyle w:val="Hyperlink"/>
                <w:noProof/>
              </w:rPr>
              <w:t>4.7 Environmental and Sustainability Factors</w:t>
            </w:r>
            <w:r>
              <w:rPr>
                <w:noProof/>
                <w:webHidden/>
              </w:rPr>
              <w:tab/>
            </w:r>
            <w:r>
              <w:rPr>
                <w:noProof/>
                <w:webHidden/>
              </w:rPr>
              <w:fldChar w:fldCharType="begin"/>
            </w:r>
            <w:r>
              <w:rPr>
                <w:noProof/>
                <w:webHidden/>
              </w:rPr>
              <w:instrText xml:space="preserve"> PAGEREF _Toc223813185 \h </w:instrText>
            </w:r>
            <w:r>
              <w:rPr>
                <w:noProof/>
                <w:webHidden/>
              </w:rPr>
            </w:r>
            <w:r>
              <w:rPr>
                <w:noProof/>
                <w:webHidden/>
              </w:rPr>
              <w:fldChar w:fldCharType="separate"/>
            </w:r>
            <w:r>
              <w:rPr>
                <w:noProof/>
                <w:webHidden/>
              </w:rPr>
              <w:t>22</w:t>
            </w:r>
            <w:r>
              <w:rPr>
                <w:noProof/>
                <w:webHidden/>
              </w:rPr>
              <w:fldChar w:fldCharType="end"/>
            </w:r>
          </w:hyperlink>
        </w:p>
        <w:p w14:paraId="5131DBAF" w14:textId="4D6A65DB" w:rsidR="007B0101" w:rsidRDefault="007B010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3813186" w:history="1">
            <w:r w:rsidRPr="00B734A0">
              <w:rPr>
                <w:rStyle w:val="Hyperlink"/>
                <w:noProof/>
              </w:rPr>
              <w:t>5. Conclusion</w:t>
            </w:r>
            <w:r>
              <w:rPr>
                <w:noProof/>
                <w:webHidden/>
              </w:rPr>
              <w:tab/>
            </w:r>
            <w:r>
              <w:rPr>
                <w:noProof/>
                <w:webHidden/>
              </w:rPr>
              <w:fldChar w:fldCharType="begin"/>
            </w:r>
            <w:r>
              <w:rPr>
                <w:noProof/>
                <w:webHidden/>
              </w:rPr>
              <w:instrText xml:space="preserve"> PAGEREF _Toc223813186 \h </w:instrText>
            </w:r>
            <w:r>
              <w:rPr>
                <w:noProof/>
                <w:webHidden/>
              </w:rPr>
            </w:r>
            <w:r>
              <w:rPr>
                <w:noProof/>
                <w:webHidden/>
              </w:rPr>
              <w:fldChar w:fldCharType="separate"/>
            </w:r>
            <w:r>
              <w:rPr>
                <w:noProof/>
                <w:webHidden/>
              </w:rPr>
              <w:t>24</w:t>
            </w:r>
            <w:r>
              <w:rPr>
                <w:noProof/>
                <w:webHidden/>
              </w:rPr>
              <w:fldChar w:fldCharType="end"/>
            </w:r>
          </w:hyperlink>
        </w:p>
        <w:p w14:paraId="00C5BAD8" w14:textId="7518053A" w:rsidR="007B0101" w:rsidRDefault="007B0101">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3813187" w:history="1">
            <w:r w:rsidRPr="00B734A0">
              <w:rPr>
                <w:rStyle w:val="Hyperlink"/>
                <w:noProof/>
              </w:rPr>
              <w:t>Section 2: Reflective Account-Gibbs Reflective Cycle</w:t>
            </w:r>
            <w:r>
              <w:rPr>
                <w:noProof/>
                <w:webHidden/>
              </w:rPr>
              <w:tab/>
            </w:r>
            <w:r>
              <w:rPr>
                <w:noProof/>
                <w:webHidden/>
              </w:rPr>
              <w:fldChar w:fldCharType="begin"/>
            </w:r>
            <w:r>
              <w:rPr>
                <w:noProof/>
                <w:webHidden/>
              </w:rPr>
              <w:instrText xml:space="preserve"> PAGEREF _Toc223813187 \h </w:instrText>
            </w:r>
            <w:r>
              <w:rPr>
                <w:noProof/>
                <w:webHidden/>
              </w:rPr>
            </w:r>
            <w:r>
              <w:rPr>
                <w:noProof/>
                <w:webHidden/>
              </w:rPr>
              <w:fldChar w:fldCharType="separate"/>
            </w:r>
            <w:r>
              <w:rPr>
                <w:noProof/>
                <w:webHidden/>
              </w:rPr>
              <w:t>25</w:t>
            </w:r>
            <w:r>
              <w:rPr>
                <w:noProof/>
                <w:webHidden/>
              </w:rPr>
              <w:fldChar w:fldCharType="end"/>
            </w:r>
          </w:hyperlink>
        </w:p>
        <w:p w14:paraId="3C9DA405" w14:textId="11BFDE1D" w:rsidR="007B0101" w:rsidRDefault="007B0101">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3813188" w:history="1">
            <w:r w:rsidRPr="00B734A0">
              <w:rPr>
                <w:rStyle w:val="Hyperlink"/>
                <w:noProof/>
              </w:rPr>
              <w:t>References</w:t>
            </w:r>
            <w:r>
              <w:rPr>
                <w:noProof/>
                <w:webHidden/>
              </w:rPr>
              <w:tab/>
            </w:r>
            <w:r>
              <w:rPr>
                <w:noProof/>
                <w:webHidden/>
              </w:rPr>
              <w:fldChar w:fldCharType="begin"/>
            </w:r>
            <w:r>
              <w:rPr>
                <w:noProof/>
                <w:webHidden/>
              </w:rPr>
              <w:instrText xml:space="preserve"> PAGEREF _Toc223813188 \h </w:instrText>
            </w:r>
            <w:r>
              <w:rPr>
                <w:noProof/>
                <w:webHidden/>
              </w:rPr>
            </w:r>
            <w:r>
              <w:rPr>
                <w:noProof/>
                <w:webHidden/>
              </w:rPr>
              <w:fldChar w:fldCharType="separate"/>
            </w:r>
            <w:r>
              <w:rPr>
                <w:noProof/>
                <w:webHidden/>
              </w:rPr>
              <w:t>29</w:t>
            </w:r>
            <w:r>
              <w:rPr>
                <w:noProof/>
                <w:webHidden/>
              </w:rPr>
              <w:fldChar w:fldCharType="end"/>
            </w:r>
          </w:hyperlink>
        </w:p>
        <w:p w14:paraId="60D808F6" w14:textId="06AA2C76" w:rsidR="001C1C2B" w:rsidRPr="001D771C" w:rsidRDefault="00251155" w:rsidP="001C1C2B">
          <w:pPr>
            <w:spacing w:line="240" w:lineRule="auto"/>
            <w:jc w:val="both"/>
            <w:rPr>
              <w:b/>
              <w:bCs/>
              <w:sz w:val="24"/>
              <w:szCs w:val="24"/>
            </w:rPr>
            <w:sectPr w:rsidR="001C1C2B" w:rsidRPr="001D771C" w:rsidSect="00DB52A8">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rsidRPr="001D771C">
            <w:rPr>
              <w:b/>
              <w:bCs/>
              <w:sz w:val="24"/>
              <w:szCs w:val="24"/>
            </w:rPr>
            <w:fldChar w:fldCharType="end"/>
          </w:r>
        </w:p>
      </w:sdtContent>
    </w:sdt>
    <w:bookmarkStart w:id="0" w:name="_rjw4p4rbhoo0" w:colFirst="0" w:colLast="0" w:displacedByCustomXml="prev"/>
    <w:bookmarkEnd w:id="0" w:displacedByCustomXml="prev"/>
    <w:p w14:paraId="65848424" w14:textId="0BF7A033" w:rsidR="00873435" w:rsidRPr="001D771C" w:rsidRDefault="00EC3E47" w:rsidP="001C1C2B">
      <w:pPr>
        <w:pStyle w:val="Heading1"/>
      </w:pPr>
      <w:bookmarkStart w:id="1" w:name="_Toc223813166"/>
      <w:r w:rsidRPr="001D771C">
        <w:lastRenderedPageBreak/>
        <w:t>Section 1</w:t>
      </w:r>
      <w:bookmarkEnd w:id="1"/>
    </w:p>
    <w:p w14:paraId="27CE36AA" w14:textId="77777777" w:rsidR="00873435" w:rsidRPr="001D771C" w:rsidRDefault="00EC3E47">
      <w:pPr>
        <w:pStyle w:val="Heading2"/>
      </w:pPr>
      <w:bookmarkStart w:id="2" w:name="_av96vmhe8cwk" w:colFirst="0" w:colLast="0"/>
      <w:bookmarkStart w:id="3" w:name="_Toc223813167"/>
      <w:bookmarkEnd w:id="2"/>
      <w:r w:rsidRPr="001D771C">
        <w:t>1. Introduction</w:t>
      </w:r>
      <w:bookmarkEnd w:id="3"/>
    </w:p>
    <w:p w14:paraId="7067B4EB" w14:textId="61CCE093" w:rsidR="00873435" w:rsidRPr="0077010C" w:rsidRDefault="00EC3E47">
      <w:pPr>
        <w:spacing w:line="360" w:lineRule="auto"/>
        <w:jc w:val="both"/>
        <w:rPr>
          <w:sz w:val="24"/>
          <w:szCs w:val="24"/>
        </w:rPr>
      </w:pPr>
      <w:r w:rsidRPr="001D771C">
        <w:rPr>
          <w:sz w:val="24"/>
          <w:szCs w:val="24"/>
        </w:rPr>
        <w:t xml:space="preserve">Rolls-Royce Motor Cars (RRMC), a wholly owned subsidiary of BMW Group, has been manufacturing its own exclusive Goodwood, West Sussex facility since 2023, and holds a significant global position in the ultra-luxury automobile industry. With the vehicles priced from USD 350,000 to over USD 20 million for bespoke </w:t>
      </w:r>
      <w:proofErr w:type="spellStart"/>
      <w:r w:rsidRPr="001D771C">
        <w:rPr>
          <w:sz w:val="24"/>
          <w:szCs w:val="24"/>
        </w:rPr>
        <w:t>Coachbuild</w:t>
      </w:r>
      <w:proofErr w:type="spellEnd"/>
      <w:r w:rsidRPr="001D771C">
        <w:rPr>
          <w:sz w:val="24"/>
          <w:szCs w:val="24"/>
        </w:rPr>
        <w:t xml:space="preserve"> commissions, RRMC strategically competes in the global luxury market not in terms of volume but also in terms of </w:t>
      </w:r>
      <w:r w:rsidR="00F419F0" w:rsidRPr="001D771C">
        <w:rPr>
          <w:sz w:val="24"/>
          <w:szCs w:val="24"/>
        </w:rPr>
        <w:t>interreducibility</w:t>
      </w:r>
      <w:r w:rsidRPr="001D771C">
        <w:rPr>
          <w:sz w:val="24"/>
          <w:szCs w:val="24"/>
        </w:rPr>
        <w:t xml:space="preserve">. The luxury cars of RRMC well articulate each vehicle’s singular expression of its owners’ identity. </w:t>
      </w:r>
      <w:r w:rsidR="0077010C">
        <w:rPr>
          <w:sz w:val="24"/>
          <w:szCs w:val="24"/>
        </w:rPr>
        <w:t xml:space="preserve">In this report, USA has been selected as the target market for RRMC as </w:t>
      </w:r>
      <w:r w:rsidR="00A72218">
        <w:rPr>
          <w:sz w:val="24"/>
          <w:szCs w:val="24"/>
        </w:rPr>
        <w:t>it</w:t>
      </w:r>
      <w:r w:rsidRPr="001D771C">
        <w:rPr>
          <w:sz w:val="24"/>
          <w:szCs w:val="24"/>
        </w:rPr>
        <w:t xml:space="preserve"> is RRMC’s most prominent market globally, accounting for one-third of the brand’s overall global car deliveries. This </w:t>
      </w:r>
      <w:r w:rsidR="00F419F0" w:rsidRPr="001D771C">
        <w:rPr>
          <w:sz w:val="24"/>
          <w:szCs w:val="24"/>
        </w:rPr>
        <w:t>country’s</w:t>
      </w:r>
      <w:r w:rsidRPr="001D771C">
        <w:rPr>
          <w:sz w:val="24"/>
          <w:szCs w:val="24"/>
        </w:rPr>
        <w:t xml:space="preserve"> market offers contextual significance in terms of growth potential, with the revenue growth of USD 287 million in the US. The US luxury automobile market itself demonstrates the most commercial possibility of an ultra-luxury automobile demand environment, with the related factors such as the largest UHNWI population.</w:t>
      </w:r>
    </w:p>
    <w:p w14:paraId="55947C54" w14:textId="77777777" w:rsidR="00873435" w:rsidRPr="001D771C" w:rsidRDefault="00873435">
      <w:pPr>
        <w:spacing w:line="360" w:lineRule="auto"/>
        <w:jc w:val="both"/>
        <w:rPr>
          <w:b/>
          <w:bCs/>
          <w:sz w:val="24"/>
          <w:szCs w:val="24"/>
        </w:rPr>
      </w:pPr>
    </w:p>
    <w:p w14:paraId="3C727E27" w14:textId="77777777" w:rsidR="00873435" w:rsidRPr="001D771C" w:rsidRDefault="00873435">
      <w:pPr>
        <w:spacing w:line="360" w:lineRule="auto"/>
        <w:jc w:val="both"/>
        <w:rPr>
          <w:b/>
          <w:bCs/>
          <w:sz w:val="24"/>
          <w:szCs w:val="24"/>
        </w:rPr>
      </w:pPr>
    </w:p>
    <w:p w14:paraId="0F5E7DA1" w14:textId="77777777" w:rsidR="00873435" w:rsidRPr="001D771C" w:rsidRDefault="00EC3E47">
      <w:pPr>
        <w:spacing w:line="360" w:lineRule="auto"/>
        <w:jc w:val="both"/>
        <w:rPr>
          <w:b/>
          <w:bCs/>
          <w:sz w:val="24"/>
          <w:szCs w:val="24"/>
        </w:rPr>
      </w:pPr>
      <w:r w:rsidRPr="001D771C">
        <w:br w:type="page"/>
      </w:r>
    </w:p>
    <w:p w14:paraId="37064CB3" w14:textId="77777777" w:rsidR="00873435" w:rsidRPr="001D771C" w:rsidRDefault="00EC3E47">
      <w:pPr>
        <w:pStyle w:val="Heading2"/>
      </w:pPr>
      <w:bookmarkStart w:id="4" w:name="_lfwizuy15tpi" w:colFirst="0" w:colLast="0"/>
      <w:bookmarkStart w:id="5" w:name="_Toc223813168"/>
      <w:bookmarkEnd w:id="4"/>
      <w:r w:rsidRPr="001D771C">
        <w:lastRenderedPageBreak/>
        <w:t>2. Industry and Country Overview</w:t>
      </w:r>
      <w:bookmarkEnd w:id="5"/>
    </w:p>
    <w:p w14:paraId="07B9463F" w14:textId="77777777" w:rsidR="00873435" w:rsidRPr="001D771C" w:rsidRDefault="00EC3E47">
      <w:pPr>
        <w:pStyle w:val="Heading3"/>
      </w:pPr>
      <w:bookmarkStart w:id="6" w:name="_dq5w3wy75qhg" w:colFirst="0" w:colLast="0"/>
      <w:bookmarkStart w:id="7" w:name="_Toc223813169"/>
      <w:bookmarkEnd w:id="6"/>
      <w:r w:rsidRPr="001D771C">
        <w:t>2.1 Introduction to the Ultra-Luxury Automobile Industry in the USA</w:t>
      </w:r>
      <w:bookmarkEnd w:id="7"/>
    </w:p>
    <w:p w14:paraId="69C8A2D8" w14:textId="24D9C973" w:rsidR="00873435" w:rsidRPr="00A06166" w:rsidRDefault="00A06166">
      <w:pPr>
        <w:spacing w:line="360" w:lineRule="auto"/>
        <w:jc w:val="both"/>
        <w:rPr>
          <w:sz w:val="24"/>
          <w:szCs w:val="24"/>
        </w:rPr>
      </w:pPr>
      <w:r>
        <w:rPr>
          <w:sz w:val="24"/>
          <w:szCs w:val="24"/>
        </w:rPr>
        <w:t xml:space="preserve">In this section, industry and target country overview has been discussed for understanding its current status and areas of opportunity. </w:t>
      </w:r>
      <w:r w:rsidR="00EC3E47" w:rsidRPr="001D771C">
        <w:rPr>
          <w:sz w:val="24"/>
          <w:szCs w:val="24"/>
        </w:rPr>
        <w:t xml:space="preserve">The USA luxury automobile market is projected to expand rapidly with the attribution of strong demand among wealthy consumers. According to Boston Consulting Group (2025), the sector could grow to $180–$215 billion by 2035 (BCG, 2025). Sales of vehicles are driven by the changing consumer </w:t>
      </w:r>
      <w:r w:rsidR="00B157BC" w:rsidRPr="001D771C">
        <w:rPr>
          <w:sz w:val="24"/>
          <w:szCs w:val="24"/>
        </w:rPr>
        <w:t>behaviour</w:t>
      </w:r>
      <w:r w:rsidR="00EC3E47" w:rsidRPr="001D771C">
        <w:rPr>
          <w:sz w:val="24"/>
          <w:szCs w:val="24"/>
        </w:rPr>
        <w:t xml:space="preserve"> as 80% of the luxury buyers browse online weekly or daily, and 75% are willing to purchase vehicles entirely online articulating on the digitally driven and expanding luxury automotive market (</w:t>
      </w:r>
      <w:proofErr w:type="spellStart"/>
      <w:r w:rsidR="00EC3E47" w:rsidRPr="001D771C">
        <w:rPr>
          <w:sz w:val="24"/>
          <w:szCs w:val="24"/>
        </w:rPr>
        <w:t>Carscoops</w:t>
      </w:r>
      <w:proofErr w:type="spellEnd"/>
      <w:r w:rsidR="00EC3E47" w:rsidRPr="001D771C">
        <w:rPr>
          <w:sz w:val="24"/>
          <w:szCs w:val="24"/>
        </w:rPr>
        <w:t>, 2025).</w:t>
      </w:r>
    </w:p>
    <w:p w14:paraId="511C2F01" w14:textId="77777777" w:rsidR="00873435" w:rsidRPr="001D771C" w:rsidRDefault="00EC3E47">
      <w:pPr>
        <w:spacing w:line="360" w:lineRule="auto"/>
        <w:jc w:val="center"/>
        <w:rPr>
          <w:b/>
          <w:bCs/>
          <w:sz w:val="24"/>
          <w:szCs w:val="24"/>
        </w:rPr>
      </w:pPr>
      <w:r w:rsidRPr="001D771C">
        <w:rPr>
          <w:b/>
          <w:bCs/>
          <w:noProof/>
          <w:sz w:val="24"/>
          <w:szCs w:val="24"/>
          <w:lang w:val="en-IN" w:eastAsia="en-IN"/>
        </w:rPr>
        <w:drawing>
          <wp:inline distT="114300" distB="114300" distL="114300" distR="114300" wp14:anchorId="1FBA4DC5" wp14:editId="09319433">
            <wp:extent cx="5084645" cy="3459480"/>
            <wp:effectExtent l="19050" t="19050" r="20955" b="26670"/>
            <wp:docPr id="1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5087634" cy="3461514"/>
                    </a:xfrm>
                    <a:prstGeom prst="rect">
                      <a:avLst/>
                    </a:prstGeom>
                    <a:ln>
                      <a:solidFill>
                        <a:schemeClr val="tx1"/>
                      </a:solidFill>
                    </a:ln>
                  </pic:spPr>
                </pic:pic>
              </a:graphicData>
            </a:graphic>
          </wp:inline>
        </w:drawing>
      </w:r>
    </w:p>
    <w:p w14:paraId="414420D7" w14:textId="77777777" w:rsidR="00873435" w:rsidRPr="001D771C" w:rsidRDefault="00EC3E47">
      <w:pPr>
        <w:spacing w:line="360" w:lineRule="auto"/>
        <w:jc w:val="center"/>
        <w:rPr>
          <w:b/>
          <w:bCs/>
          <w:sz w:val="24"/>
          <w:szCs w:val="24"/>
        </w:rPr>
      </w:pPr>
      <w:r w:rsidRPr="001D771C">
        <w:rPr>
          <w:b/>
          <w:bCs/>
          <w:sz w:val="24"/>
          <w:szCs w:val="24"/>
        </w:rPr>
        <w:t>Figure 1: US luxury automobile market potential</w:t>
      </w:r>
    </w:p>
    <w:p w14:paraId="6DACAC06" w14:textId="77777777" w:rsidR="00873435" w:rsidRPr="001D771C" w:rsidRDefault="00EC3E47">
      <w:pPr>
        <w:spacing w:line="360" w:lineRule="auto"/>
        <w:jc w:val="center"/>
        <w:rPr>
          <w:sz w:val="24"/>
          <w:szCs w:val="24"/>
        </w:rPr>
      </w:pPr>
      <w:r w:rsidRPr="001D771C">
        <w:rPr>
          <w:sz w:val="24"/>
          <w:szCs w:val="24"/>
        </w:rPr>
        <w:t xml:space="preserve">(Source: </w:t>
      </w:r>
      <w:proofErr w:type="spellStart"/>
      <w:r w:rsidRPr="001D771C">
        <w:rPr>
          <w:sz w:val="24"/>
          <w:szCs w:val="24"/>
        </w:rPr>
        <w:t>Carscoops</w:t>
      </w:r>
      <w:proofErr w:type="spellEnd"/>
      <w:r w:rsidRPr="001D771C">
        <w:rPr>
          <w:sz w:val="24"/>
          <w:szCs w:val="24"/>
        </w:rPr>
        <w:t>, 2025)</w:t>
      </w:r>
    </w:p>
    <w:p w14:paraId="14504CCE" w14:textId="77777777" w:rsidR="00873435" w:rsidRPr="001D771C" w:rsidRDefault="00EC3E47">
      <w:pPr>
        <w:pStyle w:val="Heading3"/>
      </w:pPr>
      <w:bookmarkStart w:id="8" w:name="_ylsmykd65kl1" w:colFirst="0" w:colLast="0"/>
      <w:bookmarkStart w:id="9" w:name="_Toc223813170"/>
      <w:bookmarkEnd w:id="8"/>
      <w:r w:rsidRPr="001D771C">
        <w:t>2.2 Size, Scope, and Economic Importance of the Industry</w:t>
      </w:r>
      <w:bookmarkEnd w:id="9"/>
    </w:p>
    <w:p w14:paraId="679F4098" w14:textId="69103901" w:rsidR="00873435" w:rsidRPr="00F9238D" w:rsidRDefault="00F9238D">
      <w:pPr>
        <w:spacing w:line="360" w:lineRule="auto"/>
        <w:jc w:val="both"/>
        <w:rPr>
          <w:sz w:val="24"/>
          <w:szCs w:val="24"/>
        </w:rPr>
      </w:pPr>
      <w:r>
        <w:rPr>
          <w:sz w:val="24"/>
          <w:szCs w:val="24"/>
        </w:rPr>
        <w:t xml:space="preserve">Critical evaluation of </w:t>
      </w:r>
      <w:r w:rsidR="00EC3E47" w:rsidRPr="001D771C">
        <w:rPr>
          <w:sz w:val="24"/>
          <w:szCs w:val="24"/>
        </w:rPr>
        <w:t>US luxury automobile market</w:t>
      </w:r>
      <w:r>
        <w:rPr>
          <w:sz w:val="24"/>
          <w:szCs w:val="24"/>
        </w:rPr>
        <w:t xml:space="preserve"> is crucial for understanding consumer behaviour, market trends, digital advancement and</w:t>
      </w:r>
      <w:r w:rsidR="00630E91">
        <w:rPr>
          <w:sz w:val="24"/>
          <w:szCs w:val="24"/>
        </w:rPr>
        <w:t xml:space="preserve"> </w:t>
      </w:r>
      <w:r w:rsidR="00DA4163">
        <w:rPr>
          <w:sz w:val="24"/>
          <w:szCs w:val="24"/>
        </w:rPr>
        <w:t xml:space="preserve">key </w:t>
      </w:r>
      <w:r w:rsidR="00630E91">
        <w:rPr>
          <w:sz w:val="24"/>
          <w:szCs w:val="24"/>
        </w:rPr>
        <w:t>driver</w:t>
      </w:r>
      <w:r w:rsidR="00DA4163">
        <w:rPr>
          <w:sz w:val="24"/>
          <w:szCs w:val="24"/>
        </w:rPr>
        <w:t>s</w:t>
      </w:r>
      <w:r>
        <w:rPr>
          <w:sz w:val="24"/>
          <w:szCs w:val="24"/>
        </w:rPr>
        <w:t xml:space="preserve">. </w:t>
      </w:r>
      <w:r w:rsidRPr="001D771C">
        <w:rPr>
          <w:sz w:val="24"/>
          <w:szCs w:val="24"/>
        </w:rPr>
        <w:t>US luxury automobile market</w:t>
      </w:r>
      <w:r>
        <w:rPr>
          <w:sz w:val="24"/>
          <w:szCs w:val="24"/>
        </w:rPr>
        <w:t xml:space="preserve"> </w:t>
      </w:r>
      <w:r w:rsidR="00EC3E47" w:rsidRPr="001D771C">
        <w:rPr>
          <w:sz w:val="24"/>
          <w:szCs w:val="24"/>
        </w:rPr>
        <w:t xml:space="preserve">demonstrates the contextual potential of growth. In 2024, the market generated about $117.4 billion in revenue, and it is forecasted to reach about $166.8 billion by 2030, </w:t>
      </w:r>
      <w:r w:rsidR="00EC3E47" w:rsidRPr="001D771C">
        <w:rPr>
          <w:sz w:val="24"/>
          <w:szCs w:val="24"/>
        </w:rPr>
        <w:lastRenderedPageBreak/>
        <w:t>with a potential growth rate of 6.1% in compounded annual growth rate from 2025 to 2030 (</w:t>
      </w:r>
      <w:proofErr w:type="spellStart"/>
      <w:r w:rsidR="00EC3E47" w:rsidRPr="001D771C">
        <w:rPr>
          <w:sz w:val="24"/>
          <w:szCs w:val="24"/>
        </w:rPr>
        <w:t>Grandviewresearch</w:t>
      </w:r>
      <w:proofErr w:type="spellEnd"/>
      <w:r w:rsidR="00EC3E47" w:rsidRPr="001D771C">
        <w:rPr>
          <w:sz w:val="24"/>
          <w:szCs w:val="24"/>
        </w:rPr>
        <w:t xml:space="preserve">, 2025). Sports utility vehicles (SUVs) dominate the segment and represent the fastest-growing vehicle type, highlighting rising consumer demand for premium, high-performance luxury SUVs. </w:t>
      </w:r>
    </w:p>
    <w:p w14:paraId="637DE52D" w14:textId="77777777" w:rsidR="00873435" w:rsidRPr="001D771C" w:rsidRDefault="00EC3E47">
      <w:pPr>
        <w:spacing w:line="360" w:lineRule="auto"/>
        <w:jc w:val="center"/>
        <w:rPr>
          <w:b/>
          <w:bCs/>
          <w:sz w:val="24"/>
          <w:szCs w:val="24"/>
        </w:rPr>
      </w:pPr>
      <w:r w:rsidRPr="001D771C">
        <w:rPr>
          <w:b/>
          <w:bCs/>
          <w:noProof/>
          <w:sz w:val="24"/>
          <w:szCs w:val="24"/>
          <w:lang w:val="en-IN" w:eastAsia="en-IN"/>
        </w:rPr>
        <w:drawing>
          <wp:inline distT="114300" distB="114300" distL="114300" distR="114300" wp14:anchorId="28B7D69B" wp14:editId="0C981633">
            <wp:extent cx="5062538" cy="2652964"/>
            <wp:effectExtent l="19050" t="19050" r="24130" b="14605"/>
            <wp:docPr id="2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0"/>
                    <a:srcRect/>
                    <a:stretch>
                      <a:fillRect/>
                    </a:stretch>
                  </pic:blipFill>
                  <pic:spPr>
                    <a:xfrm>
                      <a:off x="0" y="0"/>
                      <a:ext cx="5062538" cy="2652964"/>
                    </a:xfrm>
                    <a:prstGeom prst="rect">
                      <a:avLst/>
                    </a:prstGeom>
                    <a:ln>
                      <a:solidFill>
                        <a:schemeClr val="tx1"/>
                      </a:solidFill>
                    </a:ln>
                  </pic:spPr>
                </pic:pic>
              </a:graphicData>
            </a:graphic>
          </wp:inline>
        </w:drawing>
      </w:r>
    </w:p>
    <w:p w14:paraId="6FCDE701" w14:textId="77777777" w:rsidR="00873435" w:rsidRPr="001D771C" w:rsidRDefault="00EC3E47">
      <w:pPr>
        <w:spacing w:line="360" w:lineRule="auto"/>
        <w:jc w:val="center"/>
        <w:rPr>
          <w:b/>
          <w:bCs/>
          <w:sz w:val="24"/>
          <w:szCs w:val="24"/>
        </w:rPr>
      </w:pPr>
      <w:r w:rsidRPr="001D771C">
        <w:rPr>
          <w:b/>
          <w:bCs/>
          <w:sz w:val="24"/>
          <w:szCs w:val="24"/>
        </w:rPr>
        <w:t>Figure 2: Market size of the luxury car market in the US</w:t>
      </w:r>
    </w:p>
    <w:p w14:paraId="492414A3" w14:textId="77777777" w:rsidR="00873435" w:rsidRPr="001D771C" w:rsidRDefault="00EC3E47">
      <w:pPr>
        <w:spacing w:line="360" w:lineRule="auto"/>
        <w:jc w:val="center"/>
        <w:rPr>
          <w:sz w:val="24"/>
          <w:szCs w:val="24"/>
        </w:rPr>
      </w:pPr>
      <w:r w:rsidRPr="001D771C">
        <w:rPr>
          <w:sz w:val="24"/>
          <w:szCs w:val="24"/>
        </w:rPr>
        <w:t xml:space="preserve">(Source: </w:t>
      </w:r>
      <w:proofErr w:type="spellStart"/>
      <w:r w:rsidRPr="001D771C">
        <w:rPr>
          <w:sz w:val="24"/>
          <w:szCs w:val="24"/>
        </w:rPr>
        <w:t>Grandviewresearch</w:t>
      </w:r>
      <w:proofErr w:type="spellEnd"/>
      <w:r w:rsidRPr="001D771C">
        <w:rPr>
          <w:sz w:val="24"/>
          <w:szCs w:val="24"/>
        </w:rPr>
        <w:t>, 2025)</w:t>
      </w:r>
    </w:p>
    <w:p w14:paraId="0838940D" w14:textId="77777777" w:rsidR="00873435" w:rsidRPr="001D771C" w:rsidRDefault="00EC3E47">
      <w:pPr>
        <w:spacing w:line="360" w:lineRule="auto"/>
        <w:jc w:val="both"/>
        <w:rPr>
          <w:sz w:val="24"/>
          <w:szCs w:val="24"/>
        </w:rPr>
      </w:pPr>
      <w:r w:rsidRPr="001D771C">
        <w:rPr>
          <w:sz w:val="24"/>
          <w:szCs w:val="24"/>
        </w:rPr>
        <w:t xml:space="preserve">According to the report of Presence Research (2025), the North American luxury car market holds about 31% of the total global market share. This strong growth is driven by the higher disposable income, affluent consumers and the rapid technological transformation. North America remains a key contributor, considering the strong demand in the US and Canada, where luxury vehicles are associated with prestige and advanced features. </w:t>
      </w:r>
    </w:p>
    <w:p w14:paraId="7D945A3C" w14:textId="77777777" w:rsidR="00873435" w:rsidRPr="001D771C" w:rsidRDefault="00EC3E47">
      <w:pPr>
        <w:spacing w:line="360" w:lineRule="auto"/>
        <w:jc w:val="center"/>
        <w:rPr>
          <w:b/>
          <w:bCs/>
          <w:sz w:val="24"/>
          <w:szCs w:val="24"/>
        </w:rPr>
      </w:pPr>
      <w:r w:rsidRPr="001D771C">
        <w:rPr>
          <w:b/>
          <w:bCs/>
          <w:noProof/>
          <w:sz w:val="24"/>
          <w:szCs w:val="24"/>
          <w:lang w:val="en-IN" w:eastAsia="en-IN"/>
        </w:rPr>
        <w:lastRenderedPageBreak/>
        <w:drawing>
          <wp:inline distT="114300" distB="114300" distL="114300" distR="114300" wp14:anchorId="28FA2157" wp14:editId="1EDDBC8E">
            <wp:extent cx="4805363" cy="2704125"/>
            <wp:effectExtent l="0" t="0" r="0" b="0"/>
            <wp:docPr id="2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1"/>
                    <a:srcRect/>
                    <a:stretch>
                      <a:fillRect/>
                    </a:stretch>
                  </pic:blipFill>
                  <pic:spPr>
                    <a:xfrm>
                      <a:off x="0" y="0"/>
                      <a:ext cx="4805363" cy="2704125"/>
                    </a:xfrm>
                    <a:prstGeom prst="rect">
                      <a:avLst/>
                    </a:prstGeom>
                    <a:ln/>
                  </pic:spPr>
                </pic:pic>
              </a:graphicData>
            </a:graphic>
          </wp:inline>
        </w:drawing>
      </w:r>
    </w:p>
    <w:p w14:paraId="3F56B3BF" w14:textId="77777777" w:rsidR="00873435" w:rsidRPr="001D771C" w:rsidRDefault="00873435">
      <w:pPr>
        <w:spacing w:line="360" w:lineRule="auto"/>
        <w:jc w:val="center"/>
        <w:rPr>
          <w:b/>
          <w:bCs/>
          <w:sz w:val="24"/>
          <w:szCs w:val="24"/>
        </w:rPr>
      </w:pPr>
    </w:p>
    <w:p w14:paraId="7C3A7B47" w14:textId="33AD34DC" w:rsidR="00873435" w:rsidRPr="001D771C" w:rsidRDefault="00EC3E47">
      <w:pPr>
        <w:spacing w:line="360" w:lineRule="auto"/>
        <w:jc w:val="center"/>
        <w:rPr>
          <w:b/>
          <w:bCs/>
          <w:sz w:val="24"/>
          <w:szCs w:val="24"/>
        </w:rPr>
      </w:pPr>
      <w:r w:rsidRPr="001D771C">
        <w:rPr>
          <w:b/>
          <w:bCs/>
          <w:sz w:val="24"/>
          <w:szCs w:val="24"/>
        </w:rPr>
        <w:t>Figure 3: Luxury car market share in America</w:t>
      </w:r>
      <w:r w:rsidR="00530E31">
        <w:rPr>
          <w:b/>
          <w:bCs/>
          <w:sz w:val="24"/>
          <w:szCs w:val="24"/>
        </w:rPr>
        <w:t xml:space="preserve"> (Region wise)</w:t>
      </w:r>
    </w:p>
    <w:p w14:paraId="6A984B46" w14:textId="77777777" w:rsidR="00873435" w:rsidRPr="001D771C" w:rsidRDefault="00EC3E47">
      <w:pPr>
        <w:spacing w:line="360" w:lineRule="auto"/>
        <w:jc w:val="center"/>
        <w:rPr>
          <w:b/>
          <w:bCs/>
          <w:sz w:val="24"/>
          <w:szCs w:val="24"/>
        </w:rPr>
      </w:pPr>
      <w:r w:rsidRPr="001D771C">
        <w:rPr>
          <w:sz w:val="24"/>
          <w:szCs w:val="24"/>
        </w:rPr>
        <w:t xml:space="preserve">(Source: </w:t>
      </w:r>
      <w:proofErr w:type="spellStart"/>
      <w:r w:rsidRPr="001D771C">
        <w:rPr>
          <w:sz w:val="24"/>
          <w:szCs w:val="24"/>
        </w:rPr>
        <w:t>Precedenceresearch</w:t>
      </w:r>
      <w:proofErr w:type="spellEnd"/>
      <w:r w:rsidRPr="001D771C">
        <w:rPr>
          <w:sz w:val="24"/>
          <w:szCs w:val="24"/>
        </w:rPr>
        <w:t>, 2025)</w:t>
      </w:r>
    </w:p>
    <w:p w14:paraId="6F8CBFA0" w14:textId="3B7E30B8" w:rsidR="00873435" w:rsidRPr="001D771C" w:rsidRDefault="00EC3E47">
      <w:pPr>
        <w:spacing w:line="360" w:lineRule="auto"/>
        <w:jc w:val="both"/>
        <w:rPr>
          <w:sz w:val="24"/>
          <w:szCs w:val="24"/>
        </w:rPr>
      </w:pPr>
      <w:r w:rsidRPr="001D771C">
        <w:rPr>
          <w:sz w:val="24"/>
          <w:szCs w:val="24"/>
        </w:rPr>
        <w:t xml:space="preserve">The U.S. automobile industry is a critical economic pillar with the generation of extensive employment, investment and export value. According to the AAPC report (2025), automakers strategically employ 436,000 workers, while the broader supply chain supports about 9.6 million jobs, including 1.07 million dealership employees and 907,000 parts-supplier workers, articulating the strong ‘multiplier effect’. The sector has strategically exported $1.2 trillion in vehicles and parts over the past decade, contributing to it as the largest U.S. manufacturing exporter (American automakers, 2025). Automakers have strategically committed towards $75 billion in new investments in the past two years to support EV and autonomous vehicle development, with the reinforcement of </w:t>
      </w:r>
      <w:r w:rsidR="00F419F0" w:rsidRPr="001D771C">
        <w:rPr>
          <w:sz w:val="24"/>
          <w:szCs w:val="24"/>
        </w:rPr>
        <w:t>long-term</w:t>
      </w:r>
      <w:r w:rsidRPr="001D771C">
        <w:rPr>
          <w:sz w:val="24"/>
          <w:szCs w:val="24"/>
        </w:rPr>
        <w:t xml:space="preserve"> economic significance. </w:t>
      </w:r>
    </w:p>
    <w:p w14:paraId="05A05F5B" w14:textId="77777777" w:rsidR="00873435" w:rsidRPr="001D771C" w:rsidRDefault="00EC3E47">
      <w:pPr>
        <w:spacing w:line="360" w:lineRule="auto"/>
        <w:jc w:val="center"/>
        <w:rPr>
          <w:sz w:val="24"/>
          <w:szCs w:val="24"/>
        </w:rPr>
      </w:pPr>
      <w:r w:rsidRPr="001D771C">
        <w:rPr>
          <w:noProof/>
          <w:sz w:val="24"/>
          <w:szCs w:val="24"/>
          <w:lang w:val="en-IN" w:eastAsia="en-IN"/>
        </w:rPr>
        <w:lastRenderedPageBreak/>
        <w:drawing>
          <wp:inline distT="114300" distB="114300" distL="114300" distR="114300" wp14:anchorId="3B976509" wp14:editId="362FD5BF">
            <wp:extent cx="5320011" cy="2963428"/>
            <wp:effectExtent l="19050" t="19050" r="14605" b="27940"/>
            <wp:docPr id="1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2"/>
                    <a:srcRect/>
                    <a:stretch>
                      <a:fillRect/>
                    </a:stretch>
                  </pic:blipFill>
                  <pic:spPr>
                    <a:xfrm>
                      <a:off x="0" y="0"/>
                      <a:ext cx="5320011" cy="2963428"/>
                    </a:xfrm>
                    <a:prstGeom prst="rect">
                      <a:avLst/>
                    </a:prstGeom>
                    <a:ln>
                      <a:solidFill>
                        <a:schemeClr val="tx1"/>
                      </a:solidFill>
                    </a:ln>
                  </pic:spPr>
                </pic:pic>
              </a:graphicData>
            </a:graphic>
          </wp:inline>
        </w:drawing>
      </w:r>
    </w:p>
    <w:p w14:paraId="7476CDD8" w14:textId="77777777" w:rsidR="00873435" w:rsidRPr="001D771C" w:rsidRDefault="00EC3E47">
      <w:pPr>
        <w:spacing w:line="360" w:lineRule="auto"/>
        <w:jc w:val="center"/>
        <w:rPr>
          <w:b/>
          <w:bCs/>
          <w:sz w:val="24"/>
          <w:szCs w:val="24"/>
        </w:rPr>
      </w:pPr>
      <w:r w:rsidRPr="001D771C">
        <w:rPr>
          <w:b/>
          <w:bCs/>
          <w:sz w:val="24"/>
          <w:szCs w:val="24"/>
        </w:rPr>
        <w:t>Figure 4: Employment opportunity of luxury car market in the US</w:t>
      </w:r>
    </w:p>
    <w:p w14:paraId="0CC3C29F" w14:textId="0C78CD56" w:rsidR="00873435" w:rsidRPr="001D771C" w:rsidRDefault="00EC3E47">
      <w:pPr>
        <w:spacing w:line="360" w:lineRule="auto"/>
        <w:jc w:val="center"/>
        <w:rPr>
          <w:b/>
          <w:bCs/>
          <w:sz w:val="24"/>
          <w:szCs w:val="24"/>
        </w:rPr>
      </w:pPr>
      <w:r w:rsidRPr="001D771C">
        <w:rPr>
          <w:sz w:val="24"/>
          <w:szCs w:val="24"/>
        </w:rPr>
        <w:t xml:space="preserve">(Source: </w:t>
      </w:r>
      <w:proofErr w:type="spellStart"/>
      <w:r w:rsidRPr="001D771C">
        <w:rPr>
          <w:sz w:val="24"/>
          <w:szCs w:val="24"/>
        </w:rPr>
        <w:t>Americanautomakers</w:t>
      </w:r>
      <w:proofErr w:type="spellEnd"/>
      <w:r w:rsidRPr="001D771C">
        <w:rPr>
          <w:sz w:val="24"/>
          <w:szCs w:val="24"/>
        </w:rPr>
        <w:t>, 2025)</w:t>
      </w:r>
    </w:p>
    <w:p w14:paraId="4D0DF7A5" w14:textId="77777777" w:rsidR="00873435" w:rsidRPr="001D771C" w:rsidRDefault="00EC3E47">
      <w:pPr>
        <w:spacing w:line="360" w:lineRule="auto"/>
        <w:jc w:val="both"/>
        <w:rPr>
          <w:b/>
          <w:bCs/>
          <w:sz w:val="24"/>
          <w:szCs w:val="24"/>
        </w:rPr>
      </w:pPr>
      <w:r w:rsidRPr="001D771C">
        <w:br w:type="page"/>
      </w:r>
    </w:p>
    <w:p w14:paraId="2BE26363" w14:textId="77777777" w:rsidR="00873435" w:rsidRPr="001D771C" w:rsidRDefault="00EC3E47">
      <w:pPr>
        <w:pStyle w:val="Heading3"/>
      </w:pPr>
      <w:bookmarkStart w:id="10" w:name="_2dkz92cpd1v1" w:colFirst="0" w:colLast="0"/>
      <w:bookmarkStart w:id="11" w:name="_Toc223813171"/>
      <w:bookmarkEnd w:id="10"/>
      <w:r w:rsidRPr="001D771C">
        <w:lastRenderedPageBreak/>
        <w:t>2.3 Major Domestic and Multinational Firms: Competitive Positioning</w:t>
      </w:r>
      <w:bookmarkEnd w:id="11"/>
    </w:p>
    <w:tbl>
      <w:tblPr>
        <w:tblStyle w:val="a"/>
        <w:tblW w:w="10490" w:type="dxa"/>
        <w:tblInd w:w="-575" w:type="dxa"/>
        <w:tblBorders>
          <w:top w:val="nil"/>
          <w:left w:val="nil"/>
          <w:bottom w:val="nil"/>
          <w:right w:val="nil"/>
          <w:insideH w:val="nil"/>
          <w:insideV w:val="nil"/>
        </w:tblBorders>
        <w:tblLayout w:type="fixed"/>
        <w:tblLook w:val="0600" w:firstRow="0" w:lastRow="0" w:firstColumn="0" w:lastColumn="0" w:noHBand="1" w:noVBand="1"/>
      </w:tblPr>
      <w:tblGrid>
        <w:gridCol w:w="1418"/>
        <w:gridCol w:w="1559"/>
        <w:gridCol w:w="1843"/>
        <w:gridCol w:w="1843"/>
        <w:gridCol w:w="3827"/>
      </w:tblGrid>
      <w:tr w:rsidR="00873435" w:rsidRPr="001D771C" w14:paraId="5A21A440" w14:textId="77777777" w:rsidTr="00584CF2">
        <w:trPr>
          <w:trHeight w:val="405"/>
        </w:trPr>
        <w:tc>
          <w:tcPr>
            <w:tcW w:w="1418" w:type="dxa"/>
            <w:tcBorders>
              <w:top w:val="single" w:sz="6" w:space="0" w:color="CCCCCC"/>
              <w:left w:val="single" w:sz="6" w:space="0" w:color="CCCCCC"/>
              <w:bottom w:val="single" w:sz="6" w:space="0" w:color="CCCCCC"/>
              <w:right w:val="single" w:sz="6" w:space="0" w:color="CCCCCC"/>
            </w:tcBorders>
            <w:shd w:val="clear" w:color="auto" w:fill="1F3864"/>
            <w:tcMar>
              <w:top w:w="80" w:type="dxa"/>
              <w:left w:w="100" w:type="dxa"/>
              <w:bottom w:w="80" w:type="dxa"/>
              <w:right w:w="100" w:type="dxa"/>
            </w:tcMar>
          </w:tcPr>
          <w:p w14:paraId="270B9CC4" w14:textId="77777777" w:rsidR="00873435" w:rsidRPr="001D771C" w:rsidRDefault="00EC3E47" w:rsidP="000640BB">
            <w:pPr>
              <w:spacing w:before="240" w:after="240" w:line="240" w:lineRule="auto"/>
              <w:jc w:val="both"/>
              <w:rPr>
                <w:b/>
                <w:bCs/>
                <w:color w:val="FFFFFF"/>
                <w:sz w:val="24"/>
                <w:szCs w:val="24"/>
              </w:rPr>
            </w:pPr>
            <w:r w:rsidRPr="001D771C">
              <w:rPr>
                <w:b/>
                <w:bCs/>
                <w:color w:val="FFFFFF"/>
                <w:sz w:val="24"/>
                <w:szCs w:val="24"/>
              </w:rPr>
              <w:t>Brand</w:t>
            </w:r>
          </w:p>
        </w:tc>
        <w:tc>
          <w:tcPr>
            <w:tcW w:w="1559" w:type="dxa"/>
            <w:tcBorders>
              <w:top w:val="single" w:sz="6" w:space="0" w:color="CCCCCC"/>
              <w:left w:val="nil"/>
              <w:bottom w:val="single" w:sz="6" w:space="0" w:color="CCCCCC"/>
              <w:right w:val="single" w:sz="6" w:space="0" w:color="CCCCCC"/>
            </w:tcBorders>
            <w:shd w:val="clear" w:color="auto" w:fill="1F3864"/>
            <w:tcMar>
              <w:top w:w="80" w:type="dxa"/>
              <w:left w:w="100" w:type="dxa"/>
              <w:bottom w:w="80" w:type="dxa"/>
              <w:right w:w="100" w:type="dxa"/>
            </w:tcMar>
          </w:tcPr>
          <w:p w14:paraId="0389CFD7" w14:textId="77777777" w:rsidR="00873435" w:rsidRPr="001D771C" w:rsidRDefault="00EC3E47" w:rsidP="000640BB">
            <w:pPr>
              <w:spacing w:before="240" w:after="240" w:line="240" w:lineRule="auto"/>
              <w:jc w:val="both"/>
              <w:rPr>
                <w:b/>
                <w:bCs/>
                <w:color w:val="FFFFFF"/>
                <w:sz w:val="24"/>
                <w:szCs w:val="24"/>
              </w:rPr>
            </w:pPr>
            <w:r w:rsidRPr="001D771C">
              <w:rPr>
                <w:b/>
                <w:bCs/>
                <w:color w:val="FFFFFF"/>
                <w:sz w:val="24"/>
                <w:szCs w:val="24"/>
              </w:rPr>
              <w:t>Parent Group</w:t>
            </w:r>
          </w:p>
        </w:tc>
        <w:tc>
          <w:tcPr>
            <w:tcW w:w="1843" w:type="dxa"/>
            <w:tcBorders>
              <w:top w:val="single" w:sz="6" w:space="0" w:color="CCCCCC"/>
              <w:left w:val="nil"/>
              <w:bottom w:val="single" w:sz="6" w:space="0" w:color="CCCCCC"/>
              <w:right w:val="single" w:sz="6" w:space="0" w:color="CCCCCC"/>
            </w:tcBorders>
            <w:shd w:val="clear" w:color="auto" w:fill="1F3864"/>
            <w:tcMar>
              <w:top w:w="80" w:type="dxa"/>
              <w:left w:w="100" w:type="dxa"/>
              <w:bottom w:w="80" w:type="dxa"/>
              <w:right w:w="100" w:type="dxa"/>
            </w:tcMar>
          </w:tcPr>
          <w:p w14:paraId="58F72D44" w14:textId="77777777" w:rsidR="00873435" w:rsidRPr="001D771C" w:rsidRDefault="00EC3E47" w:rsidP="000640BB">
            <w:pPr>
              <w:spacing w:before="240" w:after="240" w:line="240" w:lineRule="auto"/>
              <w:jc w:val="both"/>
              <w:rPr>
                <w:b/>
                <w:bCs/>
                <w:color w:val="FFFFFF"/>
                <w:sz w:val="24"/>
                <w:szCs w:val="24"/>
              </w:rPr>
            </w:pPr>
            <w:r w:rsidRPr="001D771C">
              <w:rPr>
                <w:b/>
                <w:bCs/>
                <w:color w:val="FFFFFF"/>
                <w:sz w:val="24"/>
                <w:szCs w:val="24"/>
              </w:rPr>
              <w:t>Positioning</w:t>
            </w:r>
          </w:p>
        </w:tc>
        <w:tc>
          <w:tcPr>
            <w:tcW w:w="1843" w:type="dxa"/>
            <w:tcBorders>
              <w:top w:val="single" w:sz="6" w:space="0" w:color="CCCCCC"/>
              <w:left w:val="nil"/>
              <w:bottom w:val="single" w:sz="6" w:space="0" w:color="CCCCCC"/>
              <w:right w:val="single" w:sz="6" w:space="0" w:color="CCCCCC"/>
            </w:tcBorders>
            <w:shd w:val="clear" w:color="auto" w:fill="1F3864"/>
            <w:tcMar>
              <w:top w:w="80" w:type="dxa"/>
              <w:left w:w="100" w:type="dxa"/>
              <w:bottom w:w="80" w:type="dxa"/>
              <w:right w:w="100" w:type="dxa"/>
            </w:tcMar>
          </w:tcPr>
          <w:p w14:paraId="1D907275" w14:textId="77777777" w:rsidR="00873435" w:rsidRPr="001D771C" w:rsidRDefault="00EC3E47" w:rsidP="000640BB">
            <w:pPr>
              <w:spacing w:before="240" w:after="240" w:line="240" w:lineRule="auto"/>
              <w:jc w:val="both"/>
              <w:rPr>
                <w:b/>
                <w:bCs/>
                <w:color w:val="FFFFFF"/>
                <w:sz w:val="24"/>
                <w:szCs w:val="24"/>
              </w:rPr>
            </w:pPr>
            <w:r w:rsidRPr="001D771C">
              <w:rPr>
                <w:b/>
                <w:bCs/>
                <w:color w:val="FFFFFF"/>
                <w:sz w:val="24"/>
                <w:szCs w:val="24"/>
              </w:rPr>
              <w:t>Key Models</w:t>
            </w:r>
          </w:p>
        </w:tc>
        <w:tc>
          <w:tcPr>
            <w:tcW w:w="3827" w:type="dxa"/>
            <w:tcBorders>
              <w:top w:val="single" w:sz="6" w:space="0" w:color="CCCCCC"/>
              <w:left w:val="nil"/>
              <w:bottom w:val="single" w:sz="6" w:space="0" w:color="CCCCCC"/>
              <w:right w:val="single" w:sz="6" w:space="0" w:color="CCCCCC"/>
            </w:tcBorders>
            <w:shd w:val="clear" w:color="auto" w:fill="1F3864"/>
            <w:tcMar>
              <w:top w:w="80" w:type="dxa"/>
              <w:left w:w="100" w:type="dxa"/>
              <w:bottom w:w="80" w:type="dxa"/>
              <w:right w:w="100" w:type="dxa"/>
            </w:tcMar>
          </w:tcPr>
          <w:p w14:paraId="4983A36F" w14:textId="77777777" w:rsidR="00873435" w:rsidRPr="001D771C" w:rsidRDefault="00EC3E47" w:rsidP="000640BB">
            <w:pPr>
              <w:spacing w:before="240" w:after="240" w:line="240" w:lineRule="auto"/>
              <w:jc w:val="both"/>
              <w:rPr>
                <w:b/>
                <w:bCs/>
                <w:color w:val="FFFFFF"/>
                <w:sz w:val="24"/>
                <w:szCs w:val="24"/>
              </w:rPr>
            </w:pPr>
            <w:r w:rsidRPr="001D771C">
              <w:rPr>
                <w:b/>
                <w:bCs/>
                <w:color w:val="FFFFFF"/>
                <w:sz w:val="24"/>
                <w:szCs w:val="24"/>
              </w:rPr>
              <w:t xml:space="preserve">Strategy </w:t>
            </w:r>
          </w:p>
        </w:tc>
      </w:tr>
      <w:tr w:rsidR="00873435" w:rsidRPr="001D771C" w14:paraId="22D0C9E4" w14:textId="77777777" w:rsidTr="00584CF2">
        <w:trPr>
          <w:trHeight w:val="2440"/>
        </w:trPr>
        <w:tc>
          <w:tcPr>
            <w:tcW w:w="1418" w:type="dxa"/>
            <w:tcBorders>
              <w:top w:val="nil"/>
              <w:left w:val="single" w:sz="6" w:space="0" w:color="CCCCCC"/>
              <w:bottom w:val="single" w:sz="6" w:space="0" w:color="CCCCCC"/>
              <w:right w:val="single" w:sz="6" w:space="0" w:color="CCCCCC"/>
            </w:tcBorders>
            <w:shd w:val="clear" w:color="auto" w:fill="D9E2F3"/>
            <w:tcMar>
              <w:top w:w="80" w:type="dxa"/>
              <w:left w:w="100" w:type="dxa"/>
              <w:bottom w:w="80" w:type="dxa"/>
              <w:right w:w="100" w:type="dxa"/>
            </w:tcMar>
          </w:tcPr>
          <w:p w14:paraId="57A71DAA" w14:textId="77777777" w:rsidR="00873435" w:rsidRPr="001D771C" w:rsidRDefault="00EC3E47" w:rsidP="000640BB">
            <w:pPr>
              <w:spacing w:before="240" w:after="240" w:line="240" w:lineRule="auto"/>
              <w:jc w:val="both"/>
              <w:rPr>
                <w:b/>
                <w:bCs/>
                <w:color w:val="1F3864"/>
                <w:sz w:val="24"/>
                <w:szCs w:val="24"/>
              </w:rPr>
            </w:pPr>
            <w:r w:rsidRPr="001D771C">
              <w:rPr>
                <w:b/>
                <w:bCs/>
                <w:color w:val="1F3864"/>
                <w:sz w:val="24"/>
                <w:szCs w:val="24"/>
              </w:rPr>
              <w:t>Rolls-Royce Motor Cars</w:t>
            </w:r>
          </w:p>
        </w:tc>
        <w:tc>
          <w:tcPr>
            <w:tcW w:w="1559" w:type="dxa"/>
            <w:tcBorders>
              <w:top w:val="nil"/>
              <w:left w:val="nil"/>
              <w:bottom w:val="single" w:sz="6" w:space="0" w:color="CCCCCC"/>
              <w:right w:val="single" w:sz="6" w:space="0" w:color="CCCCCC"/>
            </w:tcBorders>
            <w:shd w:val="clear" w:color="auto" w:fill="EEF3FA"/>
            <w:tcMar>
              <w:top w:w="80" w:type="dxa"/>
              <w:left w:w="100" w:type="dxa"/>
              <w:bottom w:w="80" w:type="dxa"/>
              <w:right w:w="100" w:type="dxa"/>
            </w:tcMar>
          </w:tcPr>
          <w:p w14:paraId="4129EA9C"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BMW Group (Germany)</w:t>
            </w:r>
          </w:p>
        </w:tc>
        <w:tc>
          <w:tcPr>
            <w:tcW w:w="1843" w:type="dxa"/>
            <w:tcBorders>
              <w:top w:val="nil"/>
              <w:left w:val="nil"/>
              <w:bottom w:val="single" w:sz="6" w:space="0" w:color="CCCCCC"/>
              <w:right w:val="single" w:sz="6" w:space="0" w:color="CCCCCC"/>
            </w:tcBorders>
            <w:shd w:val="clear" w:color="auto" w:fill="EEF3FA"/>
            <w:tcMar>
              <w:top w:w="80" w:type="dxa"/>
              <w:left w:w="100" w:type="dxa"/>
              <w:bottom w:w="80" w:type="dxa"/>
              <w:right w:w="100" w:type="dxa"/>
            </w:tcMar>
          </w:tcPr>
          <w:p w14:paraId="001A3313"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Ultra-luxury / bespoke craftsmanship</w:t>
            </w:r>
          </w:p>
        </w:tc>
        <w:tc>
          <w:tcPr>
            <w:tcW w:w="1843" w:type="dxa"/>
            <w:tcBorders>
              <w:top w:val="nil"/>
              <w:left w:val="nil"/>
              <w:bottom w:val="single" w:sz="6" w:space="0" w:color="CCCCCC"/>
              <w:right w:val="single" w:sz="6" w:space="0" w:color="CCCCCC"/>
            </w:tcBorders>
            <w:shd w:val="clear" w:color="auto" w:fill="EEF3FA"/>
            <w:tcMar>
              <w:top w:w="80" w:type="dxa"/>
              <w:left w:w="100" w:type="dxa"/>
              <w:bottom w:w="80" w:type="dxa"/>
              <w:right w:w="100" w:type="dxa"/>
            </w:tcMar>
          </w:tcPr>
          <w:p w14:paraId="08260F8F"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Phantom, Ghost, Cullinan, Spectre EV</w:t>
            </w:r>
          </w:p>
        </w:tc>
        <w:tc>
          <w:tcPr>
            <w:tcW w:w="3827" w:type="dxa"/>
            <w:tcBorders>
              <w:top w:val="nil"/>
              <w:left w:val="nil"/>
              <w:bottom w:val="single" w:sz="6" w:space="0" w:color="CCCCCC"/>
              <w:right w:val="single" w:sz="6" w:space="0" w:color="CCCCCC"/>
            </w:tcBorders>
            <w:shd w:val="clear" w:color="auto" w:fill="EEF3FA"/>
            <w:tcMar>
              <w:top w:w="80" w:type="dxa"/>
              <w:left w:w="100" w:type="dxa"/>
              <w:bottom w:w="80" w:type="dxa"/>
              <w:right w:w="100" w:type="dxa"/>
            </w:tcMar>
          </w:tcPr>
          <w:p w14:paraId="372FA882"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 xml:space="preserve">Rolls-Royce produces around 6000 vehicles globally per year, with about one-third delivered to North America. </w:t>
            </w:r>
          </w:p>
          <w:p w14:paraId="3A6056FD" w14:textId="5D816649" w:rsidR="00873435" w:rsidRPr="001D771C" w:rsidRDefault="00EC3E47" w:rsidP="000640BB">
            <w:pPr>
              <w:spacing w:before="240" w:after="240" w:line="240" w:lineRule="auto"/>
              <w:jc w:val="both"/>
              <w:rPr>
                <w:color w:val="222222"/>
                <w:sz w:val="24"/>
                <w:szCs w:val="24"/>
              </w:rPr>
            </w:pPr>
            <w:r w:rsidRPr="001D771C">
              <w:rPr>
                <w:color w:val="222222"/>
                <w:sz w:val="24"/>
                <w:szCs w:val="24"/>
              </w:rPr>
              <w:t xml:space="preserve">The brand focuses on the highly </w:t>
            </w:r>
            <w:r w:rsidR="001432E2" w:rsidRPr="001D771C">
              <w:rPr>
                <w:color w:val="222222"/>
                <w:sz w:val="24"/>
                <w:szCs w:val="24"/>
              </w:rPr>
              <w:t>personalized</w:t>
            </w:r>
            <w:r w:rsidRPr="001D771C">
              <w:rPr>
                <w:color w:val="222222"/>
                <w:sz w:val="24"/>
                <w:szCs w:val="24"/>
              </w:rPr>
              <w:t xml:space="preserve"> Bespoke </w:t>
            </w:r>
            <w:r w:rsidR="001432E2" w:rsidRPr="001D771C">
              <w:rPr>
                <w:color w:val="222222"/>
                <w:sz w:val="24"/>
                <w:szCs w:val="24"/>
              </w:rPr>
              <w:t>customization</w:t>
            </w:r>
            <w:r w:rsidRPr="001D771C">
              <w:rPr>
                <w:color w:val="222222"/>
                <w:sz w:val="24"/>
                <w:szCs w:val="24"/>
              </w:rPr>
              <w:t xml:space="preserve"> strategy, enabling premium pricing.</w:t>
            </w:r>
          </w:p>
          <w:p w14:paraId="1CF5F550" w14:textId="36152DDD" w:rsidR="00873435" w:rsidRPr="001D771C" w:rsidRDefault="00EC3E47" w:rsidP="000640BB">
            <w:pPr>
              <w:spacing w:before="240" w:after="240" w:line="240" w:lineRule="auto"/>
              <w:jc w:val="both"/>
              <w:rPr>
                <w:color w:val="222222"/>
                <w:sz w:val="24"/>
                <w:szCs w:val="24"/>
              </w:rPr>
            </w:pPr>
            <w:r w:rsidRPr="001D771C">
              <w:rPr>
                <w:color w:val="222222"/>
                <w:sz w:val="24"/>
                <w:szCs w:val="24"/>
              </w:rPr>
              <w:t xml:space="preserve">Launch of Rolls‑Royce Spectre and delivery of ~500 EVs in the Americas since 2023, </w:t>
            </w:r>
            <w:r w:rsidR="006700C8" w:rsidRPr="001D771C">
              <w:rPr>
                <w:color w:val="222222"/>
                <w:sz w:val="24"/>
                <w:szCs w:val="24"/>
              </w:rPr>
              <w:t>signalling</w:t>
            </w:r>
            <w:r w:rsidRPr="001D771C">
              <w:rPr>
                <w:color w:val="222222"/>
                <w:sz w:val="24"/>
                <w:szCs w:val="24"/>
              </w:rPr>
              <w:t xml:space="preserve"> a shift toward sustainable ultra-luxury mobility.</w:t>
            </w:r>
          </w:p>
        </w:tc>
      </w:tr>
      <w:tr w:rsidR="00873435" w:rsidRPr="001D771C" w14:paraId="45BEDBE2" w14:textId="77777777" w:rsidTr="00584CF2">
        <w:trPr>
          <w:trHeight w:val="2170"/>
        </w:trPr>
        <w:tc>
          <w:tcPr>
            <w:tcW w:w="1418" w:type="dxa"/>
            <w:tcBorders>
              <w:top w:val="nil"/>
              <w:left w:val="single" w:sz="6" w:space="0" w:color="CCCCCC"/>
              <w:bottom w:val="single" w:sz="6" w:space="0" w:color="CCCCCC"/>
              <w:right w:val="single" w:sz="6" w:space="0" w:color="CCCCCC"/>
            </w:tcBorders>
            <w:shd w:val="clear" w:color="auto" w:fill="D9E2F3"/>
            <w:tcMar>
              <w:top w:w="80" w:type="dxa"/>
              <w:left w:w="100" w:type="dxa"/>
              <w:bottom w:w="80" w:type="dxa"/>
              <w:right w:w="100" w:type="dxa"/>
            </w:tcMar>
          </w:tcPr>
          <w:p w14:paraId="3EDE02C6" w14:textId="77777777" w:rsidR="00873435" w:rsidRPr="001D771C" w:rsidRDefault="00EC3E47" w:rsidP="000640BB">
            <w:pPr>
              <w:spacing w:before="240" w:after="240" w:line="240" w:lineRule="auto"/>
              <w:jc w:val="both"/>
              <w:rPr>
                <w:b/>
                <w:bCs/>
                <w:color w:val="1F3864"/>
                <w:sz w:val="24"/>
                <w:szCs w:val="24"/>
              </w:rPr>
            </w:pPr>
            <w:r w:rsidRPr="001D771C">
              <w:rPr>
                <w:b/>
                <w:bCs/>
                <w:color w:val="1F3864"/>
                <w:sz w:val="24"/>
                <w:szCs w:val="24"/>
              </w:rPr>
              <w:t>Bentley Motors</w:t>
            </w:r>
          </w:p>
        </w:tc>
        <w:tc>
          <w:tcPr>
            <w:tcW w:w="1559" w:type="dxa"/>
            <w:tcBorders>
              <w:top w:val="nil"/>
              <w:left w:val="nil"/>
              <w:bottom w:val="single" w:sz="6" w:space="0" w:color="CCCCCC"/>
              <w:right w:val="single" w:sz="6" w:space="0" w:color="CCCCCC"/>
            </w:tcBorders>
            <w:shd w:val="clear" w:color="auto" w:fill="FFFFFF"/>
            <w:tcMar>
              <w:top w:w="80" w:type="dxa"/>
              <w:left w:w="100" w:type="dxa"/>
              <w:bottom w:w="80" w:type="dxa"/>
              <w:right w:w="100" w:type="dxa"/>
            </w:tcMar>
          </w:tcPr>
          <w:p w14:paraId="661D42B0"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Volkswagen Group (Germany)</w:t>
            </w:r>
          </w:p>
        </w:tc>
        <w:tc>
          <w:tcPr>
            <w:tcW w:w="1843" w:type="dxa"/>
            <w:tcBorders>
              <w:top w:val="nil"/>
              <w:left w:val="nil"/>
              <w:bottom w:val="single" w:sz="6" w:space="0" w:color="CCCCCC"/>
              <w:right w:val="single" w:sz="6" w:space="0" w:color="CCCCCC"/>
            </w:tcBorders>
            <w:shd w:val="clear" w:color="auto" w:fill="FFFFFF"/>
            <w:tcMar>
              <w:top w:w="80" w:type="dxa"/>
              <w:left w:w="100" w:type="dxa"/>
              <w:bottom w:w="80" w:type="dxa"/>
              <w:right w:w="100" w:type="dxa"/>
            </w:tcMar>
          </w:tcPr>
          <w:p w14:paraId="0B945533"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Ultra-luxury / performance heritage</w:t>
            </w:r>
          </w:p>
        </w:tc>
        <w:tc>
          <w:tcPr>
            <w:tcW w:w="1843" w:type="dxa"/>
            <w:tcBorders>
              <w:top w:val="nil"/>
              <w:left w:val="nil"/>
              <w:bottom w:val="single" w:sz="6" w:space="0" w:color="CCCCCC"/>
              <w:right w:val="single" w:sz="6" w:space="0" w:color="CCCCCC"/>
            </w:tcBorders>
            <w:shd w:val="clear" w:color="auto" w:fill="FFFFFF"/>
            <w:tcMar>
              <w:top w:w="80" w:type="dxa"/>
              <w:left w:w="100" w:type="dxa"/>
              <w:bottom w:w="80" w:type="dxa"/>
              <w:right w:w="100" w:type="dxa"/>
            </w:tcMar>
          </w:tcPr>
          <w:p w14:paraId="54953149"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Bentayga, Continental GT, Flying Spur</w:t>
            </w:r>
          </w:p>
        </w:tc>
        <w:tc>
          <w:tcPr>
            <w:tcW w:w="3827" w:type="dxa"/>
            <w:tcBorders>
              <w:top w:val="nil"/>
              <w:left w:val="nil"/>
              <w:bottom w:val="single" w:sz="6" w:space="0" w:color="CCCCCC"/>
              <w:right w:val="single" w:sz="6" w:space="0" w:color="CCCCCC"/>
            </w:tcBorders>
            <w:shd w:val="clear" w:color="auto" w:fill="FFFFFF"/>
            <w:tcMar>
              <w:top w:w="80" w:type="dxa"/>
              <w:left w:w="100" w:type="dxa"/>
              <w:bottom w:w="80" w:type="dxa"/>
              <w:right w:w="100" w:type="dxa"/>
            </w:tcMar>
          </w:tcPr>
          <w:p w14:paraId="7A909A5A"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 xml:space="preserve">Bentley differentiates itself with the emphasis on handcrafted quality, premium materials and attention to detail. </w:t>
            </w:r>
          </w:p>
          <w:p w14:paraId="187E70EC"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Launching luxury SUVs such as Bentayga and planning electrification under the Beyond100+ strategy targeting full electric vehicles by 2035 (</w:t>
            </w:r>
            <w:proofErr w:type="spellStart"/>
            <w:r w:rsidRPr="001D771C">
              <w:rPr>
                <w:color w:val="222222"/>
                <w:sz w:val="24"/>
                <w:szCs w:val="24"/>
              </w:rPr>
              <w:t>Bentleymedia</w:t>
            </w:r>
            <w:proofErr w:type="spellEnd"/>
            <w:r w:rsidRPr="001D771C">
              <w:rPr>
                <w:color w:val="222222"/>
                <w:sz w:val="24"/>
                <w:szCs w:val="24"/>
              </w:rPr>
              <w:t>, 2025).</w:t>
            </w:r>
          </w:p>
        </w:tc>
      </w:tr>
      <w:tr w:rsidR="00873435" w:rsidRPr="001D771C" w14:paraId="13022977" w14:textId="77777777" w:rsidTr="00584CF2">
        <w:trPr>
          <w:trHeight w:val="693"/>
        </w:trPr>
        <w:tc>
          <w:tcPr>
            <w:tcW w:w="1418" w:type="dxa"/>
            <w:tcBorders>
              <w:top w:val="nil"/>
              <w:left w:val="single" w:sz="6" w:space="0" w:color="CCCCCC"/>
              <w:bottom w:val="single" w:sz="6" w:space="0" w:color="CCCCCC"/>
              <w:right w:val="single" w:sz="6" w:space="0" w:color="CCCCCC"/>
            </w:tcBorders>
            <w:shd w:val="clear" w:color="auto" w:fill="D9E2F3"/>
            <w:tcMar>
              <w:top w:w="80" w:type="dxa"/>
              <w:left w:w="100" w:type="dxa"/>
              <w:bottom w:w="80" w:type="dxa"/>
              <w:right w:w="100" w:type="dxa"/>
            </w:tcMar>
          </w:tcPr>
          <w:p w14:paraId="46065840" w14:textId="77777777" w:rsidR="00873435" w:rsidRPr="001D771C" w:rsidRDefault="00EC3E47" w:rsidP="000640BB">
            <w:pPr>
              <w:spacing w:before="240" w:after="240" w:line="240" w:lineRule="auto"/>
              <w:jc w:val="both"/>
              <w:rPr>
                <w:b/>
                <w:bCs/>
                <w:color w:val="1F3864"/>
                <w:sz w:val="24"/>
                <w:szCs w:val="24"/>
              </w:rPr>
            </w:pPr>
            <w:r w:rsidRPr="001D771C">
              <w:rPr>
                <w:b/>
                <w:bCs/>
                <w:color w:val="1F3864"/>
                <w:sz w:val="24"/>
                <w:szCs w:val="24"/>
              </w:rPr>
              <w:t>Ferrari N.V.</w:t>
            </w:r>
          </w:p>
        </w:tc>
        <w:tc>
          <w:tcPr>
            <w:tcW w:w="1559" w:type="dxa"/>
            <w:tcBorders>
              <w:top w:val="nil"/>
              <w:left w:val="nil"/>
              <w:bottom w:val="single" w:sz="6" w:space="0" w:color="CCCCCC"/>
              <w:right w:val="single" w:sz="6" w:space="0" w:color="CCCCCC"/>
            </w:tcBorders>
            <w:shd w:val="clear" w:color="auto" w:fill="EEF3FA"/>
            <w:tcMar>
              <w:top w:w="80" w:type="dxa"/>
              <w:left w:w="100" w:type="dxa"/>
              <w:bottom w:w="80" w:type="dxa"/>
              <w:right w:w="100" w:type="dxa"/>
            </w:tcMar>
          </w:tcPr>
          <w:p w14:paraId="7C745F58"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Independent (Italy, NYSE: RACE)</w:t>
            </w:r>
          </w:p>
        </w:tc>
        <w:tc>
          <w:tcPr>
            <w:tcW w:w="1843" w:type="dxa"/>
            <w:tcBorders>
              <w:top w:val="nil"/>
              <w:left w:val="nil"/>
              <w:bottom w:val="single" w:sz="6" w:space="0" w:color="CCCCCC"/>
              <w:right w:val="single" w:sz="6" w:space="0" w:color="CCCCCC"/>
            </w:tcBorders>
            <w:shd w:val="clear" w:color="auto" w:fill="EEF3FA"/>
            <w:tcMar>
              <w:top w:w="80" w:type="dxa"/>
              <w:left w:w="100" w:type="dxa"/>
              <w:bottom w:w="80" w:type="dxa"/>
              <w:right w:w="100" w:type="dxa"/>
            </w:tcMar>
          </w:tcPr>
          <w:p w14:paraId="177AB9D8"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Ultra-luxury / performance/exclusivity</w:t>
            </w:r>
          </w:p>
        </w:tc>
        <w:tc>
          <w:tcPr>
            <w:tcW w:w="1843" w:type="dxa"/>
            <w:tcBorders>
              <w:top w:val="nil"/>
              <w:left w:val="nil"/>
              <w:bottom w:val="single" w:sz="6" w:space="0" w:color="CCCCCC"/>
              <w:right w:val="single" w:sz="6" w:space="0" w:color="CCCCCC"/>
            </w:tcBorders>
            <w:shd w:val="clear" w:color="auto" w:fill="EEF3FA"/>
            <w:tcMar>
              <w:top w:w="80" w:type="dxa"/>
              <w:left w:w="100" w:type="dxa"/>
              <w:bottom w:w="80" w:type="dxa"/>
              <w:right w:w="100" w:type="dxa"/>
            </w:tcMar>
          </w:tcPr>
          <w:p w14:paraId="5A384525"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 xml:space="preserve">Roma, SF90, 296 GTB, </w:t>
            </w:r>
            <w:proofErr w:type="spellStart"/>
            <w:r w:rsidRPr="001D771C">
              <w:rPr>
                <w:color w:val="222222"/>
                <w:sz w:val="24"/>
                <w:szCs w:val="24"/>
              </w:rPr>
              <w:t>Purosangue</w:t>
            </w:r>
            <w:proofErr w:type="spellEnd"/>
          </w:p>
        </w:tc>
        <w:tc>
          <w:tcPr>
            <w:tcW w:w="3827" w:type="dxa"/>
            <w:tcBorders>
              <w:top w:val="nil"/>
              <w:left w:val="nil"/>
              <w:bottom w:val="single" w:sz="6" w:space="0" w:color="CCCCCC"/>
              <w:right w:val="single" w:sz="6" w:space="0" w:color="CCCCCC"/>
            </w:tcBorders>
            <w:shd w:val="clear" w:color="auto" w:fill="EEF3FA"/>
            <w:tcMar>
              <w:top w:w="80" w:type="dxa"/>
              <w:left w:w="100" w:type="dxa"/>
              <w:bottom w:w="80" w:type="dxa"/>
              <w:right w:w="100" w:type="dxa"/>
            </w:tcMar>
          </w:tcPr>
          <w:p w14:paraId="3BC186B1" w14:textId="48498896" w:rsidR="00873435" w:rsidRPr="001D771C" w:rsidRDefault="00EC3E47" w:rsidP="000640BB">
            <w:pPr>
              <w:spacing w:before="240" w:after="240" w:line="240" w:lineRule="auto"/>
              <w:jc w:val="both"/>
              <w:rPr>
                <w:color w:val="222222"/>
                <w:sz w:val="24"/>
                <w:szCs w:val="24"/>
              </w:rPr>
            </w:pPr>
            <w:r w:rsidRPr="001D771C">
              <w:rPr>
                <w:color w:val="222222"/>
                <w:sz w:val="24"/>
                <w:szCs w:val="24"/>
              </w:rPr>
              <w:t xml:space="preserve">Ferrari intentionally limits products, creating waiting lists and </w:t>
            </w:r>
            <w:r w:rsidR="00132C44" w:rsidRPr="001D771C">
              <w:rPr>
                <w:color w:val="222222"/>
                <w:sz w:val="24"/>
                <w:szCs w:val="24"/>
              </w:rPr>
              <w:t>sustains</w:t>
            </w:r>
            <w:r w:rsidRPr="001D771C">
              <w:rPr>
                <w:color w:val="222222"/>
                <w:sz w:val="24"/>
                <w:szCs w:val="24"/>
              </w:rPr>
              <w:t xml:space="preserve"> customer desire.</w:t>
            </w:r>
          </w:p>
          <w:p w14:paraId="0A58FD82" w14:textId="685BFA04" w:rsidR="00873435" w:rsidRPr="001D771C" w:rsidRDefault="00EC3E47" w:rsidP="000640BB">
            <w:pPr>
              <w:spacing w:before="240" w:after="240" w:line="240" w:lineRule="auto"/>
              <w:jc w:val="both"/>
              <w:rPr>
                <w:b/>
                <w:bCs/>
                <w:color w:val="222222"/>
                <w:sz w:val="24"/>
                <w:szCs w:val="24"/>
              </w:rPr>
            </w:pPr>
            <w:r w:rsidRPr="001D771C">
              <w:rPr>
                <w:color w:val="222222"/>
                <w:sz w:val="24"/>
                <w:szCs w:val="24"/>
              </w:rPr>
              <w:t xml:space="preserve">It sold only 13,752 cars in 2024, yet generated €6.677 billion in revenue, </w:t>
            </w:r>
            <w:r w:rsidR="000640BB" w:rsidRPr="001D771C">
              <w:rPr>
                <w:color w:val="222222"/>
                <w:sz w:val="24"/>
                <w:szCs w:val="24"/>
              </w:rPr>
              <w:t>emphasizing</w:t>
            </w:r>
            <w:r w:rsidRPr="001D771C">
              <w:rPr>
                <w:color w:val="222222"/>
                <w:sz w:val="24"/>
                <w:szCs w:val="24"/>
              </w:rPr>
              <w:t xml:space="preserve"> exclusivity.</w:t>
            </w:r>
          </w:p>
        </w:tc>
      </w:tr>
      <w:tr w:rsidR="00873435" w:rsidRPr="001D771C" w14:paraId="3DF04ACA" w14:textId="77777777" w:rsidTr="00584CF2">
        <w:trPr>
          <w:trHeight w:val="3340"/>
        </w:trPr>
        <w:tc>
          <w:tcPr>
            <w:tcW w:w="1418" w:type="dxa"/>
            <w:tcBorders>
              <w:top w:val="nil"/>
              <w:left w:val="single" w:sz="6" w:space="0" w:color="CCCCCC"/>
              <w:bottom w:val="single" w:sz="6" w:space="0" w:color="CCCCCC"/>
              <w:right w:val="single" w:sz="6" w:space="0" w:color="CCCCCC"/>
            </w:tcBorders>
            <w:shd w:val="clear" w:color="auto" w:fill="D9E2F3"/>
            <w:tcMar>
              <w:top w:w="80" w:type="dxa"/>
              <w:left w:w="100" w:type="dxa"/>
              <w:bottom w:w="80" w:type="dxa"/>
              <w:right w:w="100" w:type="dxa"/>
            </w:tcMar>
          </w:tcPr>
          <w:p w14:paraId="54FD6769" w14:textId="77777777" w:rsidR="00873435" w:rsidRPr="001D771C" w:rsidRDefault="00EC3E47" w:rsidP="000640BB">
            <w:pPr>
              <w:spacing w:before="240" w:after="240" w:line="240" w:lineRule="auto"/>
              <w:jc w:val="both"/>
              <w:rPr>
                <w:b/>
                <w:bCs/>
                <w:color w:val="1F3864"/>
                <w:sz w:val="24"/>
                <w:szCs w:val="24"/>
              </w:rPr>
            </w:pPr>
            <w:r w:rsidRPr="001D771C">
              <w:rPr>
                <w:b/>
                <w:bCs/>
                <w:color w:val="1F3864"/>
                <w:sz w:val="24"/>
                <w:szCs w:val="24"/>
              </w:rPr>
              <w:lastRenderedPageBreak/>
              <w:t>Cadillac (US)</w:t>
            </w:r>
          </w:p>
        </w:tc>
        <w:tc>
          <w:tcPr>
            <w:tcW w:w="1559" w:type="dxa"/>
            <w:tcBorders>
              <w:top w:val="nil"/>
              <w:left w:val="nil"/>
              <w:bottom w:val="single" w:sz="6" w:space="0" w:color="CCCCCC"/>
              <w:right w:val="single" w:sz="6" w:space="0" w:color="CCCCCC"/>
            </w:tcBorders>
            <w:shd w:val="clear" w:color="auto" w:fill="FFFFFF"/>
            <w:tcMar>
              <w:top w:w="80" w:type="dxa"/>
              <w:left w:w="100" w:type="dxa"/>
              <w:bottom w:w="80" w:type="dxa"/>
              <w:right w:w="100" w:type="dxa"/>
            </w:tcMar>
          </w:tcPr>
          <w:p w14:paraId="1875154B"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General Motors (USA)</w:t>
            </w:r>
          </w:p>
        </w:tc>
        <w:tc>
          <w:tcPr>
            <w:tcW w:w="1843" w:type="dxa"/>
            <w:tcBorders>
              <w:top w:val="nil"/>
              <w:left w:val="nil"/>
              <w:bottom w:val="single" w:sz="6" w:space="0" w:color="CCCCCC"/>
              <w:right w:val="single" w:sz="6" w:space="0" w:color="CCCCCC"/>
            </w:tcBorders>
            <w:shd w:val="clear" w:color="auto" w:fill="FFFFFF"/>
            <w:tcMar>
              <w:top w:w="80" w:type="dxa"/>
              <w:left w:w="100" w:type="dxa"/>
              <w:bottom w:w="80" w:type="dxa"/>
              <w:right w:w="100" w:type="dxa"/>
            </w:tcMar>
          </w:tcPr>
          <w:p w14:paraId="5EBE922B"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Premium domestic luxury</w:t>
            </w:r>
          </w:p>
        </w:tc>
        <w:tc>
          <w:tcPr>
            <w:tcW w:w="1843" w:type="dxa"/>
            <w:tcBorders>
              <w:top w:val="nil"/>
              <w:left w:val="nil"/>
              <w:bottom w:val="single" w:sz="6" w:space="0" w:color="CCCCCC"/>
              <w:right w:val="single" w:sz="6" w:space="0" w:color="CCCCCC"/>
            </w:tcBorders>
            <w:shd w:val="clear" w:color="auto" w:fill="FFFFFF"/>
            <w:tcMar>
              <w:top w:w="80" w:type="dxa"/>
              <w:left w:w="100" w:type="dxa"/>
              <w:bottom w:w="80" w:type="dxa"/>
              <w:right w:w="100" w:type="dxa"/>
            </w:tcMar>
          </w:tcPr>
          <w:p w14:paraId="4FFA771A"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Escalade, CT5-V Blackwing, Lyriq EV</w:t>
            </w:r>
          </w:p>
        </w:tc>
        <w:tc>
          <w:tcPr>
            <w:tcW w:w="3827" w:type="dxa"/>
            <w:tcBorders>
              <w:top w:val="nil"/>
              <w:left w:val="nil"/>
              <w:bottom w:val="single" w:sz="6" w:space="0" w:color="CCCCCC"/>
              <w:right w:val="single" w:sz="6" w:space="0" w:color="CCCCCC"/>
            </w:tcBorders>
            <w:shd w:val="clear" w:color="auto" w:fill="FFFFFF"/>
            <w:tcMar>
              <w:top w:w="80" w:type="dxa"/>
              <w:left w:w="100" w:type="dxa"/>
              <w:bottom w:w="80" w:type="dxa"/>
              <w:right w:w="100" w:type="dxa"/>
            </w:tcMar>
          </w:tcPr>
          <w:p w14:paraId="56B80778"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 xml:space="preserve">Cadillac integrates innovative systems such as Super Cruise hands-free driving. </w:t>
            </w:r>
          </w:p>
          <w:p w14:paraId="6D037D6D"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Models such as the Escalade, LYRIQ, and XT5 combine bold styling, premium materials, and modern aesthetics, reinforcing Cadillac’s luxury heritage (GM, 2025).</w:t>
            </w:r>
          </w:p>
          <w:p w14:paraId="39EFC1F3"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Cadillac's US sales have increased from 160,204 units in 2024 to 173,515 units in 2025, demonstrating the steady brand expansion in the luxury segment.</w:t>
            </w:r>
          </w:p>
        </w:tc>
      </w:tr>
      <w:tr w:rsidR="00873435" w:rsidRPr="001D771C" w14:paraId="40BFF8BE" w14:textId="77777777" w:rsidTr="00584CF2">
        <w:trPr>
          <w:trHeight w:val="3689"/>
        </w:trPr>
        <w:tc>
          <w:tcPr>
            <w:tcW w:w="1418" w:type="dxa"/>
            <w:tcBorders>
              <w:top w:val="nil"/>
              <w:left w:val="single" w:sz="6" w:space="0" w:color="CCCCCC"/>
              <w:bottom w:val="single" w:sz="6" w:space="0" w:color="CCCCCC"/>
              <w:right w:val="single" w:sz="6" w:space="0" w:color="CCCCCC"/>
            </w:tcBorders>
            <w:shd w:val="clear" w:color="auto" w:fill="D9E2F3"/>
            <w:tcMar>
              <w:top w:w="80" w:type="dxa"/>
              <w:left w:w="100" w:type="dxa"/>
              <w:bottom w:w="80" w:type="dxa"/>
              <w:right w:w="100" w:type="dxa"/>
            </w:tcMar>
          </w:tcPr>
          <w:p w14:paraId="4671F41C" w14:textId="77777777" w:rsidR="00873435" w:rsidRPr="001D771C" w:rsidRDefault="00EC3E47" w:rsidP="000640BB">
            <w:pPr>
              <w:spacing w:before="240" w:after="240" w:line="240" w:lineRule="auto"/>
              <w:jc w:val="both"/>
              <w:rPr>
                <w:b/>
                <w:bCs/>
                <w:color w:val="1F3864"/>
                <w:sz w:val="24"/>
                <w:szCs w:val="24"/>
              </w:rPr>
            </w:pPr>
            <w:r w:rsidRPr="001D771C">
              <w:rPr>
                <w:b/>
                <w:bCs/>
                <w:color w:val="1F3864"/>
                <w:sz w:val="24"/>
                <w:szCs w:val="24"/>
              </w:rPr>
              <w:t>Lincoln (US)</w:t>
            </w:r>
          </w:p>
        </w:tc>
        <w:tc>
          <w:tcPr>
            <w:tcW w:w="1559" w:type="dxa"/>
            <w:tcBorders>
              <w:top w:val="nil"/>
              <w:left w:val="nil"/>
              <w:bottom w:val="single" w:sz="6" w:space="0" w:color="CCCCCC"/>
              <w:right w:val="single" w:sz="6" w:space="0" w:color="CCCCCC"/>
            </w:tcBorders>
            <w:shd w:val="clear" w:color="auto" w:fill="EEF3FA"/>
            <w:tcMar>
              <w:top w:w="80" w:type="dxa"/>
              <w:left w:w="100" w:type="dxa"/>
              <w:bottom w:w="80" w:type="dxa"/>
              <w:right w:w="100" w:type="dxa"/>
            </w:tcMar>
          </w:tcPr>
          <w:p w14:paraId="1CAEB003"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Ford Motor Company (USA)</w:t>
            </w:r>
          </w:p>
        </w:tc>
        <w:tc>
          <w:tcPr>
            <w:tcW w:w="1843" w:type="dxa"/>
            <w:tcBorders>
              <w:top w:val="nil"/>
              <w:left w:val="nil"/>
              <w:bottom w:val="single" w:sz="6" w:space="0" w:color="CCCCCC"/>
              <w:right w:val="single" w:sz="6" w:space="0" w:color="CCCCCC"/>
            </w:tcBorders>
            <w:shd w:val="clear" w:color="auto" w:fill="EEF3FA"/>
            <w:tcMar>
              <w:top w:w="80" w:type="dxa"/>
              <w:left w:w="100" w:type="dxa"/>
              <w:bottom w:w="80" w:type="dxa"/>
              <w:right w:w="100" w:type="dxa"/>
            </w:tcMar>
          </w:tcPr>
          <w:p w14:paraId="74A334C2"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Entry-luxury domestic</w:t>
            </w:r>
          </w:p>
        </w:tc>
        <w:tc>
          <w:tcPr>
            <w:tcW w:w="1843" w:type="dxa"/>
            <w:tcBorders>
              <w:top w:val="nil"/>
              <w:left w:val="nil"/>
              <w:bottom w:val="single" w:sz="6" w:space="0" w:color="CCCCCC"/>
              <w:right w:val="single" w:sz="6" w:space="0" w:color="CCCCCC"/>
            </w:tcBorders>
            <w:shd w:val="clear" w:color="auto" w:fill="EEF3FA"/>
            <w:tcMar>
              <w:top w:w="80" w:type="dxa"/>
              <w:left w:w="100" w:type="dxa"/>
              <w:bottom w:w="80" w:type="dxa"/>
              <w:right w:w="100" w:type="dxa"/>
            </w:tcMar>
          </w:tcPr>
          <w:p w14:paraId="342BF63B"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Navigator, Nautilus, Aviator, Corsair</w:t>
            </w:r>
          </w:p>
        </w:tc>
        <w:tc>
          <w:tcPr>
            <w:tcW w:w="3827" w:type="dxa"/>
            <w:tcBorders>
              <w:top w:val="nil"/>
              <w:left w:val="nil"/>
              <w:bottom w:val="single" w:sz="6" w:space="0" w:color="CCCCCC"/>
              <w:right w:val="single" w:sz="6" w:space="0" w:color="CCCCCC"/>
            </w:tcBorders>
            <w:shd w:val="clear" w:color="auto" w:fill="EEF3FA"/>
            <w:tcMar>
              <w:top w:w="80" w:type="dxa"/>
              <w:left w:w="100" w:type="dxa"/>
              <w:bottom w:w="80" w:type="dxa"/>
              <w:right w:w="100" w:type="dxa"/>
            </w:tcMar>
          </w:tcPr>
          <w:p w14:paraId="159203BD"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 xml:space="preserve">Lincoln demonstrates strong growth in the US luxury automotive supported by the rising SUV demand. </w:t>
            </w:r>
          </w:p>
          <w:p w14:paraId="1DA61605" w14:textId="77777777" w:rsidR="00873435" w:rsidRPr="001D771C" w:rsidRDefault="00EC3E47" w:rsidP="000640BB">
            <w:pPr>
              <w:spacing w:before="240" w:after="240" w:line="240" w:lineRule="auto"/>
              <w:jc w:val="both"/>
              <w:rPr>
                <w:color w:val="222222"/>
                <w:sz w:val="24"/>
                <w:szCs w:val="24"/>
              </w:rPr>
            </w:pPr>
            <w:r w:rsidRPr="001D771C">
              <w:rPr>
                <w:color w:val="222222"/>
                <w:sz w:val="24"/>
                <w:szCs w:val="24"/>
              </w:rPr>
              <w:t>In 2024, Lincoln’s U.S. sales increased by 28.1% to 104,823 units, reflecting strengthening brand performance.</w:t>
            </w:r>
          </w:p>
          <w:p w14:paraId="07A785AD" w14:textId="77777777" w:rsidR="00873435" w:rsidRPr="001D771C" w:rsidRDefault="00EC3E47" w:rsidP="000640BB">
            <w:pPr>
              <w:spacing w:before="240" w:after="240" w:line="240" w:lineRule="auto"/>
              <w:jc w:val="both"/>
              <w:rPr>
                <w:b/>
                <w:bCs/>
                <w:color w:val="222222"/>
                <w:sz w:val="24"/>
                <w:szCs w:val="24"/>
              </w:rPr>
            </w:pPr>
            <w:r w:rsidRPr="001D771C">
              <w:rPr>
                <w:color w:val="222222"/>
                <w:sz w:val="24"/>
                <w:szCs w:val="24"/>
              </w:rPr>
              <w:t>SUV-focused strategy: Models such as Navigator, Aviator, Corsair, and Nautilus anchor Lincoln’s luxury SUV lineup for 2025–2026 (Lincoln International, 2025).</w:t>
            </w:r>
          </w:p>
        </w:tc>
      </w:tr>
    </w:tbl>
    <w:p w14:paraId="1FB66206" w14:textId="77777777" w:rsidR="00873435" w:rsidRPr="001D771C" w:rsidRDefault="00EC3E47">
      <w:pPr>
        <w:spacing w:line="360" w:lineRule="auto"/>
        <w:jc w:val="center"/>
        <w:rPr>
          <w:b/>
          <w:bCs/>
          <w:sz w:val="24"/>
          <w:szCs w:val="24"/>
        </w:rPr>
      </w:pPr>
      <w:r w:rsidRPr="001D771C">
        <w:rPr>
          <w:b/>
          <w:bCs/>
          <w:sz w:val="24"/>
          <w:szCs w:val="24"/>
        </w:rPr>
        <w:t>Table 1: Competitive positioning of luxury brands</w:t>
      </w:r>
    </w:p>
    <w:p w14:paraId="32DB4138" w14:textId="77777777" w:rsidR="00873435" w:rsidRPr="001D771C" w:rsidRDefault="00EC3E47">
      <w:pPr>
        <w:spacing w:line="360" w:lineRule="auto"/>
        <w:jc w:val="center"/>
        <w:rPr>
          <w:b/>
          <w:bCs/>
          <w:sz w:val="24"/>
          <w:szCs w:val="24"/>
        </w:rPr>
      </w:pPr>
      <w:r w:rsidRPr="001D771C">
        <w:rPr>
          <w:sz w:val="24"/>
          <w:szCs w:val="24"/>
        </w:rPr>
        <w:t>(Source: Self-created)</w:t>
      </w:r>
    </w:p>
    <w:p w14:paraId="2061CE4C" w14:textId="77777777" w:rsidR="00873435" w:rsidRPr="001D771C" w:rsidRDefault="00EC3E47">
      <w:pPr>
        <w:spacing w:line="360" w:lineRule="auto"/>
        <w:jc w:val="both"/>
        <w:rPr>
          <w:b/>
          <w:bCs/>
          <w:sz w:val="24"/>
          <w:szCs w:val="24"/>
        </w:rPr>
      </w:pPr>
      <w:r w:rsidRPr="001D771C">
        <w:br w:type="page"/>
      </w:r>
    </w:p>
    <w:p w14:paraId="633401FD" w14:textId="4409851A" w:rsidR="00873435" w:rsidRPr="001D771C" w:rsidRDefault="00EC3E47">
      <w:pPr>
        <w:pStyle w:val="Heading2"/>
      </w:pPr>
      <w:bookmarkStart w:id="12" w:name="_64jt5bkfcnwd" w:colFirst="0" w:colLast="0"/>
      <w:bookmarkStart w:id="13" w:name="_Toc223813172"/>
      <w:bookmarkEnd w:id="12"/>
      <w:r w:rsidRPr="001D771C">
        <w:lastRenderedPageBreak/>
        <w:t>3. Porter's Diam</w:t>
      </w:r>
      <w:r w:rsidR="00584CF2">
        <w:t xml:space="preserve">ond Model of National Advantage for </w:t>
      </w:r>
      <w:r w:rsidRPr="001D771C">
        <w:t xml:space="preserve">Global Competitiveness </w:t>
      </w:r>
      <w:bookmarkEnd w:id="13"/>
    </w:p>
    <w:p w14:paraId="5D3D3295" w14:textId="77777777" w:rsidR="00873435" w:rsidRPr="001D771C" w:rsidRDefault="00873435">
      <w:pPr>
        <w:spacing w:line="360" w:lineRule="auto"/>
        <w:jc w:val="both"/>
        <w:rPr>
          <w:b/>
          <w:bCs/>
          <w:sz w:val="24"/>
          <w:szCs w:val="24"/>
        </w:rPr>
      </w:pPr>
    </w:p>
    <w:p w14:paraId="0FCA58A5" w14:textId="77777777" w:rsidR="00873435" w:rsidRPr="001D771C" w:rsidRDefault="00EC3E47">
      <w:pPr>
        <w:spacing w:line="360" w:lineRule="auto"/>
        <w:jc w:val="center"/>
        <w:rPr>
          <w:b/>
          <w:bCs/>
          <w:sz w:val="24"/>
          <w:szCs w:val="24"/>
        </w:rPr>
      </w:pPr>
      <w:r w:rsidRPr="001D771C">
        <w:rPr>
          <w:b/>
          <w:bCs/>
          <w:noProof/>
          <w:sz w:val="24"/>
          <w:szCs w:val="24"/>
          <w:lang w:val="en-IN" w:eastAsia="en-IN"/>
        </w:rPr>
        <w:drawing>
          <wp:inline distT="114300" distB="114300" distL="114300" distR="114300" wp14:anchorId="72079CB3" wp14:editId="4AACE961">
            <wp:extent cx="4567238" cy="3808904"/>
            <wp:effectExtent l="19050" t="19050" r="24130" b="2032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567238" cy="3808904"/>
                    </a:xfrm>
                    <a:prstGeom prst="rect">
                      <a:avLst/>
                    </a:prstGeom>
                    <a:ln>
                      <a:solidFill>
                        <a:schemeClr val="tx1"/>
                      </a:solidFill>
                    </a:ln>
                  </pic:spPr>
                </pic:pic>
              </a:graphicData>
            </a:graphic>
          </wp:inline>
        </w:drawing>
      </w:r>
    </w:p>
    <w:p w14:paraId="60B7759A" w14:textId="77777777" w:rsidR="00873435" w:rsidRPr="001D771C" w:rsidRDefault="00EC3E47">
      <w:pPr>
        <w:spacing w:line="360" w:lineRule="auto"/>
        <w:jc w:val="center"/>
        <w:rPr>
          <w:b/>
          <w:bCs/>
          <w:sz w:val="24"/>
          <w:szCs w:val="24"/>
        </w:rPr>
      </w:pPr>
      <w:r w:rsidRPr="001D771C">
        <w:rPr>
          <w:b/>
          <w:bCs/>
          <w:sz w:val="24"/>
          <w:szCs w:val="24"/>
        </w:rPr>
        <w:t>Figure 5: Porter’s Diamond Model</w:t>
      </w:r>
    </w:p>
    <w:p w14:paraId="79276F9B" w14:textId="12C14C73" w:rsidR="00873435" w:rsidRPr="001D771C" w:rsidRDefault="00EC3E47">
      <w:pPr>
        <w:spacing w:line="360" w:lineRule="auto"/>
        <w:jc w:val="center"/>
        <w:rPr>
          <w:b/>
          <w:bCs/>
          <w:sz w:val="24"/>
          <w:szCs w:val="24"/>
        </w:rPr>
      </w:pPr>
      <w:r w:rsidRPr="001D771C">
        <w:rPr>
          <w:sz w:val="24"/>
          <w:szCs w:val="24"/>
        </w:rPr>
        <w:t>(Source: Self-created</w:t>
      </w:r>
      <w:r w:rsidR="00584CF2">
        <w:rPr>
          <w:sz w:val="24"/>
          <w:szCs w:val="24"/>
        </w:rPr>
        <w:t xml:space="preserve"> using Draw.io</w:t>
      </w:r>
      <w:r w:rsidRPr="001D771C">
        <w:rPr>
          <w:sz w:val="24"/>
          <w:szCs w:val="24"/>
        </w:rPr>
        <w:t>)</w:t>
      </w:r>
    </w:p>
    <w:p w14:paraId="78F18544" w14:textId="77777777" w:rsidR="00873435" w:rsidRPr="001D771C" w:rsidRDefault="00EC3E47">
      <w:pPr>
        <w:spacing w:line="360" w:lineRule="auto"/>
        <w:jc w:val="both"/>
        <w:rPr>
          <w:b/>
          <w:bCs/>
          <w:sz w:val="24"/>
          <w:szCs w:val="24"/>
        </w:rPr>
      </w:pPr>
      <w:r w:rsidRPr="001D771C">
        <w:rPr>
          <w:sz w:val="24"/>
          <w:szCs w:val="24"/>
        </w:rPr>
        <w:t>Michael Porter’s Diamond Model of National Advantage provides the most contextual analytical framework for a better understanding of why certain nations develop globally competitive industries (</w:t>
      </w:r>
      <w:proofErr w:type="spellStart"/>
      <w:r w:rsidRPr="001D771C">
        <w:rPr>
          <w:sz w:val="24"/>
          <w:szCs w:val="24"/>
        </w:rPr>
        <w:t>Godpower</w:t>
      </w:r>
      <w:proofErr w:type="spellEnd"/>
      <w:r w:rsidRPr="001D771C">
        <w:rPr>
          <w:sz w:val="24"/>
          <w:szCs w:val="24"/>
        </w:rPr>
        <w:t xml:space="preserve"> </w:t>
      </w:r>
      <w:r w:rsidRPr="001D771C">
        <w:rPr>
          <w:i/>
          <w:iCs/>
          <w:sz w:val="24"/>
          <w:szCs w:val="24"/>
        </w:rPr>
        <w:t>et al</w:t>
      </w:r>
      <w:r w:rsidRPr="001D771C">
        <w:rPr>
          <w:sz w:val="24"/>
          <w:szCs w:val="24"/>
        </w:rPr>
        <w:t>. 2022). This model identifies the four interacting determinants, which include “Factor Conditions, Demand Conditions, Related and Supporting Industries, and Firm Strategy, Structure, and Rivalry” — with Government and Chance acting as external variables that can reinforce or disrupt national advantage. With the application of the luxury automobile industry in the United States, the Diamond framework</w:t>
      </w:r>
    </w:p>
    <w:p w14:paraId="64927A90" w14:textId="77777777" w:rsidR="00873435" w:rsidRPr="001D771C" w:rsidRDefault="00EC3E47">
      <w:pPr>
        <w:pStyle w:val="Heading3"/>
      </w:pPr>
      <w:bookmarkStart w:id="14" w:name="_odyro5fdt2dd" w:colFirst="0" w:colLast="0"/>
      <w:bookmarkStart w:id="15" w:name="_Toc223813173"/>
      <w:bookmarkEnd w:id="14"/>
      <w:r w:rsidRPr="001D771C">
        <w:t>3.1 Factor Conditions</w:t>
      </w:r>
      <w:bookmarkEnd w:id="15"/>
    </w:p>
    <w:p w14:paraId="6274BFB3" w14:textId="307397B7" w:rsidR="00873435" w:rsidRPr="001D771C" w:rsidRDefault="00EC3E47">
      <w:pPr>
        <w:spacing w:line="360" w:lineRule="auto"/>
        <w:jc w:val="both"/>
        <w:rPr>
          <w:sz w:val="24"/>
          <w:szCs w:val="24"/>
        </w:rPr>
      </w:pPr>
      <w:r w:rsidRPr="001D771C">
        <w:rPr>
          <w:sz w:val="24"/>
          <w:szCs w:val="24"/>
        </w:rPr>
        <w:t xml:space="preserve">The model distinguishes between the basic factors and advanced factors, which are proven to be difficult to imitate and create a durable competitive positioning. The basic </w:t>
      </w:r>
      <w:r w:rsidRPr="001D771C">
        <w:rPr>
          <w:sz w:val="24"/>
          <w:szCs w:val="24"/>
        </w:rPr>
        <w:lastRenderedPageBreak/>
        <w:t xml:space="preserve">factors include natural resources, unskilled labour, and geography, which </w:t>
      </w:r>
      <w:r w:rsidR="006700C8" w:rsidRPr="001D771C">
        <w:rPr>
          <w:sz w:val="24"/>
          <w:szCs w:val="24"/>
        </w:rPr>
        <w:t>are</w:t>
      </w:r>
      <w:r w:rsidRPr="001D771C">
        <w:rPr>
          <w:sz w:val="24"/>
          <w:szCs w:val="24"/>
        </w:rPr>
        <w:t xml:space="preserve"> widely replicable and fail to offer a sustainable advantage. Whereas the advanced factors such as specialised knowledge, sophisticated infrastructure and capital markets have been proven to be difficult to imitate and create the strategic competitive positioning. So far as the USA ultra-luxury automobile industry is concerned, the decisive advanced factors are attributed to the demand-side in nature. </w:t>
      </w:r>
    </w:p>
    <w:p w14:paraId="33EB2A9E" w14:textId="77777777" w:rsidR="00873435" w:rsidRPr="001D771C" w:rsidRDefault="00EC3E47">
      <w:pPr>
        <w:spacing w:line="360" w:lineRule="auto"/>
        <w:jc w:val="center"/>
        <w:rPr>
          <w:sz w:val="24"/>
          <w:szCs w:val="24"/>
        </w:rPr>
      </w:pPr>
      <w:r w:rsidRPr="001D771C">
        <w:rPr>
          <w:noProof/>
          <w:sz w:val="24"/>
          <w:szCs w:val="24"/>
          <w:lang w:val="en-IN" w:eastAsia="en-IN"/>
        </w:rPr>
        <w:drawing>
          <wp:inline distT="114300" distB="114300" distL="114300" distR="114300" wp14:anchorId="69BD465B" wp14:editId="25295CB1">
            <wp:extent cx="6400800" cy="2513781"/>
            <wp:effectExtent l="19050" t="19050" r="19050" b="2032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6400800" cy="2513781"/>
                    </a:xfrm>
                    <a:prstGeom prst="rect">
                      <a:avLst/>
                    </a:prstGeom>
                    <a:ln>
                      <a:solidFill>
                        <a:schemeClr val="tx1"/>
                      </a:solidFill>
                    </a:ln>
                  </pic:spPr>
                </pic:pic>
              </a:graphicData>
            </a:graphic>
          </wp:inline>
        </w:drawing>
      </w:r>
    </w:p>
    <w:p w14:paraId="5FCEBB26" w14:textId="77777777" w:rsidR="00873435" w:rsidRPr="001D771C" w:rsidRDefault="00EC3E47">
      <w:pPr>
        <w:spacing w:line="360" w:lineRule="auto"/>
        <w:jc w:val="center"/>
        <w:rPr>
          <w:b/>
          <w:bCs/>
          <w:sz w:val="24"/>
          <w:szCs w:val="24"/>
        </w:rPr>
      </w:pPr>
      <w:r w:rsidRPr="001D771C">
        <w:rPr>
          <w:b/>
          <w:bCs/>
          <w:sz w:val="24"/>
          <w:szCs w:val="24"/>
        </w:rPr>
        <w:t>Figure 6: USA wealth market growth</w:t>
      </w:r>
    </w:p>
    <w:p w14:paraId="18EE9326" w14:textId="77777777" w:rsidR="00873435" w:rsidRPr="001D771C" w:rsidRDefault="00EC3E47">
      <w:pPr>
        <w:spacing w:line="360" w:lineRule="auto"/>
        <w:jc w:val="center"/>
        <w:rPr>
          <w:sz w:val="24"/>
          <w:szCs w:val="24"/>
        </w:rPr>
      </w:pPr>
      <w:r w:rsidRPr="001D771C">
        <w:rPr>
          <w:sz w:val="24"/>
          <w:szCs w:val="24"/>
        </w:rPr>
        <w:t>(Source: UBS, 2025)</w:t>
      </w:r>
    </w:p>
    <w:p w14:paraId="138FD354" w14:textId="77777777" w:rsidR="00873435" w:rsidRPr="001D771C" w:rsidRDefault="00EC3E47">
      <w:pPr>
        <w:spacing w:line="360" w:lineRule="auto"/>
        <w:jc w:val="both"/>
        <w:rPr>
          <w:b/>
          <w:bCs/>
          <w:sz w:val="24"/>
          <w:szCs w:val="24"/>
        </w:rPr>
      </w:pPr>
      <w:r w:rsidRPr="001D771C">
        <w:rPr>
          <w:sz w:val="24"/>
          <w:szCs w:val="24"/>
        </w:rPr>
        <w:t xml:space="preserve">According to the study of UBS (2025), the United States demonstrates the largest wealth market globally, by shaping the strong demand for luxury goods and high-end automobiles. The U.S has over 24 million millionaires, which accounts for 39.7% of the global millionaires, with 379,000 new millionaires included in 2024. The country also holds around 35% of the global personal wealth, while average wealth per adult accounts for $620,654 and median wealth $124,041 (UBS, 2025). Further, the sophisticated financial infrastructure in the USA leverages ultra-luxury vehicle transactions at scale. These advanced factors collectively constitute demand-side advantages, not a supply-side one, with the greater implications for RRMC’s competitiveness positioning in the vulnerable tariff market of the USA (Yahoo, 2025). </w:t>
      </w:r>
    </w:p>
    <w:p w14:paraId="0FAAEBAD" w14:textId="77777777" w:rsidR="00873435" w:rsidRPr="001D771C" w:rsidRDefault="00EC3E47">
      <w:pPr>
        <w:pStyle w:val="Heading3"/>
      </w:pPr>
      <w:bookmarkStart w:id="16" w:name="_fbb2ltfxa5v9" w:colFirst="0" w:colLast="0"/>
      <w:bookmarkStart w:id="17" w:name="_Toc223813174"/>
      <w:bookmarkEnd w:id="16"/>
      <w:r w:rsidRPr="001D771C">
        <w:lastRenderedPageBreak/>
        <w:t>3.2 Demand Conditions</w:t>
      </w:r>
      <w:bookmarkEnd w:id="17"/>
    </w:p>
    <w:p w14:paraId="2B1FFB21" w14:textId="77777777" w:rsidR="00873435" w:rsidRPr="001D771C" w:rsidRDefault="00EC3E47">
      <w:pPr>
        <w:spacing w:line="360" w:lineRule="auto"/>
        <w:jc w:val="both"/>
        <w:rPr>
          <w:sz w:val="24"/>
          <w:szCs w:val="24"/>
        </w:rPr>
      </w:pPr>
      <w:r w:rsidRPr="001D771C">
        <w:rPr>
          <w:sz w:val="24"/>
          <w:szCs w:val="24"/>
        </w:rPr>
        <w:t xml:space="preserve">The US ultra-luxury automobile market demonstrates the precise qualities in association with demand conditions which confer a strong national advantage, such as scale, sophistication and segmental specificity. </w:t>
      </w:r>
    </w:p>
    <w:p w14:paraId="04F1EC12" w14:textId="77777777" w:rsidR="00873435" w:rsidRPr="001D771C" w:rsidRDefault="00EC3E47">
      <w:pPr>
        <w:spacing w:line="360" w:lineRule="auto"/>
        <w:jc w:val="center"/>
        <w:rPr>
          <w:sz w:val="24"/>
          <w:szCs w:val="24"/>
        </w:rPr>
      </w:pPr>
      <w:r w:rsidRPr="001D771C">
        <w:rPr>
          <w:noProof/>
          <w:sz w:val="24"/>
          <w:szCs w:val="24"/>
          <w:lang w:val="en-IN" w:eastAsia="en-IN"/>
        </w:rPr>
        <w:drawing>
          <wp:inline distT="114300" distB="114300" distL="114300" distR="114300" wp14:anchorId="63123697" wp14:editId="25DDEE1D">
            <wp:extent cx="5943600" cy="2590800"/>
            <wp:effectExtent l="19050" t="19050" r="19050" b="1905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5943600" cy="2590800"/>
                    </a:xfrm>
                    <a:prstGeom prst="rect">
                      <a:avLst/>
                    </a:prstGeom>
                    <a:ln>
                      <a:solidFill>
                        <a:schemeClr val="tx1"/>
                      </a:solidFill>
                    </a:ln>
                  </pic:spPr>
                </pic:pic>
              </a:graphicData>
            </a:graphic>
          </wp:inline>
        </w:drawing>
      </w:r>
    </w:p>
    <w:p w14:paraId="4FFA222A" w14:textId="77777777" w:rsidR="00873435" w:rsidRPr="001D771C" w:rsidRDefault="00EC3E47">
      <w:pPr>
        <w:spacing w:line="360" w:lineRule="auto"/>
        <w:jc w:val="center"/>
        <w:rPr>
          <w:b/>
          <w:bCs/>
          <w:sz w:val="24"/>
          <w:szCs w:val="24"/>
        </w:rPr>
      </w:pPr>
      <w:r w:rsidRPr="001D771C">
        <w:rPr>
          <w:b/>
          <w:bCs/>
          <w:sz w:val="24"/>
          <w:szCs w:val="24"/>
        </w:rPr>
        <w:t>Figure 7: Top US luxury car brands</w:t>
      </w:r>
    </w:p>
    <w:p w14:paraId="49FD84DE" w14:textId="77777777" w:rsidR="00873435" w:rsidRPr="001D771C" w:rsidRDefault="00EC3E47">
      <w:pPr>
        <w:spacing w:line="360" w:lineRule="auto"/>
        <w:jc w:val="center"/>
        <w:rPr>
          <w:sz w:val="24"/>
          <w:szCs w:val="24"/>
        </w:rPr>
      </w:pPr>
      <w:r w:rsidRPr="001D771C">
        <w:rPr>
          <w:sz w:val="24"/>
          <w:szCs w:val="24"/>
        </w:rPr>
        <w:t xml:space="preserve">(Source: </w:t>
      </w:r>
      <w:proofErr w:type="spellStart"/>
      <w:r w:rsidRPr="001D771C">
        <w:rPr>
          <w:sz w:val="24"/>
          <w:szCs w:val="24"/>
        </w:rPr>
        <w:t>Spglobal</w:t>
      </w:r>
      <w:proofErr w:type="spellEnd"/>
      <w:r w:rsidRPr="001D771C">
        <w:rPr>
          <w:sz w:val="24"/>
          <w:szCs w:val="24"/>
        </w:rPr>
        <w:t>, 2025)</w:t>
      </w:r>
    </w:p>
    <w:p w14:paraId="1DDF09CC" w14:textId="3E254A29" w:rsidR="00873435" w:rsidRPr="001D771C" w:rsidRDefault="00EC3E47">
      <w:pPr>
        <w:spacing w:line="360" w:lineRule="auto"/>
        <w:jc w:val="both"/>
        <w:rPr>
          <w:b/>
          <w:bCs/>
          <w:sz w:val="24"/>
          <w:szCs w:val="24"/>
        </w:rPr>
      </w:pPr>
      <w:r w:rsidRPr="001D771C">
        <w:rPr>
          <w:sz w:val="24"/>
          <w:szCs w:val="24"/>
        </w:rPr>
        <w:t xml:space="preserve">In terms of the scale, the US luxury automobile market is one of the largest globally, but it represents a niche segment within the overall vehicle demand. According to the S&amp;P Global Mobility report (2025), Lexus ranks no.2 in the U.S luxury market behind Tesla in the sales of luxury car brands. In this context, SUVs dominate the segment. The upper midsize luxury utility vehicle accounted for 22% of luxury car registrations in 2024 (S&amp;P Global, 2025). </w:t>
      </w:r>
      <w:r w:rsidR="00584CF2" w:rsidRPr="001D771C">
        <w:rPr>
          <w:sz w:val="24"/>
          <w:szCs w:val="24"/>
        </w:rPr>
        <w:t>Where</w:t>
      </w:r>
      <w:r w:rsidR="00584CF2">
        <w:rPr>
          <w:sz w:val="24"/>
          <w:szCs w:val="24"/>
        </w:rPr>
        <w:t>as.</w:t>
      </w:r>
      <w:r w:rsidRPr="001D771C">
        <w:rPr>
          <w:sz w:val="24"/>
          <w:szCs w:val="24"/>
        </w:rPr>
        <w:t xml:space="preserve"> Lexus held 51% market share, far exceeding BMW (19.4%) and Mercedes-Benz (16.8%</w:t>
      </w:r>
      <w:r w:rsidR="00D26AA4" w:rsidRPr="001D771C">
        <w:rPr>
          <w:sz w:val="24"/>
          <w:szCs w:val="24"/>
        </w:rPr>
        <w:t>). In</w:t>
      </w:r>
      <w:r w:rsidRPr="001D771C">
        <w:rPr>
          <w:sz w:val="24"/>
          <w:szCs w:val="24"/>
        </w:rPr>
        <w:t xml:space="preserve"> terms of sophistication, the US demand is not only driven by scale, but rather it is also emotionally and experientially driven. The Cullinan SUM well articulates the consumer appetite for the luxury SUM format, constituting RRMC’s best-selling model globally. </w:t>
      </w:r>
    </w:p>
    <w:p w14:paraId="1087A616" w14:textId="77777777" w:rsidR="00873435" w:rsidRPr="001D771C" w:rsidRDefault="00EC3E47">
      <w:pPr>
        <w:pStyle w:val="Heading3"/>
      </w:pPr>
      <w:bookmarkStart w:id="18" w:name="_19wapp7xevyw" w:colFirst="0" w:colLast="0"/>
      <w:bookmarkStart w:id="19" w:name="_Toc223813175"/>
      <w:bookmarkEnd w:id="18"/>
      <w:r w:rsidRPr="001D771C">
        <w:t>3.3 Related and Supporting Industries</w:t>
      </w:r>
      <w:bookmarkEnd w:id="19"/>
    </w:p>
    <w:p w14:paraId="3EFB5EB4" w14:textId="77777777" w:rsidR="00873435" w:rsidRPr="001D771C" w:rsidRDefault="00EC3E47">
      <w:pPr>
        <w:spacing w:line="360" w:lineRule="auto"/>
        <w:jc w:val="both"/>
        <w:rPr>
          <w:sz w:val="24"/>
          <w:szCs w:val="24"/>
        </w:rPr>
      </w:pPr>
      <w:r w:rsidRPr="001D771C">
        <w:rPr>
          <w:sz w:val="24"/>
          <w:szCs w:val="24"/>
        </w:rPr>
        <w:t xml:space="preserve">This determinant is required for the nations possessing clusters of related and supporting industries for the enhancement of competitiveness through knowledge sharpening (Yardım and </w:t>
      </w:r>
      <w:proofErr w:type="spellStart"/>
      <w:r w:rsidRPr="001D771C">
        <w:rPr>
          <w:sz w:val="24"/>
          <w:szCs w:val="24"/>
        </w:rPr>
        <w:t>Pedgley</w:t>
      </w:r>
      <w:proofErr w:type="spellEnd"/>
      <w:r w:rsidRPr="001D771C">
        <w:rPr>
          <w:sz w:val="24"/>
          <w:szCs w:val="24"/>
        </w:rPr>
        <w:t xml:space="preserve">, 2023). The US well demonstrates a remarkably deep ultra-luxury supporting ecosystem that amplifies RRMC’s commercial performance. </w:t>
      </w:r>
    </w:p>
    <w:p w14:paraId="4C6CE885" w14:textId="77777777" w:rsidR="00873435" w:rsidRPr="001D771C" w:rsidRDefault="00873435">
      <w:pPr>
        <w:spacing w:line="360" w:lineRule="auto"/>
        <w:jc w:val="both"/>
        <w:rPr>
          <w:sz w:val="24"/>
          <w:szCs w:val="24"/>
        </w:rPr>
      </w:pPr>
    </w:p>
    <w:p w14:paraId="09211AF3" w14:textId="77777777" w:rsidR="00873435" w:rsidRPr="001D771C" w:rsidRDefault="00EC3E47">
      <w:pPr>
        <w:spacing w:line="360" w:lineRule="auto"/>
        <w:jc w:val="center"/>
        <w:rPr>
          <w:sz w:val="24"/>
          <w:szCs w:val="24"/>
        </w:rPr>
      </w:pPr>
      <w:r w:rsidRPr="001D771C">
        <w:rPr>
          <w:noProof/>
          <w:sz w:val="24"/>
          <w:szCs w:val="24"/>
          <w:lang w:val="en-IN" w:eastAsia="en-IN"/>
        </w:rPr>
        <w:drawing>
          <wp:inline distT="114300" distB="114300" distL="114300" distR="114300" wp14:anchorId="41DB049E" wp14:editId="1510B0DE">
            <wp:extent cx="5943600" cy="3271520"/>
            <wp:effectExtent l="19050" t="19050" r="19050" b="2413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rotWithShape="1">
                    <a:blip r:embed="rId16"/>
                    <a:srcRect t="2053"/>
                    <a:stretch/>
                  </pic:blipFill>
                  <pic:spPr bwMode="auto">
                    <a:xfrm>
                      <a:off x="0" y="0"/>
                      <a:ext cx="5943600" cy="327152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6138D94" w14:textId="5C5C6FEF" w:rsidR="00873435" w:rsidRPr="001D771C" w:rsidRDefault="00EC3E47">
      <w:pPr>
        <w:spacing w:line="360" w:lineRule="auto"/>
        <w:jc w:val="center"/>
        <w:rPr>
          <w:b/>
          <w:bCs/>
          <w:sz w:val="24"/>
          <w:szCs w:val="24"/>
        </w:rPr>
      </w:pPr>
      <w:r w:rsidRPr="001D771C">
        <w:rPr>
          <w:b/>
          <w:bCs/>
          <w:sz w:val="24"/>
          <w:szCs w:val="24"/>
        </w:rPr>
        <w:t>Figure 8: U.S software</w:t>
      </w:r>
      <w:r w:rsidR="00584CF2">
        <w:rPr>
          <w:b/>
          <w:bCs/>
          <w:sz w:val="24"/>
          <w:szCs w:val="24"/>
        </w:rPr>
        <w:t>-defined</w:t>
      </w:r>
      <w:r w:rsidRPr="001D771C">
        <w:rPr>
          <w:b/>
          <w:bCs/>
          <w:sz w:val="24"/>
          <w:szCs w:val="24"/>
        </w:rPr>
        <w:t xml:space="preserve"> vehicle market </w:t>
      </w:r>
    </w:p>
    <w:p w14:paraId="472B5489" w14:textId="77777777" w:rsidR="00873435" w:rsidRPr="001D771C" w:rsidRDefault="00EC3E47">
      <w:pPr>
        <w:spacing w:line="360" w:lineRule="auto"/>
        <w:jc w:val="center"/>
        <w:rPr>
          <w:sz w:val="24"/>
          <w:szCs w:val="24"/>
        </w:rPr>
      </w:pPr>
      <w:r w:rsidRPr="001D771C">
        <w:rPr>
          <w:sz w:val="24"/>
          <w:szCs w:val="24"/>
        </w:rPr>
        <w:t xml:space="preserve">(Source: </w:t>
      </w:r>
      <w:proofErr w:type="spellStart"/>
      <w:r w:rsidRPr="001D771C">
        <w:rPr>
          <w:sz w:val="24"/>
          <w:szCs w:val="24"/>
        </w:rPr>
        <w:t>Grandviewresearch</w:t>
      </w:r>
      <w:proofErr w:type="spellEnd"/>
      <w:r w:rsidRPr="001D771C">
        <w:rPr>
          <w:sz w:val="24"/>
          <w:szCs w:val="24"/>
        </w:rPr>
        <w:t>, 2025)</w:t>
      </w:r>
    </w:p>
    <w:p w14:paraId="6456E994" w14:textId="77777777" w:rsidR="00873435" w:rsidRPr="001D771C" w:rsidRDefault="00EC3E47">
      <w:pPr>
        <w:spacing w:line="360" w:lineRule="auto"/>
        <w:jc w:val="both"/>
        <w:rPr>
          <w:sz w:val="24"/>
          <w:szCs w:val="24"/>
        </w:rPr>
      </w:pPr>
      <w:r w:rsidRPr="001D771C">
        <w:rPr>
          <w:sz w:val="24"/>
          <w:szCs w:val="24"/>
        </w:rPr>
        <w:t xml:space="preserve">The US technology sector is considered the most commercially significant industry for RRMC’s competitive position. The U.S. software-defined vehicle market is expanding rapidly as automakers integrate AI and advanced software into vehicles. According to </w:t>
      </w:r>
      <w:proofErr w:type="spellStart"/>
      <w:r w:rsidRPr="001D771C">
        <w:rPr>
          <w:sz w:val="24"/>
          <w:szCs w:val="24"/>
        </w:rPr>
        <w:t>Grandviewresearch</w:t>
      </w:r>
      <w:proofErr w:type="spellEnd"/>
      <w:r w:rsidRPr="001D771C">
        <w:rPr>
          <w:sz w:val="24"/>
          <w:szCs w:val="24"/>
        </w:rPr>
        <w:t xml:space="preserve"> (2025), the market is valued at $7.63 billion in 2024 and is projected to reach $70.82 billion by 2033, growing at a 28.2% CAGR (</w:t>
      </w:r>
      <w:proofErr w:type="spellStart"/>
      <w:r w:rsidRPr="001D771C">
        <w:rPr>
          <w:sz w:val="24"/>
          <w:szCs w:val="24"/>
        </w:rPr>
        <w:t>Grandviewresearch</w:t>
      </w:r>
      <w:proofErr w:type="spellEnd"/>
      <w:r w:rsidRPr="001D771C">
        <w:rPr>
          <w:sz w:val="24"/>
          <w:szCs w:val="24"/>
        </w:rPr>
        <w:t>, 2025).</w:t>
      </w:r>
    </w:p>
    <w:p w14:paraId="754BBC7D" w14:textId="77777777" w:rsidR="00873435" w:rsidRPr="001D771C" w:rsidRDefault="00EC3E47">
      <w:pPr>
        <w:pStyle w:val="Heading3"/>
      </w:pPr>
      <w:bookmarkStart w:id="20" w:name="_hks5apghpwfx" w:colFirst="0" w:colLast="0"/>
      <w:bookmarkStart w:id="21" w:name="_Toc223813176"/>
      <w:bookmarkEnd w:id="20"/>
      <w:r w:rsidRPr="001D771C">
        <w:t>3.4 Firm Strategy, Structure, and Rivalry</w:t>
      </w:r>
      <w:bookmarkEnd w:id="21"/>
    </w:p>
    <w:p w14:paraId="758AEC8F" w14:textId="77777777" w:rsidR="00873435" w:rsidRPr="001D771C" w:rsidRDefault="00EC3E47">
      <w:pPr>
        <w:spacing w:line="360" w:lineRule="auto"/>
        <w:jc w:val="both"/>
        <w:rPr>
          <w:sz w:val="24"/>
          <w:szCs w:val="24"/>
        </w:rPr>
      </w:pPr>
      <w:r w:rsidRPr="001D771C">
        <w:rPr>
          <w:sz w:val="24"/>
          <w:szCs w:val="24"/>
        </w:rPr>
        <w:t>This determinant evaluates whether the domestic competitive environment is sufficient in driving the organisations to continuously innovate, differentiate and improve (</w:t>
      </w:r>
      <w:proofErr w:type="spellStart"/>
      <w:r w:rsidRPr="001D771C">
        <w:rPr>
          <w:sz w:val="24"/>
          <w:szCs w:val="24"/>
        </w:rPr>
        <w:t>Kudapali</w:t>
      </w:r>
      <w:proofErr w:type="spellEnd"/>
      <w:r w:rsidRPr="001D771C">
        <w:rPr>
          <w:sz w:val="24"/>
          <w:szCs w:val="24"/>
        </w:rPr>
        <w:t xml:space="preserve"> </w:t>
      </w:r>
      <w:r w:rsidRPr="001D771C">
        <w:rPr>
          <w:i/>
          <w:iCs/>
          <w:sz w:val="24"/>
          <w:szCs w:val="24"/>
        </w:rPr>
        <w:t>et a</w:t>
      </w:r>
      <w:r w:rsidRPr="001D771C">
        <w:rPr>
          <w:sz w:val="24"/>
          <w:szCs w:val="24"/>
        </w:rPr>
        <w:t xml:space="preserve">l. 2024). In the US ultra-luxury automobile market, rivalry has proven to be intense in any luxury goods segment. </w:t>
      </w:r>
    </w:p>
    <w:p w14:paraId="6DA2328B" w14:textId="77777777" w:rsidR="00873435" w:rsidRPr="001D771C" w:rsidRDefault="00873435">
      <w:pPr>
        <w:spacing w:line="360" w:lineRule="auto"/>
        <w:jc w:val="both"/>
        <w:rPr>
          <w:b/>
          <w:bCs/>
          <w:sz w:val="24"/>
          <w:szCs w:val="24"/>
        </w:rPr>
      </w:pPr>
    </w:p>
    <w:p w14:paraId="0279DD6F" w14:textId="77777777" w:rsidR="00873435" w:rsidRPr="001D771C" w:rsidRDefault="00873435">
      <w:pPr>
        <w:spacing w:line="360" w:lineRule="auto"/>
        <w:jc w:val="both"/>
        <w:rPr>
          <w:b/>
          <w:bCs/>
          <w:sz w:val="24"/>
          <w:szCs w:val="24"/>
        </w:rPr>
      </w:pPr>
    </w:p>
    <w:p w14:paraId="1830A433" w14:textId="77777777" w:rsidR="00873435" w:rsidRPr="001D771C" w:rsidRDefault="00EC3E47">
      <w:pPr>
        <w:spacing w:line="360" w:lineRule="auto"/>
        <w:jc w:val="center"/>
        <w:rPr>
          <w:b/>
          <w:bCs/>
          <w:sz w:val="24"/>
          <w:szCs w:val="24"/>
        </w:rPr>
      </w:pPr>
      <w:r w:rsidRPr="001D771C">
        <w:rPr>
          <w:b/>
          <w:bCs/>
          <w:noProof/>
          <w:sz w:val="24"/>
          <w:szCs w:val="24"/>
          <w:lang w:val="en-IN" w:eastAsia="en-IN"/>
        </w:rPr>
        <w:lastRenderedPageBreak/>
        <w:drawing>
          <wp:inline distT="114300" distB="114300" distL="114300" distR="114300" wp14:anchorId="47DEB2DB" wp14:editId="77DCD64D">
            <wp:extent cx="5445125" cy="4008120"/>
            <wp:effectExtent l="19050" t="19050" r="22225" b="11430"/>
            <wp:docPr id="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7"/>
                    <a:srcRect/>
                    <a:stretch>
                      <a:fillRect/>
                    </a:stretch>
                  </pic:blipFill>
                  <pic:spPr>
                    <a:xfrm>
                      <a:off x="0" y="0"/>
                      <a:ext cx="5445497" cy="4008394"/>
                    </a:xfrm>
                    <a:prstGeom prst="rect">
                      <a:avLst/>
                    </a:prstGeom>
                    <a:ln>
                      <a:solidFill>
                        <a:schemeClr val="tx1"/>
                      </a:solidFill>
                    </a:ln>
                  </pic:spPr>
                </pic:pic>
              </a:graphicData>
            </a:graphic>
          </wp:inline>
        </w:drawing>
      </w:r>
    </w:p>
    <w:p w14:paraId="1D17E6D6" w14:textId="2FDB6D9C" w:rsidR="00873435" w:rsidRPr="001D771C" w:rsidRDefault="00EC3E47">
      <w:pPr>
        <w:spacing w:line="360" w:lineRule="auto"/>
        <w:jc w:val="center"/>
        <w:rPr>
          <w:b/>
          <w:bCs/>
          <w:sz w:val="24"/>
          <w:szCs w:val="24"/>
        </w:rPr>
      </w:pPr>
      <w:r w:rsidRPr="001D771C">
        <w:rPr>
          <w:b/>
          <w:bCs/>
          <w:sz w:val="24"/>
          <w:szCs w:val="24"/>
        </w:rPr>
        <w:t xml:space="preserve">Figure 9: U.S luxury </w:t>
      </w:r>
      <w:r w:rsidR="00D62E81">
        <w:rPr>
          <w:b/>
          <w:bCs/>
          <w:sz w:val="24"/>
          <w:szCs w:val="24"/>
        </w:rPr>
        <w:t xml:space="preserve">car market </w:t>
      </w:r>
      <w:proofErr w:type="gramStart"/>
      <w:r w:rsidRPr="001D771C">
        <w:rPr>
          <w:b/>
          <w:bCs/>
          <w:sz w:val="24"/>
          <w:szCs w:val="24"/>
        </w:rPr>
        <w:t>competitors</w:t>
      </w:r>
      <w:proofErr w:type="gramEnd"/>
      <w:r w:rsidR="00D62E81">
        <w:rPr>
          <w:b/>
          <w:bCs/>
          <w:sz w:val="24"/>
          <w:szCs w:val="24"/>
        </w:rPr>
        <w:t xml:space="preserve"> sale</w:t>
      </w:r>
    </w:p>
    <w:p w14:paraId="38FF73F6" w14:textId="6BD4A0ED" w:rsidR="00873435" w:rsidRPr="001D771C" w:rsidRDefault="00EC3E47">
      <w:pPr>
        <w:spacing w:line="360" w:lineRule="auto"/>
        <w:jc w:val="center"/>
        <w:rPr>
          <w:sz w:val="24"/>
          <w:szCs w:val="24"/>
        </w:rPr>
      </w:pPr>
      <w:r w:rsidRPr="001D771C">
        <w:rPr>
          <w:sz w:val="24"/>
          <w:szCs w:val="24"/>
        </w:rPr>
        <w:t xml:space="preserve">(Source: </w:t>
      </w:r>
      <w:r w:rsidR="00914F13" w:rsidRPr="001D771C">
        <w:rPr>
          <w:sz w:val="24"/>
          <w:szCs w:val="24"/>
        </w:rPr>
        <w:t xml:space="preserve">Statista, </w:t>
      </w:r>
      <w:r w:rsidR="00D26AA4" w:rsidRPr="001D771C">
        <w:rPr>
          <w:sz w:val="24"/>
          <w:szCs w:val="24"/>
        </w:rPr>
        <w:t>2025)</w:t>
      </w:r>
    </w:p>
    <w:p w14:paraId="3B108480" w14:textId="1A24718A" w:rsidR="00873435" w:rsidRPr="001D771C" w:rsidRDefault="00EC3E47">
      <w:pPr>
        <w:spacing w:line="360" w:lineRule="auto"/>
        <w:jc w:val="both"/>
        <w:rPr>
          <w:b/>
          <w:bCs/>
          <w:sz w:val="24"/>
          <w:szCs w:val="24"/>
        </w:rPr>
      </w:pPr>
      <w:r w:rsidRPr="001D771C">
        <w:rPr>
          <w:sz w:val="24"/>
          <w:szCs w:val="24"/>
        </w:rPr>
        <w:t xml:space="preserve">The study of Statista (2025) articulates that the US luxury car market generated approximately $8.5 billion in </w:t>
      </w:r>
      <w:r w:rsidR="00857CF4" w:rsidRPr="001D771C">
        <w:rPr>
          <w:sz w:val="24"/>
          <w:szCs w:val="24"/>
        </w:rPr>
        <w:t>revenue. BMW</w:t>
      </w:r>
      <w:r w:rsidRPr="001D771C">
        <w:rPr>
          <w:sz w:val="24"/>
          <w:szCs w:val="24"/>
        </w:rPr>
        <w:t>, the parent group of Rolls-Royce, faces strong competition in the USA, such as Tesla. High reliability perceptions for Lexus (65% reliability rating) further increase competitive pressure (</w:t>
      </w:r>
      <w:r w:rsidR="00857CF4" w:rsidRPr="001D771C">
        <w:rPr>
          <w:sz w:val="24"/>
          <w:szCs w:val="24"/>
        </w:rPr>
        <w:t>Statista, 2025</w:t>
      </w:r>
      <w:r w:rsidR="00CF1A80" w:rsidRPr="001D771C">
        <w:rPr>
          <w:sz w:val="24"/>
          <w:szCs w:val="24"/>
        </w:rPr>
        <w:t>). RRMC’s</w:t>
      </w:r>
      <w:r w:rsidRPr="001D771C">
        <w:rPr>
          <w:sz w:val="24"/>
          <w:szCs w:val="24"/>
        </w:rPr>
        <w:t xml:space="preserve"> competitive response has been pure differentiation, which is associated with Bespoke </w:t>
      </w:r>
      <w:proofErr w:type="spellStart"/>
      <w:r w:rsidRPr="001D771C">
        <w:rPr>
          <w:sz w:val="24"/>
          <w:szCs w:val="24"/>
        </w:rPr>
        <w:t>Coachbuild</w:t>
      </w:r>
      <w:proofErr w:type="spellEnd"/>
      <w:r w:rsidRPr="001D771C">
        <w:rPr>
          <w:sz w:val="24"/>
          <w:szCs w:val="24"/>
        </w:rPr>
        <w:t xml:space="preserve"> craftsmanship heritage and the Spectre EV’s technological statement. Rolls-Royce has strengthened its position in the luxury car sector with an investment of </w:t>
      </w:r>
      <w:r w:rsidR="00857CF4" w:rsidRPr="001D771C">
        <w:rPr>
          <w:sz w:val="24"/>
          <w:szCs w:val="24"/>
        </w:rPr>
        <w:t>over £</w:t>
      </w:r>
      <w:r w:rsidRPr="001D771C">
        <w:rPr>
          <w:sz w:val="24"/>
          <w:szCs w:val="24"/>
        </w:rPr>
        <w:t xml:space="preserve">300 million towards the expansion of its Goodwood facility in response to the growing demand for Bespoke models. </w:t>
      </w:r>
    </w:p>
    <w:p w14:paraId="03B7FE11" w14:textId="77777777" w:rsidR="00873435" w:rsidRPr="001D771C" w:rsidRDefault="00EC3E47">
      <w:pPr>
        <w:pStyle w:val="Heading3"/>
      </w:pPr>
      <w:bookmarkStart w:id="22" w:name="_ivquszx6qai7" w:colFirst="0" w:colLast="0"/>
      <w:bookmarkStart w:id="23" w:name="_Toc223813177"/>
      <w:bookmarkEnd w:id="22"/>
      <w:r w:rsidRPr="001D771C">
        <w:t>3.5 Government and Chance</w:t>
      </w:r>
      <w:bookmarkEnd w:id="23"/>
      <w:r w:rsidRPr="001D771C">
        <w:t xml:space="preserve"> </w:t>
      </w:r>
    </w:p>
    <w:p w14:paraId="449A844E" w14:textId="77777777" w:rsidR="00873435" w:rsidRPr="001D771C" w:rsidRDefault="00EC3E47">
      <w:pPr>
        <w:spacing w:line="360" w:lineRule="auto"/>
        <w:jc w:val="both"/>
        <w:rPr>
          <w:sz w:val="24"/>
          <w:szCs w:val="24"/>
        </w:rPr>
      </w:pPr>
      <w:r w:rsidRPr="001D771C">
        <w:rPr>
          <w:sz w:val="24"/>
          <w:szCs w:val="24"/>
        </w:rPr>
        <w:t xml:space="preserve">The external variables, such as governance and chance, have contextually proved to have a significant impact on RRMC (Naqvi </w:t>
      </w:r>
      <w:r w:rsidRPr="001D771C">
        <w:rPr>
          <w:i/>
          <w:iCs/>
          <w:sz w:val="24"/>
          <w:szCs w:val="24"/>
        </w:rPr>
        <w:t xml:space="preserve">et al. </w:t>
      </w:r>
      <w:r w:rsidRPr="001D771C">
        <w:rPr>
          <w:sz w:val="24"/>
          <w:szCs w:val="24"/>
        </w:rPr>
        <w:t xml:space="preserve">2025). The Trump administration’s levied 10% tariff under Section 232 on UK vehicles import demonstrates the chance or political </w:t>
      </w:r>
      <w:r w:rsidRPr="001D771C">
        <w:rPr>
          <w:sz w:val="24"/>
          <w:szCs w:val="24"/>
        </w:rPr>
        <w:lastRenderedPageBreak/>
        <w:t>disruption for RRMC in the domestically manufactured competitors. Further, the 2022 Inflation Reduction Act (IRA) contextually strengthens the U.S electric vehicle sector through a $369 billion climate investment (Era-environmental, 2025). This strengthens the EV charging infrastructure, which reduces range anxiety for Spectre buyers.</w:t>
      </w:r>
    </w:p>
    <w:p w14:paraId="76D26BAA" w14:textId="77777777" w:rsidR="00873435" w:rsidRPr="001D771C" w:rsidRDefault="00EC3E47">
      <w:pPr>
        <w:spacing w:line="360" w:lineRule="auto"/>
        <w:jc w:val="center"/>
        <w:rPr>
          <w:sz w:val="24"/>
          <w:szCs w:val="24"/>
        </w:rPr>
      </w:pPr>
      <w:r w:rsidRPr="001D771C">
        <w:rPr>
          <w:noProof/>
          <w:sz w:val="24"/>
          <w:szCs w:val="24"/>
          <w:lang w:val="en-IN" w:eastAsia="en-IN"/>
        </w:rPr>
        <w:drawing>
          <wp:inline distT="114300" distB="114300" distL="114300" distR="114300" wp14:anchorId="67AC57F9" wp14:editId="229DC36D">
            <wp:extent cx="4077335" cy="4389120"/>
            <wp:effectExtent l="19050" t="19050" r="18415" b="11430"/>
            <wp:docPr id="1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8"/>
                    <a:srcRect/>
                    <a:stretch>
                      <a:fillRect/>
                    </a:stretch>
                  </pic:blipFill>
                  <pic:spPr>
                    <a:xfrm>
                      <a:off x="0" y="0"/>
                      <a:ext cx="4077705" cy="4389518"/>
                    </a:xfrm>
                    <a:prstGeom prst="rect">
                      <a:avLst/>
                    </a:prstGeom>
                    <a:ln>
                      <a:solidFill>
                        <a:schemeClr val="tx1"/>
                      </a:solidFill>
                    </a:ln>
                  </pic:spPr>
                </pic:pic>
              </a:graphicData>
            </a:graphic>
          </wp:inline>
        </w:drawing>
      </w:r>
    </w:p>
    <w:p w14:paraId="017955F8" w14:textId="20975ACA" w:rsidR="00873435" w:rsidRPr="001D771C" w:rsidRDefault="00EC3E47">
      <w:pPr>
        <w:spacing w:line="360" w:lineRule="auto"/>
        <w:jc w:val="center"/>
        <w:rPr>
          <w:b/>
          <w:bCs/>
          <w:sz w:val="24"/>
          <w:szCs w:val="24"/>
        </w:rPr>
      </w:pPr>
      <w:r w:rsidRPr="001D771C">
        <w:rPr>
          <w:b/>
          <w:bCs/>
          <w:sz w:val="24"/>
          <w:szCs w:val="24"/>
        </w:rPr>
        <w:t xml:space="preserve">Figure </w:t>
      </w:r>
      <w:r w:rsidR="00857CF4" w:rsidRPr="001D771C">
        <w:rPr>
          <w:b/>
          <w:bCs/>
          <w:sz w:val="24"/>
          <w:szCs w:val="24"/>
        </w:rPr>
        <w:t>10: IRA</w:t>
      </w:r>
      <w:r w:rsidRPr="001D771C">
        <w:rPr>
          <w:b/>
          <w:bCs/>
          <w:sz w:val="24"/>
          <w:szCs w:val="24"/>
        </w:rPr>
        <w:t xml:space="preserve"> act in the USA</w:t>
      </w:r>
    </w:p>
    <w:p w14:paraId="26E3AC4A" w14:textId="77777777" w:rsidR="00873435" w:rsidRPr="001D771C" w:rsidRDefault="00EC3E47">
      <w:pPr>
        <w:spacing w:line="360" w:lineRule="auto"/>
        <w:jc w:val="center"/>
        <w:rPr>
          <w:sz w:val="24"/>
          <w:szCs w:val="24"/>
        </w:rPr>
      </w:pPr>
      <w:r w:rsidRPr="001D771C">
        <w:rPr>
          <w:sz w:val="24"/>
          <w:szCs w:val="24"/>
        </w:rPr>
        <w:t>(Source: Era-environmental, 2025)</w:t>
      </w:r>
    </w:p>
    <w:p w14:paraId="07555845" w14:textId="77777777" w:rsidR="00873435" w:rsidRPr="001D771C" w:rsidRDefault="00873435">
      <w:pPr>
        <w:spacing w:line="360" w:lineRule="auto"/>
        <w:jc w:val="both"/>
        <w:rPr>
          <w:b/>
          <w:bCs/>
          <w:sz w:val="24"/>
          <w:szCs w:val="24"/>
        </w:rPr>
      </w:pPr>
    </w:p>
    <w:p w14:paraId="702815AF" w14:textId="77777777" w:rsidR="00873435" w:rsidRPr="001D771C" w:rsidRDefault="00873435">
      <w:pPr>
        <w:spacing w:line="360" w:lineRule="auto"/>
        <w:jc w:val="both"/>
        <w:rPr>
          <w:b/>
          <w:bCs/>
          <w:sz w:val="24"/>
          <w:szCs w:val="24"/>
        </w:rPr>
      </w:pPr>
    </w:p>
    <w:p w14:paraId="4CD4CF20" w14:textId="77777777" w:rsidR="00873435" w:rsidRPr="001D771C" w:rsidRDefault="00873435">
      <w:pPr>
        <w:spacing w:line="360" w:lineRule="auto"/>
        <w:jc w:val="both"/>
        <w:rPr>
          <w:b/>
          <w:bCs/>
          <w:sz w:val="24"/>
          <w:szCs w:val="24"/>
        </w:rPr>
      </w:pPr>
    </w:p>
    <w:p w14:paraId="1B1ADA1D" w14:textId="77777777" w:rsidR="00873435" w:rsidRPr="001D771C" w:rsidRDefault="00873435">
      <w:pPr>
        <w:spacing w:line="360" w:lineRule="auto"/>
        <w:jc w:val="both"/>
        <w:rPr>
          <w:b/>
          <w:bCs/>
          <w:sz w:val="24"/>
          <w:szCs w:val="24"/>
        </w:rPr>
      </w:pPr>
    </w:p>
    <w:p w14:paraId="702E5C0E" w14:textId="77777777" w:rsidR="00873435" w:rsidRPr="001D771C" w:rsidRDefault="00873435">
      <w:pPr>
        <w:spacing w:line="360" w:lineRule="auto"/>
        <w:jc w:val="both"/>
        <w:rPr>
          <w:b/>
          <w:bCs/>
          <w:sz w:val="24"/>
          <w:szCs w:val="24"/>
        </w:rPr>
      </w:pPr>
    </w:p>
    <w:p w14:paraId="3D8E76E7" w14:textId="77777777" w:rsidR="00873435" w:rsidRPr="001D771C" w:rsidRDefault="00873435">
      <w:pPr>
        <w:spacing w:line="360" w:lineRule="auto"/>
        <w:jc w:val="both"/>
        <w:rPr>
          <w:b/>
          <w:bCs/>
          <w:sz w:val="24"/>
          <w:szCs w:val="24"/>
        </w:rPr>
      </w:pPr>
    </w:p>
    <w:p w14:paraId="1D745276" w14:textId="77777777" w:rsidR="00873435" w:rsidRPr="001D771C" w:rsidRDefault="00873435">
      <w:pPr>
        <w:spacing w:line="360" w:lineRule="auto"/>
        <w:jc w:val="both"/>
        <w:rPr>
          <w:b/>
          <w:bCs/>
          <w:sz w:val="24"/>
          <w:szCs w:val="24"/>
        </w:rPr>
      </w:pPr>
    </w:p>
    <w:p w14:paraId="128C4AD8" w14:textId="77777777" w:rsidR="00873435" w:rsidRPr="001D771C" w:rsidRDefault="00873435">
      <w:pPr>
        <w:spacing w:line="360" w:lineRule="auto"/>
        <w:jc w:val="both"/>
        <w:rPr>
          <w:b/>
          <w:bCs/>
          <w:sz w:val="24"/>
          <w:szCs w:val="24"/>
        </w:rPr>
      </w:pPr>
    </w:p>
    <w:p w14:paraId="19D77EDE" w14:textId="77777777" w:rsidR="004745EF" w:rsidRDefault="00EC3E47">
      <w:pPr>
        <w:pStyle w:val="Heading2"/>
      </w:pPr>
      <w:bookmarkStart w:id="24" w:name="_3dzt9h54k7ij" w:colFirst="0" w:colLast="0"/>
      <w:bookmarkStart w:id="25" w:name="_Toc223813178"/>
      <w:bookmarkEnd w:id="24"/>
      <w:r w:rsidRPr="001D771C">
        <w:lastRenderedPageBreak/>
        <w:t>4. Critical Evaluation of Rolls-Royce Motor Cars' Operations in the USA</w:t>
      </w:r>
      <w:bookmarkEnd w:id="25"/>
    </w:p>
    <w:p w14:paraId="023AAF79" w14:textId="03DCB522" w:rsidR="00873435" w:rsidRPr="004745EF" w:rsidRDefault="004745EF" w:rsidP="004745EF">
      <w:pPr>
        <w:spacing w:line="360" w:lineRule="auto"/>
        <w:jc w:val="both"/>
        <w:rPr>
          <w:sz w:val="24"/>
        </w:rPr>
      </w:pPr>
      <w:r w:rsidRPr="004745EF">
        <w:rPr>
          <w:sz w:val="24"/>
        </w:rPr>
        <w:t>Identification of factors affecting market operation of RRMC in USA have been discussed in this section, which is supported by cost benefit analysis.</w:t>
      </w:r>
    </w:p>
    <w:p w14:paraId="206A5BD9" w14:textId="77777777" w:rsidR="00873435" w:rsidRPr="001D771C" w:rsidRDefault="00EC3E47">
      <w:pPr>
        <w:pStyle w:val="Heading3"/>
      </w:pPr>
      <w:bookmarkStart w:id="26" w:name="_42q60r3bs9np" w:colFirst="0" w:colLast="0"/>
      <w:bookmarkStart w:id="27" w:name="_Toc223813179"/>
      <w:bookmarkEnd w:id="26"/>
      <w:r w:rsidRPr="001D771C">
        <w:t>4.1 Overall Market Attractiveness: Benefits, Costs, and Risks</w:t>
      </w:r>
      <w:bookmarkEnd w:id="27"/>
      <w:r w:rsidRPr="001D771C">
        <w:t xml:space="preserve"> </w:t>
      </w:r>
    </w:p>
    <w:p w14:paraId="2B5251BA" w14:textId="77777777" w:rsidR="00873435" w:rsidRPr="001D771C" w:rsidRDefault="00EC3E47">
      <w:pPr>
        <w:spacing w:before="80" w:after="100" w:line="360" w:lineRule="auto"/>
        <w:jc w:val="both"/>
        <w:rPr>
          <w:b/>
          <w:bCs/>
          <w:sz w:val="24"/>
          <w:szCs w:val="24"/>
        </w:rPr>
      </w:pPr>
      <w:r w:rsidRPr="001D771C">
        <w:rPr>
          <w:b/>
          <w:bCs/>
          <w:sz w:val="24"/>
          <w:szCs w:val="24"/>
        </w:rPr>
        <w:t>Market Attractiveness Framework: Balance Benefits, Costs, and Risks</w:t>
      </w:r>
    </w:p>
    <w:p w14:paraId="10161867" w14:textId="77777777" w:rsidR="00873435" w:rsidRPr="001D771C" w:rsidRDefault="00EC3E47">
      <w:pPr>
        <w:spacing w:before="80" w:after="100" w:line="360" w:lineRule="auto"/>
        <w:jc w:val="both"/>
        <w:rPr>
          <w:b/>
          <w:bCs/>
          <w:sz w:val="24"/>
          <w:szCs w:val="24"/>
        </w:rPr>
      </w:pPr>
      <w:r w:rsidRPr="001D771C">
        <w:rPr>
          <w:b/>
          <w:bCs/>
          <w:sz w:val="24"/>
          <w:szCs w:val="24"/>
        </w:rPr>
        <w:t>Benefits</w:t>
      </w:r>
    </w:p>
    <w:p w14:paraId="3AB2D400" w14:textId="0183AA50" w:rsidR="00873435" w:rsidRPr="001D771C" w:rsidRDefault="00EC3E47">
      <w:pPr>
        <w:spacing w:before="80" w:after="100" w:line="360" w:lineRule="auto"/>
        <w:jc w:val="both"/>
        <w:rPr>
          <w:sz w:val="24"/>
          <w:szCs w:val="24"/>
        </w:rPr>
      </w:pPr>
      <w:r w:rsidRPr="001D771C">
        <w:rPr>
          <w:sz w:val="24"/>
          <w:szCs w:val="24"/>
        </w:rPr>
        <w:t xml:space="preserve">The United States demonstrates the key international market </w:t>
      </w:r>
      <w:r w:rsidR="00857CF4" w:rsidRPr="001D771C">
        <w:rPr>
          <w:sz w:val="24"/>
          <w:szCs w:val="24"/>
        </w:rPr>
        <w:t>for Rolls</w:t>
      </w:r>
      <w:r w:rsidRPr="001D771C">
        <w:rPr>
          <w:sz w:val="24"/>
          <w:szCs w:val="24"/>
        </w:rPr>
        <w:t>-Royce Motor Cars (RRMC) in terms of volume and revenue. According to BCG (20250, the US luxury and exotic car market is projected to grow from $110B.The U.S. is the largest market for Rolls-Royce, accounting for approximately 30 per cent of its sales. In FY2024, Rolls-Royce delivered 5,700 cars, which shows the short-term demand normalisation after the record sales in 2023 (Statista, 2025). This performance in the USA market reflects Rolls-Royce’s product-cycle effects instead of structural market presence.</w:t>
      </w:r>
    </w:p>
    <w:p w14:paraId="797BE0C2" w14:textId="77777777" w:rsidR="00873435" w:rsidRPr="001D771C" w:rsidRDefault="00EC3E47">
      <w:pPr>
        <w:spacing w:before="80" w:after="100" w:line="360" w:lineRule="auto"/>
        <w:jc w:val="center"/>
        <w:rPr>
          <w:sz w:val="24"/>
          <w:szCs w:val="24"/>
        </w:rPr>
      </w:pPr>
      <w:r w:rsidRPr="001D771C">
        <w:rPr>
          <w:noProof/>
          <w:sz w:val="24"/>
          <w:szCs w:val="24"/>
          <w:lang w:val="en-IN" w:eastAsia="en-IN"/>
        </w:rPr>
        <w:drawing>
          <wp:inline distT="114300" distB="114300" distL="114300" distR="114300" wp14:anchorId="7F1DAC78" wp14:editId="32244EF5">
            <wp:extent cx="5627936" cy="3177540"/>
            <wp:effectExtent l="19050" t="19050" r="11430" b="2286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659971" cy="3195627"/>
                    </a:xfrm>
                    <a:prstGeom prst="rect">
                      <a:avLst/>
                    </a:prstGeom>
                    <a:ln>
                      <a:solidFill>
                        <a:schemeClr val="tx1"/>
                      </a:solidFill>
                    </a:ln>
                  </pic:spPr>
                </pic:pic>
              </a:graphicData>
            </a:graphic>
          </wp:inline>
        </w:drawing>
      </w:r>
    </w:p>
    <w:p w14:paraId="206A6DBC" w14:textId="77777777" w:rsidR="00873435" w:rsidRPr="001D771C" w:rsidRDefault="00EC3E47">
      <w:pPr>
        <w:spacing w:before="80" w:after="100" w:line="360" w:lineRule="auto"/>
        <w:jc w:val="center"/>
        <w:rPr>
          <w:b/>
          <w:bCs/>
          <w:sz w:val="24"/>
          <w:szCs w:val="24"/>
        </w:rPr>
      </w:pPr>
      <w:r w:rsidRPr="001D771C">
        <w:rPr>
          <w:b/>
          <w:bCs/>
          <w:sz w:val="24"/>
          <w:szCs w:val="24"/>
        </w:rPr>
        <w:t>Figure 11: Rolls-Royce total deliveries of cars</w:t>
      </w:r>
    </w:p>
    <w:p w14:paraId="2E00977F" w14:textId="77777777" w:rsidR="00873435" w:rsidRPr="001D771C" w:rsidRDefault="00EC3E47">
      <w:pPr>
        <w:spacing w:before="80" w:after="100" w:line="360" w:lineRule="auto"/>
        <w:jc w:val="center"/>
        <w:rPr>
          <w:sz w:val="24"/>
          <w:szCs w:val="24"/>
        </w:rPr>
      </w:pPr>
      <w:r w:rsidRPr="001D771C">
        <w:rPr>
          <w:sz w:val="24"/>
          <w:szCs w:val="24"/>
        </w:rPr>
        <w:t>(Source: Statista, 2025)</w:t>
      </w:r>
    </w:p>
    <w:p w14:paraId="67C0A093" w14:textId="77777777" w:rsidR="00873435" w:rsidRPr="001D771C" w:rsidRDefault="00EC3E47">
      <w:pPr>
        <w:spacing w:before="80" w:after="100" w:line="360" w:lineRule="auto"/>
        <w:jc w:val="both"/>
        <w:rPr>
          <w:b/>
          <w:bCs/>
          <w:sz w:val="24"/>
          <w:szCs w:val="24"/>
        </w:rPr>
      </w:pPr>
      <w:r w:rsidRPr="001D771C">
        <w:rPr>
          <w:b/>
          <w:bCs/>
          <w:sz w:val="24"/>
          <w:szCs w:val="24"/>
        </w:rPr>
        <w:t>Costs</w:t>
      </w:r>
    </w:p>
    <w:p w14:paraId="63DD2581" w14:textId="55BEE796" w:rsidR="00873435" w:rsidRPr="001D771C" w:rsidRDefault="00EC3E47">
      <w:pPr>
        <w:spacing w:before="80" w:after="100" w:line="360" w:lineRule="auto"/>
        <w:jc w:val="both"/>
        <w:rPr>
          <w:sz w:val="24"/>
          <w:szCs w:val="24"/>
        </w:rPr>
      </w:pPr>
      <w:r w:rsidRPr="001D771C">
        <w:rPr>
          <w:sz w:val="24"/>
          <w:szCs w:val="24"/>
        </w:rPr>
        <w:lastRenderedPageBreak/>
        <w:t xml:space="preserve">The key structural cost challenge facing RRMC in the US market relates to the import tariff exposures (Zhang </w:t>
      </w:r>
      <w:r w:rsidRPr="001D771C">
        <w:rPr>
          <w:i/>
          <w:iCs/>
          <w:sz w:val="24"/>
          <w:szCs w:val="24"/>
        </w:rPr>
        <w:t>et al.</w:t>
      </w:r>
      <w:r w:rsidRPr="001D771C">
        <w:rPr>
          <w:sz w:val="24"/>
          <w:szCs w:val="24"/>
        </w:rPr>
        <w:t xml:space="preserve"> 2023). Rolls-Royce cars have been 100% UK-built at Goodwood since 2003, so all US deliveries are imports. These US deliveries face US tariffs reduced after the trade negotiations. This cost structure articulates the supply exclusivity and trade policy influence, reinforcing Rolls-Royce’s ultra-luxury positioning while exposing US sales. Rolls-Royce pricing thrust illustrates the extreme luxury segmentation (</w:t>
      </w:r>
      <w:proofErr w:type="spellStart"/>
      <w:r w:rsidRPr="001D771C">
        <w:rPr>
          <w:sz w:val="24"/>
          <w:szCs w:val="24"/>
        </w:rPr>
        <w:t>Thisismoney</w:t>
      </w:r>
      <w:proofErr w:type="spellEnd"/>
      <w:r w:rsidRPr="001D771C">
        <w:rPr>
          <w:sz w:val="24"/>
          <w:szCs w:val="24"/>
        </w:rPr>
        <w:t xml:space="preserve">, 2025). The Phantom starts at about £450,000, but </w:t>
      </w:r>
      <w:proofErr w:type="spellStart"/>
      <w:r w:rsidR="00C43127" w:rsidRPr="001D771C">
        <w:rPr>
          <w:sz w:val="24"/>
          <w:szCs w:val="24"/>
        </w:rPr>
        <w:t>Coachbuild</w:t>
      </w:r>
      <w:proofErr w:type="spellEnd"/>
      <w:r w:rsidR="00C43127" w:rsidRPr="001D771C">
        <w:rPr>
          <w:sz w:val="24"/>
          <w:szCs w:val="24"/>
        </w:rPr>
        <w:t xml:space="preserve"> </w:t>
      </w:r>
      <w:r w:rsidRPr="001D771C">
        <w:rPr>
          <w:sz w:val="24"/>
          <w:szCs w:val="24"/>
        </w:rPr>
        <w:t>aircraft can cost up to £20 million and take up to five years to build, and individual customisation frequently drives prices beyond £1 million. This demonstrates a low-volume, high-margin model.</w:t>
      </w:r>
    </w:p>
    <w:p w14:paraId="35F4BA9A" w14:textId="77777777" w:rsidR="00873435" w:rsidRPr="001D771C" w:rsidRDefault="00EC3E47">
      <w:pPr>
        <w:spacing w:before="80" w:after="100" w:line="360" w:lineRule="auto"/>
        <w:jc w:val="both"/>
        <w:rPr>
          <w:b/>
          <w:bCs/>
          <w:sz w:val="24"/>
          <w:szCs w:val="24"/>
        </w:rPr>
      </w:pPr>
      <w:r w:rsidRPr="001D771C">
        <w:rPr>
          <w:b/>
          <w:bCs/>
          <w:sz w:val="24"/>
          <w:szCs w:val="24"/>
        </w:rPr>
        <w:t>Risks</w:t>
      </w:r>
    </w:p>
    <w:p w14:paraId="08A77FA3" w14:textId="77777777" w:rsidR="00873435" w:rsidRPr="001D771C" w:rsidRDefault="00EC3E47">
      <w:pPr>
        <w:spacing w:before="80" w:after="100" w:line="360" w:lineRule="auto"/>
        <w:jc w:val="both"/>
        <w:rPr>
          <w:b/>
          <w:bCs/>
          <w:sz w:val="24"/>
          <w:szCs w:val="24"/>
        </w:rPr>
      </w:pPr>
      <w:r w:rsidRPr="001D771C">
        <w:rPr>
          <w:sz w:val="24"/>
          <w:szCs w:val="24"/>
        </w:rPr>
        <w:t>The key dominant risk includes the US trade policy environment. US tariffs could strategically impact Rolls-Royce's overall demand in its largest market, the USA (Lin, 2023). The levied tariff on imports of luxury cars could add $50,000–$100,000 to a $1M bespoke vehicle, with the raised final prices. Despite the growth in the bespoke orders and $370M investment in customisation, the increased prices could reduce the overall demand, considering the greater price elasticity.</w:t>
      </w:r>
    </w:p>
    <w:p w14:paraId="1CD853F4" w14:textId="77777777" w:rsidR="00873435" w:rsidRPr="001D771C" w:rsidRDefault="00EC3E47">
      <w:pPr>
        <w:pStyle w:val="Heading3"/>
      </w:pPr>
      <w:bookmarkStart w:id="28" w:name="_y8lw5sb1j72w" w:colFirst="0" w:colLast="0"/>
      <w:bookmarkStart w:id="29" w:name="_Toc223813180"/>
      <w:bookmarkEnd w:id="28"/>
      <w:r w:rsidRPr="001D771C">
        <w:t>4.2 Political Environment</w:t>
      </w:r>
      <w:bookmarkEnd w:id="29"/>
      <w:r w:rsidRPr="001D771C">
        <w:t xml:space="preserve"> </w:t>
      </w:r>
    </w:p>
    <w:p w14:paraId="321972E9" w14:textId="77777777" w:rsidR="00873435" w:rsidRPr="001D771C" w:rsidRDefault="00EC3E47">
      <w:pPr>
        <w:spacing w:line="360" w:lineRule="auto"/>
        <w:jc w:val="both"/>
        <w:rPr>
          <w:sz w:val="24"/>
          <w:szCs w:val="24"/>
        </w:rPr>
      </w:pPr>
      <w:r w:rsidRPr="001D771C">
        <w:rPr>
          <w:sz w:val="24"/>
          <w:szCs w:val="24"/>
        </w:rPr>
        <w:t xml:space="preserve">The political landscape of the United States constitutes the most consequential aspect for RRMC’s overall operational progress, with the encompassed trade policy volatility, regulatory compliance obligations and broader geopolitical stability. In the context of the immediate political risk, RRMC is facing the Trump administration’s sweeping and transformative trade policy restructuring. The significant imposed tariff of 25% on all automobile imports to the US is undertaken in targeting the non-USMCA manufacturers. Given that the U.S. imported 8.1 million vehicles worth $249.1B in 2024, tariffs may lower UK export demand and profit margins (Congress, 2025). British manufacturers such as Rolls-Royce, which operates 100% of its manufacturing in the United Kingdom, have all their exports to the USA subject to tariff imposition. </w:t>
      </w:r>
    </w:p>
    <w:p w14:paraId="155A2220" w14:textId="77777777" w:rsidR="00873435" w:rsidRPr="001D771C" w:rsidRDefault="00EC3E47">
      <w:pPr>
        <w:spacing w:line="360" w:lineRule="auto"/>
        <w:jc w:val="center"/>
        <w:rPr>
          <w:sz w:val="24"/>
          <w:szCs w:val="24"/>
        </w:rPr>
      </w:pPr>
      <w:r w:rsidRPr="001D771C">
        <w:rPr>
          <w:noProof/>
          <w:sz w:val="24"/>
          <w:szCs w:val="24"/>
          <w:lang w:val="en-IN" w:eastAsia="en-IN"/>
        </w:rPr>
        <w:lastRenderedPageBreak/>
        <w:drawing>
          <wp:inline distT="114300" distB="114300" distL="114300" distR="114300" wp14:anchorId="18CB80B9" wp14:editId="68E54266">
            <wp:extent cx="5298359" cy="4038600"/>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5319172" cy="4054465"/>
                    </a:xfrm>
                    <a:prstGeom prst="rect">
                      <a:avLst/>
                    </a:prstGeom>
                    <a:ln/>
                  </pic:spPr>
                </pic:pic>
              </a:graphicData>
            </a:graphic>
          </wp:inline>
        </w:drawing>
      </w:r>
    </w:p>
    <w:p w14:paraId="3DDBD20F" w14:textId="77777777" w:rsidR="00873435" w:rsidRPr="001D771C" w:rsidRDefault="00EC3E47">
      <w:pPr>
        <w:spacing w:line="360" w:lineRule="auto"/>
        <w:jc w:val="center"/>
        <w:rPr>
          <w:b/>
          <w:bCs/>
          <w:sz w:val="24"/>
          <w:szCs w:val="24"/>
        </w:rPr>
      </w:pPr>
      <w:r w:rsidRPr="001D771C">
        <w:rPr>
          <w:b/>
          <w:bCs/>
          <w:sz w:val="24"/>
          <w:szCs w:val="24"/>
        </w:rPr>
        <w:t>Figure 12: Imposed tariffs of the USA on imported cars</w:t>
      </w:r>
    </w:p>
    <w:p w14:paraId="35165846" w14:textId="77777777" w:rsidR="00873435" w:rsidRPr="001D771C" w:rsidRDefault="00EC3E47">
      <w:pPr>
        <w:spacing w:line="360" w:lineRule="auto"/>
        <w:jc w:val="center"/>
        <w:rPr>
          <w:sz w:val="24"/>
          <w:szCs w:val="24"/>
        </w:rPr>
      </w:pPr>
      <w:r w:rsidRPr="001D771C">
        <w:rPr>
          <w:sz w:val="24"/>
          <w:szCs w:val="24"/>
        </w:rPr>
        <w:t>(Source: Congress, 2025)</w:t>
      </w:r>
    </w:p>
    <w:p w14:paraId="35455291" w14:textId="77777777" w:rsidR="00873435" w:rsidRPr="001D771C" w:rsidRDefault="00EC3E47">
      <w:pPr>
        <w:spacing w:line="360" w:lineRule="auto"/>
        <w:jc w:val="both"/>
        <w:rPr>
          <w:sz w:val="24"/>
          <w:szCs w:val="24"/>
        </w:rPr>
      </w:pPr>
      <w:r w:rsidRPr="001D771C">
        <w:rPr>
          <w:sz w:val="24"/>
          <w:szCs w:val="24"/>
        </w:rPr>
        <w:t>RRMC must navigate through the complex dual-layer regulatory environment governed by the federal and state authorities. The Trump administration’s protective decision contextually benefits the domestic US manufacturers (</w:t>
      </w:r>
      <w:proofErr w:type="spellStart"/>
      <w:r w:rsidRPr="001D771C">
        <w:rPr>
          <w:sz w:val="24"/>
          <w:szCs w:val="24"/>
        </w:rPr>
        <w:t>Hartoyo</w:t>
      </w:r>
      <w:proofErr w:type="spellEnd"/>
      <w:r w:rsidRPr="001D771C">
        <w:rPr>
          <w:sz w:val="24"/>
          <w:szCs w:val="24"/>
        </w:rPr>
        <w:t xml:space="preserve"> </w:t>
      </w:r>
      <w:r w:rsidRPr="001D771C">
        <w:rPr>
          <w:i/>
          <w:iCs/>
          <w:sz w:val="24"/>
          <w:szCs w:val="24"/>
        </w:rPr>
        <w:t>et al.</w:t>
      </w:r>
      <w:r w:rsidRPr="001D771C">
        <w:rPr>
          <w:sz w:val="24"/>
          <w:szCs w:val="24"/>
        </w:rPr>
        <w:t xml:space="preserve"> 2023).  The USMCA vehicle regulations, which call for 75% North American content and 40–45% regional components for tariff-free trade, are being reviewed by the U.S. ITC. To safeguard local supply chains, automakers such as Ford, GM, Toyota, Tesla, and Stellantis encourage extension (Reuters, 2025). This policy thus forces RRMC's pricing upwards, making it unfair competition.</w:t>
      </w:r>
    </w:p>
    <w:p w14:paraId="3F7D560C" w14:textId="77777777" w:rsidR="00873435" w:rsidRPr="001D771C" w:rsidRDefault="00EC3E47">
      <w:pPr>
        <w:spacing w:line="360" w:lineRule="auto"/>
        <w:jc w:val="both"/>
        <w:rPr>
          <w:sz w:val="24"/>
          <w:szCs w:val="24"/>
        </w:rPr>
      </w:pPr>
      <w:r w:rsidRPr="001D771C">
        <w:rPr>
          <w:sz w:val="24"/>
          <w:szCs w:val="24"/>
        </w:rPr>
        <w:t xml:space="preserve">The study report of </w:t>
      </w:r>
      <w:proofErr w:type="spellStart"/>
      <w:r w:rsidRPr="001D771C">
        <w:rPr>
          <w:sz w:val="24"/>
          <w:szCs w:val="24"/>
        </w:rPr>
        <w:t>Visualcapitalist</w:t>
      </w:r>
      <w:proofErr w:type="spellEnd"/>
      <w:r w:rsidRPr="001D771C">
        <w:rPr>
          <w:sz w:val="24"/>
          <w:szCs w:val="24"/>
        </w:rPr>
        <w:t xml:space="preserve"> (2025) further articulates the higher exposure to U.S auto tariffs on BMW, the parent company of Rolls-Royce. The care company faces an estimated 19% of price impact on its vehicles, placing it more vulnerable amongst the global brands. This reflects BMW’s reliance on the imported models in comparison to </w:t>
      </w:r>
      <w:r w:rsidRPr="001D771C">
        <w:rPr>
          <w:sz w:val="24"/>
          <w:szCs w:val="24"/>
        </w:rPr>
        <w:lastRenderedPageBreak/>
        <w:t>organisations such as Tesla or Jeep, which have strong U.S.-based production facilities (</w:t>
      </w:r>
      <w:proofErr w:type="spellStart"/>
      <w:r w:rsidRPr="001D771C">
        <w:rPr>
          <w:sz w:val="24"/>
          <w:szCs w:val="24"/>
        </w:rPr>
        <w:t>Visualcapitalist</w:t>
      </w:r>
      <w:proofErr w:type="spellEnd"/>
      <w:r w:rsidRPr="001D771C">
        <w:rPr>
          <w:sz w:val="24"/>
          <w:szCs w:val="24"/>
        </w:rPr>
        <w:t xml:space="preserve">, 2025). </w:t>
      </w:r>
    </w:p>
    <w:p w14:paraId="465AEE3D" w14:textId="77777777" w:rsidR="00873435" w:rsidRPr="001D771C" w:rsidRDefault="00EC3E47">
      <w:pPr>
        <w:spacing w:line="360" w:lineRule="auto"/>
        <w:jc w:val="center"/>
        <w:rPr>
          <w:sz w:val="24"/>
          <w:szCs w:val="24"/>
        </w:rPr>
      </w:pPr>
      <w:r w:rsidRPr="001D771C">
        <w:rPr>
          <w:noProof/>
          <w:sz w:val="24"/>
          <w:szCs w:val="24"/>
          <w:lang w:val="en-IN" w:eastAsia="en-IN"/>
        </w:rPr>
        <w:drawing>
          <wp:inline distT="114300" distB="114300" distL="114300" distR="114300" wp14:anchorId="31983F8B" wp14:editId="026F9258">
            <wp:extent cx="4314825" cy="4782195"/>
            <wp:effectExtent l="19050" t="19050" r="9525" b="18415"/>
            <wp:docPr id="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4314825" cy="4782195"/>
                    </a:xfrm>
                    <a:prstGeom prst="rect">
                      <a:avLst/>
                    </a:prstGeom>
                    <a:ln>
                      <a:solidFill>
                        <a:schemeClr val="tx1"/>
                      </a:solidFill>
                    </a:ln>
                  </pic:spPr>
                </pic:pic>
              </a:graphicData>
            </a:graphic>
          </wp:inline>
        </w:drawing>
      </w:r>
    </w:p>
    <w:p w14:paraId="297278DF" w14:textId="77777777" w:rsidR="00873435" w:rsidRPr="001D771C" w:rsidRDefault="00EC3E47">
      <w:pPr>
        <w:spacing w:line="360" w:lineRule="auto"/>
        <w:jc w:val="center"/>
        <w:rPr>
          <w:b/>
          <w:bCs/>
          <w:sz w:val="24"/>
          <w:szCs w:val="24"/>
        </w:rPr>
      </w:pPr>
      <w:r w:rsidRPr="001D771C">
        <w:rPr>
          <w:b/>
          <w:bCs/>
          <w:sz w:val="24"/>
          <w:szCs w:val="24"/>
        </w:rPr>
        <w:t>Figure 13: Vulnerability of price for BMW</w:t>
      </w:r>
    </w:p>
    <w:p w14:paraId="2793CD44" w14:textId="53F8C207" w:rsidR="00873435" w:rsidRPr="001D771C" w:rsidRDefault="00EC3E47">
      <w:pPr>
        <w:spacing w:line="360" w:lineRule="auto"/>
        <w:jc w:val="center"/>
        <w:rPr>
          <w:b/>
          <w:bCs/>
          <w:sz w:val="24"/>
          <w:szCs w:val="24"/>
        </w:rPr>
      </w:pPr>
      <w:r w:rsidRPr="001D771C">
        <w:rPr>
          <w:sz w:val="24"/>
          <w:szCs w:val="24"/>
        </w:rPr>
        <w:t>(Source:</w:t>
      </w:r>
      <w:r w:rsidR="00B45D11">
        <w:rPr>
          <w:sz w:val="24"/>
          <w:szCs w:val="24"/>
        </w:rPr>
        <w:t xml:space="preserve"> </w:t>
      </w:r>
      <w:proofErr w:type="spellStart"/>
      <w:r w:rsidRPr="001D771C">
        <w:rPr>
          <w:sz w:val="24"/>
          <w:szCs w:val="24"/>
        </w:rPr>
        <w:t>Visualcapitalist</w:t>
      </w:r>
      <w:proofErr w:type="spellEnd"/>
      <w:r w:rsidRPr="001D771C">
        <w:rPr>
          <w:sz w:val="24"/>
          <w:szCs w:val="24"/>
        </w:rPr>
        <w:t xml:space="preserve">, </w:t>
      </w:r>
      <w:r w:rsidR="006763B8" w:rsidRPr="001D771C">
        <w:rPr>
          <w:sz w:val="24"/>
          <w:szCs w:val="24"/>
        </w:rPr>
        <w:t>2025)</w:t>
      </w:r>
    </w:p>
    <w:p w14:paraId="6C3683C4" w14:textId="77777777" w:rsidR="00873435" w:rsidRPr="001D771C" w:rsidRDefault="00EC3E47">
      <w:pPr>
        <w:pStyle w:val="Heading3"/>
      </w:pPr>
      <w:bookmarkStart w:id="30" w:name="_nsbwbldrfx92" w:colFirst="0" w:colLast="0"/>
      <w:bookmarkStart w:id="31" w:name="_Toc223813181"/>
      <w:bookmarkEnd w:id="30"/>
      <w:r w:rsidRPr="001D771C">
        <w:t>4.3 Economic Environment</w:t>
      </w:r>
      <w:bookmarkEnd w:id="31"/>
    </w:p>
    <w:p w14:paraId="0269DCC9" w14:textId="77777777" w:rsidR="00873435" w:rsidRPr="001D771C" w:rsidRDefault="00EC3E47">
      <w:pPr>
        <w:spacing w:line="360" w:lineRule="auto"/>
        <w:jc w:val="both"/>
        <w:rPr>
          <w:b/>
          <w:bCs/>
          <w:sz w:val="24"/>
          <w:szCs w:val="24"/>
        </w:rPr>
      </w:pPr>
      <w:r w:rsidRPr="001D771C">
        <w:rPr>
          <w:sz w:val="24"/>
          <w:szCs w:val="24"/>
        </w:rPr>
        <w:t xml:space="preserve">The most contextual decisive economic factor for RMMC in the USA market includes the concentration and growth of the ultra-high-net-worth individual wealth. According to the report of Capgemini (2025), the U.S wealth effect in 2024 significantly boosted the luxury demand. Strong markets with High-Net-Worth Individual (HNWI) wealth grew 9.1% and population 7.6%, the fastest globally. Wealth concentration is further intensified as Ultra-HNWIs have seen the growth of 6.3% in wealth and 6.2% of the population, though only </w:t>
      </w:r>
      <w:r w:rsidRPr="001D771C">
        <w:rPr>
          <w:sz w:val="24"/>
          <w:szCs w:val="24"/>
        </w:rPr>
        <w:lastRenderedPageBreak/>
        <w:t xml:space="preserve">HNWIs holding 34% of the total wealth (Capgemini, 2025). This reflects on the higher budget for luxury goods with the rising RRMC’s US demand cycle. </w:t>
      </w:r>
    </w:p>
    <w:p w14:paraId="3247B1C2" w14:textId="77777777" w:rsidR="00873435" w:rsidRPr="001D771C" w:rsidRDefault="00EC3E47">
      <w:pPr>
        <w:spacing w:line="360" w:lineRule="auto"/>
        <w:jc w:val="center"/>
        <w:rPr>
          <w:b/>
          <w:bCs/>
          <w:sz w:val="24"/>
          <w:szCs w:val="24"/>
        </w:rPr>
      </w:pPr>
      <w:r w:rsidRPr="001D771C">
        <w:rPr>
          <w:b/>
          <w:bCs/>
          <w:noProof/>
          <w:sz w:val="24"/>
          <w:szCs w:val="24"/>
          <w:lang w:val="en-IN" w:eastAsia="en-IN"/>
        </w:rPr>
        <w:drawing>
          <wp:inline distT="114300" distB="114300" distL="114300" distR="114300" wp14:anchorId="4E44C144" wp14:editId="7FF752F7">
            <wp:extent cx="5943600" cy="3048000"/>
            <wp:effectExtent l="19050" t="19050" r="19050" b="1905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5943600" cy="3048000"/>
                    </a:xfrm>
                    <a:prstGeom prst="rect">
                      <a:avLst/>
                    </a:prstGeom>
                    <a:ln>
                      <a:solidFill>
                        <a:schemeClr val="tx1"/>
                      </a:solidFill>
                    </a:ln>
                  </pic:spPr>
                </pic:pic>
              </a:graphicData>
            </a:graphic>
          </wp:inline>
        </w:drawing>
      </w:r>
    </w:p>
    <w:p w14:paraId="037B35CD" w14:textId="77777777" w:rsidR="00873435" w:rsidRPr="001D771C" w:rsidRDefault="00EC3E47">
      <w:pPr>
        <w:spacing w:line="360" w:lineRule="auto"/>
        <w:jc w:val="center"/>
        <w:rPr>
          <w:b/>
          <w:bCs/>
          <w:sz w:val="24"/>
          <w:szCs w:val="24"/>
        </w:rPr>
      </w:pPr>
      <w:r w:rsidRPr="001D771C">
        <w:rPr>
          <w:b/>
          <w:bCs/>
          <w:sz w:val="24"/>
          <w:szCs w:val="24"/>
        </w:rPr>
        <w:t>Figure 14: HNWI wealth growth</w:t>
      </w:r>
    </w:p>
    <w:p w14:paraId="28CBA72E" w14:textId="77777777" w:rsidR="00873435" w:rsidRPr="001D771C" w:rsidRDefault="00EC3E47">
      <w:pPr>
        <w:spacing w:line="360" w:lineRule="auto"/>
        <w:jc w:val="center"/>
        <w:rPr>
          <w:sz w:val="24"/>
          <w:szCs w:val="24"/>
        </w:rPr>
      </w:pPr>
      <w:r w:rsidRPr="001D771C">
        <w:rPr>
          <w:sz w:val="24"/>
          <w:szCs w:val="24"/>
        </w:rPr>
        <w:t>(Source: Capgemini, 2025)</w:t>
      </w:r>
    </w:p>
    <w:p w14:paraId="27D961E9" w14:textId="6AB25B77" w:rsidR="00873435" w:rsidRPr="001D771C" w:rsidRDefault="00EC3E47">
      <w:pPr>
        <w:spacing w:line="360" w:lineRule="auto"/>
        <w:jc w:val="both"/>
        <w:rPr>
          <w:b/>
          <w:bCs/>
          <w:sz w:val="24"/>
          <w:szCs w:val="24"/>
        </w:rPr>
      </w:pPr>
      <w:r w:rsidRPr="001D771C">
        <w:rPr>
          <w:sz w:val="24"/>
          <w:szCs w:val="24"/>
        </w:rPr>
        <w:t xml:space="preserve">Another contextual economic fact for RRMC in the US operations includes its foreign exchange exposure. As RRMC vehicles are manufactured within the </w:t>
      </w:r>
      <w:r w:rsidR="004618D7" w:rsidRPr="001D771C">
        <w:rPr>
          <w:sz w:val="24"/>
          <w:szCs w:val="24"/>
        </w:rPr>
        <w:t>UK and</w:t>
      </w:r>
      <w:r w:rsidRPr="001D771C">
        <w:rPr>
          <w:sz w:val="24"/>
          <w:szCs w:val="24"/>
        </w:rPr>
        <w:t xml:space="preserve"> sold in the USD in the USA, the brand is exposed to fluctuations in the exchange rate. According to the report of </w:t>
      </w:r>
      <w:proofErr w:type="spellStart"/>
      <w:r w:rsidRPr="001D771C">
        <w:rPr>
          <w:sz w:val="24"/>
          <w:szCs w:val="24"/>
        </w:rPr>
        <w:t>Tradingview</w:t>
      </w:r>
      <w:proofErr w:type="spellEnd"/>
      <w:r w:rsidRPr="001D771C">
        <w:rPr>
          <w:sz w:val="24"/>
          <w:szCs w:val="24"/>
        </w:rPr>
        <w:t xml:space="preserve"> (2025), the GBP-USD shows the short-term depreciation but the modest long-term recovery. The rate is about $1.336, falling 0.22% daily, 1.15% weekly, and 2.68% monthly, indicating recent dollar strength (</w:t>
      </w:r>
      <w:proofErr w:type="spellStart"/>
      <w:r w:rsidRPr="001D771C">
        <w:rPr>
          <w:sz w:val="24"/>
          <w:szCs w:val="24"/>
        </w:rPr>
        <w:t>Tradingview</w:t>
      </w:r>
      <w:proofErr w:type="spellEnd"/>
      <w:r w:rsidRPr="001D771C">
        <w:rPr>
          <w:sz w:val="24"/>
          <w:szCs w:val="24"/>
        </w:rPr>
        <w:t>, 2025). But in the longer period, the pound is reflected in structural volatility.</w:t>
      </w:r>
    </w:p>
    <w:p w14:paraId="598DE516" w14:textId="77777777" w:rsidR="00873435" w:rsidRPr="001D771C" w:rsidRDefault="00873435">
      <w:pPr>
        <w:spacing w:line="360" w:lineRule="auto"/>
        <w:jc w:val="both"/>
        <w:rPr>
          <w:b/>
          <w:bCs/>
          <w:sz w:val="24"/>
          <w:szCs w:val="24"/>
        </w:rPr>
      </w:pPr>
    </w:p>
    <w:p w14:paraId="339A54BC" w14:textId="77777777" w:rsidR="00873435" w:rsidRPr="001D771C" w:rsidRDefault="00873435">
      <w:pPr>
        <w:spacing w:line="360" w:lineRule="auto"/>
        <w:jc w:val="both"/>
        <w:rPr>
          <w:b/>
          <w:bCs/>
          <w:sz w:val="24"/>
          <w:szCs w:val="24"/>
        </w:rPr>
      </w:pPr>
    </w:p>
    <w:p w14:paraId="42B17EAC" w14:textId="77777777" w:rsidR="00873435" w:rsidRPr="001D771C" w:rsidRDefault="00EC3E47">
      <w:pPr>
        <w:spacing w:line="360" w:lineRule="auto"/>
        <w:jc w:val="center"/>
        <w:rPr>
          <w:b/>
          <w:bCs/>
          <w:sz w:val="24"/>
          <w:szCs w:val="24"/>
        </w:rPr>
      </w:pPr>
      <w:r w:rsidRPr="001D771C">
        <w:rPr>
          <w:b/>
          <w:bCs/>
          <w:noProof/>
          <w:sz w:val="24"/>
          <w:szCs w:val="24"/>
          <w:lang w:val="en-IN" w:eastAsia="en-IN"/>
        </w:rPr>
        <w:lastRenderedPageBreak/>
        <w:drawing>
          <wp:inline distT="114300" distB="114300" distL="114300" distR="114300" wp14:anchorId="160CD34C" wp14:editId="29164DA9">
            <wp:extent cx="5943600" cy="2044700"/>
            <wp:effectExtent l="19050" t="19050" r="19050" b="1270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3"/>
                    <a:srcRect/>
                    <a:stretch>
                      <a:fillRect/>
                    </a:stretch>
                  </pic:blipFill>
                  <pic:spPr>
                    <a:xfrm>
                      <a:off x="0" y="0"/>
                      <a:ext cx="5943600" cy="2044700"/>
                    </a:xfrm>
                    <a:prstGeom prst="rect">
                      <a:avLst/>
                    </a:prstGeom>
                    <a:ln>
                      <a:solidFill>
                        <a:schemeClr val="tx1"/>
                      </a:solidFill>
                    </a:ln>
                  </pic:spPr>
                </pic:pic>
              </a:graphicData>
            </a:graphic>
          </wp:inline>
        </w:drawing>
      </w:r>
    </w:p>
    <w:p w14:paraId="2E55662D" w14:textId="77777777" w:rsidR="00873435" w:rsidRPr="001D771C" w:rsidRDefault="00EC3E47">
      <w:pPr>
        <w:spacing w:line="360" w:lineRule="auto"/>
        <w:jc w:val="center"/>
        <w:rPr>
          <w:b/>
          <w:bCs/>
          <w:sz w:val="24"/>
          <w:szCs w:val="24"/>
        </w:rPr>
      </w:pPr>
      <w:r w:rsidRPr="001D771C">
        <w:rPr>
          <w:b/>
          <w:bCs/>
          <w:sz w:val="24"/>
          <w:szCs w:val="24"/>
        </w:rPr>
        <w:t>Figure 15: GBP and Dollar fluctuations</w:t>
      </w:r>
    </w:p>
    <w:p w14:paraId="1D3D9016" w14:textId="77777777" w:rsidR="00873435" w:rsidRPr="001D771C" w:rsidRDefault="00EC3E47">
      <w:pPr>
        <w:spacing w:line="360" w:lineRule="auto"/>
        <w:jc w:val="center"/>
        <w:rPr>
          <w:sz w:val="24"/>
          <w:szCs w:val="24"/>
        </w:rPr>
      </w:pPr>
      <w:r w:rsidRPr="001D771C">
        <w:rPr>
          <w:sz w:val="24"/>
          <w:szCs w:val="24"/>
        </w:rPr>
        <w:t xml:space="preserve">(Source: </w:t>
      </w:r>
      <w:proofErr w:type="spellStart"/>
      <w:r w:rsidRPr="001D771C">
        <w:rPr>
          <w:sz w:val="24"/>
          <w:szCs w:val="24"/>
        </w:rPr>
        <w:t>Tradingview</w:t>
      </w:r>
      <w:proofErr w:type="spellEnd"/>
      <w:r w:rsidRPr="001D771C">
        <w:rPr>
          <w:sz w:val="24"/>
          <w:szCs w:val="24"/>
        </w:rPr>
        <w:t>, 2025)</w:t>
      </w:r>
    </w:p>
    <w:p w14:paraId="5DCD5742" w14:textId="1F373D9F" w:rsidR="00873435" w:rsidRPr="001D771C" w:rsidRDefault="00EC3E47">
      <w:pPr>
        <w:spacing w:line="360" w:lineRule="auto"/>
        <w:jc w:val="both"/>
        <w:rPr>
          <w:sz w:val="24"/>
          <w:szCs w:val="24"/>
        </w:rPr>
      </w:pPr>
      <w:r w:rsidRPr="001D771C">
        <w:rPr>
          <w:sz w:val="24"/>
          <w:szCs w:val="24"/>
        </w:rPr>
        <w:t xml:space="preserve">The wider macro-economic factors, such as inflation and unemployment, have a negligible direct impact on RRMC’s UHNWI clientele. The Misery Index of the USA, with the added inflation and unemployment rates, articulates the key economic hardship. The Misery Index score of 6.69%, with the inflation of 2.39% plus unemployment of 4.30%, defines the rising cost (Inflation data, 2025). For RRMC, this </w:t>
      </w:r>
      <w:r w:rsidR="00770251" w:rsidRPr="001D771C">
        <w:rPr>
          <w:sz w:val="24"/>
          <w:szCs w:val="24"/>
        </w:rPr>
        <w:t>high-income</w:t>
      </w:r>
      <w:r w:rsidRPr="001D771C">
        <w:rPr>
          <w:sz w:val="24"/>
          <w:szCs w:val="24"/>
        </w:rPr>
        <w:t xml:space="preserve"> inequality is commercially proven to be advantageous, but it proves to have a negative impact on societal aspects. </w:t>
      </w:r>
    </w:p>
    <w:p w14:paraId="299972D1" w14:textId="77777777" w:rsidR="00873435" w:rsidRPr="001D771C" w:rsidRDefault="00EC3E47">
      <w:pPr>
        <w:spacing w:line="360" w:lineRule="auto"/>
        <w:jc w:val="center"/>
        <w:rPr>
          <w:sz w:val="24"/>
          <w:szCs w:val="24"/>
        </w:rPr>
      </w:pPr>
      <w:r w:rsidRPr="001D771C">
        <w:rPr>
          <w:noProof/>
          <w:sz w:val="24"/>
          <w:szCs w:val="24"/>
          <w:lang w:val="en-IN" w:eastAsia="en-IN"/>
        </w:rPr>
        <w:drawing>
          <wp:inline distT="114300" distB="114300" distL="114300" distR="114300" wp14:anchorId="3C12F828" wp14:editId="2908517F">
            <wp:extent cx="3995345" cy="2903220"/>
            <wp:effectExtent l="19050" t="19050" r="24765" b="1143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4002296" cy="2908271"/>
                    </a:xfrm>
                    <a:prstGeom prst="rect">
                      <a:avLst/>
                    </a:prstGeom>
                    <a:ln>
                      <a:solidFill>
                        <a:schemeClr val="tx1"/>
                      </a:solidFill>
                    </a:ln>
                  </pic:spPr>
                </pic:pic>
              </a:graphicData>
            </a:graphic>
          </wp:inline>
        </w:drawing>
      </w:r>
    </w:p>
    <w:p w14:paraId="7ED68EB8" w14:textId="77777777" w:rsidR="00873435" w:rsidRPr="001D771C" w:rsidRDefault="00EC3E47">
      <w:pPr>
        <w:spacing w:line="360" w:lineRule="auto"/>
        <w:jc w:val="center"/>
        <w:rPr>
          <w:b/>
          <w:bCs/>
          <w:sz w:val="24"/>
          <w:szCs w:val="24"/>
        </w:rPr>
      </w:pPr>
      <w:r w:rsidRPr="001D771C">
        <w:rPr>
          <w:b/>
          <w:bCs/>
          <w:sz w:val="24"/>
          <w:szCs w:val="24"/>
        </w:rPr>
        <w:t>Figure 16: U.S Misery Index</w:t>
      </w:r>
    </w:p>
    <w:p w14:paraId="082E1E09" w14:textId="58D54225" w:rsidR="00873435" w:rsidRPr="001D771C" w:rsidRDefault="00EC3E47">
      <w:pPr>
        <w:spacing w:line="360" w:lineRule="auto"/>
        <w:jc w:val="center"/>
        <w:rPr>
          <w:b/>
          <w:bCs/>
          <w:sz w:val="24"/>
          <w:szCs w:val="24"/>
        </w:rPr>
      </w:pPr>
      <w:r w:rsidRPr="001D771C">
        <w:rPr>
          <w:sz w:val="24"/>
          <w:szCs w:val="24"/>
        </w:rPr>
        <w:t xml:space="preserve">(Source: </w:t>
      </w:r>
      <w:proofErr w:type="spellStart"/>
      <w:r w:rsidRPr="001D771C">
        <w:rPr>
          <w:sz w:val="24"/>
          <w:szCs w:val="24"/>
        </w:rPr>
        <w:t>Inflationdata</w:t>
      </w:r>
      <w:proofErr w:type="spellEnd"/>
      <w:r w:rsidRPr="001D771C">
        <w:rPr>
          <w:sz w:val="24"/>
          <w:szCs w:val="24"/>
        </w:rPr>
        <w:t xml:space="preserve">, </w:t>
      </w:r>
      <w:r w:rsidR="00B33EB9" w:rsidRPr="001D771C">
        <w:rPr>
          <w:sz w:val="24"/>
          <w:szCs w:val="24"/>
        </w:rPr>
        <w:t>2025)</w:t>
      </w:r>
    </w:p>
    <w:p w14:paraId="6C42F60A" w14:textId="77777777" w:rsidR="00873435" w:rsidRPr="001D771C" w:rsidRDefault="00EC3E47">
      <w:pPr>
        <w:pStyle w:val="Heading3"/>
      </w:pPr>
      <w:bookmarkStart w:id="32" w:name="_mbdny6z9027a" w:colFirst="0" w:colLast="0"/>
      <w:bookmarkStart w:id="33" w:name="_Toc223813182"/>
      <w:bookmarkEnd w:id="32"/>
      <w:r w:rsidRPr="001D771C">
        <w:lastRenderedPageBreak/>
        <w:t>4.4 Legal Environment</w:t>
      </w:r>
      <w:bookmarkEnd w:id="33"/>
    </w:p>
    <w:p w14:paraId="5FE5D55E" w14:textId="77777777" w:rsidR="00873435" w:rsidRPr="001D771C" w:rsidRDefault="00EC3E47">
      <w:pPr>
        <w:spacing w:line="360" w:lineRule="auto"/>
        <w:jc w:val="both"/>
        <w:rPr>
          <w:b/>
          <w:bCs/>
          <w:sz w:val="24"/>
          <w:szCs w:val="24"/>
        </w:rPr>
      </w:pPr>
      <w:r w:rsidRPr="001D771C">
        <w:rPr>
          <w:sz w:val="24"/>
          <w:szCs w:val="24"/>
        </w:rPr>
        <w:t xml:space="preserve">The United States is consistently ranked as the most business-friendly regulatory environment. The World Bank B-READY (2025) shows that the United States, with the regulation, supports business competitiveness (World Bank, 2025). The U.S scores 78.67/100 in terms of Regulatory Framework above the 66.32 global average, placing the organization at the top quartile. These stronger sector-wise scores and an efficient business environment offer tangible commercial benefits in terms of dealership partnership, allowing the flexible staffing of specialist bespoke. </w:t>
      </w:r>
    </w:p>
    <w:p w14:paraId="0F375B2E" w14:textId="77777777" w:rsidR="00873435" w:rsidRPr="001D771C" w:rsidRDefault="00EC3E47">
      <w:pPr>
        <w:spacing w:line="360" w:lineRule="auto"/>
        <w:jc w:val="center"/>
        <w:rPr>
          <w:b/>
          <w:bCs/>
          <w:sz w:val="24"/>
          <w:szCs w:val="24"/>
        </w:rPr>
      </w:pPr>
      <w:r w:rsidRPr="001D771C">
        <w:rPr>
          <w:b/>
          <w:bCs/>
          <w:noProof/>
          <w:sz w:val="24"/>
          <w:szCs w:val="24"/>
          <w:lang w:val="en-IN" w:eastAsia="en-IN"/>
        </w:rPr>
        <w:drawing>
          <wp:inline distT="114300" distB="114300" distL="114300" distR="114300" wp14:anchorId="6DB60413" wp14:editId="5665080F">
            <wp:extent cx="5652541" cy="3505200"/>
            <wp:effectExtent l="19050" t="19050" r="24765" b="1905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5"/>
                    <a:srcRect/>
                    <a:stretch>
                      <a:fillRect/>
                    </a:stretch>
                  </pic:blipFill>
                  <pic:spPr>
                    <a:xfrm>
                      <a:off x="0" y="0"/>
                      <a:ext cx="5666969" cy="3514147"/>
                    </a:xfrm>
                    <a:prstGeom prst="rect">
                      <a:avLst/>
                    </a:prstGeom>
                    <a:ln>
                      <a:solidFill>
                        <a:schemeClr val="tx1"/>
                      </a:solidFill>
                    </a:ln>
                  </pic:spPr>
                </pic:pic>
              </a:graphicData>
            </a:graphic>
          </wp:inline>
        </w:drawing>
      </w:r>
    </w:p>
    <w:p w14:paraId="59B1B9FE" w14:textId="77777777" w:rsidR="00873435" w:rsidRPr="001D771C" w:rsidRDefault="00EC3E47">
      <w:pPr>
        <w:spacing w:line="360" w:lineRule="auto"/>
        <w:jc w:val="center"/>
        <w:rPr>
          <w:b/>
          <w:bCs/>
          <w:sz w:val="24"/>
          <w:szCs w:val="24"/>
        </w:rPr>
      </w:pPr>
      <w:r w:rsidRPr="001D771C">
        <w:rPr>
          <w:b/>
          <w:bCs/>
          <w:sz w:val="24"/>
          <w:szCs w:val="24"/>
        </w:rPr>
        <w:t>Figure 17: USA business readiness</w:t>
      </w:r>
    </w:p>
    <w:p w14:paraId="12392DA7" w14:textId="20A42800" w:rsidR="00873435" w:rsidRPr="001D771C" w:rsidRDefault="00EC3E47">
      <w:pPr>
        <w:spacing w:line="360" w:lineRule="auto"/>
        <w:jc w:val="center"/>
        <w:rPr>
          <w:b/>
          <w:bCs/>
          <w:sz w:val="24"/>
          <w:szCs w:val="24"/>
        </w:rPr>
      </w:pPr>
      <w:r w:rsidRPr="001D771C">
        <w:rPr>
          <w:sz w:val="24"/>
          <w:szCs w:val="24"/>
        </w:rPr>
        <w:t xml:space="preserve">(Source: World Bank, </w:t>
      </w:r>
      <w:r w:rsidR="00B2180B" w:rsidRPr="001D771C">
        <w:rPr>
          <w:sz w:val="24"/>
          <w:szCs w:val="24"/>
        </w:rPr>
        <w:t>2025)</w:t>
      </w:r>
    </w:p>
    <w:p w14:paraId="3699141E" w14:textId="77777777" w:rsidR="00873435" w:rsidRPr="001D771C" w:rsidRDefault="00EC3E47">
      <w:pPr>
        <w:spacing w:line="360" w:lineRule="auto"/>
        <w:jc w:val="both"/>
        <w:rPr>
          <w:sz w:val="24"/>
          <w:szCs w:val="24"/>
        </w:rPr>
      </w:pPr>
      <w:r w:rsidRPr="001D771C">
        <w:rPr>
          <w:sz w:val="24"/>
          <w:szCs w:val="24"/>
        </w:rPr>
        <w:t xml:space="preserve">The United States operates in the most plaintiff-friendly product liability legal environment. All vehicles sold in the US market must comply with the Federal Motor Vehicle Safety Standards (FMVSS), which are monitored by the NHTSA. For RRMC, as the UK manufacturer's imprint vehicles into the US, compliance applies to every aspect of the process. Updated standards such as FMVSS 305a extend electric-vehicle powertrain safety rules to vehicles over 10,000 pounds, reflecting adaptation to technological change (NHTSA, 2025). RRMC must comply with the NHTSA’s Early Warning Reporting (EWR) </w:t>
      </w:r>
      <w:r w:rsidRPr="001D771C">
        <w:rPr>
          <w:sz w:val="24"/>
          <w:szCs w:val="24"/>
        </w:rPr>
        <w:lastRenderedPageBreak/>
        <w:t xml:space="preserve">system that requires manufacturers to submit quarterly data on fatalities, injuries and damage claims and field reports under 49 U.S.C. 30166(m). </w:t>
      </w:r>
    </w:p>
    <w:p w14:paraId="29A5A26F" w14:textId="633102B3" w:rsidR="00873435" w:rsidRPr="001D771C" w:rsidRDefault="00EC3E47">
      <w:pPr>
        <w:spacing w:line="360" w:lineRule="auto"/>
        <w:jc w:val="both"/>
        <w:rPr>
          <w:b/>
          <w:bCs/>
          <w:sz w:val="24"/>
          <w:szCs w:val="24"/>
        </w:rPr>
      </w:pPr>
      <w:r w:rsidRPr="001D771C">
        <w:rPr>
          <w:sz w:val="24"/>
          <w:szCs w:val="24"/>
        </w:rPr>
        <w:t>Furthermore, the U.S. The Department of Commerce has introduced strict new regulations regarding "Connected Vehicles" that directly impact high-tech luxury brands. The Federal Trade Commission monitors the automakers for any kind of deceptive data practices regarding the sale of location and driving behaviour data. Stronger protections exist under the California Consumer Privacy Act and the related amendment, the California Privacy Rights Act, which grants consumers the right to personal data handling (</w:t>
      </w:r>
      <w:proofErr w:type="spellStart"/>
      <w:r w:rsidRPr="001D771C">
        <w:rPr>
          <w:sz w:val="24"/>
          <w:szCs w:val="24"/>
        </w:rPr>
        <w:t>Lexology</w:t>
      </w:r>
      <w:proofErr w:type="spellEnd"/>
      <w:r w:rsidRPr="001D771C">
        <w:rPr>
          <w:sz w:val="24"/>
          <w:szCs w:val="24"/>
        </w:rPr>
        <w:t xml:space="preserve">, 2025). Rolls-Royce must ensure its telematics and autonomous driving components, often sourced across the global supply chains, align with compliance with the U.S national security audits. RRMC's ultra-low volume, Goodwood quality standards, and BMW Group's centralised legal infrastructure significantly </w:t>
      </w:r>
      <w:r w:rsidR="006700C8" w:rsidRPr="001D771C">
        <w:rPr>
          <w:sz w:val="24"/>
          <w:szCs w:val="24"/>
        </w:rPr>
        <w:t>mitigates</w:t>
      </w:r>
      <w:r w:rsidRPr="001D771C">
        <w:rPr>
          <w:sz w:val="24"/>
          <w:szCs w:val="24"/>
        </w:rPr>
        <w:t xml:space="preserve"> but do not eliminate this exposure.</w:t>
      </w:r>
    </w:p>
    <w:p w14:paraId="52554681" w14:textId="77777777" w:rsidR="00873435" w:rsidRPr="001D771C" w:rsidRDefault="00EC3E47">
      <w:pPr>
        <w:pStyle w:val="Heading3"/>
      </w:pPr>
      <w:bookmarkStart w:id="34" w:name="_mlzi1s3my1z4" w:colFirst="0" w:colLast="0"/>
      <w:bookmarkStart w:id="35" w:name="_Toc223813183"/>
      <w:bookmarkEnd w:id="34"/>
      <w:r w:rsidRPr="001D771C">
        <w:t>4.5 Cultural Environment</w:t>
      </w:r>
      <w:bookmarkEnd w:id="35"/>
    </w:p>
    <w:p w14:paraId="2C7E95F6" w14:textId="77777777" w:rsidR="00873435" w:rsidRPr="001D771C" w:rsidRDefault="00EC3E47">
      <w:pPr>
        <w:spacing w:line="360" w:lineRule="auto"/>
        <w:jc w:val="both"/>
        <w:rPr>
          <w:b/>
          <w:bCs/>
          <w:sz w:val="24"/>
          <w:szCs w:val="24"/>
        </w:rPr>
      </w:pPr>
      <w:r w:rsidRPr="001D771C">
        <w:rPr>
          <w:sz w:val="24"/>
          <w:szCs w:val="24"/>
        </w:rPr>
        <w:t xml:space="preserve">For RRMC in the USA market, the commercial proposition is mostly associated with the cultural differences and personal expression and cultural alignment of brand relevance and commercial success. Hofstede’s six cultural models show that the United States has a moderately egalitarian and highly achievement-oriented culture. These dimensions continually formulate the overall brand positioning and commercial strategy for RRMC. </w:t>
      </w:r>
    </w:p>
    <w:p w14:paraId="0F4BC2B5" w14:textId="77777777" w:rsidR="00873435" w:rsidRPr="001D771C" w:rsidRDefault="00EC3E47">
      <w:pPr>
        <w:spacing w:line="360" w:lineRule="auto"/>
        <w:jc w:val="center"/>
        <w:rPr>
          <w:b/>
          <w:bCs/>
          <w:sz w:val="24"/>
          <w:szCs w:val="24"/>
        </w:rPr>
      </w:pPr>
      <w:r w:rsidRPr="001D771C">
        <w:rPr>
          <w:b/>
          <w:bCs/>
          <w:noProof/>
          <w:sz w:val="24"/>
          <w:szCs w:val="24"/>
          <w:lang w:val="en-IN" w:eastAsia="en-IN"/>
        </w:rPr>
        <w:drawing>
          <wp:inline distT="114300" distB="114300" distL="114300" distR="114300" wp14:anchorId="47CF5A0B" wp14:editId="11C482B6">
            <wp:extent cx="5943600" cy="2527300"/>
            <wp:effectExtent l="19050" t="19050" r="19050" b="25400"/>
            <wp:docPr id="1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6"/>
                    <a:srcRect/>
                    <a:stretch>
                      <a:fillRect/>
                    </a:stretch>
                  </pic:blipFill>
                  <pic:spPr>
                    <a:xfrm>
                      <a:off x="0" y="0"/>
                      <a:ext cx="5943600" cy="2527300"/>
                    </a:xfrm>
                    <a:prstGeom prst="rect">
                      <a:avLst/>
                    </a:prstGeom>
                    <a:ln>
                      <a:solidFill>
                        <a:schemeClr val="tx1"/>
                      </a:solidFill>
                    </a:ln>
                  </pic:spPr>
                </pic:pic>
              </a:graphicData>
            </a:graphic>
          </wp:inline>
        </w:drawing>
      </w:r>
    </w:p>
    <w:p w14:paraId="6879400A" w14:textId="755FF165" w:rsidR="00873435" w:rsidRPr="001D771C" w:rsidRDefault="00EC3E47">
      <w:pPr>
        <w:spacing w:line="360" w:lineRule="auto"/>
        <w:jc w:val="center"/>
        <w:rPr>
          <w:b/>
          <w:bCs/>
          <w:sz w:val="24"/>
          <w:szCs w:val="24"/>
        </w:rPr>
      </w:pPr>
      <w:r w:rsidRPr="001D771C">
        <w:rPr>
          <w:b/>
          <w:bCs/>
          <w:sz w:val="24"/>
          <w:szCs w:val="24"/>
        </w:rPr>
        <w:t xml:space="preserve">Figure 18: </w:t>
      </w:r>
      <w:r w:rsidR="00A84ABE" w:rsidRPr="001D771C">
        <w:rPr>
          <w:b/>
          <w:bCs/>
          <w:sz w:val="24"/>
          <w:szCs w:val="24"/>
        </w:rPr>
        <w:t>Hofstede’s</w:t>
      </w:r>
      <w:r w:rsidRPr="001D771C">
        <w:rPr>
          <w:b/>
          <w:bCs/>
          <w:sz w:val="24"/>
          <w:szCs w:val="24"/>
        </w:rPr>
        <w:t xml:space="preserve"> cultural dimension of the USA</w:t>
      </w:r>
    </w:p>
    <w:p w14:paraId="0E9AB8DF" w14:textId="77777777" w:rsidR="00873435" w:rsidRPr="001D771C" w:rsidRDefault="00EC3E47">
      <w:pPr>
        <w:spacing w:line="360" w:lineRule="auto"/>
        <w:jc w:val="center"/>
        <w:rPr>
          <w:sz w:val="24"/>
          <w:szCs w:val="24"/>
        </w:rPr>
      </w:pPr>
      <w:r w:rsidRPr="001D771C">
        <w:rPr>
          <w:sz w:val="24"/>
          <w:szCs w:val="24"/>
        </w:rPr>
        <w:t xml:space="preserve">(Source: </w:t>
      </w:r>
      <w:proofErr w:type="spellStart"/>
      <w:r w:rsidRPr="001D771C">
        <w:rPr>
          <w:sz w:val="24"/>
          <w:szCs w:val="24"/>
        </w:rPr>
        <w:t>Theculturefactor</w:t>
      </w:r>
      <w:proofErr w:type="spellEnd"/>
      <w:r w:rsidRPr="001D771C">
        <w:rPr>
          <w:sz w:val="24"/>
          <w:szCs w:val="24"/>
        </w:rPr>
        <w:t>, 2025)</w:t>
      </w:r>
    </w:p>
    <w:p w14:paraId="60B2F271" w14:textId="598CF0C0" w:rsidR="00873435" w:rsidRPr="001D771C" w:rsidRDefault="00EC3E47">
      <w:pPr>
        <w:spacing w:line="360" w:lineRule="auto"/>
        <w:jc w:val="both"/>
        <w:rPr>
          <w:sz w:val="24"/>
          <w:szCs w:val="24"/>
        </w:rPr>
      </w:pPr>
      <w:r w:rsidRPr="001D771C">
        <w:rPr>
          <w:sz w:val="24"/>
          <w:szCs w:val="24"/>
        </w:rPr>
        <w:lastRenderedPageBreak/>
        <w:t xml:space="preserve">The US scores at 60 on Individualism with the strategic attribution of a strong individualist society where people prioritise personal initiatives, merit-based promotion and self-reliance instead of group dependence. This cultural architecture has proven to be a powerful aspect for RRMC in driving success in the US market (Gillingham </w:t>
      </w:r>
      <w:r w:rsidRPr="001D771C">
        <w:rPr>
          <w:i/>
          <w:iCs/>
          <w:sz w:val="24"/>
          <w:szCs w:val="24"/>
        </w:rPr>
        <w:t xml:space="preserve">et al. </w:t>
      </w:r>
      <w:r w:rsidRPr="001D771C">
        <w:rPr>
          <w:sz w:val="24"/>
          <w:szCs w:val="24"/>
        </w:rPr>
        <w:t>2023). It suits Rolls-Royce Motor Cars’ Bespoke warranty. In 2025, RRMC produced 5,664 Bespoke cars globally with the demand of personalized commissions more than doubling the year-on-year through its Private Office network, including New York. With a Power Distance score of 40, the U.S demonstrates relatively low acceptance of hierarchical inequality, supporting the value of liberty and justice. The country also demonstrates a score of 62 in the ‘Motivation for Achievement and Success’ dimension, which highlights the competitive culture driven by performance (</w:t>
      </w:r>
      <w:proofErr w:type="spellStart"/>
      <w:r w:rsidRPr="001D771C">
        <w:rPr>
          <w:sz w:val="24"/>
          <w:szCs w:val="24"/>
        </w:rPr>
        <w:t>Theculturefactor</w:t>
      </w:r>
      <w:proofErr w:type="spellEnd"/>
      <w:r w:rsidRPr="001D771C">
        <w:rPr>
          <w:sz w:val="24"/>
          <w:szCs w:val="24"/>
        </w:rPr>
        <w:t xml:space="preserve">, 2025). The ownership of Rolls-Royce has long functioned as the definitive symbol of achievement in American culture. A moderate Uncertainty Avoidance score </w:t>
      </w:r>
      <w:r w:rsidR="00E87FEA" w:rsidRPr="001D771C">
        <w:rPr>
          <w:sz w:val="24"/>
          <w:szCs w:val="24"/>
        </w:rPr>
        <w:t>of 46</w:t>
      </w:r>
      <w:r w:rsidRPr="001D771C">
        <w:rPr>
          <w:sz w:val="24"/>
          <w:szCs w:val="24"/>
        </w:rPr>
        <w:t xml:space="preserve"> suggests Americans are relatively comfortable with risk and innovation, fostering new technologies. With the Long-Term Orientation score of 50, the US balances short-term results with pragmatic thinking. RRMC’s vehicles are often purchased as long-term heritage assets and generational status symbols (Rolls-Royce Motorcars, 2024). Even the strong indulgence score of 68 articulates the ideal cultural architecture for RRMC.  UHNWI buyers are likely to be more motivated by the persistent prestige and immediate desirability of the AI-assisted bespoke design. </w:t>
      </w:r>
    </w:p>
    <w:p w14:paraId="4C0BB211" w14:textId="77777777" w:rsidR="00873435" w:rsidRPr="001D771C" w:rsidRDefault="00EC3E47">
      <w:pPr>
        <w:pStyle w:val="Heading3"/>
      </w:pPr>
      <w:bookmarkStart w:id="36" w:name="_4dtgbjtz3ayj" w:colFirst="0" w:colLast="0"/>
      <w:bookmarkStart w:id="37" w:name="_Toc223813184"/>
      <w:bookmarkEnd w:id="36"/>
      <w:r w:rsidRPr="001D771C">
        <w:t>4.6 Technological Environment</w:t>
      </w:r>
      <w:bookmarkEnd w:id="37"/>
    </w:p>
    <w:p w14:paraId="77BB07EB" w14:textId="77777777" w:rsidR="00873435" w:rsidRPr="001D771C" w:rsidRDefault="00EC3E47">
      <w:pPr>
        <w:spacing w:line="360" w:lineRule="auto"/>
        <w:jc w:val="both"/>
        <w:rPr>
          <w:sz w:val="24"/>
          <w:szCs w:val="24"/>
        </w:rPr>
      </w:pPr>
      <w:r w:rsidRPr="001D771C">
        <w:rPr>
          <w:sz w:val="24"/>
          <w:szCs w:val="24"/>
        </w:rPr>
        <w:t>The United States is considered the global leader in technology innovation. Advanced Driver Assistance Systems (ADAS) and autonomous driving represent the most complex and nuanced dimension of the US technological environment for RRMC. The central technological innovation enables RRMC for the commercial operations in the US market through its digital personalisation infrastructure. Digital adoption and omnichannel retailing are progressively influencing the U.S. automobile technology landscape. Online channels are essential for customer research, as 72% of purchasers use dealerships (</w:t>
      </w:r>
      <w:proofErr w:type="spellStart"/>
      <w:r w:rsidRPr="001D771C">
        <w:rPr>
          <w:sz w:val="24"/>
          <w:szCs w:val="24"/>
        </w:rPr>
        <w:t>Coxautoinc</w:t>
      </w:r>
      <w:proofErr w:type="spellEnd"/>
      <w:r w:rsidRPr="001D771C">
        <w:rPr>
          <w:sz w:val="24"/>
          <w:szCs w:val="24"/>
        </w:rPr>
        <w:t>, 2024). Compared to hybrid (80%) and internal combustion engine (78%) consumers, EV buyers are leading this technological transformation, with 26% categorised as largely digital and 82% rating excellent satisfaction.</w:t>
      </w:r>
    </w:p>
    <w:p w14:paraId="5D2BC917" w14:textId="77777777" w:rsidR="00873435" w:rsidRPr="001D771C" w:rsidRDefault="00EC3E47">
      <w:pPr>
        <w:spacing w:line="360" w:lineRule="auto"/>
        <w:jc w:val="center"/>
        <w:rPr>
          <w:sz w:val="24"/>
          <w:szCs w:val="24"/>
        </w:rPr>
      </w:pPr>
      <w:r w:rsidRPr="001D771C">
        <w:rPr>
          <w:noProof/>
          <w:sz w:val="24"/>
          <w:szCs w:val="24"/>
          <w:lang w:val="en-IN" w:eastAsia="en-IN"/>
        </w:rPr>
        <w:lastRenderedPageBreak/>
        <w:drawing>
          <wp:inline distT="114300" distB="114300" distL="114300" distR="114300" wp14:anchorId="36988D3D" wp14:editId="156F2E4F">
            <wp:extent cx="5943600" cy="3263900"/>
            <wp:effectExtent l="0" t="0" r="0" b="0"/>
            <wp:docPr id="1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7"/>
                    <a:srcRect/>
                    <a:stretch>
                      <a:fillRect/>
                    </a:stretch>
                  </pic:blipFill>
                  <pic:spPr>
                    <a:xfrm>
                      <a:off x="0" y="0"/>
                      <a:ext cx="5943600" cy="3263900"/>
                    </a:xfrm>
                    <a:prstGeom prst="rect">
                      <a:avLst/>
                    </a:prstGeom>
                    <a:ln/>
                  </pic:spPr>
                </pic:pic>
              </a:graphicData>
            </a:graphic>
          </wp:inline>
        </w:drawing>
      </w:r>
    </w:p>
    <w:p w14:paraId="73CE67F8" w14:textId="77777777" w:rsidR="00873435" w:rsidRPr="001D771C" w:rsidRDefault="00EC3E47">
      <w:pPr>
        <w:spacing w:line="360" w:lineRule="auto"/>
        <w:jc w:val="center"/>
        <w:rPr>
          <w:b/>
          <w:bCs/>
          <w:sz w:val="24"/>
          <w:szCs w:val="24"/>
        </w:rPr>
      </w:pPr>
      <w:r w:rsidRPr="001D771C">
        <w:rPr>
          <w:b/>
          <w:bCs/>
          <w:sz w:val="24"/>
          <w:szCs w:val="24"/>
        </w:rPr>
        <w:t>Figure 19: Technological vehicle purchase in the USA</w:t>
      </w:r>
    </w:p>
    <w:p w14:paraId="50779585" w14:textId="77777777" w:rsidR="00873435" w:rsidRPr="001D771C" w:rsidRDefault="00EC3E47">
      <w:pPr>
        <w:spacing w:line="360" w:lineRule="auto"/>
        <w:jc w:val="center"/>
        <w:rPr>
          <w:sz w:val="24"/>
          <w:szCs w:val="24"/>
        </w:rPr>
      </w:pPr>
      <w:r w:rsidRPr="001D771C">
        <w:rPr>
          <w:sz w:val="24"/>
          <w:szCs w:val="24"/>
        </w:rPr>
        <w:t xml:space="preserve">(Source: </w:t>
      </w:r>
      <w:proofErr w:type="spellStart"/>
      <w:r w:rsidRPr="001D771C">
        <w:rPr>
          <w:sz w:val="24"/>
          <w:szCs w:val="24"/>
        </w:rPr>
        <w:t>Coxautoinc</w:t>
      </w:r>
      <w:proofErr w:type="spellEnd"/>
      <w:r w:rsidRPr="001D771C">
        <w:rPr>
          <w:sz w:val="24"/>
          <w:szCs w:val="24"/>
        </w:rPr>
        <w:t>, 2024)</w:t>
      </w:r>
    </w:p>
    <w:p w14:paraId="16AFF60C" w14:textId="107026AA" w:rsidR="00873435" w:rsidRPr="001D771C" w:rsidRDefault="00EC3E47">
      <w:pPr>
        <w:spacing w:line="360" w:lineRule="auto"/>
        <w:jc w:val="both"/>
        <w:rPr>
          <w:b/>
          <w:bCs/>
          <w:sz w:val="24"/>
          <w:szCs w:val="24"/>
        </w:rPr>
      </w:pPr>
      <w:r w:rsidRPr="001D771C">
        <w:rPr>
          <w:sz w:val="24"/>
          <w:szCs w:val="24"/>
        </w:rPr>
        <w:t xml:space="preserve">Rolls-Royce’s digital ecosystem intersects personalisation, connectivity and exclusivity or the facilitation of the luxury market strategy. The Bespoke Online Configurator leverages the customers for the designing of the highly personalised vehicles with the usage of over 44000 exterior colours and countless interior combinations. Complementing this, the SPIRIT digital system and Whispers owner app contribute towards the personalised </w:t>
      </w:r>
      <w:r w:rsidR="0050311C" w:rsidRPr="001D771C">
        <w:rPr>
          <w:sz w:val="24"/>
          <w:szCs w:val="24"/>
        </w:rPr>
        <w:t>services and</w:t>
      </w:r>
      <w:r w:rsidRPr="001D771C">
        <w:rPr>
          <w:sz w:val="24"/>
          <w:szCs w:val="24"/>
        </w:rPr>
        <w:t xml:space="preserve"> the overall engagement. </w:t>
      </w:r>
    </w:p>
    <w:p w14:paraId="777EDEF5" w14:textId="77777777" w:rsidR="00873435" w:rsidRPr="001D771C" w:rsidRDefault="00EC3E47">
      <w:pPr>
        <w:pStyle w:val="Heading3"/>
      </w:pPr>
      <w:bookmarkStart w:id="38" w:name="_9q7c1pvpj7ej" w:colFirst="0" w:colLast="0"/>
      <w:bookmarkStart w:id="39" w:name="_Toc223813185"/>
      <w:bookmarkEnd w:id="38"/>
      <w:r w:rsidRPr="001D771C">
        <w:t>4.7 Environmental and Sustainability Factors</w:t>
      </w:r>
      <w:bookmarkEnd w:id="39"/>
    </w:p>
    <w:p w14:paraId="593C4A79" w14:textId="780A216C" w:rsidR="00873435" w:rsidRPr="001D771C" w:rsidRDefault="00EC3E47">
      <w:pPr>
        <w:spacing w:line="360" w:lineRule="auto"/>
        <w:jc w:val="both"/>
        <w:rPr>
          <w:sz w:val="24"/>
          <w:szCs w:val="24"/>
        </w:rPr>
      </w:pPr>
      <w:r w:rsidRPr="001D771C">
        <w:rPr>
          <w:sz w:val="24"/>
          <w:szCs w:val="24"/>
        </w:rPr>
        <w:t>The environmental dimension contextually impacts the luxury automotive manufacturers in the United States. The automobile market is strongly influenced by the emission regulations and the transition to zero-emission vehicles (ZEVs). California’s Advanced Clean Cars Program integrates Low-Emission Vehicle (LEV) and ZEV rules, aiming at reaching 100% by 2035. Several other states, such as New York, Oregon, and Massachusetts, have also included ACC II. This regulatory trajectory directly accelerates the commercial timeline for RRMC's all-electric product transition. Further, the study of Pew Research (</w:t>
      </w:r>
      <w:r w:rsidR="00A65EB0" w:rsidRPr="001D771C">
        <w:rPr>
          <w:sz w:val="24"/>
          <w:szCs w:val="24"/>
        </w:rPr>
        <w:t>2025) shows</w:t>
      </w:r>
      <w:r w:rsidRPr="001D771C">
        <w:rPr>
          <w:sz w:val="24"/>
          <w:szCs w:val="24"/>
        </w:rPr>
        <w:t xml:space="preserve"> that about 33% of Americans would seriously consider </w:t>
      </w:r>
      <w:r w:rsidRPr="001D771C">
        <w:rPr>
          <w:sz w:val="24"/>
          <w:szCs w:val="24"/>
        </w:rPr>
        <w:lastRenderedPageBreak/>
        <w:t>purchasing an EV (</w:t>
      </w:r>
      <w:proofErr w:type="spellStart"/>
      <w:r w:rsidRPr="001D771C">
        <w:rPr>
          <w:sz w:val="24"/>
          <w:szCs w:val="24"/>
        </w:rPr>
        <w:t>PewResearch</w:t>
      </w:r>
      <w:proofErr w:type="spellEnd"/>
      <w:r w:rsidRPr="001D771C">
        <w:rPr>
          <w:sz w:val="24"/>
          <w:szCs w:val="24"/>
        </w:rPr>
        <w:t>, 2025). Interest in hybrid vehicles is higher at 45%, suggesting consumers may prefer transitional technologies.</w:t>
      </w:r>
    </w:p>
    <w:p w14:paraId="7901EC54" w14:textId="77777777" w:rsidR="00873435" w:rsidRPr="001D771C" w:rsidRDefault="00EC3E47">
      <w:pPr>
        <w:spacing w:line="360" w:lineRule="auto"/>
        <w:jc w:val="center"/>
        <w:rPr>
          <w:sz w:val="24"/>
          <w:szCs w:val="24"/>
        </w:rPr>
      </w:pPr>
      <w:r w:rsidRPr="001D771C">
        <w:rPr>
          <w:noProof/>
          <w:sz w:val="24"/>
          <w:szCs w:val="24"/>
          <w:lang w:val="en-IN" w:eastAsia="en-IN"/>
        </w:rPr>
        <w:drawing>
          <wp:inline distT="114300" distB="114300" distL="114300" distR="114300" wp14:anchorId="65505BAC" wp14:editId="2102F56A">
            <wp:extent cx="5838960" cy="3398520"/>
            <wp:effectExtent l="19050" t="19050" r="28575" b="1143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8"/>
                    <a:srcRect/>
                    <a:stretch>
                      <a:fillRect/>
                    </a:stretch>
                  </pic:blipFill>
                  <pic:spPr>
                    <a:xfrm>
                      <a:off x="0" y="0"/>
                      <a:ext cx="5840960" cy="3399684"/>
                    </a:xfrm>
                    <a:prstGeom prst="rect">
                      <a:avLst/>
                    </a:prstGeom>
                    <a:ln>
                      <a:solidFill>
                        <a:schemeClr val="tx1"/>
                      </a:solidFill>
                    </a:ln>
                  </pic:spPr>
                </pic:pic>
              </a:graphicData>
            </a:graphic>
          </wp:inline>
        </w:drawing>
      </w:r>
    </w:p>
    <w:p w14:paraId="59D453B1" w14:textId="60659987" w:rsidR="00873435" w:rsidRPr="001D771C" w:rsidRDefault="00EC3E47">
      <w:pPr>
        <w:spacing w:line="360" w:lineRule="auto"/>
        <w:jc w:val="center"/>
        <w:rPr>
          <w:b/>
          <w:bCs/>
          <w:sz w:val="24"/>
          <w:szCs w:val="24"/>
        </w:rPr>
      </w:pPr>
      <w:r w:rsidRPr="001D771C">
        <w:rPr>
          <w:b/>
          <w:bCs/>
          <w:sz w:val="24"/>
          <w:szCs w:val="24"/>
        </w:rPr>
        <w:t xml:space="preserve">Figure </w:t>
      </w:r>
      <w:r w:rsidR="005C1C78" w:rsidRPr="001D771C">
        <w:rPr>
          <w:b/>
          <w:bCs/>
          <w:sz w:val="24"/>
          <w:szCs w:val="24"/>
        </w:rPr>
        <w:t>20: ACC</w:t>
      </w:r>
      <w:r w:rsidRPr="001D771C">
        <w:rPr>
          <w:b/>
          <w:bCs/>
          <w:sz w:val="24"/>
          <w:szCs w:val="24"/>
        </w:rPr>
        <w:t xml:space="preserve"> I LEV and ZEV regulations</w:t>
      </w:r>
    </w:p>
    <w:p w14:paraId="419B8CD6" w14:textId="4BC459F6" w:rsidR="00873435" w:rsidRPr="001D771C" w:rsidRDefault="00EC3E47">
      <w:pPr>
        <w:spacing w:line="360" w:lineRule="auto"/>
        <w:jc w:val="center"/>
        <w:rPr>
          <w:b/>
          <w:bCs/>
          <w:sz w:val="24"/>
          <w:szCs w:val="24"/>
        </w:rPr>
      </w:pPr>
      <w:r w:rsidRPr="001D771C">
        <w:rPr>
          <w:sz w:val="24"/>
          <w:szCs w:val="24"/>
        </w:rPr>
        <w:t xml:space="preserve">(Source: </w:t>
      </w:r>
      <w:proofErr w:type="spellStart"/>
      <w:r w:rsidRPr="001D771C">
        <w:rPr>
          <w:sz w:val="24"/>
          <w:szCs w:val="24"/>
        </w:rPr>
        <w:t>Desireinsight</w:t>
      </w:r>
      <w:proofErr w:type="spellEnd"/>
      <w:r w:rsidRPr="001D771C">
        <w:rPr>
          <w:sz w:val="24"/>
          <w:szCs w:val="24"/>
        </w:rPr>
        <w:t xml:space="preserve">, </w:t>
      </w:r>
      <w:r w:rsidR="005C1C78" w:rsidRPr="001D771C">
        <w:rPr>
          <w:sz w:val="24"/>
          <w:szCs w:val="24"/>
        </w:rPr>
        <w:t>2025)</w:t>
      </w:r>
    </w:p>
    <w:p w14:paraId="0776B7ED" w14:textId="77777777" w:rsidR="00873435" w:rsidRPr="001D771C" w:rsidRDefault="00873435">
      <w:pPr>
        <w:spacing w:line="360" w:lineRule="auto"/>
        <w:rPr>
          <w:b/>
          <w:bCs/>
          <w:sz w:val="24"/>
          <w:szCs w:val="24"/>
        </w:rPr>
      </w:pPr>
    </w:p>
    <w:p w14:paraId="707AABD4" w14:textId="77777777" w:rsidR="00873435" w:rsidRPr="001D771C" w:rsidRDefault="00EC3E47">
      <w:pPr>
        <w:spacing w:line="360" w:lineRule="auto"/>
        <w:jc w:val="both"/>
        <w:rPr>
          <w:b/>
          <w:bCs/>
          <w:sz w:val="24"/>
          <w:szCs w:val="24"/>
        </w:rPr>
      </w:pPr>
      <w:r w:rsidRPr="001D771C">
        <w:br w:type="page"/>
      </w:r>
    </w:p>
    <w:p w14:paraId="2D1ECEB7" w14:textId="77777777" w:rsidR="00873435" w:rsidRPr="001D771C" w:rsidRDefault="00EC3E47">
      <w:pPr>
        <w:pStyle w:val="Heading2"/>
      </w:pPr>
      <w:bookmarkStart w:id="40" w:name="_jkoe9e8ytvn1" w:colFirst="0" w:colLast="0"/>
      <w:bookmarkStart w:id="41" w:name="_Toc223813186"/>
      <w:bookmarkEnd w:id="40"/>
      <w:r w:rsidRPr="001D771C">
        <w:lastRenderedPageBreak/>
        <w:t>5. Conclusion</w:t>
      </w:r>
      <w:bookmarkEnd w:id="41"/>
    </w:p>
    <w:p w14:paraId="11ED0F23" w14:textId="77777777" w:rsidR="00873435" w:rsidRPr="001D771C" w:rsidRDefault="00EC3E47">
      <w:pPr>
        <w:spacing w:line="360" w:lineRule="auto"/>
        <w:jc w:val="both"/>
        <w:rPr>
          <w:sz w:val="24"/>
          <w:szCs w:val="24"/>
        </w:rPr>
      </w:pPr>
      <w:r w:rsidRPr="001D771C">
        <w:rPr>
          <w:sz w:val="24"/>
          <w:szCs w:val="24"/>
        </w:rPr>
        <w:t xml:space="preserve">This report provides an extensive analysis of the United States, representing the most significant commercial and critical international market for Rolls-Royce Motor Cars. Considering the analytical dimensions, the country offers the most favourable operating environments available to any ultra-luxury consumer goods brand globally. The application of Porter’s Diamond Model suggests that the US market operates as the demand-dominant aspect, with its UHNWI wealth concentration and sophisticated and emotionally driven bespoke luxury care demand. With the offerings of its two globally transitive products, such as the Cullinan SUV and Spectre EV, RRMC contextually shapes the US consumer preferences. </w:t>
      </w:r>
    </w:p>
    <w:p w14:paraId="4E6A5E39" w14:textId="77777777" w:rsidR="00873435" w:rsidRPr="001D771C" w:rsidRDefault="00EC3E47">
      <w:pPr>
        <w:spacing w:line="360" w:lineRule="auto"/>
        <w:jc w:val="both"/>
        <w:rPr>
          <w:b/>
          <w:bCs/>
          <w:sz w:val="24"/>
          <w:szCs w:val="24"/>
        </w:rPr>
      </w:pPr>
      <w:r w:rsidRPr="001D771C">
        <w:rPr>
          <w:sz w:val="24"/>
          <w:szCs w:val="24"/>
        </w:rPr>
        <w:t>The external environmental analysis offers the critical evaluation of the identified trade policy volatility as the single most contextual near-term risk. The economic environment is favourable in structural terms. RRMC’s addressable market and the brand’s volume strategy confirm that pricing power remains intact. Culturally, the US profile constitutes a near-ideal cultural architecture for RRMC’s Bespoke proposition. Technologically, the Spectre EV’s confirmation as RRMC’s second most globally demanded model in 2025 is the most powerful empirical evidence of this cultural alignment.</w:t>
      </w:r>
    </w:p>
    <w:p w14:paraId="61AD8680" w14:textId="77777777" w:rsidR="00873435" w:rsidRPr="001D771C" w:rsidRDefault="00EC3E47">
      <w:pPr>
        <w:spacing w:line="360" w:lineRule="auto"/>
        <w:jc w:val="both"/>
        <w:rPr>
          <w:sz w:val="24"/>
          <w:szCs w:val="24"/>
        </w:rPr>
      </w:pPr>
      <w:r w:rsidRPr="001D771C">
        <w:rPr>
          <w:sz w:val="24"/>
          <w:szCs w:val="24"/>
        </w:rPr>
        <w:t xml:space="preserve">The most significant strategic imperative is the continued navigation of trade policy uncertainty through BMW Group’s exploitative and financial resources. This is combined through the maintenance of the product's freshness and bespoke relevance for a market whose low long-term orientation depends on continuous innovation. RRMC is well positioned to sustain its US market leadership and technological ambition that the US ultra-luxury buyer demands. RRMC should pursue a transnational strategy in the US, maintaining global brand consistency. </w:t>
      </w:r>
    </w:p>
    <w:p w14:paraId="590DB583" w14:textId="77777777" w:rsidR="00873435" w:rsidRPr="001D771C" w:rsidRDefault="00873435">
      <w:pPr>
        <w:spacing w:line="360" w:lineRule="auto"/>
        <w:jc w:val="both"/>
        <w:rPr>
          <w:sz w:val="24"/>
          <w:szCs w:val="24"/>
        </w:rPr>
      </w:pPr>
    </w:p>
    <w:p w14:paraId="7DF95AB2" w14:textId="77777777" w:rsidR="00873435" w:rsidRPr="001D771C" w:rsidRDefault="00EC3E47">
      <w:pPr>
        <w:spacing w:line="360" w:lineRule="auto"/>
        <w:jc w:val="both"/>
        <w:rPr>
          <w:b/>
          <w:bCs/>
          <w:sz w:val="24"/>
          <w:szCs w:val="24"/>
        </w:rPr>
      </w:pPr>
      <w:r w:rsidRPr="001D771C">
        <w:br w:type="page"/>
      </w:r>
    </w:p>
    <w:p w14:paraId="62196562" w14:textId="77777777" w:rsidR="00873435" w:rsidRDefault="00EC3E47">
      <w:pPr>
        <w:pStyle w:val="Heading1"/>
      </w:pPr>
      <w:bookmarkStart w:id="42" w:name="_9sxj4n8sikl1" w:colFirst="0" w:colLast="0"/>
      <w:bookmarkStart w:id="43" w:name="_Toc223813187"/>
      <w:bookmarkEnd w:id="42"/>
      <w:r w:rsidRPr="001D771C">
        <w:lastRenderedPageBreak/>
        <w:t>Section 2: Reflective Account-Gibbs Reflective Cycle</w:t>
      </w:r>
      <w:bookmarkEnd w:id="43"/>
    </w:p>
    <w:p w14:paraId="03535139" w14:textId="7D0A2F7C" w:rsidR="00873435" w:rsidRPr="00FD2600" w:rsidRDefault="00FD2600" w:rsidP="00FD2600">
      <w:r>
        <w:rPr>
          <w:noProof/>
          <w:lang w:val="en-IN" w:eastAsia="en-IN"/>
        </w:rPr>
        <w:drawing>
          <wp:inline distT="0" distB="0" distL="0" distR="0" wp14:anchorId="386BBD58" wp14:editId="35D2A0AD">
            <wp:extent cx="5486400" cy="3200400"/>
            <wp:effectExtent l="0" t="0" r="0" b="19050"/>
            <wp:docPr id="91614775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2E5FAB69" w14:textId="77777777" w:rsidR="00873435" w:rsidRPr="001D771C" w:rsidRDefault="00EC3E47">
      <w:pPr>
        <w:spacing w:line="360" w:lineRule="auto"/>
        <w:jc w:val="center"/>
        <w:rPr>
          <w:b/>
          <w:bCs/>
          <w:sz w:val="24"/>
          <w:szCs w:val="24"/>
        </w:rPr>
      </w:pPr>
      <w:r w:rsidRPr="001D771C">
        <w:rPr>
          <w:b/>
          <w:bCs/>
          <w:sz w:val="24"/>
          <w:szCs w:val="24"/>
        </w:rPr>
        <w:t>Figure 21: Gibbs Reflective Cycle</w:t>
      </w:r>
    </w:p>
    <w:p w14:paraId="273F9B5D" w14:textId="77777777" w:rsidR="00873435" w:rsidRPr="001D771C" w:rsidRDefault="00EC3E47">
      <w:pPr>
        <w:spacing w:line="360" w:lineRule="auto"/>
        <w:jc w:val="center"/>
        <w:rPr>
          <w:sz w:val="24"/>
          <w:szCs w:val="24"/>
        </w:rPr>
      </w:pPr>
      <w:r w:rsidRPr="001D771C">
        <w:rPr>
          <w:sz w:val="24"/>
          <w:szCs w:val="24"/>
        </w:rPr>
        <w:t>(Source: Self-created)</w:t>
      </w:r>
    </w:p>
    <w:p w14:paraId="4E37FC73" w14:textId="77777777" w:rsidR="00873435" w:rsidRPr="001D771C" w:rsidRDefault="00EC3E47">
      <w:pPr>
        <w:spacing w:line="360" w:lineRule="auto"/>
        <w:jc w:val="both"/>
        <w:rPr>
          <w:b/>
          <w:bCs/>
          <w:sz w:val="24"/>
          <w:szCs w:val="24"/>
        </w:rPr>
      </w:pPr>
      <w:r w:rsidRPr="001D771C">
        <w:rPr>
          <w:b/>
          <w:bCs/>
          <w:sz w:val="24"/>
          <w:szCs w:val="24"/>
        </w:rPr>
        <w:t>Description</w:t>
      </w:r>
    </w:p>
    <w:p w14:paraId="54DCB46C" w14:textId="4B128ECA" w:rsidR="00873435" w:rsidRPr="001D771C" w:rsidRDefault="00EC3E47">
      <w:pPr>
        <w:spacing w:line="360" w:lineRule="auto"/>
        <w:jc w:val="both"/>
        <w:rPr>
          <w:sz w:val="24"/>
          <w:szCs w:val="24"/>
        </w:rPr>
      </w:pPr>
      <w:r w:rsidRPr="001D771C">
        <w:rPr>
          <w:sz w:val="24"/>
          <w:szCs w:val="24"/>
        </w:rPr>
        <w:t>In the context of performing extensive research and analysis on the international business, I selected Rolls-Royce Motor Cars (RRMC) as the key case study, which has commercial operations in the United States. The selection of the USA as the key host country for the brand offers a rich pairing in terms of the analytical progressions. I structured my research process across the varied distance phases</w:t>
      </w:r>
      <w:r w:rsidR="001C1C2B" w:rsidRPr="001D771C">
        <w:rPr>
          <w:sz w:val="24"/>
          <w:szCs w:val="24"/>
        </w:rPr>
        <w:t xml:space="preserve"> (Praveena </w:t>
      </w:r>
      <w:r w:rsidR="001C1C2B" w:rsidRPr="001D771C">
        <w:rPr>
          <w:i/>
          <w:iCs/>
          <w:sz w:val="24"/>
          <w:szCs w:val="24"/>
        </w:rPr>
        <w:t>et al.</w:t>
      </w:r>
      <w:r w:rsidR="001C1C2B" w:rsidRPr="001D771C">
        <w:rPr>
          <w:sz w:val="24"/>
          <w:szCs w:val="24"/>
        </w:rPr>
        <w:t xml:space="preserve"> 2025)</w:t>
      </w:r>
      <w:r w:rsidRPr="001D771C">
        <w:rPr>
          <w:sz w:val="24"/>
          <w:szCs w:val="24"/>
        </w:rPr>
        <w:t>. I began with the analysis of the module’s key areas for the identification of the theoretical frameworks which are most relevant to the assignment, such as Porter’s Diamond Model, the PESTLE frameworks and Hofstede’s Six Cultural Dimensions, the Market Attractiveness (Benefits, Costs and Risk) framework</w:t>
      </w:r>
      <w:r w:rsidR="001C1C2B" w:rsidRPr="001D771C">
        <w:rPr>
          <w:sz w:val="24"/>
          <w:szCs w:val="24"/>
        </w:rPr>
        <w:t xml:space="preserve"> (Ma </w:t>
      </w:r>
      <w:r w:rsidR="001C1C2B" w:rsidRPr="001D771C">
        <w:rPr>
          <w:i/>
          <w:iCs/>
          <w:sz w:val="24"/>
          <w:szCs w:val="24"/>
        </w:rPr>
        <w:t>et al.</w:t>
      </w:r>
      <w:r w:rsidR="001C1C2B" w:rsidRPr="001D771C">
        <w:rPr>
          <w:sz w:val="24"/>
          <w:szCs w:val="24"/>
        </w:rPr>
        <w:t xml:space="preserve"> 2026)</w:t>
      </w:r>
      <w:r w:rsidRPr="001D771C">
        <w:rPr>
          <w:sz w:val="24"/>
          <w:szCs w:val="24"/>
        </w:rPr>
        <w:t xml:space="preserve">. In the evaluation process, I included a wide range of secondary research phases, sourcing data from annual reports, Statista, Grand View Research, the BCG, Capgemini World Wealth Report, and UBS Global Wealth Report to get the most recent information. </w:t>
      </w:r>
    </w:p>
    <w:p w14:paraId="32027B9C" w14:textId="77777777" w:rsidR="00873435" w:rsidRPr="001D771C" w:rsidRDefault="00EC3E47">
      <w:pPr>
        <w:spacing w:line="360" w:lineRule="auto"/>
        <w:jc w:val="both"/>
        <w:rPr>
          <w:b/>
          <w:bCs/>
          <w:sz w:val="24"/>
          <w:szCs w:val="24"/>
        </w:rPr>
      </w:pPr>
      <w:r w:rsidRPr="001D771C">
        <w:rPr>
          <w:b/>
          <w:bCs/>
          <w:sz w:val="24"/>
          <w:szCs w:val="24"/>
        </w:rPr>
        <w:t>Feelings</w:t>
      </w:r>
    </w:p>
    <w:p w14:paraId="244CEA7D" w14:textId="2E2903AF" w:rsidR="00873435" w:rsidRPr="001D771C" w:rsidRDefault="00EC3E47">
      <w:pPr>
        <w:spacing w:line="360" w:lineRule="auto"/>
        <w:jc w:val="both"/>
        <w:rPr>
          <w:b/>
          <w:bCs/>
          <w:sz w:val="24"/>
          <w:szCs w:val="24"/>
        </w:rPr>
      </w:pPr>
      <w:r w:rsidRPr="001D771C">
        <w:rPr>
          <w:sz w:val="24"/>
          <w:szCs w:val="24"/>
        </w:rPr>
        <w:t xml:space="preserve">I felt a genuine sense of engagement during the research as I found the subject matter more compelling. I have always been aware of Rolls-Royce’s brand identity as a culturally </w:t>
      </w:r>
      <w:r w:rsidRPr="001D771C">
        <w:rPr>
          <w:sz w:val="24"/>
          <w:szCs w:val="24"/>
        </w:rPr>
        <w:lastRenderedPageBreak/>
        <w:t>rich icon, but I had never recognised the precious mechanics behind its global operations</w:t>
      </w:r>
      <w:r w:rsidR="001C1C2B" w:rsidRPr="001D771C">
        <w:rPr>
          <w:sz w:val="24"/>
          <w:szCs w:val="24"/>
        </w:rPr>
        <w:t xml:space="preserve"> (Wang </w:t>
      </w:r>
      <w:r w:rsidR="001C1C2B" w:rsidRPr="001D771C">
        <w:rPr>
          <w:i/>
          <w:iCs/>
          <w:sz w:val="24"/>
          <w:szCs w:val="24"/>
        </w:rPr>
        <w:t>et al</w:t>
      </w:r>
      <w:r w:rsidR="001C1C2B" w:rsidRPr="001D771C">
        <w:rPr>
          <w:sz w:val="24"/>
          <w:szCs w:val="24"/>
        </w:rPr>
        <w:t>. 2025)</w:t>
      </w:r>
      <w:r w:rsidRPr="001D771C">
        <w:rPr>
          <w:sz w:val="24"/>
          <w:szCs w:val="24"/>
        </w:rPr>
        <w:t>. As I began to explore RRMC’s global competitiveness with its ownership structure, Goodwood manufacturing facility and the Bespoke personalisation approaches, I felt confident in terms of the wider exploration and detailed understanding of the subject with more analytical exploration for supporting the findings</w:t>
      </w:r>
      <w:r w:rsidR="001C1C2B" w:rsidRPr="001D771C">
        <w:rPr>
          <w:sz w:val="24"/>
          <w:szCs w:val="24"/>
        </w:rPr>
        <w:t xml:space="preserve"> (</w:t>
      </w:r>
      <w:proofErr w:type="spellStart"/>
      <w:r w:rsidR="001C1C2B" w:rsidRPr="001D771C">
        <w:rPr>
          <w:sz w:val="24"/>
          <w:szCs w:val="24"/>
        </w:rPr>
        <w:t>Trimasse</w:t>
      </w:r>
      <w:proofErr w:type="spellEnd"/>
      <w:r w:rsidR="001C1C2B" w:rsidRPr="001D771C">
        <w:rPr>
          <w:sz w:val="24"/>
          <w:szCs w:val="24"/>
        </w:rPr>
        <w:t>, 2025)</w:t>
      </w:r>
      <w:r w:rsidRPr="001D771C">
        <w:rPr>
          <w:sz w:val="24"/>
          <w:szCs w:val="24"/>
        </w:rPr>
        <w:t>. The Trump administration’s changing tariffs on imported vehicles, norms and related changes in rulings proved challenges in framing a single, clean and authoritative source for capturing the complete timeline. I even felt intellectually stretched by performing the Hofstede cultural dimension. As the score dimension of the cultural aspect had a significant impact on the overall RRMC’s Bespoke value proportion, I made a very careful and systematic explanation of the triangulation of the sources.</w:t>
      </w:r>
    </w:p>
    <w:p w14:paraId="35CC7695" w14:textId="77777777" w:rsidR="00873435" w:rsidRPr="001D771C" w:rsidRDefault="00EC3E47">
      <w:pPr>
        <w:spacing w:line="360" w:lineRule="auto"/>
        <w:jc w:val="both"/>
        <w:rPr>
          <w:b/>
          <w:bCs/>
          <w:sz w:val="24"/>
          <w:szCs w:val="24"/>
        </w:rPr>
      </w:pPr>
      <w:r w:rsidRPr="001D771C">
        <w:rPr>
          <w:b/>
          <w:bCs/>
          <w:sz w:val="24"/>
          <w:szCs w:val="24"/>
        </w:rPr>
        <w:t>Evaluation</w:t>
      </w:r>
    </w:p>
    <w:p w14:paraId="7FEDFC4E" w14:textId="62407BF1" w:rsidR="00873435" w:rsidRPr="001D771C" w:rsidRDefault="00EC3E47">
      <w:pPr>
        <w:spacing w:line="360" w:lineRule="auto"/>
        <w:jc w:val="both"/>
        <w:rPr>
          <w:b/>
          <w:bCs/>
          <w:sz w:val="24"/>
          <w:szCs w:val="24"/>
        </w:rPr>
      </w:pPr>
      <w:r w:rsidRPr="001D771C">
        <w:rPr>
          <w:sz w:val="24"/>
          <w:szCs w:val="24"/>
        </w:rPr>
        <w:t xml:space="preserve">I recognise that the most effective and strongest aspect of my research proceedings was the extent of commitment of using the various research sources and secondary data sources of recent times and the consistency in the </w:t>
      </w:r>
      <w:r w:rsidR="0037662E" w:rsidRPr="001D771C">
        <w:rPr>
          <w:sz w:val="24"/>
          <w:szCs w:val="24"/>
        </w:rPr>
        <w:t>interconnection</w:t>
      </w:r>
      <w:r w:rsidRPr="001D771C">
        <w:rPr>
          <w:sz w:val="24"/>
          <w:szCs w:val="24"/>
        </w:rPr>
        <w:t xml:space="preserve"> of the empirical evidence for forming a better application of theories and exercise</w:t>
      </w:r>
      <w:r w:rsidR="001C1C2B" w:rsidRPr="001D771C">
        <w:rPr>
          <w:sz w:val="24"/>
          <w:szCs w:val="24"/>
        </w:rPr>
        <w:t xml:space="preserve"> (Sow </w:t>
      </w:r>
      <w:r w:rsidR="001C1C2B" w:rsidRPr="001D771C">
        <w:rPr>
          <w:i/>
          <w:iCs/>
          <w:sz w:val="24"/>
          <w:szCs w:val="24"/>
        </w:rPr>
        <w:t>et al</w:t>
      </w:r>
      <w:r w:rsidR="001C1C2B" w:rsidRPr="001D771C">
        <w:rPr>
          <w:sz w:val="24"/>
          <w:szCs w:val="24"/>
        </w:rPr>
        <w:t>. 2025)</w:t>
      </w:r>
      <w:r w:rsidRPr="001D771C">
        <w:rPr>
          <w:sz w:val="24"/>
          <w:szCs w:val="24"/>
        </w:rPr>
        <w:t>. I am pleased with the aspect of how I engaged and applied the BCG report data in the application of Porter’s Diamond Demand Conditions analysis and the industry overview section. This report, with the comprehensive recent study on the US luxury and exotic car market, provided the various analytical significance of RRMC</w:t>
      </w:r>
      <w:r w:rsidR="001C1C2B" w:rsidRPr="001D771C">
        <w:rPr>
          <w:sz w:val="24"/>
          <w:szCs w:val="24"/>
        </w:rPr>
        <w:t xml:space="preserve"> (</w:t>
      </w:r>
      <w:proofErr w:type="spellStart"/>
      <w:r w:rsidR="001C1C2B" w:rsidRPr="001D771C">
        <w:rPr>
          <w:sz w:val="24"/>
          <w:szCs w:val="24"/>
        </w:rPr>
        <w:t>Ekarina</w:t>
      </w:r>
      <w:proofErr w:type="spellEnd"/>
      <w:r w:rsidR="001C1C2B" w:rsidRPr="001D771C">
        <w:rPr>
          <w:sz w:val="24"/>
          <w:szCs w:val="24"/>
        </w:rPr>
        <w:t xml:space="preserve"> and </w:t>
      </w:r>
      <w:proofErr w:type="spellStart"/>
      <w:r w:rsidR="001C1C2B" w:rsidRPr="001D771C">
        <w:rPr>
          <w:sz w:val="24"/>
          <w:szCs w:val="24"/>
        </w:rPr>
        <w:t>Engliana</w:t>
      </w:r>
      <w:proofErr w:type="spellEnd"/>
      <w:r w:rsidR="001C1C2B" w:rsidRPr="001D771C">
        <w:rPr>
          <w:sz w:val="24"/>
          <w:szCs w:val="24"/>
        </w:rPr>
        <w:t>, 2025)</w:t>
      </w:r>
      <w:r w:rsidRPr="001D771C">
        <w:rPr>
          <w:sz w:val="24"/>
          <w:szCs w:val="24"/>
        </w:rPr>
        <w:t xml:space="preserve">. The various sources of data identify that one in three luxury items cite emotional factors as the primary motivation, and buyers' experiences enhance the brand satisfaction. Weaving the digital findings strategically contributed towards the quality of my argument. On the negative aspect, I recognise that most of the contextual weakness lies in my process in terms of time allocation across diverse sections. </w:t>
      </w:r>
    </w:p>
    <w:p w14:paraId="67F535CB" w14:textId="77777777" w:rsidR="00873435" w:rsidRPr="001D771C" w:rsidRDefault="00EC3E47">
      <w:pPr>
        <w:spacing w:line="360" w:lineRule="auto"/>
        <w:jc w:val="both"/>
        <w:rPr>
          <w:b/>
          <w:bCs/>
          <w:sz w:val="24"/>
          <w:szCs w:val="24"/>
        </w:rPr>
      </w:pPr>
      <w:r w:rsidRPr="001D771C">
        <w:rPr>
          <w:b/>
          <w:bCs/>
          <w:sz w:val="24"/>
          <w:szCs w:val="24"/>
        </w:rPr>
        <w:t>Analysis</w:t>
      </w:r>
    </w:p>
    <w:p w14:paraId="451D9785" w14:textId="31DE1284" w:rsidR="00873435" w:rsidRPr="001D771C" w:rsidRDefault="00EC3E47">
      <w:pPr>
        <w:spacing w:line="360" w:lineRule="auto"/>
        <w:jc w:val="both"/>
        <w:rPr>
          <w:b/>
          <w:bCs/>
          <w:sz w:val="24"/>
          <w:szCs w:val="24"/>
        </w:rPr>
      </w:pPr>
      <w:r w:rsidRPr="001D771C">
        <w:rPr>
          <w:sz w:val="24"/>
          <w:szCs w:val="24"/>
        </w:rPr>
        <w:t xml:space="preserve">In the entire process of performing each section, I learned important lessons regarding the distinction between the descriptive evidence and analytical argument. In my overall analysis and application of the key theoretical frameworks, the related data requirements were defined, the explicitness in-depth understanding. I found myself well aligned with the listing statistics, data, and information in terms of sufficient connection with the </w:t>
      </w:r>
      <w:r w:rsidRPr="001D771C">
        <w:rPr>
          <w:sz w:val="24"/>
          <w:szCs w:val="24"/>
        </w:rPr>
        <w:lastRenderedPageBreak/>
        <w:t>module’s understanding of RRMC's specific strategic situation</w:t>
      </w:r>
      <w:r w:rsidR="001C1C2B" w:rsidRPr="001D771C">
        <w:rPr>
          <w:sz w:val="24"/>
          <w:szCs w:val="24"/>
        </w:rPr>
        <w:t xml:space="preserve"> (Cook and Sambell, 2025)</w:t>
      </w:r>
      <w:r w:rsidRPr="001D771C">
        <w:rPr>
          <w:sz w:val="24"/>
          <w:szCs w:val="24"/>
        </w:rPr>
        <w:t>. The detailed exploration of the U.S UHNWI clientele and the strategic demand for the luxury goods consumption make the inclusion of the data sources of RRMC in the luxury automobile sector well justifiable. I recognised the significance of the descriptive analysis and improved the quality of my argumentation. I now understand that through practice, instead of the theoretical application, it extensively emphasises the evaluation of factual reporting. The experience even deepened my overall value proposition and knowledge attribution in terms of the interconnectedness of various framework dimensions</w:t>
      </w:r>
      <w:r w:rsidR="001C1C2B" w:rsidRPr="001D771C">
        <w:rPr>
          <w:sz w:val="24"/>
          <w:szCs w:val="24"/>
        </w:rPr>
        <w:t xml:space="preserve"> (Wang, 2025)</w:t>
      </w:r>
      <w:r w:rsidRPr="001D771C">
        <w:rPr>
          <w:sz w:val="24"/>
          <w:szCs w:val="24"/>
        </w:rPr>
        <w:t xml:space="preserve">. The cross-dimensional connections contributed towards the final section's discussion and developed considerably in terms of analytical aspects, and I believe, more academically convincing. </w:t>
      </w:r>
    </w:p>
    <w:p w14:paraId="1B4A9CF0" w14:textId="77777777" w:rsidR="00873435" w:rsidRPr="001D771C" w:rsidRDefault="00EC3E47">
      <w:pPr>
        <w:spacing w:line="360" w:lineRule="auto"/>
        <w:jc w:val="both"/>
        <w:rPr>
          <w:b/>
          <w:bCs/>
          <w:sz w:val="24"/>
          <w:szCs w:val="24"/>
        </w:rPr>
      </w:pPr>
      <w:r w:rsidRPr="001D771C">
        <w:rPr>
          <w:b/>
          <w:bCs/>
          <w:sz w:val="24"/>
          <w:szCs w:val="24"/>
        </w:rPr>
        <w:t>Conclusion</w:t>
      </w:r>
    </w:p>
    <w:p w14:paraId="187371F1" w14:textId="0AD3416A" w:rsidR="00873435" w:rsidRPr="001D771C" w:rsidRDefault="00EC3E47">
      <w:pPr>
        <w:spacing w:line="360" w:lineRule="auto"/>
        <w:jc w:val="both"/>
        <w:rPr>
          <w:b/>
          <w:bCs/>
          <w:sz w:val="24"/>
          <w:szCs w:val="24"/>
        </w:rPr>
      </w:pPr>
      <w:r w:rsidRPr="001D771C">
        <w:rPr>
          <w:sz w:val="24"/>
          <w:szCs w:val="24"/>
        </w:rPr>
        <w:t xml:space="preserve">Through the extensive exploration and approach of performing the assignment, I recognise the key aspect of potential areas of change which could make substantive changes to my process. In the future such assignment tasks, I would begin the source research on retailers and more systematically for better exploration and </w:t>
      </w:r>
      <w:r w:rsidR="0037662E" w:rsidRPr="001D771C">
        <w:rPr>
          <w:sz w:val="24"/>
          <w:szCs w:val="24"/>
        </w:rPr>
        <w:t>value-based</w:t>
      </w:r>
      <w:r w:rsidRPr="001D771C">
        <w:rPr>
          <w:sz w:val="24"/>
          <w:szCs w:val="24"/>
        </w:rPr>
        <w:t xml:space="preserve"> discussion before undertaking tasks</w:t>
      </w:r>
      <w:r w:rsidR="001C1C2B" w:rsidRPr="001D771C">
        <w:rPr>
          <w:sz w:val="24"/>
          <w:szCs w:val="24"/>
        </w:rPr>
        <w:t xml:space="preserve"> (Shrestha, 2025)</w:t>
      </w:r>
      <w:r w:rsidRPr="001D771C">
        <w:rPr>
          <w:sz w:val="24"/>
          <w:szCs w:val="24"/>
        </w:rPr>
        <w:t xml:space="preserve">. This would significantly reduce the uneven quality misalignment and reduce the time for revision. I found that the BMW Group 2025 Annual Results, the RRMC January 2026 </w:t>
      </w:r>
      <w:r w:rsidR="00DB52A8" w:rsidRPr="001D771C">
        <w:rPr>
          <w:sz w:val="24"/>
          <w:szCs w:val="24"/>
        </w:rPr>
        <w:t>bespoke</w:t>
      </w:r>
      <w:r w:rsidRPr="001D771C">
        <w:rPr>
          <w:sz w:val="24"/>
          <w:szCs w:val="24"/>
        </w:rPr>
        <w:t xml:space="preserve"> press release</w:t>
      </w:r>
      <w:r w:rsidR="0037662E">
        <w:rPr>
          <w:sz w:val="24"/>
          <w:szCs w:val="24"/>
        </w:rPr>
        <w:t xml:space="preserve"> </w:t>
      </w:r>
      <w:r w:rsidRPr="001D771C">
        <w:rPr>
          <w:sz w:val="24"/>
          <w:szCs w:val="24"/>
        </w:rPr>
        <w:t>contained the most commercially specific and analytically distinctive RRMC data. In the prospect of various other performing tasks, I would allocate more time to the cross-reference for getting a nuanced understanding instead of relying on a particular source. At a deeper level, this assignment has permanently changed how I understand international business as a discipline</w:t>
      </w:r>
      <w:r w:rsidR="001C1C2B" w:rsidRPr="001D771C">
        <w:rPr>
          <w:sz w:val="24"/>
          <w:szCs w:val="24"/>
        </w:rPr>
        <w:t xml:space="preserve"> (Koch </w:t>
      </w:r>
      <w:r w:rsidR="001C1C2B" w:rsidRPr="001D771C">
        <w:rPr>
          <w:i/>
          <w:iCs/>
          <w:sz w:val="24"/>
          <w:szCs w:val="24"/>
        </w:rPr>
        <w:t>et al.</w:t>
      </w:r>
      <w:r w:rsidR="001C1C2B" w:rsidRPr="001D771C">
        <w:rPr>
          <w:sz w:val="24"/>
          <w:szCs w:val="24"/>
        </w:rPr>
        <w:t xml:space="preserve"> 2026)</w:t>
      </w:r>
      <w:r w:rsidRPr="001D771C">
        <w:rPr>
          <w:sz w:val="24"/>
          <w:szCs w:val="24"/>
        </w:rPr>
        <w:t>. I entered the module thinking of international business as primarily a subject about trade flows, market entry modes, and tariff structures. I leave it understanding that culture, identity, and human psychology are at least as commercial.</w:t>
      </w:r>
    </w:p>
    <w:p w14:paraId="5D5B0C7B" w14:textId="77777777" w:rsidR="00786531" w:rsidRDefault="00786531">
      <w:pPr>
        <w:rPr>
          <w:b/>
          <w:bCs/>
          <w:sz w:val="24"/>
          <w:szCs w:val="24"/>
        </w:rPr>
      </w:pPr>
      <w:r>
        <w:rPr>
          <w:b/>
          <w:bCs/>
          <w:sz w:val="24"/>
          <w:szCs w:val="24"/>
        </w:rPr>
        <w:br w:type="page"/>
      </w:r>
    </w:p>
    <w:p w14:paraId="71003774" w14:textId="270A9DF8" w:rsidR="006B6DA8" w:rsidRDefault="00EC3E47">
      <w:pPr>
        <w:spacing w:line="360" w:lineRule="auto"/>
        <w:jc w:val="both"/>
        <w:rPr>
          <w:b/>
          <w:bCs/>
          <w:sz w:val="24"/>
          <w:szCs w:val="24"/>
        </w:rPr>
      </w:pPr>
      <w:r w:rsidRPr="001D771C">
        <w:rPr>
          <w:b/>
          <w:bCs/>
          <w:sz w:val="24"/>
          <w:szCs w:val="24"/>
        </w:rPr>
        <w:lastRenderedPageBreak/>
        <w:t>Action Plan</w:t>
      </w:r>
    </w:p>
    <w:tbl>
      <w:tblPr>
        <w:tblW w:w="10490" w:type="dxa"/>
        <w:tblInd w:w="-575" w:type="dxa"/>
        <w:tblLayout w:type="fixed"/>
        <w:tblCellMar>
          <w:top w:w="15" w:type="dxa"/>
          <w:left w:w="15" w:type="dxa"/>
          <w:bottom w:w="15" w:type="dxa"/>
          <w:right w:w="15" w:type="dxa"/>
        </w:tblCellMar>
        <w:tblLook w:val="04A0" w:firstRow="1" w:lastRow="0" w:firstColumn="1" w:lastColumn="0" w:noHBand="0" w:noVBand="1"/>
      </w:tblPr>
      <w:tblGrid>
        <w:gridCol w:w="1843"/>
        <w:gridCol w:w="1843"/>
        <w:gridCol w:w="1417"/>
        <w:gridCol w:w="2754"/>
        <w:gridCol w:w="2633"/>
      </w:tblGrid>
      <w:tr w:rsidR="006B6DA8" w:rsidRPr="006B6DA8" w14:paraId="4B99465B" w14:textId="77777777" w:rsidTr="009251DC">
        <w:trPr>
          <w:trHeight w:val="660"/>
        </w:trPr>
        <w:tc>
          <w:tcPr>
            <w:tcW w:w="1843" w:type="dxa"/>
            <w:tcBorders>
              <w:top w:val="single" w:sz="6" w:space="0" w:color="CCCCCC"/>
              <w:left w:val="single" w:sz="6" w:space="0" w:color="CCCCCC"/>
              <w:bottom w:val="single" w:sz="6" w:space="0" w:color="CCCCCC"/>
              <w:right w:val="single" w:sz="6" w:space="0" w:color="CCCCCC"/>
            </w:tcBorders>
            <w:shd w:val="clear" w:color="auto" w:fill="1F3864"/>
            <w:tcMar>
              <w:top w:w="100" w:type="dxa"/>
              <w:left w:w="120" w:type="dxa"/>
              <w:bottom w:w="100" w:type="dxa"/>
              <w:right w:w="120" w:type="dxa"/>
            </w:tcMar>
          </w:tcPr>
          <w:p w14:paraId="0E4CF041" w14:textId="42653319" w:rsidR="006B6DA8" w:rsidRPr="00C06B31" w:rsidRDefault="006B6DA8" w:rsidP="00F2023C">
            <w:pPr>
              <w:spacing w:before="80" w:after="40" w:line="240" w:lineRule="auto"/>
              <w:rPr>
                <w:b/>
                <w:bCs/>
                <w:sz w:val="24"/>
                <w:szCs w:val="24"/>
              </w:rPr>
            </w:pPr>
            <w:r w:rsidRPr="00C06B31">
              <w:rPr>
                <w:b/>
                <w:bCs/>
                <w:sz w:val="24"/>
                <w:szCs w:val="24"/>
              </w:rPr>
              <w:t xml:space="preserve"> Goal</w:t>
            </w:r>
          </w:p>
        </w:tc>
        <w:tc>
          <w:tcPr>
            <w:tcW w:w="1843" w:type="dxa"/>
            <w:tcBorders>
              <w:top w:val="single" w:sz="6" w:space="0" w:color="CCCCCC"/>
              <w:left w:val="single" w:sz="6" w:space="0" w:color="CCCCCC"/>
              <w:bottom w:val="single" w:sz="6" w:space="0" w:color="CCCCCC"/>
              <w:right w:val="single" w:sz="6" w:space="0" w:color="CCCCCC"/>
            </w:tcBorders>
            <w:shd w:val="clear" w:color="auto" w:fill="1F3864"/>
            <w:tcMar>
              <w:top w:w="100" w:type="dxa"/>
              <w:left w:w="120" w:type="dxa"/>
              <w:bottom w:w="100" w:type="dxa"/>
              <w:right w:w="120" w:type="dxa"/>
            </w:tcMar>
          </w:tcPr>
          <w:p w14:paraId="38A9B386" w14:textId="3F66211F" w:rsidR="006B6DA8" w:rsidRPr="00C06B31" w:rsidRDefault="006B6DA8" w:rsidP="00F2023C">
            <w:pPr>
              <w:spacing w:before="80" w:after="40" w:line="240" w:lineRule="auto"/>
              <w:rPr>
                <w:b/>
                <w:bCs/>
                <w:sz w:val="24"/>
                <w:szCs w:val="24"/>
              </w:rPr>
            </w:pPr>
            <w:r w:rsidRPr="00C06B31">
              <w:rPr>
                <w:b/>
                <w:bCs/>
                <w:sz w:val="24"/>
                <w:szCs w:val="24"/>
              </w:rPr>
              <w:t>Action Steps</w:t>
            </w:r>
          </w:p>
        </w:tc>
        <w:tc>
          <w:tcPr>
            <w:tcW w:w="1417" w:type="dxa"/>
            <w:tcBorders>
              <w:top w:val="single" w:sz="6" w:space="0" w:color="CCCCCC"/>
              <w:left w:val="single" w:sz="6" w:space="0" w:color="CCCCCC"/>
              <w:bottom w:val="single" w:sz="6" w:space="0" w:color="CCCCCC"/>
              <w:right w:val="single" w:sz="6" w:space="0" w:color="CCCCCC"/>
            </w:tcBorders>
            <w:shd w:val="clear" w:color="auto" w:fill="1F3864"/>
            <w:tcMar>
              <w:top w:w="100" w:type="dxa"/>
              <w:left w:w="120" w:type="dxa"/>
              <w:bottom w:w="100" w:type="dxa"/>
              <w:right w:w="120" w:type="dxa"/>
            </w:tcMar>
          </w:tcPr>
          <w:p w14:paraId="6158E136" w14:textId="78E296CD" w:rsidR="006B6DA8" w:rsidRPr="00C06B31" w:rsidRDefault="006B6DA8" w:rsidP="00F2023C">
            <w:pPr>
              <w:spacing w:before="80" w:after="40" w:line="240" w:lineRule="auto"/>
              <w:rPr>
                <w:b/>
                <w:bCs/>
                <w:sz w:val="24"/>
                <w:szCs w:val="24"/>
              </w:rPr>
            </w:pPr>
            <w:r w:rsidRPr="00C06B31">
              <w:rPr>
                <w:b/>
                <w:bCs/>
                <w:sz w:val="24"/>
                <w:szCs w:val="24"/>
              </w:rPr>
              <w:t>Resources Needed</w:t>
            </w:r>
          </w:p>
        </w:tc>
        <w:tc>
          <w:tcPr>
            <w:tcW w:w="2754" w:type="dxa"/>
            <w:tcBorders>
              <w:top w:val="single" w:sz="6" w:space="0" w:color="CCCCCC"/>
              <w:left w:val="single" w:sz="6" w:space="0" w:color="CCCCCC"/>
              <w:bottom w:val="single" w:sz="6" w:space="0" w:color="CCCCCC"/>
              <w:right w:val="single" w:sz="6" w:space="0" w:color="CCCCCC"/>
            </w:tcBorders>
            <w:shd w:val="clear" w:color="auto" w:fill="1F3864"/>
            <w:tcMar>
              <w:top w:w="100" w:type="dxa"/>
              <w:left w:w="120" w:type="dxa"/>
              <w:bottom w:w="100" w:type="dxa"/>
              <w:right w:w="120" w:type="dxa"/>
            </w:tcMar>
          </w:tcPr>
          <w:p w14:paraId="29C4C40A" w14:textId="5C5EAE61" w:rsidR="006B6DA8" w:rsidRPr="00C06B31" w:rsidRDefault="006B6DA8" w:rsidP="00F2023C">
            <w:pPr>
              <w:spacing w:before="80" w:after="40" w:line="240" w:lineRule="auto"/>
              <w:rPr>
                <w:b/>
                <w:bCs/>
                <w:sz w:val="24"/>
                <w:szCs w:val="24"/>
              </w:rPr>
            </w:pPr>
            <w:r w:rsidRPr="00C06B31">
              <w:rPr>
                <w:b/>
                <w:bCs/>
                <w:sz w:val="24"/>
                <w:szCs w:val="24"/>
              </w:rPr>
              <w:t>Success Measure</w:t>
            </w:r>
          </w:p>
        </w:tc>
        <w:tc>
          <w:tcPr>
            <w:tcW w:w="2633" w:type="dxa"/>
            <w:tcBorders>
              <w:top w:val="single" w:sz="6" w:space="0" w:color="CCCCCC"/>
              <w:left w:val="single" w:sz="6" w:space="0" w:color="CCCCCC"/>
              <w:bottom w:val="single" w:sz="6" w:space="0" w:color="CCCCCC"/>
              <w:right w:val="single" w:sz="6" w:space="0" w:color="CCCCCC"/>
            </w:tcBorders>
            <w:shd w:val="clear" w:color="auto" w:fill="1F3864"/>
            <w:tcMar>
              <w:top w:w="100" w:type="dxa"/>
              <w:left w:w="120" w:type="dxa"/>
              <w:bottom w:w="100" w:type="dxa"/>
              <w:right w:w="120" w:type="dxa"/>
            </w:tcMar>
          </w:tcPr>
          <w:p w14:paraId="7CA16AED" w14:textId="04D6ED3D" w:rsidR="006B6DA8" w:rsidRPr="00C06B31" w:rsidRDefault="006B6DA8" w:rsidP="00F2023C">
            <w:pPr>
              <w:spacing w:before="80" w:after="40" w:line="240" w:lineRule="auto"/>
              <w:rPr>
                <w:b/>
                <w:bCs/>
                <w:sz w:val="24"/>
                <w:szCs w:val="24"/>
              </w:rPr>
            </w:pPr>
            <w:r w:rsidRPr="00C06B31">
              <w:rPr>
                <w:b/>
                <w:bCs/>
                <w:sz w:val="24"/>
                <w:szCs w:val="24"/>
              </w:rPr>
              <w:t>Timeline</w:t>
            </w:r>
          </w:p>
        </w:tc>
      </w:tr>
      <w:tr w:rsidR="006B6DA8" w:rsidRPr="006B6DA8" w14:paraId="752B76DB" w14:textId="77777777" w:rsidTr="009251DC">
        <w:trPr>
          <w:trHeight w:val="1136"/>
        </w:trPr>
        <w:tc>
          <w:tcPr>
            <w:tcW w:w="1843" w:type="dxa"/>
            <w:tcBorders>
              <w:top w:val="single" w:sz="6" w:space="0" w:color="CCCCCC"/>
              <w:left w:val="single" w:sz="6" w:space="0" w:color="CCCCCC"/>
              <w:bottom w:val="single" w:sz="6" w:space="0" w:color="CCCCCC"/>
              <w:right w:val="single" w:sz="6" w:space="0" w:color="CCCCCC"/>
            </w:tcBorders>
            <w:shd w:val="clear" w:color="auto" w:fill="D6E4F0"/>
            <w:tcMar>
              <w:top w:w="100" w:type="dxa"/>
              <w:left w:w="120" w:type="dxa"/>
              <w:bottom w:w="100" w:type="dxa"/>
              <w:right w:w="120" w:type="dxa"/>
            </w:tcMar>
            <w:hideMark/>
          </w:tcPr>
          <w:p w14:paraId="7000D085" w14:textId="77777777" w:rsidR="006B6DA8" w:rsidRPr="00C06B31" w:rsidRDefault="006B6DA8" w:rsidP="00F2023C">
            <w:pPr>
              <w:spacing w:before="80" w:after="40" w:line="240" w:lineRule="auto"/>
              <w:rPr>
                <w:sz w:val="24"/>
                <w:szCs w:val="24"/>
              </w:rPr>
            </w:pPr>
            <w:r w:rsidRPr="00C06B31">
              <w:rPr>
                <w:b/>
                <w:bCs/>
                <w:sz w:val="24"/>
                <w:szCs w:val="24"/>
              </w:rPr>
              <w:t>1. Time Management</w:t>
            </w:r>
          </w:p>
        </w:tc>
        <w:tc>
          <w:tcPr>
            <w:tcW w:w="1843" w:type="dxa"/>
            <w:tcBorders>
              <w:top w:val="single" w:sz="6" w:space="0" w:color="CCCCCC"/>
              <w:left w:val="single" w:sz="6" w:space="0" w:color="CCCCCC"/>
              <w:bottom w:val="single" w:sz="6" w:space="0" w:color="CCCCCC"/>
              <w:right w:val="single" w:sz="6" w:space="0" w:color="CCCCCC"/>
            </w:tcBorders>
            <w:shd w:val="clear" w:color="auto" w:fill="EEF3FA"/>
            <w:tcMar>
              <w:top w:w="100" w:type="dxa"/>
              <w:left w:w="120" w:type="dxa"/>
              <w:bottom w:w="100" w:type="dxa"/>
              <w:right w:w="120" w:type="dxa"/>
            </w:tcMar>
            <w:hideMark/>
          </w:tcPr>
          <w:p w14:paraId="6A4C7706" w14:textId="3F6706E9" w:rsidR="006B6DA8" w:rsidRPr="00C06B31" w:rsidRDefault="006B6DA8" w:rsidP="00F2023C">
            <w:pPr>
              <w:spacing w:before="80" w:after="40" w:line="240" w:lineRule="auto"/>
              <w:rPr>
                <w:sz w:val="24"/>
                <w:szCs w:val="24"/>
              </w:rPr>
            </w:pPr>
            <w:r w:rsidRPr="00C06B31">
              <w:rPr>
                <w:sz w:val="24"/>
                <w:szCs w:val="24"/>
              </w:rPr>
              <w:t>Create a weekly study planner at the start of each module</w:t>
            </w:r>
          </w:p>
        </w:tc>
        <w:tc>
          <w:tcPr>
            <w:tcW w:w="1417" w:type="dxa"/>
            <w:tcBorders>
              <w:top w:val="single" w:sz="6" w:space="0" w:color="CCCCCC"/>
              <w:left w:val="single" w:sz="6" w:space="0" w:color="CCCCCC"/>
              <w:bottom w:val="single" w:sz="6" w:space="0" w:color="CCCCCC"/>
              <w:right w:val="single" w:sz="6" w:space="0" w:color="CCCCCC"/>
            </w:tcBorders>
            <w:shd w:val="clear" w:color="auto" w:fill="EEF3FA"/>
            <w:tcMar>
              <w:top w:w="100" w:type="dxa"/>
              <w:left w:w="120" w:type="dxa"/>
              <w:bottom w:w="100" w:type="dxa"/>
              <w:right w:w="120" w:type="dxa"/>
            </w:tcMar>
            <w:hideMark/>
          </w:tcPr>
          <w:p w14:paraId="3008971B" w14:textId="63AF0B72" w:rsidR="006B6DA8" w:rsidRPr="00C06B31" w:rsidRDefault="006B6DA8" w:rsidP="00F2023C">
            <w:pPr>
              <w:spacing w:before="80" w:after="40" w:line="240" w:lineRule="auto"/>
              <w:rPr>
                <w:sz w:val="24"/>
                <w:szCs w:val="24"/>
              </w:rPr>
            </w:pPr>
            <w:r w:rsidRPr="00C06B31">
              <w:rPr>
                <w:sz w:val="24"/>
                <w:szCs w:val="24"/>
              </w:rPr>
              <w:t xml:space="preserve">Google Calendar </w:t>
            </w:r>
          </w:p>
        </w:tc>
        <w:tc>
          <w:tcPr>
            <w:tcW w:w="2754" w:type="dxa"/>
            <w:tcBorders>
              <w:top w:val="single" w:sz="6" w:space="0" w:color="CCCCCC"/>
              <w:left w:val="single" w:sz="6" w:space="0" w:color="CCCCCC"/>
              <w:bottom w:val="single" w:sz="6" w:space="0" w:color="CCCCCC"/>
              <w:right w:val="single" w:sz="6" w:space="0" w:color="CCCCCC"/>
            </w:tcBorders>
            <w:shd w:val="clear" w:color="auto" w:fill="EEF3FA"/>
            <w:tcMar>
              <w:top w:w="100" w:type="dxa"/>
              <w:left w:w="120" w:type="dxa"/>
              <w:bottom w:w="100" w:type="dxa"/>
              <w:right w:w="120" w:type="dxa"/>
            </w:tcMar>
            <w:hideMark/>
          </w:tcPr>
          <w:p w14:paraId="5499B1D0" w14:textId="4D56FE5D" w:rsidR="006B6DA8" w:rsidRPr="00C06B31" w:rsidRDefault="006B6DA8" w:rsidP="00F2023C">
            <w:pPr>
              <w:spacing w:before="80" w:after="40" w:line="240" w:lineRule="auto"/>
              <w:rPr>
                <w:sz w:val="24"/>
                <w:szCs w:val="24"/>
              </w:rPr>
            </w:pPr>
            <w:r w:rsidRPr="00C06B31">
              <w:rPr>
                <w:sz w:val="24"/>
                <w:szCs w:val="24"/>
              </w:rPr>
              <w:t xml:space="preserve">Zero late submissions in the next academic year. </w:t>
            </w:r>
          </w:p>
        </w:tc>
        <w:tc>
          <w:tcPr>
            <w:tcW w:w="2633" w:type="dxa"/>
            <w:tcBorders>
              <w:top w:val="single" w:sz="6" w:space="0" w:color="CCCCCC"/>
              <w:left w:val="single" w:sz="6" w:space="0" w:color="CCCCCC"/>
              <w:bottom w:val="single" w:sz="6" w:space="0" w:color="CCCCCC"/>
              <w:right w:val="single" w:sz="6" w:space="0" w:color="CCCCCC"/>
            </w:tcBorders>
            <w:shd w:val="clear" w:color="auto" w:fill="EEF3FA"/>
            <w:tcMar>
              <w:top w:w="100" w:type="dxa"/>
              <w:left w:w="120" w:type="dxa"/>
              <w:bottom w:w="100" w:type="dxa"/>
              <w:right w:w="120" w:type="dxa"/>
            </w:tcMar>
            <w:hideMark/>
          </w:tcPr>
          <w:p w14:paraId="27474B96" w14:textId="77777777" w:rsidR="006B6DA8" w:rsidRPr="00C06B31" w:rsidRDefault="006B6DA8" w:rsidP="00F2023C">
            <w:pPr>
              <w:spacing w:before="80" w:after="40" w:line="240" w:lineRule="auto"/>
              <w:rPr>
                <w:sz w:val="24"/>
                <w:szCs w:val="24"/>
              </w:rPr>
            </w:pPr>
            <w:r w:rsidRPr="00C06B31">
              <w:rPr>
                <w:sz w:val="24"/>
                <w:szCs w:val="24"/>
              </w:rPr>
              <w:t>Implement from next module. Review adherence after each submission throughout the academic year.</w:t>
            </w:r>
          </w:p>
        </w:tc>
      </w:tr>
      <w:tr w:rsidR="006B6DA8" w:rsidRPr="006B6DA8" w14:paraId="225A6447" w14:textId="77777777" w:rsidTr="009251DC">
        <w:trPr>
          <w:trHeight w:val="1136"/>
        </w:trPr>
        <w:tc>
          <w:tcPr>
            <w:tcW w:w="1843" w:type="dxa"/>
            <w:tcBorders>
              <w:top w:val="single" w:sz="6" w:space="0" w:color="CCCCCC"/>
              <w:left w:val="single" w:sz="6" w:space="0" w:color="CCCCCC"/>
              <w:bottom w:val="single" w:sz="6" w:space="0" w:color="CCCCCC"/>
              <w:right w:val="single" w:sz="6" w:space="0" w:color="CCCCCC"/>
            </w:tcBorders>
            <w:shd w:val="clear" w:color="auto" w:fill="D6E4F0"/>
            <w:tcMar>
              <w:top w:w="100" w:type="dxa"/>
              <w:left w:w="120" w:type="dxa"/>
              <w:bottom w:w="100" w:type="dxa"/>
              <w:right w:w="120" w:type="dxa"/>
            </w:tcMar>
          </w:tcPr>
          <w:p w14:paraId="09AAD9B8" w14:textId="1018F1DA" w:rsidR="006B6DA8" w:rsidRPr="00C06B31" w:rsidRDefault="006B6DA8" w:rsidP="00F2023C">
            <w:pPr>
              <w:spacing w:before="80" w:after="40" w:line="240" w:lineRule="auto"/>
              <w:rPr>
                <w:b/>
                <w:bCs/>
                <w:sz w:val="24"/>
                <w:szCs w:val="24"/>
              </w:rPr>
            </w:pPr>
            <w:r w:rsidRPr="00C06B31">
              <w:rPr>
                <w:b/>
                <w:bCs/>
                <w:sz w:val="24"/>
                <w:szCs w:val="24"/>
              </w:rPr>
              <w:t>2. Reference Management</w:t>
            </w:r>
          </w:p>
        </w:tc>
        <w:tc>
          <w:tcPr>
            <w:tcW w:w="1843" w:type="dxa"/>
            <w:tcBorders>
              <w:top w:val="single" w:sz="6" w:space="0" w:color="CCCCCC"/>
              <w:left w:val="single" w:sz="6" w:space="0" w:color="CCCCCC"/>
              <w:bottom w:val="single" w:sz="6" w:space="0" w:color="CCCCCC"/>
              <w:right w:val="single" w:sz="6" w:space="0" w:color="CCCCCC"/>
            </w:tcBorders>
            <w:shd w:val="clear" w:color="auto" w:fill="EEF3FA"/>
            <w:tcMar>
              <w:top w:w="100" w:type="dxa"/>
              <w:left w:w="120" w:type="dxa"/>
              <w:bottom w:w="100" w:type="dxa"/>
              <w:right w:w="120" w:type="dxa"/>
            </w:tcMar>
          </w:tcPr>
          <w:p w14:paraId="7A6F0B22" w14:textId="619D8966" w:rsidR="006B6DA8" w:rsidRPr="00C06B31" w:rsidRDefault="006B6DA8" w:rsidP="00F2023C">
            <w:pPr>
              <w:spacing w:before="80" w:after="40" w:line="240" w:lineRule="auto"/>
              <w:rPr>
                <w:sz w:val="24"/>
                <w:szCs w:val="24"/>
              </w:rPr>
            </w:pPr>
            <w:r w:rsidRPr="00C06B31">
              <w:rPr>
                <w:sz w:val="24"/>
                <w:szCs w:val="24"/>
              </w:rPr>
              <w:t>Adopt a dedicated reference manager</w:t>
            </w:r>
          </w:p>
        </w:tc>
        <w:tc>
          <w:tcPr>
            <w:tcW w:w="1417" w:type="dxa"/>
            <w:tcBorders>
              <w:top w:val="single" w:sz="6" w:space="0" w:color="CCCCCC"/>
              <w:left w:val="single" w:sz="6" w:space="0" w:color="CCCCCC"/>
              <w:bottom w:val="single" w:sz="6" w:space="0" w:color="CCCCCC"/>
              <w:right w:val="single" w:sz="6" w:space="0" w:color="CCCCCC"/>
            </w:tcBorders>
            <w:shd w:val="clear" w:color="auto" w:fill="EEF3FA"/>
            <w:tcMar>
              <w:top w:w="100" w:type="dxa"/>
              <w:left w:w="120" w:type="dxa"/>
              <w:bottom w:w="100" w:type="dxa"/>
              <w:right w:w="120" w:type="dxa"/>
            </w:tcMar>
          </w:tcPr>
          <w:p w14:paraId="6F013205" w14:textId="0CDE7438" w:rsidR="006B6DA8" w:rsidRPr="00C06B31" w:rsidRDefault="006B6DA8" w:rsidP="00F2023C">
            <w:pPr>
              <w:spacing w:before="80" w:after="40" w:line="240" w:lineRule="auto"/>
              <w:rPr>
                <w:sz w:val="24"/>
                <w:szCs w:val="24"/>
              </w:rPr>
            </w:pPr>
            <w:r w:rsidRPr="00C06B31">
              <w:rPr>
                <w:sz w:val="24"/>
                <w:szCs w:val="24"/>
              </w:rPr>
              <w:t xml:space="preserve">Zotero (free) </w:t>
            </w:r>
          </w:p>
        </w:tc>
        <w:tc>
          <w:tcPr>
            <w:tcW w:w="2754" w:type="dxa"/>
            <w:tcBorders>
              <w:top w:val="single" w:sz="6" w:space="0" w:color="CCCCCC"/>
              <w:left w:val="single" w:sz="6" w:space="0" w:color="CCCCCC"/>
              <w:bottom w:val="single" w:sz="6" w:space="0" w:color="CCCCCC"/>
              <w:right w:val="single" w:sz="6" w:space="0" w:color="CCCCCC"/>
            </w:tcBorders>
            <w:shd w:val="clear" w:color="auto" w:fill="EEF3FA"/>
            <w:tcMar>
              <w:top w:w="100" w:type="dxa"/>
              <w:left w:w="120" w:type="dxa"/>
              <w:bottom w:w="100" w:type="dxa"/>
              <w:right w:w="120" w:type="dxa"/>
            </w:tcMar>
          </w:tcPr>
          <w:p w14:paraId="1BE8E826" w14:textId="4D1D3D8B" w:rsidR="006B6DA8" w:rsidRPr="00C06B31" w:rsidRDefault="006B6DA8" w:rsidP="00F2023C">
            <w:pPr>
              <w:spacing w:before="80" w:after="40" w:line="240" w:lineRule="auto"/>
              <w:rPr>
                <w:sz w:val="24"/>
                <w:szCs w:val="24"/>
              </w:rPr>
            </w:pPr>
            <w:r w:rsidRPr="00C06B31">
              <w:rPr>
                <w:sz w:val="24"/>
                <w:szCs w:val="24"/>
              </w:rPr>
              <w:t>Reference list submitted with no formatting errors</w:t>
            </w:r>
          </w:p>
        </w:tc>
        <w:tc>
          <w:tcPr>
            <w:tcW w:w="2633" w:type="dxa"/>
            <w:tcBorders>
              <w:top w:val="single" w:sz="6" w:space="0" w:color="CCCCCC"/>
              <w:left w:val="single" w:sz="6" w:space="0" w:color="CCCCCC"/>
              <w:bottom w:val="single" w:sz="6" w:space="0" w:color="CCCCCC"/>
              <w:right w:val="single" w:sz="6" w:space="0" w:color="CCCCCC"/>
            </w:tcBorders>
            <w:shd w:val="clear" w:color="auto" w:fill="EEF3FA"/>
            <w:tcMar>
              <w:top w:w="100" w:type="dxa"/>
              <w:left w:w="120" w:type="dxa"/>
              <w:bottom w:w="100" w:type="dxa"/>
              <w:right w:w="120" w:type="dxa"/>
            </w:tcMar>
          </w:tcPr>
          <w:p w14:paraId="511EB6DF" w14:textId="75CED5FC" w:rsidR="006B6DA8" w:rsidRPr="00C06B31" w:rsidRDefault="006B6DA8" w:rsidP="00F2023C">
            <w:pPr>
              <w:spacing w:before="80" w:after="40" w:line="240" w:lineRule="auto"/>
              <w:rPr>
                <w:sz w:val="24"/>
                <w:szCs w:val="24"/>
              </w:rPr>
            </w:pPr>
            <w:r w:rsidRPr="00C06B31">
              <w:rPr>
                <w:sz w:val="24"/>
                <w:szCs w:val="24"/>
              </w:rPr>
              <w:t xml:space="preserve">Set up Zotero account </w:t>
            </w:r>
          </w:p>
        </w:tc>
      </w:tr>
      <w:tr w:rsidR="006B6DA8" w:rsidRPr="006B6DA8" w14:paraId="6AD68A19" w14:textId="77777777" w:rsidTr="009251DC">
        <w:trPr>
          <w:trHeight w:val="1136"/>
        </w:trPr>
        <w:tc>
          <w:tcPr>
            <w:tcW w:w="1843" w:type="dxa"/>
            <w:tcBorders>
              <w:top w:val="single" w:sz="6" w:space="0" w:color="CCCCCC"/>
              <w:left w:val="single" w:sz="6" w:space="0" w:color="CCCCCC"/>
              <w:bottom w:val="single" w:sz="6" w:space="0" w:color="CCCCCC"/>
              <w:right w:val="single" w:sz="6" w:space="0" w:color="CCCCCC"/>
            </w:tcBorders>
            <w:shd w:val="clear" w:color="auto" w:fill="D6E4F0"/>
            <w:tcMar>
              <w:top w:w="100" w:type="dxa"/>
              <w:left w:w="120" w:type="dxa"/>
              <w:bottom w:w="100" w:type="dxa"/>
              <w:right w:w="120" w:type="dxa"/>
            </w:tcMar>
          </w:tcPr>
          <w:p w14:paraId="71A153EC" w14:textId="6F3264A4" w:rsidR="006B6DA8" w:rsidRPr="00C06B31" w:rsidRDefault="006B6DA8" w:rsidP="00F2023C">
            <w:pPr>
              <w:spacing w:before="80" w:after="40" w:line="240" w:lineRule="auto"/>
              <w:rPr>
                <w:b/>
                <w:bCs/>
                <w:sz w:val="24"/>
                <w:szCs w:val="24"/>
              </w:rPr>
            </w:pPr>
            <w:r w:rsidRPr="00C06B31">
              <w:rPr>
                <w:b/>
                <w:bCs/>
                <w:sz w:val="24"/>
                <w:szCs w:val="24"/>
              </w:rPr>
              <w:t>3. Pre-Research Planning</w:t>
            </w:r>
          </w:p>
        </w:tc>
        <w:tc>
          <w:tcPr>
            <w:tcW w:w="1843" w:type="dxa"/>
            <w:tcBorders>
              <w:top w:val="single" w:sz="6" w:space="0" w:color="CCCCCC"/>
              <w:left w:val="single" w:sz="6" w:space="0" w:color="CCCCCC"/>
              <w:bottom w:val="single" w:sz="6" w:space="0" w:color="CCCCCC"/>
              <w:right w:val="single" w:sz="6" w:space="0" w:color="CCCCCC"/>
            </w:tcBorders>
            <w:shd w:val="clear" w:color="auto" w:fill="EEF3FA"/>
            <w:tcMar>
              <w:top w:w="100" w:type="dxa"/>
              <w:left w:w="120" w:type="dxa"/>
              <w:bottom w:w="100" w:type="dxa"/>
              <w:right w:w="120" w:type="dxa"/>
            </w:tcMar>
          </w:tcPr>
          <w:p w14:paraId="551D8503" w14:textId="7C346CDC" w:rsidR="006B6DA8" w:rsidRPr="00C06B31" w:rsidRDefault="006B6DA8" w:rsidP="00F2023C">
            <w:pPr>
              <w:spacing w:before="80" w:after="40" w:line="240" w:lineRule="auto"/>
              <w:rPr>
                <w:sz w:val="24"/>
                <w:szCs w:val="24"/>
              </w:rPr>
            </w:pPr>
            <w:r w:rsidRPr="00C06B31">
              <w:rPr>
                <w:sz w:val="24"/>
                <w:szCs w:val="24"/>
              </w:rPr>
              <w:t>Build a structured research matrix before writing any assignment sectio</w:t>
            </w:r>
            <w:r>
              <w:rPr>
                <w:sz w:val="24"/>
                <w:szCs w:val="24"/>
              </w:rPr>
              <w:t>n</w:t>
            </w:r>
          </w:p>
        </w:tc>
        <w:tc>
          <w:tcPr>
            <w:tcW w:w="1417" w:type="dxa"/>
            <w:tcBorders>
              <w:top w:val="single" w:sz="6" w:space="0" w:color="CCCCCC"/>
              <w:left w:val="single" w:sz="6" w:space="0" w:color="CCCCCC"/>
              <w:bottom w:val="single" w:sz="6" w:space="0" w:color="CCCCCC"/>
              <w:right w:val="single" w:sz="6" w:space="0" w:color="CCCCCC"/>
            </w:tcBorders>
            <w:shd w:val="clear" w:color="auto" w:fill="EEF3FA"/>
            <w:tcMar>
              <w:top w:w="100" w:type="dxa"/>
              <w:left w:w="120" w:type="dxa"/>
              <w:bottom w:w="100" w:type="dxa"/>
              <w:right w:w="120" w:type="dxa"/>
            </w:tcMar>
          </w:tcPr>
          <w:p w14:paraId="427D8734" w14:textId="53FF72E0" w:rsidR="006B6DA8" w:rsidRPr="00C06B31" w:rsidRDefault="006B6DA8" w:rsidP="00F2023C">
            <w:pPr>
              <w:spacing w:before="80" w:after="40" w:line="240" w:lineRule="auto"/>
              <w:rPr>
                <w:sz w:val="24"/>
                <w:szCs w:val="24"/>
              </w:rPr>
            </w:pPr>
            <w:r w:rsidRPr="00C06B31">
              <w:rPr>
                <w:sz w:val="24"/>
                <w:szCs w:val="24"/>
              </w:rPr>
              <w:t>Research matrix template</w:t>
            </w:r>
          </w:p>
        </w:tc>
        <w:tc>
          <w:tcPr>
            <w:tcW w:w="2754" w:type="dxa"/>
            <w:tcBorders>
              <w:top w:val="single" w:sz="6" w:space="0" w:color="CCCCCC"/>
              <w:left w:val="single" w:sz="6" w:space="0" w:color="CCCCCC"/>
              <w:bottom w:val="single" w:sz="6" w:space="0" w:color="CCCCCC"/>
              <w:right w:val="single" w:sz="6" w:space="0" w:color="CCCCCC"/>
            </w:tcBorders>
            <w:shd w:val="clear" w:color="auto" w:fill="EEF3FA"/>
            <w:tcMar>
              <w:top w:w="100" w:type="dxa"/>
              <w:left w:w="120" w:type="dxa"/>
              <w:bottom w:w="100" w:type="dxa"/>
              <w:right w:w="120" w:type="dxa"/>
            </w:tcMar>
          </w:tcPr>
          <w:p w14:paraId="64B8A47D" w14:textId="1E60950A" w:rsidR="006B6DA8" w:rsidRPr="00C06B31" w:rsidRDefault="006B6DA8" w:rsidP="00F2023C">
            <w:pPr>
              <w:spacing w:before="80" w:after="40" w:line="240" w:lineRule="auto"/>
              <w:rPr>
                <w:sz w:val="24"/>
                <w:szCs w:val="24"/>
              </w:rPr>
            </w:pPr>
            <w:r w:rsidRPr="00C06B31">
              <w:rPr>
                <w:sz w:val="24"/>
                <w:szCs w:val="24"/>
              </w:rPr>
              <w:t xml:space="preserve">Completed research matrix submitted to self as a pre-writing checkpoint. Assignment section quality assessed against matrix </w:t>
            </w:r>
          </w:p>
        </w:tc>
        <w:tc>
          <w:tcPr>
            <w:tcW w:w="2633" w:type="dxa"/>
            <w:tcBorders>
              <w:top w:val="single" w:sz="6" w:space="0" w:color="CCCCCC"/>
              <w:left w:val="single" w:sz="6" w:space="0" w:color="CCCCCC"/>
              <w:bottom w:val="single" w:sz="6" w:space="0" w:color="CCCCCC"/>
              <w:right w:val="single" w:sz="6" w:space="0" w:color="CCCCCC"/>
            </w:tcBorders>
            <w:shd w:val="clear" w:color="auto" w:fill="EEF3FA"/>
            <w:tcMar>
              <w:top w:w="100" w:type="dxa"/>
              <w:left w:w="120" w:type="dxa"/>
              <w:bottom w:w="100" w:type="dxa"/>
              <w:right w:w="120" w:type="dxa"/>
            </w:tcMar>
          </w:tcPr>
          <w:p w14:paraId="1A8B3E02" w14:textId="59E0AB1D" w:rsidR="006B6DA8" w:rsidRPr="00C06B31" w:rsidRDefault="006B6DA8" w:rsidP="00F2023C">
            <w:pPr>
              <w:spacing w:before="80" w:after="40" w:line="240" w:lineRule="auto"/>
              <w:rPr>
                <w:sz w:val="24"/>
                <w:szCs w:val="24"/>
              </w:rPr>
            </w:pPr>
            <w:r w:rsidRPr="00C06B31">
              <w:rPr>
                <w:sz w:val="24"/>
                <w:szCs w:val="24"/>
              </w:rPr>
              <w:t>Apply to the next module assignment. Review and refine the matrix template after each submission based on what was missing.</w:t>
            </w:r>
          </w:p>
        </w:tc>
      </w:tr>
    </w:tbl>
    <w:p w14:paraId="5234C424" w14:textId="77777777" w:rsidR="00873435" w:rsidRPr="001D771C" w:rsidRDefault="00EC3E47" w:rsidP="006B6DA8">
      <w:pPr>
        <w:spacing w:line="360" w:lineRule="auto"/>
        <w:jc w:val="center"/>
        <w:rPr>
          <w:b/>
          <w:bCs/>
          <w:sz w:val="24"/>
          <w:szCs w:val="24"/>
        </w:rPr>
      </w:pPr>
      <w:r w:rsidRPr="001D771C">
        <w:rPr>
          <w:b/>
          <w:bCs/>
          <w:sz w:val="24"/>
          <w:szCs w:val="24"/>
        </w:rPr>
        <w:t>Table 2: Action plan</w:t>
      </w:r>
    </w:p>
    <w:p w14:paraId="4D55831A" w14:textId="77777777" w:rsidR="00873435" w:rsidRPr="001D771C" w:rsidRDefault="00EC3E47" w:rsidP="006B6DA8">
      <w:pPr>
        <w:spacing w:line="360" w:lineRule="auto"/>
        <w:jc w:val="center"/>
        <w:rPr>
          <w:sz w:val="24"/>
          <w:szCs w:val="24"/>
        </w:rPr>
      </w:pPr>
      <w:r w:rsidRPr="001D771C">
        <w:rPr>
          <w:sz w:val="24"/>
          <w:szCs w:val="24"/>
        </w:rPr>
        <w:t>(Source: Self-created)</w:t>
      </w:r>
      <w:r w:rsidRPr="001D771C">
        <w:br w:type="page"/>
      </w:r>
    </w:p>
    <w:p w14:paraId="6493571B" w14:textId="77777777" w:rsidR="00873435" w:rsidRPr="001D771C" w:rsidRDefault="00EC3E47">
      <w:pPr>
        <w:pStyle w:val="Heading1"/>
      </w:pPr>
      <w:bookmarkStart w:id="44" w:name="_mn7te59q6fc8" w:colFirst="0" w:colLast="0"/>
      <w:bookmarkStart w:id="45" w:name="_Toc223813188"/>
      <w:bookmarkEnd w:id="44"/>
      <w:r w:rsidRPr="001D771C">
        <w:lastRenderedPageBreak/>
        <w:t>References</w:t>
      </w:r>
      <w:bookmarkEnd w:id="45"/>
    </w:p>
    <w:p w14:paraId="4760A23B" w14:textId="2EF6FE11" w:rsidR="008C3000" w:rsidRPr="001D771C" w:rsidRDefault="008C3000">
      <w:pPr>
        <w:spacing w:before="200" w:line="360" w:lineRule="auto"/>
        <w:jc w:val="both"/>
        <w:rPr>
          <w:sz w:val="24"/>
          <w:szCs w:val="24"/>
        </w:rPr>
      </w:pPr>
      <w:proofErr w:type="spellStart"/>
      <w:r w:rsidRPr="001D771C">
        <w:rPr>
          <w:sz w:val="24"/>
          <w:szCs w:val="24"/>
        </w:rPr>
        <w:t>Americanautomakers</w:t>
      </w:r>
      <w:proofErr w:type="spellEnd"/>
      <w:r w:rsidRPr="001D771C">
        <w:rPr>
          <w:sz w:val="24"/>
          <w:szCs w:val="24"/>
        </w:rPr>
        <w:t xml:space="preserve"> (2025). STATE OF THE U.S. AUTOMOTIVE INDUSTRY. Available at: </w:t>
      </w:r>
      <w:hyperlink r:id="rId34">
        <w:r w:rsidRPr="001D771C">
          <w:rPr>
            <w:sz w:val="24"/>
            <w:szCs w:val="24"/>
            <w:u w:val="single"/>
          </w:rPr>
          <w:t>https://americanautomakers.org/sites/default/files/2025%20AAPC%20Economic%20Contribution%20Report_1.pdf</w:t>
        </w:r>
      </w:hyperlink>
      <w:r w:rsidRPr="001D771C">
        <w:rPr>
          <w:sz w:val="24"/>
          <w:szCs w:val="24"/>
        </w:rPr>
        <w:t xml:space="preserve"> [Accessed on: 0</w:t>
      </w:r>
      <w:r w:rsidR="000921D1">
        <w:rPr>
          <w:sz w:val="24"/>
          <w:szCs w:val="24"/>
        </w:rPr>
        <w:t>4</w:t>
      </w:r>
      <w:r w:rsidRPr="001D771C">
        <w:rPr>
          <w:sz w:val="24"/>
          <w:szCs w:val="24"/>
        </w:rPr>
        <w:t>.03.2026]</w:t>
      </w:r>
    </w:p>
    <w:p w14:paraId="613C8B7F" w14:textId="4529863F" w:rsidR="008C3000" w:rsidRPr="001D771C" w:rsidRDefault="008C3000">
      <w:pPr>
        <w:spacing w:before="200" w:line="360" w:lineRule="auto"/>
        <w:jc w:val="both"/>
        <w:rPr>
          <w:sz w:val="24"/>
          <w:szCs w:val="24"/>
        </w:rPr>
      </w:pPr>
      <w:r w:rsidRPr="001D771C">
        <w:rPr>
          <w:sz w:val="24"/>
          <w:szCs w:val="24"/>
        </w:rPr>
        <w:t xml:space="preserve">BCG (2025).US Luxury and Exotic Car Market Set to Reach Up to $215 Billion by 2035—Nearly Twice Its Current Size. Available at: </w:t>
      </w:r>
      <w:hyperlink r:id="rId35">
        <w:r w:rsidRPr="001D771C">
          <w:rPr>
            <w:sz w:val="24"/>
            <w:szCs w:val="24"/>
            <w:u w:val="single"/>
          </w:rPr>
          <w:t>https://www.bcg.com/press/12december2025-us-luxury-exotic-car-market</w:t>
        </w:r>
      </w:hyperlink>
      <w:r w:rsidRPr="001D771C">
        <w:rPr>
          <w:sz w:val="24"/>
          <w:szCs w:val="24"/>
        </w:rPr>
        <w:t xml:space="preserve"> [Accessed on: 0</w:t>
      </w:r>
      <w:r w:rsidR="000921D1">
        <w:rPr>
          <w:sz w:val="24"/>
          <w:szCs w:val="24"/>
        </w:rPr>
        <w:t>5</w:t>
      </w:r>
      <w:r w:rsidRPr="001D771C">
        <w:rPr>
          <w:sz w:val="24"/>
          <w:szCs w:val="24"/>
        </w:rPr>
        <w:t>.03.2026]</w:t>
      </w:r>
    </w:p>
    <w:p w14:paraId="6AC06DB6" w14:textId="6BE78C04" w:rsidR="008C3000" w:rsidRPr="001D771C" w:rsidRDefault="008C3000">
      <w:pPr>
        <w:spacing w:before="200" w:line="360" w:lineRule="auto"/>
        <w:jc w:val="both"/>
        <w:rPr>
          <w:sz w:val="24"/>
          <w:szCs w:val="24"/>
        </w:rPr>
      </w:pPr>
      <w:proofErr w:type="spellStart"/>
      <w:r w:rsidRPr="001D771C">
        <w:rPr>
          <w:sz w:val="24"/>
          <w:szCs w:val="24"/>
        </w:rPr>
        <w:t>Bentleymedia</w:t>
      </w:r>
      <w:proofErr w:type="spellEnd"/>
      <w:r w:rsidRPr="001D771C">
        <w:rPr>
          <w:sz w:val="24"/>
          <w:szCs w:val="24"/>
        </w:rPr>
        <w:t xml:space="preserve"> (2024). Bentley announces its 2024 half-year financials. Available at: </w:t>
      </w:r>
      <w:hyperlink r:id="rId36" w:history="1">
        <w:r w:rsidR="000921D1" w:rsidRPr="0053476D">
          <w:rPr>
            <w:rStyle w:val="Hyperlink"/>
            <w:sz w:val="24"/>
            <w:szCs w:val="24"/>
          </w:rPr>
          <w:t>https://www.bentleymedia.com/en/newsitem/1612-bentley-announces-its-2024-half-year-financials</w:t>
        </w:r>
      </w:hyperlink>
      <w:r w:rsidRPr="001D771C">
        <w:rPr>
          <w:sz w:val="24"/>
          <w:szCs w:val="24"/>
        </w:rPr>
        <w:t xml:space="preserve"> [Accessed on: 0</w:t>
      </w:r>
      <w:r w:rsidR="000921D1">
        <w:rPr>
          <w:sz w:val="24"/>
          <w:szCs w:val="24"/>
        </w:rPr>
        <w:t>6</w:t>
      </w:r>
      <w:r w:rsidRPr="001D771C">
        <w:rPr>
          <w:sz w:val="24"/>
          <w:szCs w:val="24"/>
        </w:rPr>
        <w:t>.03.2026]</w:t>
      </w:r>
    </w:p>
    <w:p w14:paraId="733DD281" w14:textId="77777777" w:rsidR="008C3000" w:rsidRPr="001D771C" w:rsidRDefault="008C3000">
      <w:pPr>
        <w:spacing w:before="200" w:line="360" w:lineRule="auto"/>
        <w:jc w:val="both"/>
        <w:rPr>
          <w:sz w:val="24"/>
          <w:szCs w:val="24"/>
        </w:rPr>
      </w:pPr>
      <w:r w:rsidRPr="001D771C">
        <w:rPr>
          <w:sz w:val="24"/>
          <w:szCs w:val="24"/>
        </w:rPr>
        <w:t xml:space="preserve">Capgemini (2025). North America high-net-worth individual population surges, while Europe and Middle East shrink. Available at: </w:t>
      </w:r>
      <w:hyperlink r:id="rId37">
        <w:r w:rsidRPr="001D771C">
          <w:rPr>
            <w:sz w:val="24"/>
            <w:szCs w:val="24"/>
            <w:u w:val="single"/>
          </w:rPr>
          <w:t>https://www.capgemini.com/news/press-releases/north-america-high-net-worth-individual-population-surges-while-europe-and-middle-east-shrink/</w:t>
        </w:r>
      </w:hyperlink>
      <w:r w:rsidRPr="001D771C">
        <w:rPr>
          <w:sz w:val="24"/>
          <w:szCs w:val="24"/>
        </w:rPr>
        <w:t xml:space="preserve"> [Accessed on: 07.03.2026]</w:t>
      </w:r>
    </w:p>
    <w:p w14:paraId="25C19494" w14:textId="7C0838A1" w:rsidR="008C3000" w:rsidRPr="001D771C" w:rsidRDefault="008C3000">
      <w:pPr>
        <w:spacing w:before="200" w:line="360" w:lineRule="auto"/>
        <w:jc w:val="both"/>
        <w:rPr>
          <w:sz w:val="24"/>
          <w:szCs w:val="24"/>
        </w:rPr>
      </w:pPr>
      <w:proofErr w:type="spellStart"/>
      <w:r w:rsidRPr="001D771C">
        <w:rPr>
          <w:sz w:val="24"/>
          <w:szCs w:val="24"/>
        </w:rPr>
        <w:t>Carscoops</w:t>
      </w:r>
      <w:proofErr w:type="spellEnd"/>
      <w:r w:rsidRPr="001D771C">
        <w:rPr>
          <w:sz w:val="24"/>
          <w:szCs w:val="24"/>
        </w:rPr>
        <w:t xml:space="preserve"> (2025). America’s $100,000 Luxury Car Sales Set </w:t>
      </w:r>
      <w:r w:rsidR="006700C8" w:rsidRPr="001D771C">
        <w:rPr>
          <w:sz w:val="24"/>
          <w:szCs w:val="24"/>
        </w:rPr>
        <w:t>to</w:t>
      </w:r>
      <w:r w:rsidRPr="001D771C">
        <w:rPr>
          <w:sz w:val="24"/>
          <w:szCs w:val="24"/>
        </w:rPr>
        <w:t xml:space="preserve"> Nearly Double By 2035. Available at: </w:t>
      </w:r>
      <w:hyperlink r:id="rId38">
        <w:r w:rsidRPr="001D771C">
          <w:rPr>
            <w:sz w:val="24"/>
            <w:szCs w:val="24"/>
            <w:u w:val="single"/>
          </w:rPr>
          <w:t>https://www.carscoops.com/2025/12/luxury-car-market-growth-2035-trends/</w:t>
        </w:r>
      </w:hyperlink>
      <w:r w:rsidRPr="001D771C">
        <w:rPr>
          <w:sz w:val="24"/>
          <w:szCs w:val="24"/>
        </w:rPr>
        <w:t xml:space="preserve"> [Accessed on: 0</w:t>
      </w:r>
      <w:r w:rsidR="000921D1">
        <w:rPr>
          <w:sz w:val="24"/>
          <w:szCs w:val="24"/>
        </w:rPr>
        <w:t>1</w:t>
      </w:r>
      <w:r w:rsidRPr="001D771C">
        <w:rPr>
          <w:sz w:val="24"/>
          <w:szCs w:val="24"/>
        </w:rPr>
        <w:t>.03.2026]</w:t>
      </w:r>
    </w:p>
    <w:p w14:paraId="0E6DB308" w14:textId="47E8038D" w:rsidR="008C3000" w:rsidRPr="001D771C" w:rsidRDefault="008C3000">
      <w:pPr>
        <w:spacing w:before="200" w:line="360" w:lineRule="auto"/>
        <w:jc w:val="both"/>
        <w:rPr>
          <w:sz w:val="24"/>
          <w:szCs w:val="24"/>
        </w:rPr>
      </w:pPr>
      <w:r w:rsidRPr="001D771C">
        <w:rPr>
          <w:sz w:val="24"/>
          <w:szCs w:val="24"/>
        </w:rPr>
        <w:t xml:space="preserve">Congress (2025). Section 232 Automotive Tariffs: Issues for Congress. Available at: </w:t>
      </w:r>
      <w:hyperlink r:id="rId39">
        <w:r w:rsidRPr="001D771C">
          <w:rPr>
            <w:sz w:val="24"/>
            <w:szCs w:val="24"/>
            <w:u w:val="single"/>
          </w:rPr>
          <w:t>https://www.congress.gov/crs-product/IN12545</w:t>
        </w:r>
      </w:hyperlink>
      <w:r w:rsidRPr="001D771C">
        <w:rPr>
          <w:sz w:val="24"/>
          <w:szCs w:val="24"/>
        </w:rPr>
        <w:t xml:space="preserve"> [Accessed on: 0</w:t>
      </w:r>
      <w:r w:rsidR="000921D1">
        <w:rPr>
          <w:sz w:val="24"/>
          <w:szCs w:val="24"/>
        </w:rPr>
        <w:t>2</w:t>
      </w:r>
      <w:r w:rsidRPr="001D771C">
        <w:rPr>
          <w:sz w:val="24"/>
          <w:szCs w:val="24"/>
        </w:rPr>
        <w:t>.03.2026]</w:t>
      </w:r>
    </w:p>
    <w:p w14:paraId="2179F567" w14:textId="77777777" w:rsidR="008C3000" w:rsidRPr="001D771C" w:rsidRDefault="008C3000">
      <w:pPr>
        <w:spacing w:before="200" w:line="360" w:lineRule="auto"/>
        <w:jc w:val="both"/>
        <w:rPr>
          <w:sz w:val="24"/>
          <w:szCs w:val="24"/>
        </w:rPr>
      </w:pPr>
      <w:r w:rsidRPr="001D771C">
        <w:rPr>
          <w:sz w:val="24"/>
          <w:szCs w:val="24"/>
        </w:rPr>
        <w:t>Cook, E.J. and Sambell, R., (2025). Exploring how nutrition students used the relational employability framework to reflect on their micro-placement experiences.</w:t>
      </w:r>
    </w:p>
    <w:p w14:paraId="5EC82C6F" w14:textId="530FA1AD" w:rsidR="008C3000" w:rsidRPr="001D771C" w:rsidRDefault="008C3000">
      <w:pPr>
        <w:spacing w:before="200" w:line="360" w:lineRule="auto"/>
        <w:jc w:val="both"/>
        <w:rPr>
          <w:sz w:val="24"/>
          <w:szCs w:val="24"/>
        </w:rPr>
      </w:pPr>
      <w:proofErr w:type="spellStart"/>
      <w:r w:rsidRPr="001D771C">
        <w:rPr>
          <w:sz w:val="24"/>
          <w:szCs w:val="24"/>
        </w:rPr>
        <w:t>Coxautoinc</w:t>
      </w:r>
      <w:proofErr w:type="spellEnd"/>
      <w:r w:rsidRPr="001D771C">
        <w:rPr>
          <w:sz w:val="24"/>
          <w:szCs w:val="24"/>
        </w:rPr>
        <w:t xml:space="preserve"> (2025). 2024 Cox Automotive Car Buyer Journey Study. Available at: </w:t>
      </w:r>
      <w:hyperlink r:id="rId40">
        <w:r w:rsidRPr="001D771C">
          <w:rPr>
            <w:sz w:val="24"/>
            <w:szCs w:val="24"/>
            <w:u w:val="single"/>
          </w:rPr>
          <w:t>https://www.coxautoinc.com/wp-content/uploads/2025/01/2024-Car-Buyer-Journey-Study-Research-Summary.pdf</w:t>
        </w:r>
      </w:hyperlink>
      <w:r w:rsidRPr="001D771C">
        <w:rPr>
          <w:sz w:val="24"/>
          <w:szCs w:val="24"/>
        </w:rPr>
        <w:t xml:space="preserve"> [Accessed on: 0</w:t>
      </w:r>
      <w:r w:rsidR="000921D1">
        <w:rPr>
          <w:sz w:val="24"/>
          <w:szCs w:val="24"/>
        </w:rPr>
        <w:t>3</w:t>
      </w:r>
      <w:r w:rsidRPr="001D771C">
        <w:rPr>
          <w:sz w:val="24"/>
          <w:szCs w:val="24"/>
        </w:rPr>
        <w:t>.03.2026]</w:t>
      </w:r>
    </w:p>
    <w:p w14:paraId="405D8B1F" w14:textId="0423B1EE" w:rsidR="008C3000" w:rsidRPr="001D771C" w:rsidRDefault="008C3000">
      <w:pPr>
        <w:spacing w:before="200" w:line="360" w:lineRule="auto"/>
        <w:jc w:val="both"/>
        <w:rPr>
          <w:sz w:val="24"/>
          <w:szCs w:val="24"/>
        </w:rPr>
      </w:pPr>
      <w:proofErr w:type="spellStart"/>
      <w:r w:rsidRPr="001D771C">
        <w:rPr>
          <w:sz w:val="24"/>
          <w:szCs w:val="24"/>
        </w:rPr>
        <w:lastRenderedPageBreak/>
        <w:t>Dsireinsight</w:t>
      </w:r>
      <w:proofErr w:type="spellEnd"/>
      <w:r w:rsidRPr="001D771C">
        <w:rPr>
          <w:sz w:val="24"/>
          <w:szCs w:val="24"/>
        </w:rPr>
        <w:t xml:space="preserve"> (2025). The Advanced Clean Cars II Controversy: Where are States Adopting or Blocking California's Zero-Emission Vehicle </w:t>
      </w:r>
      <w:r w:rsidR="006700C8" w:rsidRPr="001D771C">
        <w:rPr>
          <w:sz w:val="24"/>
          <w:szCs w:val="24"/>
        </w:rPr>
        <w:t>Rules?</w:t>
      </w:r>
      <w:r w:rsidRPr="001D771C">
        <w:rPr>
          <w:sz w:val="24"/>
          <w:szCs w:val="24"/>
        </w:rPr>
        <w:t xml:space="preserve"> Available at: </w:t>
      </w:r>
      <w:hyperlink r:id="rId41">
        <w:r w:rsidRPr="001D771C">
          <w:rPr>
            <w:sz w:val="24"/>
            <w:szCs w:val="24"/>
            <w:u w:val="single"/>
          </w:rPr>
          <w:t>https://www.dsireinsight.com/blog/2024/5/28/the-advanced-clean-cars-ii-controversy-where-are-states-adopting-or-blocking-californias-zero-emission-vehicle-rules</w:t>
        </w:r>
      </w:hyperlink>
      <w:r w:rsidRPr="001D771C">
        <w:rPr>
          <w:sz w:val="24"/>
          <w:szCs w:val="24"/>
        </w:rPr>
        <w:t xml:space="preserve"> [Accessed on: 0</w:t>
      </w:r>
      <w:r w:rsidR="000921D1">
        <w:rPr>
          <w:sz w:val="24"/>
          <w:szCs w:val="24"/>
        </w:rPr>
        <w:t>5</w:t>
      </w:r>
      <w:r w:rsidRPr="001D771C">
        <w:rPr>
          <w:sz w:val="24"/>
          <w:szCs w:val="24"/>
        </w:rPr>
        <w:t>.03.2026]</w:t>
      </w:r>
    </w:p>
    <w:p w14:paraId="5FAEF435" w14:textId="77777777" w:rsidR="008C3000" w:rsidRPr="001D771C" w:rsidRDefault="008C3000">
      <w:pPr>
        <w:spacing w:before="200" w:line="360" w:lineRule="auto"/>
        <w:jc w:val="both"/>
        <w:rPr>
          <w:sz w:val="24"/>
          <w:szCs w:val="24"/>
        </w:rPr>
      </w:pPr>
      <w:proofErr w:type="spellStart"/>
      <w:r w:rsidRPr="001D771C">
        <w:rPr>
          <w:sz w:val="24"/>
          <w:szCs w:val="24"/>
        </w:rPr>
        <w:t>Ekarina</w:t>
      </w:r>
      <w:proofErr w:type="spellEnd"/>
      <w:r w:rsidRPr="001D771C">
        <w:rPr>
          <w:sz w:val="24"/>
          <w:szCs w:val="24"/>
        </w:rPr>
        <w:t xml:space="preserve">, E. and </w:t>
      </w:r>
      <w:proofErr w:type="spellStart"/>
      <w:r w:rsidRPr="001D771C">
        <w:rPr>
          <w:sz w:val="24"/>
          <w:szCs w:val="24"/>
        </w:rPr>
        <w:t>Engliana</w:t>
      </w:r>
      <w:proofErr w:type="spellEnd"/>
      <w:r w:rsidRPr="001D771C">
        <w:rPr>
          <w:sz w:val="24"/>
          <w:szCs w:val="24"/>
        </w:rPr>
        <w:t>, E., (2025). Exploring reflective learning for a design thinking class. Journal of English Language Teaching and Linguistics, 10(1), pp.61-78.</w:t>
      </w:r>
    </w:p>
    <w:p w14:paraId="55DB8E30" w14:textId="79717FA7" w:rsidR="008C3000" w:rsidRPr="001D771C" w:rsidRDefault="008C3000">
      <w:pPr>
        <w:spacing w:before="200" w:line="360" w:lineRule="auto"/>
        <w:jc w:val="both"/>
        <w:rPr>
          <w:sz w:val="24"/>
          <w:szCs w:val="24"/>
        </w:rPr>
      </w:pPr>
      <w:r w:rsidRPr="001D771C">
        <w:rPr>
          <w:sz w:val="24"/>
          <w:szCs w:val="24"/>
        </w:rPr>
        <w:t>Era-environmental (2025</w:t>
      </w:r>
      <w:r w:rsidR="006700C8" w:rsidRPr="001D771C">
        <w:rPr>
          <w:sz w:val="24"/>
          <w:szCs w:val="24"/>
        </w:rPr>
        <w:t>). What</w:t>
      </w:r>
      <w:r w:rsidRPr="001D771C">
        <w:rPr>
          <w:sz w:val="24"/>
          <w:szCs w:val="24"/>
        </w:rPr>
        <w:t xml:space="preserve"> the Inflation Reduction Act Means for OEMs and Auto Suppliers.  Available at: </w:t>
      </w:r>
      <w:hyperlink r:id="rId42">
        <w:r w:rsidRPr="001D771C">
          <w:rPr>
            <w:sz w:val="24"/>
            <w:szCs w:val="24"/>
            <w:u w:val="single"/>
          </w:rPr>
          <w:t>https://www.era-environmental.com/blog/inflation-reduction-act-automotive-industry</w:t>
        </w:r>
      </w:hyperlink>
      <w:r w:rsidRPr="001D771C">
        <w:rPr>
          <w:sz w:val="24"/>
          <w:szCs w:val="24"/>
        </w:rPr>
        <w:t xml:space="preserve"> [Accessed on: 0</w:t>
      </w:r>
      <w:r w:rsidR="000921D1">
        <w:rPr>
          <w:sz w:val="24"/>
          <w:szCs w:val="24"/>
        </w:rPr>
        <w:t>6</w:t>
      </w:r>
      <w:r w:rsidRPr="001D771C">
        <w:rPr>
          <w:sz w:val="24"/>
          <w:szCs w:val="24"/>
        </w:rPr>
        <w:t>.03.2026]</w:t>
      </w:r>
    </w:p>
    <w:p w14:paraId="62EAA7B8" w14:textId="3A5C5D81" w:rsidR="008C3000" w:rsidRPr="001D771C" w:rsidRDefault="008C3000">
      <w:pPr>
        <w:spacing w:before="200" w:line="360" w:lineRule="auto"/>
        <w:jc w:val="both"/>
        <w:rPr>
          <w:sz w:val="24"/>
          <w:szCs w:val="24"/>
        </w:rPr>
      </w:pPr>
      <w:r w:rsidRPr="001D771C">
        <w:rPr>
          <w:sz w:val="24"/>
          <w:szCs w:val="24"/>
        </w:rPr>
        <w:t xml:space="preserve">FTC (2025). FTC </w:t>
      </w:r>
      <w:r w:rsidR="006700C8" w:rsidRPr="001D771C">
        <w:rPr>
          <w:sz w:val="24"/>
          <w:szCs w:val="24"/>
        </w:rPr>
        <w:t>Acts</w:t>
      </w:r>
      <w:r w:rsidRPr="001D771C">
        <w:rPr>
          <w:sz w:val="24"/>
          <w:szCs w:val="24"/>
        </w:rPr>
        <w:t xml:space="preserve"> Against General Motors for Sharing Drivers’ Precise Location and Driving </w:t>
      </w:r>
      <w:proofErr w:type="spellStart"/>
      <w:r w:rsidRPr="001D771C">
        <w:rPr>
          <w:sz w:val="24"/>
          <w:szCs w:val="24"/>
        </w:rPr>
        <w:t>Behavior</w:t>
      </w:r>
      <w:proofErr w:type="spellEnd"/>
      <w:r w:rsidRPr="001D771C">
        <w:rPr>
          <w:sz w:val="24"/>
          <w:szCs w:val="24"/>
        </w:rPr>
        <w:t xml:space="preserve"> Data Without Consent. Available at: </w:t>
      </w:r>
      <w:hyperlink r:id="rId43">
        <w:r w:rsidRPr="001D771C">
          <w:rPr>
            <w:sz w:val="24"/>
            <w:szCs w:val="24"/>
            <w:u w:val="single"/>
          </w:rPr>
          <w:t>https://www.ftc.gov/news-events/news/press-releases/2025/01/ftc-takes-action-against-general-motors-sharing-drivers-precise-location-driving-behavior-data</w:t>
        </w:r>
      </w:hyperlink>
      <w:r w:rsidRPr="001D771C">
        <w:rPr>
          <w:sz w:val="24"/>
          <w:szCs w:val="24"/>
        </w:rPr>
        <w:t xml:space="preserve"> [Accessed on: 0</w:t>
      </w:r>
      <w:r w:rsidR="000921D1">
        <w:rPr>
          <w:sz w:val="24"/>
          <w:szCs w:val="24"/>
        </w:rPr>
        <w:t>4</w:t>
      </w:r>
      <w:r w:rsidRPr="001D771C">
        <w:rPr>
          <w:sz w:val="24"/>
          <w:szCs w:val="24"/>
        </w:rPr>
        <w:t>.03.2026]</w:t>
      </w:r>
    </w:p>
    <w:p w14:paraId="5F312757" w14:textId="77777777" w:rsidR="008C3000" w:rsidRPr="001D771C" w:rsidRDefault="008C3000">
      <w:pPr>
        <w:spacing w:before="200" w:line="360" w:lineRule="auto"/>
        <w:jc w:val="both"/>
        <w:rPr>
          <w:sz w:val="24"/>
          <w:szCs w:val="24"/>
        </w:rPr>
      </w:pPr>
      <w:r w:rsidRPr="001D771C">
        <w:rPr>
          <w:sz w:val="24"/>
          <w:szCs w:val="24"/>
        </w:rPr>
        <w:t>Gillingham, K.T., van Benthem, A.A., Weber, S., Saafi, M.A. and He, X., (2023), May. Has consumer acceptance of electric vehicles been increasing? Evidence from microdata on every new vehicle sale in the United States. In AEA Papers and Proceedings (Vol. 113, pp. 329-335). 2014 Broadway, Suite 305, Nashville, TN 37203: American Economic Association.</w:t>
      </w:r>
    </w:p>
    <w:p w14:paraId="7BBF2B37" w14:textId="547BE415" w:rsidR="008C3000" w:rsidRPr="001D771C" w:rsidRDefault="008C3000">
      <w:pPr>
        <w:spacing w:before="200" w:line="360" w:lineRule="auto"/>
        <w:jc w:val="both"/>
        <w:rPr>
          <w:sz w:val="24"/>
          <w:szCs w:val="24"/>
        </w:rPr>
      </w:pPr>
      <w:r w:rsidRPr="001D771C">
        <w:rPr>
          <w:sz w:val="24"/>
          <w:szCs w:val="24"/>
        </w:rPr>
        <w:t xml:space="preserve">GM (2025). GM leads U.S. industry, 2025 sales up 6%. Available at: </w:t>
      </w:r>
      <w:hyperlink r:id="rId44">
        <w:r w:rsidRPr="001D771C">
          <w:rPr>
            <w:sz w:val="24"/>
            <w:szCs w:val="24"/>
            <w:u w:val="single"/>
          </w:rPr>
          <w:t>https://news.gm.com/home.detail.html/Pages/news/us/en/2026/jan/0105-gmsales.html</w:t>
        </w:r>
      </w:hyperlink>
      <w:r w:rsidRPr="001D771C">
        <w:rPr>
          <w:sz w:val="24"/>
          <w:szCs w:val="24"/>
        </w:rPr>
        <w:t xml:space="preserve"> [Accessed on: 0</w:t>
      </w:r>
      <w:r w:rsidR="000921D1">
        <w:rPr>
          <w:sz w:val="24"/>
          <w:szCs w:val="24"/>
        </w:rPr>
        <w:t>5</w:t>
      </w:r>
      <w:r w:rsidRPr="001D771C">
        <w:rPr>
          <w:sz w:val="24"/>
          <w:szCs w:val="24"/>
        </w:rPr>
        <w:t>.03.2026]</w:t>
      </w:r>
    </w:p>
    <w:p w14:paraId="6FE9CB6C" w14:textId="77777777" w:rsidR="008C3000" w:rsidRPr="001D771C" w:rsidRDefault="008C3000">
      <w:pPr>
        <w:spacing w:before="200" w:line="360" w:lineRule="auto"/>
        <w:jc w:val="both"/>
        <w:rPr>
          <w:sz w:val="24"/>
          <w:szCs w:val="24"/>
        </w:rPr>
      </w:pPr>
      <w:proofErr w:type="spellStart"/>
      <w:r w:rsidRPr="001D771C">
        <w:rPr>
          <w:sz w:val="24"/>
          <w:szCs w:val="24"/>
        </w:rPr>
        <w:t>Godpower</w:t>
      </w:r>
      <w:proofErr w:type="spellEnd"/>
      <w:r w:rsidRPr="001D771C">
        <w:rPr>
          <w:sz w:val="24"/>
          <w:szCs w:val="24"/>
        </w:rPr>
        <w:t>, O., Ndubuisi, N.P., Eze Nkeiruka, C. and Ogechukwu, O.R., (2022). THE COMPETITIVE ADVANTAGE OF NATIONS. BW Academic Journal, pp.11-11.</w:t>
      </w:r>
    </w:p>
    <w:p w14:paraId="772DE48B" w14:textId="7D097D87" w:rsidR="008C3000" w:rsidRPr="001D771C" w:rsidRDefault="008C3000">
      <w:pPr>
        <w:spacing w:before="200" w:line="360" w:lineRule="auto"/>
        <w:jc w:val="both"/>
        <w:rPr>
          <w:sz w:val="24"/>
          <w:szCs w:val="24"/>
        </w:rPr>
      </w:pPr>
      <w:proofErr w:type="spellStart"/>
      <w:r w:rsidRPr="001D771C">
        <w:rPr>
          <w:sz w:val="24"/>
          <w:szCs w:val="24"/>
        </w:rPr>
        <w:t>Grandviewresearch</w:t>
      </w:r>
      <w:proofErr w:type="spellEnd"/>
      <w:r w:rsidRPr="001D771C">
        <w:rPr>
          <w:sz w:val="24"/>
          <w:szCs w:val="24"/>
        </w:rPr>
        <w:t xml:space="preserve"> (2025). U.S. Luxury Car Market Size &amp; Outlook, 2025-2030. Available at: </w:t>
      </w:r>
      <w:hyperlink r:id="rId45" w:anchor=":~:text=U.S.%20luxury%20car%20market%20highlights,Japan%20%2C%20Brazil%20%2C%20Canada%20%2C%20Germany">
        <w:r w:rsidRPr="001D771C">
          <w:rPr>
            <w:sz w:val="24"/>
            <w:szCs w:val="24"/>
            <w:u w:val="single"/>
          </w:rPr>
          <w:t>https://www.grandviewresearch.com/horizon/outlook/luxury-car-market/united-states#:~:text=U.S.%20luxury%20car%20market%20highlights,Japan%20%2C%20Brazil%20%2C%20Canada%20%2C%20Germany</w:t>
        </w:r>
      </w:hyperlink>
      <w:r w:rsidRPr="001D771C">
        <w:rPr>
          <w:sz w:val="24"/>
          <w:szCs w:val="24"/>
        </w:rPr>
        <w:t xml:space="preserve"> [Accessed on: 0</w:t>
      </w:r>
      <w:r w:rsidR="000921D1">
        <w:rPr>
          <w:sz w:val="24"/>
          <w:szCs w:val="24"/>
        </w:rPr>
        <w:t>6</w:t>
      </w:r>
      <w:r w:rsidRPr="001D771C">
        <w:rPr>
          <w:sz w:val="24"/>
          <w:szCs w:val="24"/>
        </w:rPr>
        <w:t>.03.2026]</w:t>
      </w:r>
    </w:p>
    <w:p w14:paraId="36A5A182" w14:textId="77777777" w:rsidR="008C3000" w:rsidRPr="001D771C" w:rsidRDefault="008C3000">
      <w:pPr>
        <w:spacing w:before="200" w:line="360" w:lineRule="auto"/>
        <w:jc w:val="both"/>
        <w:rPr>
          <w:sz w:val="24"/>
          <w:szCs w:val="24"/>
        </w:rPr>
      </w:pPr>
      <w:proofErr w:type="spellStart"/>
      <w:r w:rsidRPr="001D771C">
        <w:rPr>
          <w:sz w:val="24"/>
          <w:szCs w:val="24"/>
        </w:rPr>
        <w:lastRenderedPageBreak/>
        <w:t>Grandviewresearch</w:t>
      </w:r>
      <w:proofErr w:type="spellEnd"/>
      <w:r w:rsidRPr="001D771C">
        <w:rPr>
          <w:sz w:val="24"/>
          <w:szCs w:val="24"/>
        </w:rPr>
        <w:t xml:space="preserve"> (2025). U.S. Software-Defined Vehicles Market (2025 - 2033). Available at: </w:t>
      </w:r>
      <w:hyperlink r:id="rId46">
        <w:r w:rsidRPr="001D771C">
          <w:rPr>
            <w:sz w:val="24"/>
            <w:szCs w:val="24"/>
            <w:u w:val="single"/>
          </w:rPr>
          <w:t>https://www.grandviewresearch.com/industry-analysis/us-software-defined-vehicles-market-report</w:t>
        </w:r>
      </w:hyperlink>
      <w:r w:rsidRPr="001D771C">
        <w:rPr>
          <w:sz w:val="24"/>
          <w:szCs w:val="24"/>
        </w:rPr>
        <w:t xml:space="preserve"> [Accessed on: 07.03.2026]</w:t>
      </w:r>
    </w:p>
    <w:p w14:paraId="0B31B931" w14:textId="77777777" w:rsidR="008C3000" w:rsidRPr="001D771C" w:rsidRDefault="008C3000">
      <w:pPr>
        <w:spacing w:before="200" w:line="360" w:lineRule="auto"/>
        <w:jc w:val="both"/>
        <w:rPr>
          <w:sz w:val="24"/>
          <w:szCs w:val="24"/>
        </w:rPr>
      </w:pPr>
      <w:proofErr w:type="spellStart"/>
      <w:r w:rsidRPr="001D771C">
        <w:rPr>
          <w:sz w:val="24"/>
          <w:szCs w:val="24"/>
        </w:rPr>
        <w:t>Hartoyo</w:t>
      </w:r>
      <w:proofErr w:type="spellEnd"/>
      <w:r w:rsidRPr="001D771C">
        <w:rPr>
          <w:sz w:val="24"/>
          <w:szCs w:val="24"/>
        </w:rPr>
        <w:t xml:space="preserve">, H., </w:t>
      </w:r>
      <w:proofErr w:type="spellStart"/>
      <w:r w:rsidRPr="001D771C">
        <w:rPr>
          <w:sz w:val="24"/>
          <w:szCs w:val="24"/>
        </w:rPr>
        <w:t>Manalu</w:t>
      </w:r>
      <w:proofErr w:type="spellEnd"/>
      <w:r w:rsidRPr="001D771C">
        <w:rPr>
          <w:sz w:val="24"/>
          <w:szCs w:val="24"/>
        </w:rPr>
        <w:t xml:space="preserve">, E., </w:t>
      </w:r>
      <w:proofErr w:type="spellStart"/>
      <w:r w:rsidRPr="001D771C">
        <w:rPr>
          <w:sz w:val="24"/>
          <w:szCs w:val="24"/>
        </w:rPr>
        <w:t>Sumarwan</w:t>
      </w:r>
      <w:proofErr w:type="spellEnd"/>
      <w:r w:rsidRPr="001D771C">
        <w:rPr>
          <w:sz w:val="24"/>
          <w:szCs w:val="24"/>
        </w:rPr>
        <w:t>, U. and Nurhayati, P., (2023). Driving success: A segmentation of customer admiration in automotive industry. Journal of Open Innovation: Technology, Market, and Complexity, 9(2), p.100031.</w:t>
      </w:r>
    </w:p>
    <w:p w14:paraId="0D9A52CA" w14:textId="3AC5CDF6" w:rsidR="008C3000" w:rsidRPr="001D771C" w:rsidRDefault="008C3000">
      <w:pPr>
        <w:spacing w:before="200" w:line="360" w:lineRule="auto"/>
        <w:jc w:val="both"/>
        <w:rPr>
          <w:sz w:val="24"/>
          <w:szCs w:val="24"/>
        </w:rPr>
      </w:pPr>
      <w:proofErr w:type="spellStart"/>
      <w:r w:rsidRPr="001D771C">
        <w:rPr>
          <w:sz w:val="24"/>
          <w:szCs w:val="24"/>
        </w:rPr>
        <w:t>Inflationdata</w:t>
      </w:r>
      <w:proofErr w:type="spellEnd"/>
      <w:r w:rsidRPr="001D771C">
        <w:rPr>
          <w:sz w:val="24"/>
          <w:szCs w:val="24"/>
        </w:rPr>
        <w:t xml:space="preserve"> (2025). Misery Index. Available at: </w:t>
      </w:r>
      <w:hyperlink r:id="rId47">
        <w:r w:rsidRPr="001D771C">
          <w:rPr>
            <w:sz w:val="24"/>
            <w:szCs w:val="24"/>
            <w:u w:val="single"/>
          </w:rPr>
          <w:t>https://inflationdata.com/articles/misery-index/</w:t>
        </w:r>
      </w:hyperlink>
      <w:r w:rsidRPr="001D771C">
        <w:rPr>
          <w:sz w:val="24"/>
          <w:szCs w:val="24"/>
        </w:rPr>
        <w:t xml:space="preserve"> [Accessed on: 0</w:t>
      </w:r>
      <w:r w:rsidR="000921D1">
        <w:rPr>
          <w:sz w:val="24"/>
          <w:szCs w:val="24"/>
        </w:rPr>
        <w:t>1</w:t>
      </w:r>
      <w:r w:rsidRPr="001D771C">
        <w:rPr>
          <w:sz w:val="24"/>
          <w:szCs w:val="24"/>
        </w:rPr>
        <w:t>.03.2026]</w:t>
      </w:r>
    </w:p>
    <w:p w14:paraId="7466B585" w14:textId="77777777" w:rsidR="008C3000" w:rsidRPr="001D771C" w:rsidRDefault="008C3000">
      <w:pPr>
        <w:spacing w:before="200" w:line="360" w:lineRule="auto"/>
        <w:jc w:val="both"/>
        <w:rPr>
          <w:sz w:val="24"/>
          <w:szCs w:val="24"/>
        </w:rPr>
      </w:pPr>
      <w:r w:rsidRPr="001D771C">
        <w:rPr>
          <w:sz w:val="24"/>
          <w:szCs w:val="24"/>
        </w:rPr>
        <w:t>Koch, G.G.V., Moosa, H., Smith, J. and Davidson, F.E., (2026). Learning through play: Educators and students reflect on a gamified assessment. Journal of Medical Imaging and Radiation Sciences, 57(1), p.102139.</w:t>
      </w:r>
    </w:p>
    <w:p w14:paraId="234E9A9E" w14:textId="77777777" w:rsidR="008C3000" w:rsidRPr="001D771C" w:rsidRDefault="008C3000">
      <w:pPr>
        <w:spacing w:before="200" w:line="360" w:lineRule="auto"/>
        <w:jc w:val="both"/>
        <w:rPr>
          <w:sz w:val="24"/>
          <w:szCs w:val="24"/>
        </w:rPr>
      </w:pPr>
      <w:proofErr w:type="spellStart"/>
      <w:r w:rsidRPr="001D771C">
        <w:rPr>
          <w:sz w:val="24"/>
          <w:szCs w:val="24"/>
        </w:rPr>
        <w:t>Kudapali</w:t>
      </w:r>
      <w:proofErr w:type="spellEnd"/>
      <w:r w:rsidRPr="001D771C">
        <w:rPr>
          <w:sz w:val="24"/>
          <w:szCs w:val="24"/>
        </w:rPr>
        <w:t>, J., Sathvik, S. and Gouda, A.T., (2024). Luxury and fashion marketing: A new wave in the sea of marketing. Asian Journal of Management, 15(1), pp.72-78.</w:t>
      </w:r>
    </w:p>
    <w:p w14:paraId="198E5713" w14:textId="48A7621D" w:rsidR="008C3000" w:rsidRPr="001D771C" w:rsidRDefault="008C3000">
      <w:pPr>
        <w:spacing w:before="200" w:line="360" w:lineRule="auto"/>
        <w:jc w:val="both"/>
        <w:rPr>
          <w:sz w:val="24"/>
          <w:szCs w:val="24"/>
        </w:rPr>
      </w:pPr>
      <w:proofErr w:type="spellStart"/>
      <w:r w:rsidRPr="001D771C">
        <w:rPr>
          <w:sz w:val="24"/>
          <w:szCs w:val="24"/>
        </w:rPr>
        <w:t>Lexology</w:t>
      </w:r>
      <w:proofErr w:type="spellEnd"/>
      <w:r w:rsidRPr="001D771C">
        <w:rPr>
          <w:sz w:val="24"/>
          <w:szCs w:val="24"/>
        </w:rPr>
        <w:t xml:space="preserve"> (2025). FTC sends warning to auto industry over connected cars and data privacy. Available at: </w:t>
      </w:r>
      <w:hyperlink r:id="rId48">
        <w:r w:rsidRPr="001D771C">
          <w:rPr>
            <w:sz w:val="24"/>
            <w:szCs w:val="24"/>
            <w:u w:val="single"/>
          </w:rPr>
          <w:t>https://www.lexology.com/library/detail.aspx?g=d57ff615-d92b-4a29-a512-a6545d7ec139</w:t>
        </w:r>
      </w:hyperlink>
      <w:r w:rsidRPr="001D771C">
        <w:rPr>
          <w:sz w:val="24"/>
          <w:szCs w:val="24"/>
        </w:rPr>
        <w:t xml:space="preserve"> [Accessed on: 0</w:t>
      </w:r>
      <w:r w:rsidR="000921D1">
        <w:rPr>
          <w:sz w:val="24"/>
          <w:szCs w:val="24"/>
        </w:rPr>
        <w:t>2</w:t>
      </w:r>
      <w:r w:rsidRPr="001D771C">
        <w:rPr>
          <w:sz w:val="24"/>
          <w:szCs w:val="24"/>
        </w:rPr>
        <w:t>.03.2026]</w:t>
      </w:r>
    </w:p>
    <w:p w14:paraId="04AF25CF" w14:textId="77777777" w:rsidR="008C3000" w:rsidRPr="001D771C" w:rsidRDefault="008C3000">
      <w:pPr>
        <w:spacing w:before="200" w:line="360" w:lineRule="auto"/>
        <w:jc w:val="both"/>
        <w:rPr>
          <w:sz w:val="24"/>
          <w:szCs w:val="24"/>
        </w:rPr>
      </w:pPr>
      <w:r w:rsidRPr="001D771C">
        <w:rPr>
          <w:sz w:val="24"/>
          <w:szCs w:val="24"/>
        </w:rPr>
        <w:t>Lin, J., (2023). Analysis of luxury brand marketing strategies based on consumer psychology. Advances in Economics, Management and Political Sciences, 24(1), pp.240-245.</w:t>
      </w:r>
    </w:p>
    <w:p w14:paraId="4E4A28A0" w14:textId="673F4184" w:rsidR="008C3000" w:rsidRPr="001D771C" w:rsidRDefault="008C3000">
      <w:pPr>
        <w:spacing w:before="200" w:line="360" w:lineRule="auto"/>
        <w:jc w:val="both"/>
        <w:rPr>
          <w:sz w:val="24"/>
          <w:szCs w:val="24"/>
        </w:rPr>
      </w:pPr>
      <w:proofErr w:type="spellStart"/>
      <w:r w:rsidRPr="001D771C">
        <w:rPr>
          <w:sz w:val="24"/>
          <w:szCs w:val="24"/>
        </w:rPr>
        <w:t>Lincolninternational</w:t>
      </w:r>
      <w:proofErr w:type="spellEnd"/>
      <w:r w:rsidRPr="001D771C">
        <w:rPr>
          <w:sz w:val="24"/>
          <w:szCs w:val="24"/>
        </w:rPr>
        <w:t xml:space="preserve"> (2025). Intelligence Report. Available at: </w:t>
      </w:r>
      <w:hyperlink r:id="rId49">
        <w:r w:rsidRPr="001D771C">
          <w:rPr>
            <w:sz w:val="24"/>
            <w:szCs w:val="24"/>
            <w:u w:val="single"/>
          </w:rPr>
          <w:t>https://www.lincolninternational.com/wp-content/uploads/Nov-2025-Vehicle-Aftermarket-Intel-Report.pdf?x42567</w:t>
        </w:r>
      </w:hyperlink>
      <w:r w:rsidRPr="001D771C">
        <w:rPr>
          <w:sz w:val="24"/>
          <w:szCs w:val="24"/>
        </w:rPr>
        <w:t xml:space="preserve"> [Accessed on: 0</w:t>
      </w:r>
      <w:r w:rsidR="009251DC">
        <w:rPr>
          <w:sz w:val="24"/>
          <w:szCs w:val="24"/>
        </w:rPr>
        <w:t>1</w:t>
      </w:r>
      <w:r w:rsidRPr="001D771C">
        <w:rPr>
          <w:sz w:val="24"/>
          <w:szCs w:val="24"/>
        </w:rPr>
        <w:t>.03.2026]</w:t>
      </w:r>
    </w:p>
    <w:p w14:paraId="0E056555" w14:textId="77777777" w:rsidR="008C3000" w:rsidRPr="001D771C" w:rsidRDefault="008C3000">
      <w:pPr>
        <w:spacing w:before="200" w:line="360" w:lineRule="auto"/>
        <w:jc w:val="both"/>
        <w:rPr>
          <w:sz w:val="24"/>
          <w:szCs w:val="24"/>
        </w:rPr>
      </w:pPr>
      <w:r w:rsidRPr="001D771C">
        <w:rPr>
          <w:sz w:val="24"/>
          <w:szCs w:val="24"/>
        </w:rPr>
        <w:t>Ma, W., Jiang, L., Zhuang, W., Cai, J., Xie, X. and Zhang, C., (2026). Reflective writing in higher education: A systematic review of pedagogical approaches, research trends, and assessment practices. Educational Research Advances, 1(1), pp.1-15.</w:t>
      </w:r>
    </w:p>
    <w:p w14:paraId="000D343E" w14:textId="77777777" w:rsidR="008C3000" w:rsidRPr="001D771C" w:rsidRDefault="008C3000">
      <w:pPr>
        <w:spacing w:before="200" w:line="360" w:lineRule="auto"/>
        <w:jc w:val="both"/>
        <w:rPr>
          <w:sz w:val="24"/>
          <w:szCs w:val="24"/>
        </w:rPr>
      </w:pPr>
      <w:r w:rsidRPr="001D771C">
        <w:rPr>
          <w:sz w:val="24"/>
          <w:szCs w:val="24"/>
        </w:rPr>
        <w:lastRenderedPageBreak/>
        <w:t>Naqvi, S.R., Sareen, P., Sharma, T. and Naqvi, A., (2025). Humane Approach of e-learning Utilization: Case Study of Rolls-Royce. Emerging Economies Cases Journal, 7(1), pp.14-18.</w:t>
      </w:r>
    </w:p>
    <w:p w14:paraId="1599D125" w14:textId="16248346" w:rsidR="008C3000" w:rsidRPr="001D771C" w:rsidRDefault="008C3000">
      <w:pPr>
        <w:spacing w:before="200" w:line="360" w:lineRule="auto"/>
        <w:jc w:val="both"/>
        <w:rPr>
          <w:sz w:val="24"/>
          <w:szCs w:val="24"/>
        </w:rPr>
      </w:pPr>
      <w:r w:rsidRPr="001D771C">
        <w:rPr>
          <w:sz w:val="24"/>
          <w:szCs w:val="24"/>
        </w:rPr>
        <w:t xml:space="preserve">NHTSA (2025). Early Warning Reporting. Available at: </w:t>
      </w:r>
      <w:hyperlink r:id="rId50">
        <w:r w:rsidRPr="001D771C">
          <w:rPr>
            <w:sz w:val="24"/>
            <w:szCs w:val="24"/>
            <w:u w:val="single"/>
          </w:rPr>
          <w:t>https://www.nhtsa.gov/vehicle-manufacturers/early-warning-reporting</w:t>
        </w:r>
      </w:hyperlink>
      <w:r w:rsidRPr="001D771C">
        <w:rPr>
          <w:sz w:val="24"/>
          <w:szCs w:val="24"/>
        </w:rPr>
        <w:t xml:space="preserve"> [Accessed on: 0</w:t>
      </w:r>
      <w:r w:rsidR="009251DC">
        <w:rPr>
          <w:sz w:val="24"/>
          <w:szCs w:val="24"/>
        </w:rPr>
        <w:t>2</w:t>
      </w:r>
      <w:r w:rsidRPr="001D771C">
        <w:rPr>
          <w:sz w:val="24"/>
          <w:szCs w:val="24"/>
        </w:rPr>
        <w:t>.03.2026]</w:t>
      </w:r>
    </w:p>
    <w:p w14:paraId="48F928C5" w14:textId="5FD13974" w:rsidR="008C3000" w:rsidRPr="001D771C" w:rsidRDefault="008C3000">
      <w:pPr>
        <w:spacing w:before="200" w:line="360" w:lineRule="auto"/>
        <w:jc w:val="both"/>
        <w:rPr>
          <w:sz w:val="24"/>
          <w:szCs w:val="24"/>
        </w:rPr>
      </w:pPr>
      <w:proofErr w:type="spellStart"/>
      <w:r w:rsidRPr="001D771C">
        <w:rPr>
          <w:sz w:val="24"/>
          <w:szCs w:val="24"/>
        </w:rPr>
        <w:t>Pewresearch</w:t>
      </w:r>
      <w:proofErr w:type="spellEnd"/>
      <w:r w:rsidRPr="001D771C">
        <w:rPr>
          <w:sz w:val="24"/>
          <w:szCs w:val="24"/>
        </w:rPr>
        <w:t xml:space="preserve"> (2025). One-third of Americans interested in purchasing an EV. Available at: </w:t>
      </w:r>
      <w:hyperlink r:id="rId51">
        <w:r w:rsidRPr="001D771C">
          <w:rPr>
            <w:sz w:val="24"/>
            <w:szCs w:val="24"/>
            <w:u w:val="single"/>
          </w:rPr>
          <w:t>https://www.pewresearch.org/science/2025/06/05/americans-views-on-energy-at-the-start-of-trumps-second-term/ps_2025-6-5_energy_00-07/</w:t>
        </w:r>
      </w:hyperlink>
      <w:r w:rsidRPr="001D771C">
        <w:rPr>
          <w:sz w:val="24"/>
          <w:szCs w:val="24"/>
        </w:rPr>
        <w:t xml:space="preserve"> [Accessed on: 0</w:t>
      </w:r>
      <w:r w:rsidR="000921D1">
        <w:rPr>
          <w:sz w:val="24"/>
          <w:szCs w:val="24"/>
        </w:rPr>
        <w:t>5</w:t>
      </w:r>
      <w:r w:rsidRPr="001D771C">
        <w:rPr>
          <w:sz w:val="24"/>
          <w:szCs w:val="24"/>
        </w:rPr>
        <w:t>.03.2026]</w:t>
      </w:r>
    </w:p>
    <w:p w14:paraId="199DFB22" w14:textId="77777777" w:rsidR="008C3000" w:rsidRPr="001D771C" w:rsidRDefault="008C3000">
      <w:pPr>
        <w:spacing w:before="200" w:line="360" w:lineRule="auto"/>
        <w:jc w:val="both"/>
        <w:rPr>
          <w:sz w:val="24"/>
          <w:szCs w:val="24"/>
        </w:rPr>
      </w:pPr>
      <w:r w:rsidRPr="001D771C">
        <w:rPr>
          <w:sz w:val="24"/>
          <w:szCs w:val="24"/>
        </w:rPr>
        <w:t xml:space="preserve">Praveena, K.S., </w:t>
      </w:r>
      <w:proofErr w:type="spellStart"/>
      <w:r w:rsidRPr="001D771C">
        <w:rPr>
          <w:sz w:val="24"/>
          <w:szCs w:val="24"/>
        </w:rPr>
        <w:t>Juslin</w:t>
      </w:r>
      <w:proofErr w:type="spellEnd"/>
      <w:r w:rsidRPr="001D771C">
        <w:rPr>
          <w:sz w:val="24"/>
          <w:szCs w:val="24"/>
        </w:rPr>
        <w:t xml:space="preserve">, F., Patil, C.M. and Bhargavi, K., (2025). Using </w:t>
      </w:r>
      <w:proofErr w:type="spellStart"/>
      <w:r w:rsidRPr="001D771C">
        <w:rPr>
          <w:sz w:val="24"/>
          <w:szCs w:val="24"/>
        </w:rPr>
        <w:t>gibb's</w:t>
      </w:r>
      <w:proofErr w:type="spellEnd"/>
      <w:r w:rsidRPr="001D771C">
        <w:rPr>
          <w:sz w:val="24"/>
          <w:szCs w:val="24"/>
        </w:rPr>
        <w:t xml:space="preserve"> reflective model approach for enhancing project-based learning among students through reflective assessment. Journal of Engineering Education Transformations, pp.148-155.</w:t>
      </w:r>
    </w:p>
    <w:p w14:paraId="5CB80863" w14:textId="0DC567CF" w:rsidR="008C3000" w:rsidRPr="001D771C" w:rsidRDefault="008C3000">
      <w:pPr>
        <w:spacing w:before="200" w:line="360" w:lineRule="auto"/>
        <w:jc w:val="both"/>
        <w:rPr>
          <w:sz w:val="24"/>
          <w:szCs w:val="24"/>
        </w:rPr>
      </w:pPr>
      <w:proofErr w:type="spellStart"/>
      <w:r w:rsidRPr="001D771C">
        <w:rPr>
          <w:sz w:val="24"/>
          <w:szCs w:val="24"/>
        </w:rPr>
        <w:t>Precedenceresearch</w:t>
      </w:r>
      <w:proofErr w:type="spellEnd"/>
      <w:r w:rsidRPr="001D771C">
        <w:rPr>
          <w:sz w:val="24"/>
          <w:szCs w:val="24"/>
        </w:rPr>
        <w:t xml:space="preserve"> (2025). Luxury Car Market Size and Forecast 2025 to 2034. Available at: </w:t>
      </w:r>
      <w:hyperlink r:id="rId52">
        <w:r w:rsidRPr="001D771C">
          <w:rPr>
            <w:sz w:val="24"/>
            <w:szCs w:val="24"/>
            <w:u w:val="single"/>
          </w:rPr>
          <w:t>https://www.precedenceresearch.com/luxury-car-market</w:t>
        </w:r>
      </w:hyperlink>
      <w:r w:rsidRPr="001D771C">
        <w:rPr>
          <w:sz w:val="24"/>
          <w:szCs w:val="24"/>
        </w:rPr>
        <w:t xml:space="preserve"> [Accessed on: 0</w:t>
      </w:r>
      <w:r w:rsidR="000921D1">
        <w:rPr>
          <w:sz w:val="24"/>
          <w:szCs w:val="24"/>
        </w:rPr>
        <w:t>6</w:t>
      </w:r>
      <w:r w:rsidRPr="001D771C">
        <w:rPr>
          <w:sz w:val="24"/>
          <w:szCs w:val="24"/>
        </w:rPr>
        <w:t>.03.2026]</w:t>
      </w:r>
    </w:p>
    <w:p w14:paraId="1B26B148" w14:textId="77777777" w:rsidR="008C3000" w:rsidRPr="001D771C" w:rsidRDefault="008C3000">
      <w:pPr>
        <w:spacing w:before="200" w:line="360" w:lineRule="auto"/>
        <w:jc w:val="both"/>
        <w:rPr>
          <w:sz w:val="24"/>
          <w:szCs w:val="24"/>
        </w:rPr>
      </w:pPr>
      <w:r w:rsidRPr="001D771C">
        <w:rPr>
          <w:sz w:val="24"/>
          <w:szCs w:val="24"/>
        </w:rPr>
        <w:t xml:space="preserve">Reuters (2025). US trade commission launches review of USMCA automotive rules of origin. Available at: </w:t>
      </w:r>
      <w:hyperlink r:id="rId53">
        <w:r w:rsidRPr="001D771C">
          <w:rPr>
            <w:sz w:val="24"/>
            <w:szCs w:val="24"/>
            <w:u w:val="single"/>
          </w:rPr>
          <w:t>https://www.reuters.com/business/autos-transportation/us-trade-commission-launches-review-usmca-automotive-rules-origin-2026-02-19/</w:t>
        </w:r>
      </w:hyperlink>
      <w:r w:rsidRPr="001D771C">
        <w:rPr>
          <w:sz w:val="24"/>
          <w:szCs w:val="24"/>
        </w:rPr>
        <w:t xml:space="preserve"> [Accessed on: 07.03.2026]</w:t>
      </w:r>
    </w:p>
    <w:p w14:paraId="366BDF8A" w14:textId="7C2E7DA3" w:rsidR="008C3000" w:rsidRPr="001D771C" w:rsidRDefault="008C3000">
      <w:pPr>
        <w:spacing w:before="200" w:line="360" w:lineRule="auto"/>
        <w:jc w:val="both"/>
        <w:rPr>
          <w:sz w:val="24"/>
          <w:szCs w:val="24"/>
        </w:rPr>
      </w:pPr>
      <w:r w:rsidRPr="001D771C">
        <w:rPr>
          <w:sz w:val="24"/>
          <w:szCs w:val="24"/>
        </w:rPr>
        <w:t>Rolls-</w:t>
      </w:r>
      <w:proofErr w:type="spellStart"/>
      <w:r w:rsidRPr="001D771C">
        <w:rPr>
          <w:sz w:val="24"/>
          <w:szCs w:val="24"/>
        </w:rPr>
        <w:t>roycemotorcars</w:t>
      </w:r>
      <w:proofErr w:type="spellEnd"/>
      <w:r w:rsidRPr="001D771C">
        <w:rPr>
          <w:sz w:val="24"/>
          <w:szCs w:val="24"/>
        </w:rPr>
        <w:t xml:space="preserve"> (2025). ROLLS-ROYCE MOTOR CARS UNVEILS PRIVATE OFFICE NEW YORK. Available at: </w:t>
      </w:r>
      <w:hyperlink r:id="rId54">
        <w:r w:rsidRPr="001D771C">
          <w:rPr>
            <w:sz w:val="24"/>
            <w:szCs w:val="24"/>
            <w:u w:val="single"/>
          </w:rPr>
          <w:t>https://www.press.rolls-roycemotorcars.com/rolls-royce-motor-cars-pressclub/article/detail/T0445287EN/rolls-royce-motor-cars-unveils-private-office-new-york?language=en</w:t>
        </w:r>
      </w:hyperlink>
      <w:r w:rsidRPr="001D771C">
        <w:rPr>
          <w:sz w:val="24"/>
          <w:szCs w:val="24"/>
        </w:rPr>
        <w:t xml:space="preserve"> [Accessed on: 0</w:t>
      </w:r>
      <w:r w:rsidR="009251DC">
        <w:rPr>
          <w:sz w:val="24"/>
          <w:szCs w:val="24"/>
        </w:rPr>
        <w:t>3</w:t>
      </w:r>
      <w:r w:rsidRPr="001D771C">
        <w:rPr>
          <w:sz w:val="24"/>
          <w:szCs w:val="24"/>
        </w:rPr>
        <w:t>.03.2026]</w:t>
      </w:r>
    </w:p>
    <w:p w14:paraId="636B7671" w14:textId="77777777" w:rsidR="008C3000" w:rsidRPr="001D771C" w:rsidRDefault="008C3000">
      <w:pPr>
        <w:spacing w:before="200" w:line="360" w:lineRule="auto"/>
        <w:jc w:val="both"/>
        <w:rPr>
          <w:sz w:val="24"/>
          <w:szCs w:val="24"/>
        </w:rPr>
      </w:pPr>
      <w:r w:rsidRPr="001D771C">
        <w:rPr>
          <w:sz w:val="24"/>
          <w:szCs w:val="24"/>
        </w:rPr>
        <w:t>Shrestha, K., (2025). First-year composition multilingual students’ academic writing practices: the impact of reflective reading response journals. Reflective Practice, 26(5), pp.728-741.</w:t>
      </w:r>
    </w:p>
    <w:p w14:paraId="2CABA791" w14:textId="77777777" w:rsidR="008C3000" w:rsidRPr="001D771C" w:rsidRDefault="008C3000">
      <w:pPr>
        <w:spacing w:before="200" w:line="360" w:lineRule="auto"/>
        <w:jc w:val="both"/>
        <w:rPr>
          <w:sz w:val="24"/>
          <w:szCs w:val="24"/>
        </w:rPr>
      </w:pPr>
      <w:r w:rsidRPr="001D771C">
        <w:rPr>
          <w:sz w:val="24"/>
          <w:szCs w:val="24"/>
        </w:rPr>
        <w:lastRenderedPageBreak/>
        <w:t>Sow, C.F., Rasiah, S. and Er, H.M., (2025). A critical exploration of theoretical frameworks for reflective learning: Reflections from a faculty development workshop. Medical Science Educator, 35(1), pp.503-507.</w:t>
      </w:r>
    </w:p>
    <w:p w14:paraId="50482956" w14:textId="18B44ADD" w:rsidR="008C3000" w:rsidRPr="001D771C" w:rsidRDefault="008C3000">
      <w:pPr>
        <w:spacing w:before="200" w:line="360" w:lineRule="auto"/>
        <w:jc w:val="both"/>
        <w:rPr>
          <w:sz w:val="24"/>
          <w:szCs w:val="24"/>
        </w:rPr>
      </w:pPr>
      <w:proofErr w:type="spellStart"/>
      <w:r w:rsidRPr="001D771C">
        <w:rPr>
          <w:sz w:val="24"/>
          <w:szCs w:val="24"/>
        </w:rPr>
        <w:t>Spglobal</w:t>
      </w:r>
      <w:proofErr w:type="spellEnd"/>
      <w:r w:rsidRPr="001D771C">
        <w:rPr>
          <w:sz w:val="24"/>
          <w:szCs w:val="24"/>
        </w:rPr>
        <w:t xml:space="preserve"> (2025). US luxury car market: Lexus outperforms rivals. Available at: </w:t>
      </w:r>
      <w:hyperlink r:id="rId55">
        <w:r w:rsidRPr="001D771C">
          <w:rPr>
            <w:sz w:val="24"/>
            <w:szCs w:val="24"/>
            <w:u w:val="single"/>
          </w:rPr>
          <w:t>https://www.spglobal.com/automotive-insights/en/blogs/2025/01/luxury-car-market-lexus-outperforms-rivals</w:t>
        </w:r>
      </w:hyperlink>
      <w:r w:rsidRPr="001D771C">
        <w:rPr>
          <w:sz w:val="24"/>
          <w:szCs w:val="24"/>
        </w:rPr>
        <w:t xml:space="preserve"> [Accessed on: 0</w:t>
      </w:r>
      <w:r w:rsidR="009251DC">
        <w:rPr>
          <w:sz w:val="24"/>
          <w:szCs w:val="24"/>
        </w:rPr>
        <w:t>4</w:t>
      </w:r>
      <w:r w:rsidRPr="001D771C">
        <w:rPr>
          <w:sz w:val="24"/>
          <w:szCs w:val="24"/>
        </w:rPr>
        <w:t>.03.2026]</w:t>
      </w:r>
    </w:p>
    <w:p w14:paraId="7B66A2E7" w14:textId="701DF696" w:rsidR="008C3000" w:rsidRPr="001D771C" w:rsidRDefault="008C3000">
      <w:pPr>
        <w:spacing w:before="200" w:line="360" w:lineRule="auto"/>
        <w:jc w:val="both"/>
        <w:rPr>
          <w:sz w:val="24"/>
          <w:szCs w:val="24"/>
        </w:rPr>
      </w:pPr>
      <w:r w:rsidRPr="001D771C">
        <w:rPr>
          <w:sz w:val="24"/>
          <w:szCs w:val="24"/>
        </w:rPr>
        <w:t xml:space="preserve">Statista (2025). Global deliveries of Rolls-Royce automobiles from FY 2007 to FY 2024. Available at: </w:t>
      </w:r>
      <w:hyperlink r:id="rId56">
        <w:r w:rsidRPr="001D771C">
          <w:rPr>
            <w:sz w:val="24"/>
            <w:szCs w:val="24"/>
            <w:u w:val="single"/>
          </w:rPr>
          <w:t>https://www.statista.com/statistics/267243/worldwide-sales-volume-of-rolls-royce-automobiles/?srsltid=AfmBOoptFTwauLur8ZRjRUDO-l3_-S5b1wfwZpKmIj5EUH_g2NnL8tTI</w:t>
        </w:r>
      </w:hyperlink>
      <w:r w:rsidRPr="001D771C">
        <w:rPr>
          <w:sz w:val="24"/>
          <w:szCs w:val="24"/>
        </w:rPr>
        <w:t xml:space="preserve"> [Accessed on: 0</w:t>
      </w:r>
      <w:r w:rsidR="000921D1">
        <w:rPr>
          <w:sz w:val="24"/>
          <w:szCs w:val="24"/>
        </w:rPr>
        <w:t>3</w:t>
      </w:r>
      <w:r w:rsidRPr="001D771C">
        <w:rPr>
          <w:sz w:val="24"/>
          <w:szCs w:val="24"/>
        </w:rPr>
        <w:t>.03.2026]</w:t>
      </w:r>
    </w:p>
    <w:p w14:paraId="2B846FE1" w14:textId="60B20DD3" w:rsidR="008C3000" w:rsidRPr="001D771C" w:rsidRDefault="008C3000">
      <w:pPr>
        <w:spacing w:before="200" w:line="360" w:lineRule="auto"/>
        <w:jc w:val="both"/>
        <w:rPr>
          <w:sz w:val="24"/>
          <w:szCs w:val="24"/>
        </w:rPr>
      </w:pPr>
      <w:r w:rsidRPr="001D771C">
        <w:rPr>
          <w:sz w:val="24"/>
          <w:szCs w:val="24"/>
        </w:rPr>
        <w:t xml:space="preserve">Statista (2025). Leading luxury car brands in the U.S. in 2024, based on unit sales. Available at: </w:t>
      </w:r>
      <w:hyperlink r:id="rId57">
        <w:r w:rsidRPr="001D771C">
          <w:rPr>
            <w:sz w:val="24"/>
            <w:szCs w:val="24"/>
            <w:u w:val="single"/>
          </w:rPr>
          <w:t>https://www.statista.com/statistics/681399/luxury-vehicles-united-states-premium-vehicle-market-unit-sales/?srsltid=AfmBOoq71nC29yr6OspR4HpGFVvKBg_gHhNbSAUe7Ub4a5yQpEnaLrfW</w:t>
        </w:r>
      </w:hyperlink>
      <w:r w:rsidRPr="001D771C">
        <w:rPr>
          <w:sz w:val="24"/>
          <w:szCs w:val="24"/>
        </w:rPr>
        <w:t xml:space="preserve"> [Accessed on: 0</w:t>
      </w:r>
      <w:r w:rsidR="000921D1">
        <w:rPr>
          <w:sz w:val="24"/>
          <w:szCs w:val="24"/>
        </w:rPr>
        <w:t>1</w:t>
      </w:r>
      <w:r w:rsidRPr="001D771C">
        <w:rPr>
          <w:sz w:val="24"/>
          <w:szCs w:val="24"/>
        </w:rPr>
        <w:t>.03.2026]</w:t>
      </w:r>
    </w:p>
    <w:p w14:paraId="12C4DD3D" w14:textId="77777777" w:rsidR="008C3000" w:rsidRPr="001D771C" w:rsidRDefault="008C3000">
      <w:pPr>
        <w:spacing w:before="200" w:line="360" w:lineRule="auto"/>
        <w:jc w:val="both"/>
        <w:rPr>
          <w:sz w:val="24"/>
          <w:szCs w:val="24"/>
        </w:rPr>
      </w:pPr>
      <w:proofErr w:type="spellStart"/>
      <w:r w:rsidRPr="001D771C">
        <w:rPr>
          <w:sz w:val="24"/>
          <w:szCs w:val="24"/>
        </w:rPr>
        <w:t>Theculturefactor</w:t>
      </w:r>
      <w:proofErr w:type="spellEnd"/>
      <w:r w:rsidRPr="001D771C">
        <w:rPr>
          <w:sz w:val="24"/>
          <w:szCs w:val="24"/>
        </w:rPr>
        <w:t xml:space="preserve"> (2025). Cultural dimension of the United States. Available at: </w:t>
      </w:r>
      <w:hyperlink r:id="rId58">
        <w:r w:rsidRPr="001D771C">
          <w:rPr>
            <w:sz w:val="24"/>
            <w:szCs w:val="24"/>
            <w:u w:val="single"/>
          </w:rPr>
          <w:t>https://www.theculturefactor.com/country-comparison-tool?countries=united+states</w:t>
        </w:r>
      </w:hyperlink>
      <w:r w:rsidRPr="001D771C">
        <w:rPr>
          <w:sz w:val="24"/>
          <w:szCs w:val="24"/>
        </w:rPr>
        <w:t xml:space="preserve"> [Accessed on: 07.03.2026]</w:t>
      </w:r>
    </w:p>
    <w:p w14:paraId="2568201D" w14:textId="281D4DB2" w:rsidR="008C3000" w:rsidRPr="001D771C" w:rsidRDefault="008C3000">
      <w:pPr>
        <w:spacing w:before="200" w:line="360" w:lineRule="auto"/>
        <w:jc w:val="both"/>
        <w:rPr>
          <w:sz w:val="24"/>
          <w:szCs w:val="24"/>
        </w:rPr>
      </w:pPr>
      <w:proofErr w:type="spellStart"/>
      <w:r w:rsidRPr="001D771C">
        <w:rPr>
          <w:sz w:val="24"/>
          <w:szCs w:val="24"/>
        </w:rPr>
        <w:t>Thisismoney</w:t>
      </w:r>
      <w:proofErr w:type="spellEnd"/>
      <w:r w:rsidRPr="001D771C">
        <w:rPr>
          <w:sz w:val="24"/>
          <w:szCs w:val="24"/>
        </w:rPr>
        <w:t xml:space="preserve"> (2025</w:t>
      </w:r>
      <w:r w:rsidR="006700C8" w:rsidRPr="001D771C">
        <w:rPr>
          <w:sz w:val="24"/>
          <w:szCs w:val="24"/>
        </w:rPr>
        <w:t>). Will</w:t>
      </w:r>
      <w:r w:rsidRPr="001D771C">
        <w:rPr>
          <w:sz w:val="24"/>
          <w:szCs w:val="24"/>
        </w:rPr>
        <w:t xml:space="preserve"> Rolls-Royce's super-rich clients in the US soak up tariff rises? Available at: </w:t>
      </w:r>
      <w:hyperlink r:id="rId59">
        <w:r w:rsidRPr="001D771C">
          <w:rPr>
            <w:sz w:val="24"/>
            <w:szCs w:val="24"/>
            <w:u w:val="single"/>
          </w:rPr>
          <w:t>https://www.thisismoney.co.uk/money/cars/article-14567153/Will-Rolls-Royces-super-rich-clients-US-soak-tariff-rises.html</w:t>
        </w:r>
      </w:hyperlink>
      <w:r w:rsidRPr="001D771C">
        <w:rPr>
          <w:sz w:val="24"/>
          <w:szCs w:val="24"/>
        </w:rPr>
        <w:t xml:space="preserve"> [Accessed on: 0</w:t>
      </w:r>
      <w:r w:rsidR="000921D1">
        <w:rPr>
          <w:sz w:val="24"/>
          <w:szCs w:val="24"/>
        </w:rPr>
        <w:t>6</w:t>
      </w:r>
      <w:r w:rsidRPr="001D771C">
        <w:rPr>
          <w:sz w:val="24"/>
          <w:szCs w:val="24"/>
        </w:rPr>
        <w:t>.03.2026]</w:t>
      </w:r>
    </w:p>
    <w:p w14:paraId="26A4BFCB" w14:textId="01E4C4E6" w:rsidR="008C3000" w:rsidRPr="001D771C" w:rsidRDefault="008C3000">
      <w:pPr>
        <w:spacing w:before="200" w:line="360" w:lineRule="auto"/>
        <w:jc w:val="both"/>
        <w:rPr>
          <w:sz w:val="24"/>
          <w:szCs w:val="24"/>
        </w:rPr>
      </w:pPr>
      <w:proofErr w:type="spellStart"/>
      <w:r w:rsidRPr="001D771C">
        <w:rPr>
          <w:sz w:val="24"/>
          <w:szCs w:val="24"/>
        </w:rPr>
        <w:t>Tradingview</w:t>
      </w:r>
      <w:proofErr w:type="spellEnd"/>
      <w:r w:rsidRPr="001D771C">
        <w:rPr>
          <w:sz w:val="24"/>
          <w:szCs w:val="24"/>
        </w:rPr>
        <w:t xml:space="preserve"> (2025). British Pound / U.S. Dollar. Available at: </w:t>
      </w:r>
      <w:hyperlink r:id="rId60">
        <w:r w:rsidRPr="001D771C">
          <w:rPr>
            <w:sz w:val="24"/>
            <w:szCs w:val="24"/>
            <w:u w:val="single"/>
          </w:rPr>
          <w:t>https://in.tradingview.com/symbols/GBPUSD/</w:t>
        </w:r>
      </w:hyperlink>
      <w:r w:rsidRPr="001D771C">
        <w:rPr>
          <w:sz w:val="24"/>
          <w:szCs w:val="24"/>
        </w:rPr>
        <w:t xml:space="preserve"> [Accessed on: 0</w:t>
      </w:r>
      <w:r w:rsidR="009251DC">
        <w:rPr>
          <w:sz w:val="24"/>
          <w:szCs w:val="24"/>
        </w:rPr>
        <w:t>1</w:t>
      </w:r>
      <w:r w:rsidRPr="001D771C">
        <w:rPr>
          <w:sz w:val="24"/>
          <w:szCs w:val="24"/>
        </w:rPr>
        <w:t>.03.2026]</w:t>
      </w:r>
    </w:p>
    <w:p w14:paraId="195E9E9F" w14:textId="77777777" w:rsidR="008C3000" w:rsidRPr="001D771C" w:rsidRDefault="008C3000">
      <w:pPr>
        <w:spacing w:before="200" w:line="360" w:lineRule="auto"/>
        <w:jc w:val="both"/>
        <w:rPr>
          <w:sz w:val="24"/>
          <w:szCs w:val="24"/>
        </w:rPr>
      </w:pPr>
      <w:proofErr w:type="spellStart"/>
      <w:r w:rsidRPr="001D771C">
        <w:rPr>
          <w:sz w:val="24"/>
          <w:szCs w:val="24"/>
        </w:rPr>
        <w:t>Trimasse</w:t>
      </w:r>
      <w:proofErr w:type="spellEnd"/>
      <w:r w:rsidRPr="001D771C">
        <w:rPr>
          <w:sz w:val="24"/>
          <w:szCs w:val="24"/>
        </w:rPr>
        <w:t>, N., (2025). The use of reflective reports in higher education. Reflective Practice, 26(1), pp.154-171.</w:t>
      </w:r>
    </w:p>
    <w:p w14:paraId="5DF8055D" w14:textId="70873416" w:rsidR="008C3000" w:rsidRPr="001D771C" w:rsidRDefault="008C3000">
      <w:pPr>
        <w:spacing w:before="200" w:line="360" w:lineRule="auto"/>
        <w:jc w:val="both"/>
        <w:rPr>
          <w:sz w:val="24"/>
          <w:szCs w:val="24"/>
        </w:rPr>
      </w:pPr>
      <w:r w:rsidRPr="001D771C">
        <w:rPr>
          <w:sz w:val="24"/>
          <w:szCs w:val="24"/>
        </w:rPr>
        <w:t xml:space="preserve">UBS (2025). Global Wealth Report 2025. Available at: </w:t>
      </w:r>
      <w:hyperlink r:id="rId61">
        <w:r w:rsidRPr="001D771C">
          <w:rPr>
            <w:sz w:val="24"/>
            <w:szCs w:val="24"/>
            <w:u w:val="single"/>
          </w:rPr>
          <w:t>https://www.ubs.com/global/en/wealthmanagement/insights/global-wealth-</w:t>
        </w:r>
        <w:r w:rsidRPr="001D771C">
          <w:rPr>
            <w:sz w:val="24"/>
            <w:szCs w:val="24"/>
            <w:u w:val="single"/>
          </w:rPr>
          <w:lastRenderedPageBreak/>
          <w:t>report.html?bulkredirectlink=/global/en/wealth-management/insights/global-wealth-report.html</w:t>
        </w:r>
      </w:hyperlink>
      <w:r w:rsidRPr="001D771C">
        <w:rPr>
          <w:sz w:val="24"/>
          <w:szCs w:val="24"/>
        </w:rPr>
        <w:t xml:space="preserve"> [Accessed on: 0</w:t>
      </w:r>
      <w:r w:rsidR="000921D1">
        <w:rPr>
          <w:sz w:val="24"/>
          <w:szCs w:val="24"/>
        </w:rPr>
        <w:t>4</w:t>
      </w:r>
      <w:r w:rsidRPr="001D771C">
        <w:rPr>
          <w:sz w:val="24"/>
          <w:szCs w:val="24"/>
        </w:rPr>
        <w:t>.03.2026]</w:t>
      </w:r>
    </w:p>
    <w:p w14:paraId="0EF2A531" w14:textId="4E9810BE" w:rsidR="008C3000" w:rsidRPr="001D771C" w:rsidRDefault="008C3000">
      <w:pPr>
        <w:spacing w:before="200" w:line="360" w:lineRule="auto"/>
        <w:jc w:val="both"/>
        <w:rPr>
          <w:sz w:val="24"/>
          <w:szCs w:val="24"/>
        </w:rPr>
      </w:pPr>
      <w:proofErr w:type="spellStart"/>
      <w:r w:rsidRPr="001D771C">
        <w:rPr>
          <w:sz w:val="24"/>
          <w:szCs w:val="24"/>
        </w:rPr>
        <w:t>Visualcapitalist</w:t>
      </w:r>
      <w:proofErr w:type="spellEnd"/>
      <w:r w:rsidRPr="001D771C">
        <w:rPr>
          <w:sz w:val="24"/>
          <w:szCs w:val="24"/>
        </w:rPr>
        <w:t xml:space="preserve"> (2025). How Tariffs Will Impact U.S. Car Prices, by Brand. Available at: </w:t>
      </w:r>
      <w:hyperlink r:id="rId62">
        <w:r w:rsidRPr="001D771C">
          <w:rPr>
            <w:sz w:val="24"/>
            <w:szCs w:val="24"/>
            <w:u w:val="single"/>
          </w:rPr>
          <w:t>https://www.visualcapitalist.com/how-tariffs-will-impact-u-s-car-prices-by-brand/</w:t>
        </w:r>
      </w:hyperlink>
      <w:r w:rsidRPr="001D771C">
        <w:rPr>
          <w:sz w:val="24"/>
          <w:szCs w:val="24"/>
        </w:rPr>
        <w:t xml:space="preserve">  [Accessed on: 0</w:t>
      </w:r>
      <w:r w:rsidR="000921D1">
        <w:rPr>
          <w:sz w:val="24"/>
          <w:szCs w:val="24"/>
        </w:rPr>
        <w:t>3</w:t>
      </w:r>
      <w:r w:rsidRPr="001D771C">
        <w:rPr>
          <w:sz w:val="24"/>
          <w:szCs w:val="24"/>
        </w:rPr>
        <w:t>.03.2026]</w:t>
      </w:r>
    </w:p>
    <w:p w14:paraId="0DB80B91" w14:textId="77777777" w:rsidR="008C3000" w:rsidRPr="001D771C" w:rsidRDefault="008C3000">
      <w:pPr>
        <w:spacing w:before="200" w:line="360" w:lineRule="auto"/>
        <w:jc w:val="both"/>
        <w:rPr>
          <w:sz w:val="24"/>
          <w:szCs w:val="24"/>
        </w:rPr>
      </w:pPr>
      <w:r w:rsidRPr="001D771C">
        <w:rPr>
          <w:sz w:val="24"/>
          <w:szCs w:val="24"/>
        </w:rPr>
        <w:t>Wang, C.W., Hazell, A. and Scanlon, S., (2025). Reflective writing. In English for Medical Communication (pp. 97-118). Routledge.</w:t>
      </w:r>
    </w:p>
    <w:p w14:paraId="68A06715" w14:textId="77777777" w:rsidR="008C3000" w:rsidRPr="001D771C" w:rsidRDefault="008C3000">
      <w:pPr>
        <w:spacing w:before="200" w:line="360" w:lineRule="auto"/>
        <w:jc w:val="both"/>
        <w:rPr>
          <w:sz w:val="24"/>
          <w:szCs w:val="24"/>
        </w:rPr>
      </w:pPr>
      <w:r w:rsidRPr="001D771C">
        <w:rPr>
          <w:sz w:val="24"/>
          <w:szCs w:val="24"/>
        </w:rPr>
        <w:t>Wang, Z., (2025). Reflective journal writing and interpreting anxiety: insights from a longitudinal study. Frontiers in Psychology, 16, p.1671239.</w:t>
      </w:r>
    </w:p>
    <w:p w14:paraId="6C9F6D50" w14:textId="03B3F3EB" w:rsidR="008C3000" w:rsidRPr="001D771C" w:rsidRDefault="008C3000">
      <w:pPr>
        <w:spacing w:before="200" w:line="360" w:lineRule="auto"/>
        <w:jc w:val="both"/>
        <w:rPr>
          <w:sz w:val="24"/>
          <w:szCs w:val="24"/>
        </w:rPr>
      </w:pPr>
      <w:r w:rsidRPr="001D771C">
        <w:rPr>
          <w:sz w:val="24"/>
          <w:szCs w:val="24"/>
        </w:rPr>
        <w:t xml:space="preserve">World Bank (2025). Business Ready (B-READY). Available at: </w:t>
      </w:r>
      <w:hyperlink r:id="rId63">
        <w:r w:rsidRPr="001D771C">
          <w:rPr>
            <w:sz w:val="24"/>
            <w:szCs w:val="24"/>
            <w:u w:val="single"/>
          </w:rPr>
          <w:t>https://openknowledge.worldbank.org/server/api/core/bitstreams/87da3605-74ec-48c0-ad83-0d9be0db1475/content</w:t>
        </w:r>
      </w:hyperlink>
      <w:r w:rsidRPr="001D771C">
        <w:rPr>
          <w:sz w:val="24"/>
          <w:szCs w:val="24"/>
        </w:rPr>
        <w:t xml:space="preserve"> [Accessed on: 0</w:t>
      </w:r>
      <w:r w:rsidR="000921D1">
        <w:rPr>
          <w:sz w:val="24"/>
          <w:szCs w:val="24"/>
        </w:rPr>
        <w:t>2</w:t>
      </w:r>
      <w:r w:rsidRPr="001D771C">
        <w:rPr>
          <w:sz w:val="24"/>
          <w:szCs w:val="24"/>
        </w:rPr>
        <w:t>.03.2026]</w:t>
      </w:r>
    </w:p>
    <w:p w14:paraId="3B318A5A" w14:textId="2980724E" w:rsidR="008C3000" w:rsidRPr="001D771C" w:rsidRDefault="008C3000">
      <w:pPr>
        <w:spacing w:before="200" w:line="360" w:lineRule="auto"/>
        <w:jc w:val="both"/>
        <w:rPr>
          <w:sz w:val="24"/>
          <w:szCs w:val="24"/>
        </w:rPr>
      </w:pPr>
      <w:r w:rsidRPr="001D771C">
        <w:rPr>
          <w:sz w:val="24"/>
          <w:szCs w:val="24"/>
        </w:rPr>
        <w:t xml:space="preserve">Yahoo (2025). Rolls-Royce CEO: Tariffs will have some impact on luxury goods, but don't weep for the luxury car maker. Available at: </w:t>
      </w:r>
      <w:hyperlink r:id="rId64">
        <w:r w:rsidRPr="001D771C">
          <w:rPr>
            <w:sz w:val="24"/>
            <w:szCs w:val="24"/>
            <w:u w:val="single"/>
          </w:rPr>
          <w:t>https://finance.yahoo.com/news/rolls-royce-ceo-tariffs-will-have-some-impact-on-luxury-goods-but-dont-weep-for-the-luxury-car-maker-145146447.html</w:t>
        </w:r>
      </w:hyperlink>
      <w:r w:rsidRPr="001D771C">
        <w:rPr>
          <w:sz w:val="24"/>
          <w:szCs w:val="24"/>
        </w:rPr>
        <w:t xml:space="preserve"> [Accessed on: 0</w:t>
      </w:r>
      <w:r w:rsidR="000921D1">
        <w:rPr>
          <w:sz w:val="24"/>
          <w:szCs w:val="24"/>
        </w:rPr>
        <w:t>1</w:t>
      </w:r>
      <w:r w:rsidRPr="001D771C">
        <w:rPr>
          <w:sz w:val="24"/>
          <w:szCs w:val="24"/>
        </w:rPr>
        <w:t>.03.2026]</w:t>
      </w:r>
    </w:p>
    <w:p w14:paraId="769574EF" w14:textId="77777777" w:rsidR="008C3000" w:rsidRPr="001D771C" w:rsidRDefault="008C3000">
      <w:pPr>
        <w:spacing w:before="200" w:line="360" w:lineRule="auto"/>
        <w:jc w:val="both"/>
        <w:rPr>
          <w:sz w:val="24"/>
          <w:szCs w:val="24"/>
        </w:rPr>
      </w:pPr>
      <w:r w:rsidRPr="001D771C">
        <w:rPr>
          <w:sz w:val="24"/>
          <w:szCs w:val="24"/>
        </w:rPr>
        <w:t xml:space="preserve">Yardım, S. and </w:t>
      </w:r>
      <w:proofErr w:type="spellStart"/>
      <w:r w:rsidRPr="001D771C">
        <w:rPr>
          <w:sz w:val="24"/>
          <w:szCs w:val="24"/>
        </w:rPr>
        <w:t>Pedgley</w:t>
      </w:r>
      <w:proofErr w:type="spellEnd"/>
      <w:r w:rsidRPr="001D771C">
        <w:rPr>
          <w:sz w:val="24"/>
          <w:szCs w:val="24"/>
        </w:rPr>
        <w:t>, O., (2023). Targeting a luxury driver experience: design considerations for automotive HMI and interiors. International Journal of Design, 17(2), pp.45-66.</w:t>
      </w:r>
    </w:p>
    <w:p w14:paraId="5EB3F7A6" w14:textId="77777777" w:rsidR="008C3000" w:rsidRPr="001D771C" w:rsidRDefault="008C3000">
      <w:pPr>
        <w:spacing w:before="200" w:line="360" w:lineRule="auto"/>
        <w:jc w:val="both"/>
        <w:rPr>
          <w:sz w:val="24"/>
          <w:szCs w:val="24"/>
        </w:rPr>
      </w:pPr>
      <w:r w:rsidRPr="001D771C">
        <w:rPr>
          <w:sz w:val="24"/>
          <w:szCs w:val="24"/>
        </w:rPr>
        <w:t>Zhang, Q., Ariffin, S.K., Richardson, C. and Wang, Y., (2023). Influencing factors of customer loyalty in mobile payment: A consumption value perspective and the role of alternative attractiveness. Journal of Retailing and Consumer Services, 73, p.103302.</w:t>
      </w:r>
    </w:p>
    <w:p w14:paraId="27CA876E" w14:textId="77777777" w:rsidR="00873435" w:rsidRPr="001D771C" w:rsidRDefault="00873435">
      <w:pPr>
        <w:spacing w:line="360" w:lineRule="auto"/>
        <w:jc w:val="both"/>
        <w:rPr>
          <w:sz w:val="24"/>
          <w:szCs w:val="24"/>
        </w:rPr>
      </w:pPr>
    </w:p>
    <w:sectPr w:rsidR="00873435" w:rsidRPr="001D771C" w:rsidSect="00DB52A8">
      <w:footerReference w:type="default" r:id="rId6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7611B" w14:textId="77777777" w:rsidR="0021752B" w:rsidRDefault="0021752B">
      <w:pPr>
        <w:spacing w:line="240" w:lineRule="auto"/>
      </w:pPr>
      <w:r>
        <w:separator/>
      </w:r>
    </w:p>
  </w:endnote>
  <w:endnote w:type="continuationSeparator" w:id="0">
    <w:p w14:paraId="1F55A35F" w14:textId="77777777" w:rsidR="0021752B" w:rsidRDefault="002175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0701B6F-2A62-4DB5-8875-A11A6BFE4CAA}"/>
  </w:font>
  <w:font w:name="Cambria">
    <w:panose1 w:val="02040503050406030204"/>
    <w:charset w:val="00"/>
    <w:family w:val="roman"/>
    <w:pitch w:val="variable"/>
    <w:sig w:usb0="E00006FF" w:usb1="420024FF" w:usb2="02000000" w:usb3="00000000" w:csb0="0000019F" w:csb1="00000000"/>
    <w:embedRegular r:id="rId2" w:fontKey="{AE64D16A-BDF0-4358-BB2B-1BA73695731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B7D29" w14:textId="7C6C9A36" w:rsidR="001C1C2B" w:rsidRDefault="001C1C2B">
    <w:pPr>
      <w:pStyle w:val="Footer"/>
      <w:jc w:val="right"/>
    </w:pPr>
  </w:p>
  <w:p w14:paraId="1CCCBE48" w14:textId="77777777" w:rsidR="00873435" w:rsidRDefault="0087343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279341"/>
      <w:docPartObj>
        <w:docPartGallery w:val="Page Numbers (Bottom of Page)"/>
        <w:docPartUnique/>
      </w:docPartObj>
    </w:sdtPr>
    <w:sdtEndPr>
      <w:rPr>
        <w:noProof/>
      </w:rPr>
    </w:sdtEndPr>
    <w:sdtContent>
      <w:p w14:paraId="4DC03BCA" w14:textId="5D9A6995" w:rsidR="00DB52A8" w:rsidRDefault="00DB52A8">
        <w:pPr>
          <w:pStyle w:val="Footer"/>
          <w:jc w:val="right"/>
        </w:pPr>
        <w:r>
          <w:fldChar w:fldCharType="begin"/>
        </w:r>
        <w:r>
          <w:instrText xml:space="preserve"> PAGE   \* MERGEFORMAT </w:instrText>
        </w:r>
        <w:r>
          <w:fldChar w:fldCharType="separate"/>
        </w:r>
        <w:r w:rsidR="00E15059">
          <w:rPr>
            <w:noProof/>
          </w:rPr>
          <w:t>19</w:t>
        </w:r>
        <w:r>
          <w:rPr>
            <w:noProof/>
          </w:rPr>
          <w:fldChar w:fldCharType="end"/>
        </w:r>
      </w:p>
    </w:sdtContent>
  </w:sdt>
  <w:p w14:paraId="7750E90E" w14:textId="77777777" w:rsidR="001C1C2B" w:rsidRDefault="001C1C2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E2989" w14:textId="77777777" w:rsidR="0021752B" w:rsidRDefault="0021752B">
      <w:pPr>
        <w:spacing w:line="240" w:lineRule="auto"/>
      </w:pPr>
      <w:r>
        <w:separator/>
      </w:r>
    </w:p>
  </w:footnote>
  <w:footnote w:type="continuationSeparator" w:id="0">
    <w:p w14:paraId="3F2CDD80" w14:textId="77777777" w:rsidR="0021752B" w:rsidRDefault="0021752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435"/>
    <w:rsid w:val="00025625"/>
    <w:rsid w:val="000310E4"/>
    <w:rsid w:val="000640BB"/>
    <w:rsid w:val="000818C4"/>
    <w:rsid w:val="000921D1"/>
    <w:rsid w:val="00132C44"/>
    <w:rsid w:val="001432E2"/>
    <w:rsid w:val="001A5DF8"/>
    <w:rsid w:val="001B781D"/>
    <w:rsid w:val="001C1C2B"/>
    <w:rsid w:val="001D771C"/>
    <w:rsid w:val="0021752B"/>
    <w:rsid w:val="00251155"/>
    <w:rsid w:val="0028437F"/>
    <w:rsid w:val="00320C64"/>
    <w:rsid w:val="0037662E"/>
    <w:rsid w:val="00394325"/>
    <w:rsid w:val="004618D7"/>
    <w:rsid w:val="004745EF"/>
    <w:rsid w:val="00484BAC"/>
    <w:rsid w:val="004A4A80"/>
    <w:rsid w:val="0050311C"/>
    <w:rsid w:val="00530E31"/>
    <w:rsid w:val="00574804"/>
    <w:rsid w:val="00584CF2"/>
    <w:rsid w:val="005C1C78"/>
    <w:rsid w:val="00607FD7"/>
    <w:rsid w:val="00630E91"/>
    <w:rsid w:val="006325DE"/>
    <w:rsid w:val="006700C8"/>
    <w:rsid w:val="006763B8"/>
    <w:rsid w:val="006B6DA8"/>
    <w:rsid w:val="006F665C"/>
    <w:rsid w:val="00700A72"/>
    <w:rsid w:val="007054CC"/>
    <w:rsid w:val="0077010C"/>
    <w:rsid w:val="00770251"/>
    <w:rsid w:val="0077486F"/>
    <w:rsid w:val="00786531"/>
    <w:rsid w:val="007B0101"/>
    <w:rsid w:val="007C7361"/>
    <w:rsid w:val="00857CF4"/>
    <w:rsid w:val="00873435"/>
    <w:rsid w:val="008B2F17"/>
    <w:rsid w:val="008C3000"/>
    <w:rsid w:val="00907A78"/>
    <w:rsid w:val="00914F13"/>
    <w:rsid w:val="009218FD"/>
    <w:rsid w:val="009251DC"/>
    <w:rsid w:val="009A2F9C"/>
    <w:rsid w:val="009C184E"/>
    <w:rsid w:val="00A06166"/>
    <w:rsid w:val="00A160D2"/>
    <w:rsid w:val="00A64FEA"/>
    <w:rsid w:val="00A65EB0"/>
    <w:rsid w:val="00A72218"/>
    <w:rsid w:val="00A84ABE"/>
    <w:rsid w:val="00B157BC"/>
    <w:rsid w:val="00B2180B"/>
    <w:rsid w:val="00B33EB9"/>
    <w:rsid w:val="00B45D11"/>
    <w:rsid w:val="00BB31E8"/>
    <w:rsid w:val="00BE7CF5"/>
    <w:rsid w:val="00C11128"/>
    <w:rsid w:val="00C43127"/>
    <w:rsid w:val="00C51DF3"/>
    <w:rsid w:val="00C80E45"/>
    <w:rsid w:val="00CB3B2A"/>
    <w:rsid w:val="00CF1A80"/>
    <w:rsid w:val="00D026E0"/>
    <w:rsid w:val="00D0500F"/>
    <w:rsid w:val="00D26AA4"/>
    <w:rsid w:val="00D62E81"/>
    <w:rsid w:val="00D67CE1"/>
    <w:rsid w:val="00DA4163"/>
    <w:rsid w:val="00DB52A8"/>
    <w:rsid w:val="00DC180B"/>
    <w:rsid w:val="00E15059"/>
    <w:rsid w:val="00E87FEA"/>
    <w:rsid w:val="00EC3E47"/>
    <w:rsid w:val="00F011E7"/>
    <w:rsid w:val="00F2023C"/>
    <w:rsid w:val="00F419F0"/>
    <w:rsid w:val="00F6094F"/>
    <w:rsid w:val="00F9238D"/>
    <w:rsid w:val="00FA780A"/>
    <w:rsid w:val="00FD2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DBC66"/>
  <w15:docId w15:val="{D66B4E5E-3095-4735-AD58-1A0B32D8C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line="360" w:lineRule="auto"/>
      <w:jc w:val="both"/>
      <w:outlineLvl w:val="0"/>
    </w:pPr>
    <w:rPr>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b/>
      <w:bCs/>
      <w:sz w:val="26"/>
      <w:szCs w:val="26"/>
    </w:rPr>
  </w:style>
  <w:style w:type="paragraph" w:styleId="Heading3">
    <w:name w:val="heading 3"/>
    <w:basedOn w:val="Normal"/>
    <w:next w:val="Normal"/>
    <w:uiPriority w:val="9"/>
    <w:unhideWhenUsed/>
    <w:qFormat/>
    <w:pPr>
      <w:keepNext/>
      <w:keepLines/>
      <w:spacing w:line="360" w:lineRule="auto"/>
      <w:jc w:val="both"/>
      <w:outlineLvl w:val="2"/>
    </w:pPr>
    <w:rPr>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251155"/>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51155"/>
    <w:pPr>
      <w:spacing w:after="100"/>
    </w:pPr>
  </w:style>
  <w:style w:type="paragraph" w:styleId="TOC2">
    <w:name w:val="toc 2"/>
    <w:basedOn w:val="Normal"/>
    <w:next w:val="Normal"/>
    <w:autoRedefine/>
    <w:uiPriority w:val="39"/>
    <w:unhideWhenUsed/>
    <w:rsid w:val="00251155"/>
    <w:pPr>
      <w:spacing w:after="100"/>
      <w:ind w:left="220"/>
    </w:pPr>
  </w:style>
  <w:style w:type="paragraph" w:styleId="TOC3">
    <w:name w:val="toc 3"/>
    <w:basedOn w:val="Normal"/>
    <w:next w:val="Normal"/>
    <w:autoRedefine/>
    <w:uiPriority w:val="39"/>
    <w:unhideWhenUsed/>
    <w:rsid w:val="00251155"/>
    <w:pPr>
      <w:spacing w:after="100"/>
      <w:ind w:left="440"/>
    </w:pPr>
  </w:style>
  <w:style w:type="character" w:styleId="Hyperlink">
    <w:name w:val="Hyperlink"/>
    <w:basedOn w:val="DefaultParagraphFont"/>
    <w:uiPriority w:val="99"/>
    <w:unhideWhenUsed/>
    <w:rsid w:val="00251155"/>
    <w:rPr>
      <w:color w:val="0000FF" w:themeColor="hyperlink"/>
      <w:u w:val="single"/>
    </w:rPr>
  </w:style>
  <w:style w:type="paragraph" w:styleId="Header">
    <w:name w:val="header"/>
    <w:basedOn w:val="Normal"/>
    <w:link w:val="HeaderChar"/>
    <w:uiPriority w:val="99"/>
    <w:unhideWhenUsed/>
    <w:rsid w:val="001C1C2B"/>
    <w:pPr>
      <w:tabs>
        <w:tab w:val="center" w:pos="4513"/>
        <w:tab w:val="right" w:pos="9026"/>
      </w:tabs>
      <w:spacing w:line="240" w:lineRule="auto"/>
    </w:pPr>
  </w:style>
  <w:style w:type="character" w:customStyle="1" w:styleId="HeaderChar">
    <w:name w:val="Header Char"/>
    <w:basedOn w:val="DefaultParagraphFont"/>
    <w:link w:val="Header"/>
    <w:uiPriority w:val="99"/>
    <w:rsid w:val="001C1C2B"/>
  </w:style>
  <w:style w:type="paragraph" w:styleId="Footer">
    <w:name w:val="footer"/>
    <w:basedOn w:val="Normal"/>
    <w:link w:val="FooterChar"/>
    <w:uiPriority w:val="99"/>
    <w:unhideWhenUsed/>
    <w:rsid w:val="001C1C2B"/>
    <w:pPr>
      <w:tabs>
        <w:tab w:val="center" w:pos="4513"/>
        <w:tab w:val="right" w:pos="9026"/>
      </w:tabs>
      <w:spacing w:line="240" w:lineRule="auto"/>
    </w:pPr>
  </w:style>
  <w:style w:type="character" w:customStyle="1" w:styleId="FooterChar">
    <w:name w:val="Footer Char"/>
    <w:basedOn w:val="DefaultParagraphFont"/>
    <w:link w:val="Footer"/>
    <w:uiPriority w:val="99"/>
    <w:rsid w:val="001C1C2B"/>
  </w:style>
  <w:style w:type="character" w:customStyle="1" w:styleId="UnresolvedMention1">
    <w:name w:val="Unresolved Mention1"/>
    <w:basedOn w:val="DefaultParagraphFont"/>
    <w:uiPriority w:val="99"/>
    <w:semiHidden/>
    <w:unhideWhenUsed/>
    <w:rsid w:val="00092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yperlink" Target="https://americanautomakers.org/sites/default/files/2025%20AAPC%20Economic%20Contribution%20Report_1.pdf" TargetMode="External"/><Relationship Id="rId42" Type="http://schemas.openxmlformats.org/officeDocument/2006/relationships/hyperlink" Target="https://www.era-environmental.com/blog/inflation-reduction-act-automotive-industry" TargetMode="External"/><Relationship Id="rId47" Type="http://schemas.openxmlformats.org/officeDocument/2006/relationships/hyperlink" Target="https://inflationdata.com/articles/misery-index/" TargetMode="External"/><Relationship Id="rId50" Type="http://schemas.openxmlformats.org/officeDocument/2006/relationships/hyperlink" Target="https://www.nhtsa.gov/vehicle-manufacturers/early-warning-reporting" TargetMode="External"/><Relationship Id="rId55" Type="http://schemas.openxmlformats.org/officeDocument/2006/relationships/hyperlink" Target="https://www.spglobal.com/automotive-insights/en/blogs/2025/01/luxury-car-market-lexus-outperforms-rivals" TargetMode="External"/><Relationship Id="rId63" Type="http://schemas.openxmlformats.org/officeDocument/2006/relationships/hyperlink" Target="https://openknowledge.worldbank.org/server/api/core/bitstreams/87da3605-74ec-48c0-ad83-0d9be0db1475/content"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diagramData" Target="diagrams/data1.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diagramColors" Target="diagrams/colors1.xml"/><Relationship Id="rId37" Type="http://schemas.openxmlformats.org/officeDocument/2006/relationships/hyperlink" Target="https://www.capgemini.com/news/press-releases/north-america-high-net-worth-individual-population-surges-while-europe-and-middle-east-shrink/" TargetMode="External"/><Relationship Id="rId40" Type="http://schemas.openxmlformats.org/officeDocument/2006/relationships/hyperlink" Target="https://www.coxautoinc.com/wp-content/uploads/2025/01/2024-Car-Buyer-Journey-Study-Research-Summary.pdf" TargetMode="External"/><Relationship Id="rId45" Type="http://schemas.openxmlformats.org/officeDocument/2006/relationships/hyperlink" Target="https://www.grandviewresearch.com/horizon/outlook/luxury-car-market/united-states" TargetMode="External"/><Relationship Id="rId53" Type="http://schemas.openxmlformats.org/officeDocument/2006/relationships/hyperlink" Target="https://www.reuters.com/business/autos-transportation/us-trade-commission-launches-review-usmca-automotive-rules-origin-2026-02-19/" TargetMode="External"/><Relationship Id="rId58" Type="http://schemas.openxmlformats.org/officeDocument/2006/relationships/hyperlink" Target="https://www.theculturefactor.com/country-comparison-tool?countries=united+states"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ubs.com/global/en/wealthmanagement/insights/global-wealth-report.html?bulkredirectlink=/global/en/wealth-management/insights/global-wealth-report.html"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diagramLayout" Target="diagrams/layout1.xml"/><Relationship Id="rId35" Type="http://schemas.openxmlformats.org/officeDocument/2006/relationships/hyperlink" Target="https://www.bcg.com/press/12december2025-us-luxury-exotic-car-market" TargetMode="External"/><Relationship Id="rId43" Type="http://schemas.openxmlformats.org/officeDocument/2006/relationships/hyperlink" Target="https://www.ftc.gov/news-events/news/press-releases/2025/01/ftc-takes-action-against-general-motors-sharing-drivers-precise-location-driving-behavior-data" TargetMode="External"/><Relationship Id="rId48" Type="http://schemas.openxmlformats.org/officeDocument/2006/relationships/hyperlink" Target="https://www.lexology.com/library/detail.aspx?g=d57ff615-d92b-4a29-a512-a6545d7ec139" TargetMode="External"/><Relationship Id="rId56" Type="http://schemas.openxmlformats.org/officeDocument/2006/relationships/hyperlink" Target="https://www.statista.com/statistics/267243/worldwide-sales-volume-of-rolls-royce-automobiles/?srsltid=AfmBOoptFTwauLur8ZRjRUDO-l3_-S5b1wfwZpKmIj5EUH_g2NnL8tTI" TargetMode="External"/><Relationship Id="rId64" Type="http://schemas.openxmlformats.org/officeDocument/2006/relationships/hyperlink" Target="https://finance.yahoo.com/news/rolls-royce-ceo-tariffs-will-have-some-impact-on-luxury-goods-but-dont-weep-for-the-luxury-car-maker-145146447.html" TargetMode="External"/><Relationship Id="rId8" Type="http://schemas.openxmlformats.org/officeDocument/2006/relationships/footer" Target="footer1.xml"/><Relationship Id="rId51" Type="http://schemas.openxmlformats.org/officeDocument/2006/relationships/hyperlink" Target="https://www.pewresearch.org/science/2025/06/05/americans-views-on-energy-at-the-start-of-trumps-second-term/ps_2025-6-5_energy_00-07/"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microsoft.com/office/2007/relationships/diagramDrawing" Target="diagrams/drawing1.xml"/><Relationship Id="rId38" Type="http://schemas.openxmlformats.org/officeDocument/2006/relationships/hyperlink" Target="https://www.carscoops.com/2025/12/luxury-car-market-growth-2035-trends/" TargetMode="External"/><Relationship Id="rId46" Type="http://schemas.openxmlformats.org/officeDocument/2006/relationships/hyperlink" Target="https://www.grandviewresearch.com/industry-analysis/us-software-defined-vehicles-market-report" TargetMode="External"/><Relationship Id="rId59" Type="http://schemas.openxmlformats.org/officeDocument/2006/relationships/hyperlink" Target="https://www.thisismoney.co.uk/money/cars/article-14567153/Will-Rolls-Royces-super-rich-clients-US-soak-tariff-rises.html" TargetMode="External"/><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www.dsireinsight.com/blog/2024/5/28/the-advanced-clean-cars-ii-controversy-where-are-states-adopting-or-blocking-californias-zero-emission-vehicle-rules" TargetMode="External"/><Relationship Id="rId54" Type="http://schemas.openxmlformats.org/officeDocument/2006/relationships/hyperlink" Target="https://www.press.rolls-roycemotorcars.com/rolls-royce-motor-cars-pressclub/article/detail/T0445287EN/rolls-royce-motor-cars-unveils-private-office-new-york?language=en" TargetMode="External"/><Relationship Id="rId62" Type="http://schemas.openxmlformats.org/officeDocument/2006/relationships/hyperlink" Target="https://www.visualcapitalist.com/how-tariffs-will-impact-u-s-car-prices-by-brand/"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bentleymedia.com/en/newsitem/1612-bentley-announces-its-2024-half-year-financials" TargetMode="External"/><Relationship Id="rId49" Type="http://schemas.openxmlformats.org/officeDocument/2006/relationships/hyperlink" Target="https://www.lincolninternational.com/wp-content/uploads/Nov-2025-Vehicle-Aftermarket-Intel-Report.pdf?x42567" TargetMode="External"/><Relationship Id="rId57" Type="http://schemas.openxmlformats.org/officeDocument/2006/relationships/hyperlink" Target="https://www.statista.com/statistics/681399/luxury-vehicles-united-states-premium-vehicle-market-unit-sales/?srsltid=AfmBOoq71nC29yr6OspR4HpGFVvKBg_gHhNbSAUe7Ub4a5yQpEnaLrfW" TargetMode="External"/><Relationship Id="rId10" Type="http://schemas.openxmlformats.org/officeDocument/2006/relationships/image" Target="media/image3.png"/><Relationship Id="rId31" Type="http://schemas.openxmlformats.org/officeDocument/2006/relationships/diagramQuickStyle" Target="diagrams/quickStyle1.xml"/><Relationship Id="rId44" Type="http://schemas.openxmlformats.org/officeDocument/2006/relationships/hyperlink" Target="https://news.gm.com/home.detail.html/Pages/news/us/en/2026/jan/0105-gmsales.html" TargetMode="External"/><Relationship Id="rId52" Type="http://schemas.openxmlformats.org/officeDocument/2006/relationships/hyperlink" Target="https://www.precedenceresearch.com/luxury-car-market" TargetMode="External"/><Relationship Id="rId60" Type="http://schemas.openxmlformats.org/officeDocument/2006/relationships/hyperlink" Target="https://in.tradingview.com/symbols/GBPUSD/" TargetMode="External"/><Relationship Id="rId65"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congress.gov/crs-product/IN12545"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DA09A4-BE79-4BCC-8687-42DA08335300}" type="doc">
      <dgm:prSet loTypeId="urn:microsoft.com/office/officeart/2005/8/layout/cycle2" loCatId="cycle" qsTypeId="urn:microsoft.com/office/officeart/2005/8/quickstyle/simple1" qsCatId="simple" csTypeId="urn:microsoft.com/office/officeart/2005/8/colors/colorful3" csCatId="colorful" phldr="1"/>
      <dgm:spPr/>
      <dgm:t>
        <a:bodyPr/>
        <a:lstStyle/>
        <a:p>
          <a:endParaRPr lang="en-GB"/>
        </a:p>
      </dgm:t>
    </dgm:pt>
    <dgm:pt modelId="{4C770AB4-564A-4B1E-9EAA-C2C716D7C18E}">
      <dgm:prSet phldrT="[Text]" custT="1"/>
      <dgm:spPr/>
      <dgm:t>
        <a:bodyPr/>
        <a:lstStyle/>
        <a:p>
          <a:r>
            <a:rPr lang="en-GB" sz="1000" b="1">
              <a:solidFill>
                <a:sysClr val="windowText" lastClr="000000"/>
              </a:solidFill>
            </a:rPr>
            <a:t>Description</a:t>
          </a:r>
          <a:endParaRPr lang="en-GB" sz="1050" b="1">
            <a:solidFill>
              <a:sysClr val="windowText" lastClr="000000"/>
            </a:solidFill>
          </a:endParaRPr>
        </a:p>
      </dgm:t>
    </dgm:pt>
    <dgm:pt modelId="{4967C977-D4FF-483E-96E2-04861681F07C}" type="parTrans" cxnId="{6C05F55E-793C-450B-9043-A253CDEACAE9}">
      <dgm:prSet/>
      <dgm:spPr/>
      <dgm:t>
        <a:bodyPr/>
        <a:lstStyle/>
        <a:p>
          <a:endParaRPr lang="en-GB" sz="2800" b="1">
            <a:solidFill>
              <a:sysClr val="windowText" lastClr="000000"/>
            </a:solidFill>
          </a:endParaRPr>
        </a:p>
      </dgm:t>
    </dgm:pt>
    <dgm:pt modelId="{C33E966D-92FE-4916-82B5-7934AD56E295}" type="sibTrans" cxnId="{6C05F55E-793C-450B-9043-A253CDEACAE9}">
      <dgm:prSet custT="1"/>
      <dgm:spPr/>
      <dgm:t>
        <a:bodyPr/>
        <a:lstStyle/>
        <a:p>
          <a:endParaRPr lang="en-GB" sz="1800" b="1">
            <a:solidFill>
              <a:sysClr val="windowText" lastClr="000000"/>
            </a:solidFill>
          </a:endParaRPr>
        </a:p>
      </dgm:t>
    </dgm:pt>
    <dgm:pt modelId="{5CDA35B2-92D0-4CDB-ACF6-CACB85E682A6}">
      <dgm:prSet phldrT="[Text]" custT="1"/>
      <dgm:spPr/>
      <dgm:t>
        <a:bodyPr/>
        <a:lstStyle/>
        <a:p>
          <a:r>
            <a:rPr lang="en-GB" sz="1050" b="1">
              <a:solidFill>
                <a:sysClr val="windowText" lastClr="000000"/>
              </a:solidFill>
            </a:rPr>
            <a:t>Feelings</a:t>
          </a:r>
        </a:p>
      </dgm:t>
    </dgm:pt>
    <dgm:pt modelId="{72444733-FCD0-40CD-8AF0-FE5F07E4DA7C}" type="parTrans" cxnId="{89CE9E47-FB23-4700-BD90-66F67853EA07}">
      <dgm:prSet/>
      <dgm:spPr/>
      <dgm:t>
        <a:bodyPr/>
        <a:lstStyle/>
        <a:p>
          <a:endParaRPr lang="en-GB" sz="2800" b="1">
            <a:solidFill>
              <a:sysClr val="windowText" lastClr="000000"/>
            </a:solidFill>
          </a:endParaRPr>
        </a:p>
      </dgm:t>
    </dgm:pt>
    <dgm:pt modelId="{F95408B0-3D24-42DE-8F74-4ADD6182B03F}" type="sibTrans" cxnId="{89CE9E47-FB23-4700-BD90-66F67853EA07}">
      <dgm:prSet custT="1"/>
      <dgm:spPr/>
      <dgm:t>
        <a:bodyPr/>
        <a:lstStyle/>
        <a:p>
          <a:endParaRPr lang="en-GB" sz="1800" b="1">
            <a:solidFill>
              <a:sysClr val="windowText" lastClr="000000"/>
            </a:solidFill>
          </a:endParaRPr>
        </a:p>
      </dgm:t>
    </dgm:pt>
    <dgm:pt modelId="{64019A47-6AAA-40CD-A923-C588EEE21C23}">
      <dgm:prSet phldrT="[Text]" custT="1"/>
      <dgm:spPr/>
      <dgm:t>
        <a:bodyPr/>
        <a:lstStyle/>
        <a:p>
          <a:r>
            <a:rPr lang="en-GB" sz="1050" b="1">
              <a:solidFill>
                <a:sysClr val="windowText" lastClr="000000"/>
              </a:solidFill>
            </a:rPr>
            <a:t>Evaluation</a:t>
          </a:r>
        </a:p>
      </dgm:t>
    </dgm:pt>
    <dgm:pt modelId="{AB9A529D-7A7C-4CFD-ADC5-99BAED9D30BB}" type="parTrans" cxnId="{D6D03983-341F-48BD-ABA9-AC9F2D52C2D8}">
      <dgm:prSet/>
      <dgm:spPr/>
      <dgm:t>
        <a:bodyPr/>
        <a:lstStyle/>
        <a:p>
          <a:endParaRPr lang="en-GB" sz="2800" b="1">
            <a:solidFill>
              <a:sysClr val="windowText" lastClr="000000"/>
            </a:solidFill>
          </a:endParaRPr>
        </a:p>
      </dgm:t>
    </dgm:pt>
    <dgm:pt modelId="{B687820E-308E-4C02-92C5-1A1942410C3A}" type="sibTrans" cxnId="{D6D03983-341F-48BD-ABA9-AC9F2D52C2D8}">
      <dgm:prSet custT="1"/>
      <dgm:spPr/>
      <dgm:t>
        <a:bodyPr/>
        <a:lstStyle/>
        <a:p>
          <a:endParaRPr lang="en-GB" sz="1800" b="1">
            <a:solidFill>
              <a:sysClr val="windowText" lastClr="000000"/>
            </a:solidFill>
          </a:endParaRPr>
        </a:p>
      </dgm:t>
    </dgm:pt>
    <dgm:pt modelId="{CF15554E-CA9F-444F-BBBE-B8F63702A184}">
      <dgm:prSet phldrT="[Text]" custT="1"/>
      <dgm:spPr/>
      <dgm:t>
        <a:bodyPr/>
        <a:lstStyle/>
        <a:p>
          <a:r>
            <a:rPr lang="en-GB" sz="1050" b="1">
              <a:solidFill>
                <a:sysClr val="windowText" lastClr="000000"/>
              </a:solidFill>
            </a:rPr>
            <a:t>Analysis</a:t>
          </a:r>
        </a:p>
      </dgm:t>
    </dgm:pt>
    <dgm:pt modelId="{6EBCD117-3729-4434-B6A8-0DAE34C46198}" type="parTrans" cxnId="{5997D373-EBC2-4F0B-ADF9-F87807AEAFF2}">
      <dgm:prSet/>
      <dgm:spPr/>
      <dgm:t>
        <a:bodyPr/>
        <a:lstStyle/>
        <a:p>
          <a:endParaRPr lang="en-GB" sz="2800" b="1">
            <a:solidFill>
              <a:sysClr val="windowText" lastClr="000000"/>
            </a:solidFill>
          </a:endParaRPr>
        </a:p>
      </dgm:t>
    </dgm:pt>
    <dgm:pt modelId="{8E5CDD20-55C0-4C0B-82D8-A09814F7CECA}" type="sibTrans" cxnId="{5997D373-EBC2-4F0B-ADF9-F87807AEAFF2}">
      <dgm:prSet custT="1"/>
      <dgm:spPr/>
      <dgm:t>
        <a:bodyPr/>
        <a:lstStyle/>
        <a:p>
          <a:endParaRPr lang="en-GB" sz="1800" b="1">
            <a:solidFill>
              <a:sysClr val="windowText" lastClr="000000"/>
            </a:solidFill>
          </a:endParaRPr>
        </a:p>
      </dgm:t>
    </dgm:pt>
    <dgm:pt modelId="{C8604D7D-4904-47C0-B775-9C17AB372964}">
      <dgm:prSet phldrT="[Text]" custT="1"/>
      <dgm:spPr/>
      <dgm:t>
        <a:bodyPr/>
        <a:lstStyle/>
        <a:p>
          <a:r>
            <a:rPr lang="en-GB" sz="1050" b="1">
              <a:solidFill>
                <a:sysClr val="windowText" lastClr="000000"/>
              </a:solidFill>
            </a:rPr>
            <a:t>Conclusion</a:t>
          </a:r>
        </a:p>
      </dgm:t>
    </dgm:pt>
    <dgm:pt modelId="{9E37FA61-A878-42B7-AAAF-A1D94F6A2495}" type="parTrans" cxnId="{E31F2B16-8BA4-4373-AAD6-EAD8475EA675}">
      <dgm:prSet/>
      <dgm:spPr/>
      <dgm:t>
        <a:bodyPr/>
        <a:lstStyle/>
        <a:p>
          <a:endParaRPr lang="en-GB" sz="2800" b="1">
            <a:solidFill>
              <a:sysClr val="windowText" lastClr="000000"/>
            </a:solidFill>
          </a:endParaRPr>
        </a:p>
      </dgm:t>
    </dgm:pt>
    <dgm:pt modelId="{453AE894-941A-4D47-891E-EA5F284732FC}" type="sibTrans" cxnId="{E31F2B16-8BA4-4373-AAD6-EAD8475EA675}">
      <dgm:prSet custT="1"/>
      <dgm:spPr/>
      <dgm:t>
        <a:bodyPr/>
        <a:lstStyle/>
        <a:p>
          <a:endParaRPr lang="en-GB" sz="1800" b="1">
            <a:solidFill>
              <a:sysClr val="windowText" lastClr="000000"/>
            </a:solidFill>
          </a:endParaRPr>
        </a:p>
      </dgm:t>
    </dgm:pt>
    <dgm:pt modelId="{643783F9-7D8D-4989-982C-F1986072E616}">
      <dgm:prSet phldrT="[Text]" custT="1"/>
      <dgm:spPr/>
      <dgm:t>
        <a:bodyPr/>
        <a:lstStyle/>
        <a:p>
          <a:r>
            <a:rPr lang="en-GB" sz="1050" b="1">
              <a:solidFill>
                <a:sysClr val="windowText" lastClr="000000"/>
              </a:solidFill>
            </a:rPr>
            <a:t>Action Plan</a:t>
          </a:r>
        </a:p>
      </dgm:t>
    </dgm:pt>
    <dgm:pt modelId="{D3C2364A-D0DD-44FF-8A23-1647C6A2E1D3}" type="parTrans" cxnId="{E09EB548-B373-4142-B3F2-D1DF6BB8EEC3}">
      <dgm:prSet/>
      <dgm:spPr/>
      <dgm:t>
        <a:bodyPr/>
        <a:lstStyle/>
        <a:p>
          <a:endParaRPr lang="en-GB" sz="2800" b="1">
            <a:solidFill>
              <a:sysClr val="windowText" lastClr="000000"/>
            </a:solidFill>
          </a:endParaRPr>
        </a:p>
      </dgm:t>
    </dgm:pt>
    <dgm:pt modelId="{A5123864-71AF-4519-8412-7BD72980F625}" type="sibTrans" cxnId="{E09EB548-B373-4142-B3F2-D1DF6BB8EEC3}">
      <dgm:prSet custT="1"/>
      <dgm:spPr/>
      <dgm:t>
        <a:bodyPr/>
        <a:lstStyle/>
        <a:p>
          <a:endParaRPr lang="en-GB" sz="1800" b="1">
            <a:solidFill>
              <a:sysClr val="windowText" lastClr="000000"/>
            </a:solidFill>
          </a:endParaRPr>
        </a:p>
      </dgm:t>
    </dgm:pt>
    <dgm:pt modelId="{86674624-D020-4D14-8523-4F2631FCE180}" type="pres">
      <dgm:prSet presAssocID="{41DA09A4-BE79-4BCC-8687-42DA08335300}" presName="cycle" presStyleCnt="0">
        <dgm:presLayoutVars>
          <dgm:dir/>
          <dgm:resizeHandles val="exact"/>
        </dgm:presLayoutVars>
      </dgm:prSet>
      <dgm:spPr/>
    </dgm:pt>
    <dgm:pt modelId="{D87CCDF1-9726-491E-9741-37747C9FB171}" type="pres">
      <dgm:prSet presAssocID="{4C770AB4-564A-4B1E-9EAA-C2C716D7C18E}" presName="node" presStyleLbl="node1" presStyleIdx="0" presStyleCnt="6">
        <dgm:presLayoutVars>
          <dgm:bulletEnabled val="1"/>
        </dgm:presLayoutVars>
      </dgm:prSet>
      <dgm:spPr/>
    </dgm:pt>
    <dgm:pt modelId="{46B51E50-6778-4698-B3EC-91FD3A04547D}" type="pres">
      <dgm:prSet presAssocID="{C33E966D-92FE-4916-82B5-7934AD56E295}" presName="sibTrans" presStyleLbl="sibTrans2D1" presStyleIdx="0" presStyleCnt="6"/>
      <dgm:spPr/>
    </dgm:pt>
    <dgm:pt modelId="{09FD83A1-1EF1-4AE2-A178-A5F34F0A6D8F}" type="pres">
      <dgm:prSet presAssocID="{C33E966D-92FE-4916-82B5-7934AD56E295}" presName="connectorText" presStyleLbl="sibTrans2D1" presStyleIdx="0" presStyleCnt="6"/>
      <dgm:spPr/>
    </dgm:pt>
    <dgm:pt modelId="{0A600D23-2087-4B5B-A63A-6E41821F2A0F}" type="pres">
      <dgm:prSet presAssocID="{5CDA35B2-92D0-4CDB-ACF6-CACB85E682A6}" presName="node" presStyleLbl="node1" presStyleIdx="1" presStyleCnt="6">
        <dgm:presLayoutVars>
          <dgm:bulletEnabled val="1"/>
        </dgm:presLayoutVars>
      </dgm:prSet>
      <dgm:spPr/>
    </dgm:pt>
    <dgm:pt modelId="{46F12BA1-021C-410F-ACD9-F06D54196364}" type="pres">
      <dgm:prSet presAssocID="{F95408B0-3D24-42DE-8F74-4ADD6182B03F}" presName="sibTrans" presStyleLbl="sibTrans2D1" presStyleIdx="1" presStyleCnt="6"/>
      <dgm:spPr/>
    </dgm:pt>
    <dgm:pt modelId="{BB7F0C6D-540D-423B-9394-38DEF9070ED7}" type="pres">
      <dgm:prSet presAssocID="{F95408B0-3D24-42DE-8F74-4ADD6182B03F}" presName="connectorText" presStyleLbl="sibTrans2D1" presStyleIdx="1" presStyleCnt="6"/>
      <dgm:spPr/>
    </dgm:pt>
    <dgm:pt modelId="{AB2175A0-CC5A-43B4-AB81-5FA0AF3E40AA}" type="pres">
      <dgm:prSet presAssocID="{64019A47-6AAA-40CD-A923-C588EEE21C23}" presName="node" presStyleLbl="node1" presStyleIdx="2" presStyleCnt="6">
        <dgm:presLayoutVars>
          <dgm:bulletEnabled val="1"/>
        </dgm:presLayoutVars>
      </dgm:prSet>
      <dgm:spPr/>
    </dgm:pt>
    <dgm:pt modelId="{8964C024-BC96-41E1-8C10-F06DF31C5E86}" type="pres">
      <dgm:prSet presAssocID="{B687820E-308E-4C02-92C5-1A1942410C3A}" presName="sibTrans" presStyleLbl="sibTrans2D1" presStyleIdx="2" presStyleCnt="6"/>
      <dgm:spPr/>
    </dgm:pt>
    <dgm:pt modelId="{615ACAFC-ED3D-4F69-8181-0822BCAB2ACA}" type="pres">
      <dgm:prSet presAssocID="{B687820E-308E-4C02-92C5-1A1942410C3A}" presName="connectorText" presStyleLbl="sibTrans2D1" presStyleIdx="2" presStyleCnt="6"/>
      <dgm:spPr/>
    </dgm:pt>
    <dgm:pt modelId="{98A036B1-BCEA-43A6-AE54-C2234F0DF4F8}" type="pres">
      <dgm:prSet presAssocID="{CF15554E-CA9F-444F-BBBE-B8F63702A184}" presName="node" presStyleLbl="node1" presStyleIdx="3" presStyleCnt="6">
        <dgm:presLayoutVars>
          <dgm:bulletEnabled val="1"/>
        </dgm:presLayoutVars>
      </dgm:prSet>
      <dgm:spPr/>
    </dgm:pt>
    <dgm:pt modelId="{0643A53C-54D4-48EA-A5A3-09663D2C252E}" type="pres">
      <dgm:prSet presAssocID="{8E5CDD20-55C0-4C0B-82D8-A09814F7CECA}" presName="sibTrans" presStyleLbl="sibTrans2D1" presStyleIdx="3" presStyleCnt="6"/>
      <dgm:spPr/>
    </dgm:pt>
    <dgm:pt modelId="{C06A9C14-9C62-499B-9CA0-E4E100D8E9DA}" type="pres">
      <dgm:prSet presAssocID="{8E5CDD20-55C0-4C0B-82D8-A09814F7CECA}" presName="connectorText" presStyleLbl="sibTrans2D1" presStyleIdx="3" presStyleCnt="6"/>
      <dgm:spPr/>
    </dgm:pt>
    <dgm:pt modelId="{156EE7EE-A0EA-4A5C-88DA-1A1636E4244A}" type="pres">
      <dgm:prSet presAssocID="{C8604D7D-4904-47C0-B775-9C17AB372964}" presName="node" presStyleLbl="node1" presStyleIdx="4" presStyleCnt="6">
        <dgm:presLayoutVars>
          <dgm:bulletEnabled val="1"/>
        </dgm:presLayoutVars>
      </dgm:prSet>
      <dgm:spPr/>
    </dgm:pt>
    <dgm:pt modelId="{FE45002D-006D-40CA-BF97-C853D0A39B13}" type="pres">
      <dgm:prSet presAssocID="{453AE894-941A-4D47-891E-EA5F284732FC}" presName="sibTrans" presStyleLbl="sibTrans2D1" presStyleIdx="4" presStyleCnt="6"/>
      <dgm:spPr/>
    </dgm:pt>
    <dgm:pt modelId="{4735F5B6-0D0C-44E7-BF76-5A3D9C5B38C9}" type="pres">
      <dgm:prSet presAssocID="{453AE894-941A-4D47-891E-EA5F284732FC}" presName="connectorText" presStyleLbl="sibTrans2D1" presStyleIdx="4" presStyleCnt="6"/>
      <dgm:spPr/>
    </dgm:pt>
    <dgm:pt modelId="{E6AD7282-8E14-4FA6-A02D-FB96390B8941}" type="pres">
      <dgm:prSet presAssocID="{643783F9-7D8D-4989-982C-F1986072E616}" presName="node" presStyleLbl="node1" presStyleIdx="5" presStyleCnt="6">
        <dgm:presLayoutVars>
          <dgm:bulletEnabled val="1"/>
        </dgm:presLayoutVars>
      </dgm:prSet>
      <dgm:spPr/>
    </dgm:pt>
    <dgm:pt modelId="{3A559371-0B5D-49FE-BFFD-A5083026176B}" type="pres">
      <dgm:prSet presAssocID="{A5123864-71AF-4519-8412-7BD72980F625}" presName="sibTrans" presStyleLbl="sibTrans2D1" presStyleIdx="5" presStyleCnt="6"/>
      <dgm:spPr/>
    </dgm:pt>
    <dgm:pt modelId="{58EC8AE6-B8D3-4366-8066-83DA9AC5205A}" type="pres">
      <dgm:prSet presAssocID="{A5123864-71AF-4519-8412-7BD72980F625}" presName="connectorText" presStyleLbl="sibTrans2D1" presStyleIdx="5" presStyleCnt="6"/>
      <dgm:spPr/>
    </dgm:pt>
  </dgm:ptLst>
  <dgm:cxnLst>
    <dgm:cxn modelId="{80581801-14A1-4262-952C-5CA93C8C3ED3}" type="presOf" srcId="{41DA09A4-BE79-4BCC-8687-42DA08335300}" destId="{86674624-D020-4D14-8523-4F2631FCE180}" srcOrd="0" destOrd="0" presId="urn:microsoft.com/office/officeart/2005/8/layout/cycle2"/>
    <dgm:cxn modelId="{DEBC6B03-2929-41EF-B96A-65582A669482}" type="presOf" srcId="{A5123864-71AF-4519-8412-7BD72980F625}" destId="{3A559371-0B5D-49FE-BFFD-A5083026176B}" srcOrd="0" destOrd="0" presId="urn:microsoft.com/office/officeart/2005/8/layout/cycle2"/>
    <dgm:cxn modelId="{552A7D05-FCBC-41B9-90AB-381EA2F1933C}" type="presOf" srcId="{C33E966D-92FE-4916-82B5-7934AD56E295}" destId="{46B51E50-6778-4698-B3EC-91FD3A04547D}" srcOrd="0" destOrd="0" presId="urn:microsoft.com/office/officeart/2005/8/layout/cycle2"/>
    <dgm:cxn modelId="{E31F2B16-8BA4-4373-AAD6-EAD8475EA675}" srcId="{41DA09A4-BE79-4BCC-8687-42DA08335300}" destId="{C8604D7D-4904-47C0-B775-9C17AB372964}" srcOrd="4" destOrd="0" parTransId="{9E37FA61-A878-42B7-AAAF-A1D94F6A2495}" sibTransId="{453AE894-941A-4D47-891E-EA5F284732FC}"/>
    <dgm:cxn modelId="{AE98D41D-C85D-4AAD-AAE6-0713890DDBB2}" type="presOf" srcId="{C33E966D-92FE-4916-82B5-7934AD56E295}" destId="{09FD83A1-1EF1-4AE2-A178-A5F34F0A6D8F}" srcOrd="1" destOrd="0" presId="urn:microsoft.com/office/officeart/2005/8/layout/cycle2"/>
    <dgm:cxn modelId="{AF8E2F1F-663B-4B8D-85F0-82D64AC66E56}" type="presOf" srcId="{CF15554E-CA9F-444F-BBBE-B8F63702A184}" destId="{98A036B1-BCEA-43A6-AE54-C2234F0DF4F8}" srcOrd="0" destOrd="0" presId="urn:microsoft.com/office/officeart/2005/8/layout/cycle2"/>
    <dgm:cxn modelId="{FC516629-0FC0-43F6-860B-AD5FC6E1E315}" type="presOf" srcId="{4C770AB4-564A-4B1E-9EAA-C2C716D7C18E}" destId="{D87CCDF1-9726-491E-9741-37747C9FB171}" srcOrd="0" destOrd="0" presId="urn:microsoft.com/office/officeart/2005/8/layout/cycle2"/>
    <dgm:cxn modelId="{7BCD142D-8F7F-458E-8BFB-6DABB2371855}" type="presOf" srcId="{453AE894-941A-4D47-891E-EA5F284732FC}" destId="{FE45002D-006D-40CA-BF97-C853D0A39B13}" srcOrd="0" destOrd="0" presId="urn:microsoft.com/office/officeart/2005/8/layout/cycle2"/>
    <dgm:cxn modelId="{C4D0765B-7E0E-4F7E-9E27-3660CA000BBA}" type="presOf" srcId="{64019A47-6AAA-40CD-A923-C588EEE21C23}" destId="{AB2175A0-CC5A-43B4-AB81-5FA0AF3E40AA}" srcOrd="0" destOrd="0" presId="urn:microsoft.com/office/officeart/2005/8/layout/cycle2"/>
    <dgm:cxn modelId="{6C05F55E-793C-450B-9043-A253CDEACAE9}" srcId="{41DA09A4-BE79-4BCC-8687-42DA08335300}" destId="{4C770AB4-564A-4B1E-9EAA-C2C716D7C18E}" srcOrd="0" destOrd="0" parTransId="{4967C977-D4FF-483E-96E2-04861681F07C}" sibTransId="{C33E966D-92FE-4916-82B5-7934AD56E295}"/>
    <dgm:cxn modelId="{89CE9E47-FB23-4700-BD90-66F67853EA07}" srcId="{41DA09A4-BE79-4BCC-8687-42DA08335300}" destId="{5CDA35B2-92D0-4CDB-ACF6-CACB85E682A6}" srcOrd="1" destOrd="0" parTransId="{72444733-FCD0-40CD-8AF0-FE5F07E4DA7C}" sibTransId="{F95408B0-3D24-42DE-8F74-4ADD6182B03F}"/>
    <dgm:cxn modelId="{E09EB548-B373-4142-B3F2-D1DF6BB8EEC3}" srcId="{41DA09A4-BE79-4BCC-8687-42DA08335300}" destId="{643783F9-7D8D-4989-982C-F1986072E616}" srcOrd="5" destOrd="0" parTransId="{D3C2364A-D0DD-44FF-8A23-1647C6A2E1D3}" sibTransId="{A5123864-71AF-4519-8412-7BD72980F625}"/>
    <dgm:cxn modelId="{03E2AF49-9984-4B3F-BCEC-C4079C1B5812}" type="presOf" srcId="{A5123864-71AF-4519-8412-7BD72980F625}" destId="{58EC8AE6-B8D3-4366-8066-83DA9AC5205A}" srcOrd="1" destOrd="0" presId="urn:microsoft.com/office/officeart/2005/8/layout/cycle2"/>
    <dgm:cxn modelId="{5997D373-EBC2-4F0B-ADF9-F87807AEAFF2}" srcId="{41DA09A4-BE79-4BCC-8687-42DA08335300}" destId="{CF15554E-CA9F-444F-BBBE-B8F63702A184}" srcOrd="3" destOrd="0" parTransId="{6EBCD117-3729-4434-B6A8-0DAE34C46198}" sibTransId="{8E5CDD20-55C0-4C0B-82D8-A09814F7CECA}"/>
    <dgm:cxn modelId="{D8915455-78A1-4007-92E9-5C5D8E0B7C91}" type="presOf" srcId="{C8604D7D-4904-47C0-B775-9C17AB372964}" destId="{156EE7EE-A0EA-4A5C-88DA-1A1636E4244A}" srcOrd="0" destOrd="0" presId="urn:microsoft.com/office/officeart/2005/8/layout/cycle2"/>
    <dgm:cxn modelId="{6B54BD7B-E07A-4B8B-945A-3EEED9A6F634}" type="presOf" srcId="{5CDA35B2-92D0-4CDB-ACF6-CACB85E682A6}" destId="{0A600D23-2087-4B5B-A63A-6E41821F2A0F}" srcOrd="0" destOrd="0" presId="urn:microsoft.com/office/officeart/2005/8/layout/cycle2"/>
    <dgm:cxn modelId="{EDF3227C-2335-4BDC-931F-86445D0B8548}" type="presOf" srcId="{453AE894-941A-4D47-891E-EA5F284732FC}" destId="{4735F5B6-0D0C-44E7-BF76-5A3D9C5B38C9}" srcOrd="1" destOrd="0" presId="urn:microsoft.com/office/officeart/2005/8/layout/cycle2"/>
    <dgm:cxn modelId="{2380CC81-939A-40A9-B5EF-A21D1D17D231}" type="presOf" srcId="{8E5CDD20-55C0-4C0B-82D8-A09814F7CECA}" destId="{C06A9C14-9C62-499B-9CA0-E4E100D8E9DA}" srcOrd="1" destOrd="0" presId="urn:microsoft.com/office/officeart/2005/8/layout/cycle2"/>
    <dgm:cxn modelId="{D6D03983-341F-48BD-ABA9-AC9F2D52C2D8}" srcId="{41DA09A4-BE79-4BCC-8687-42DA08335300}" destId="{64019A47-6AAA-40CD-A923-C588EEE21C23}" srcOrd="2" destOrd="0" parTransId="{AB9A529D-7A7C-4CFD-ADC5-99BAED9D30BB}" sibTransId="{B687820E-308E-4C02-92C5-1A1942410C3A}"/>
    <dgm:cxn modelId="{B6273FA1-498B-4B62-B843-3AC9EF94065E}" type="presOf" srcId="{643783F9-7D8D-4989-982C-F1986072E616}" destId="{E6AD7282-8E14-4FA6-A02D-FB96390B8941}" srcOrd="0" destOrd="0" presId="urn:microsoft.com/office/officeart/2005/8/layout/cycle2"/>
    <dgm:cxn modelId="{70E5A4A7-AB03-49BF-A1E7-12E2675F296B}" type="presOf" srcId="{F95408B0-3D24-42DE-8F74-4ADD6182B03F}" destId="{BB7F0C6D-540D-423B-9394-38DEF9070ED7}" srcOrd="1" destOrd="0" presId="urn:microsoft.com/office/officeart/2005/8/layout/cycle2"/>
    <dgm:cxn modelId="{98158BD3-DEC1-49B6-9161-E2BAC8B909F3}" type="presOf" srcId="{B687820E-308E-4C02-92C5-1A1942410C3A}" destId="{615ACAFC-ED3D-4F69-8181-0822BCAB2ACA}" srcOrd="1" destOrd="0" presId="urn:microsoft.com/office/officeart/2005/8/layout/cycle2"/>
    <dgm:cxn modelId="{F99538E8-D769-4CD2-A1B7-85295DCDE392}" type="presOf" srcId="{8E5CDD20-55C0-4C0B-82D8-A09814F7CECA}" destId="{0643A53C-54D4-48EA-A5A3-09663D2C252E}" srcOrd="0" destOrd="0" presId="urn:microsoft.com/office/officeart/2005/8/layout/cycle2"/>
    <dgm:cxn modelId="{410B74E8-D597-40E0-B184-27D8BB3D8194}" type="presOf" srcId="{F95408B0-3D24-42DE-8F74-4ADD6182B03F}" destId="{46F12BA1-021C-410F-ACD9-F06D54196364}" srcOrd="0" destOrd="0" presId="urn:microsoft.com/office/officeart/2005/8/layout/cycle2"/>
    <dgm:cxn modelId="{7C0267F5-65B7-47C2-A52F-214FD2365FA7}" type="presOf" srcId="{B687820E-308E-4C02-92C5-1A1942410C3A}" destId="{8964C024-BC96-41E1-8C10-F06DF31C5E86}" srcOrd="0" destOrd="0" presId="urn:microsoft.com/office/officeart/2005/8/layout/cycle2"/>
    <dgm:cxn modelId="{F367F2A5-AC8C-43F1-91FF-0D6492484A7E}" type="presParOf" srcId="{86674624-D020-4D14-8523-4F2631FCE180}" destId="{D87CCDF1-9726-491E-9741-37747C9FB171}" srcOrd="0" destOrd="0" presId="urn:microsoft.com/office/officeart/2005/8/layout/cycle2"/>
    <dgm:cxn modelId="{4AFE9938-D7B1-4537-BE3F-797292778228}" type="presParOf" srcId="{86674624-D020-4D14-8523-4F2631FCE180}" destId="{46B51E50-6778-4698-B3EC-91FD3A04547D}" srcOrd="1" destOrd="0" presId="urn:microsoft.com/office/officeart/2005/8/layout/cycle2"/>
    <dgm:cxn modelId="{1447DB03-19CA-4156-A508-F617027633FD}" type="presParOf" srcId="{46B51E50-6778-4698-B3EC-91FD3A04547D}" destId="{09FD83A1-1EF1-4AE2-A178-A5F34F0A6D8F}" srcOrd="0" destOrd="0" presId="urn:microsoft.com/office/officeart/2005/8/layout/cycle2"/>
    <dgm:cxn modelId="{A7B27FCC-3000-4C04-8B0C-CCE548410032}" type="presParOf" srcId="{86674624-D020-4D14-8523-4F2631FCE180}" destId="{0A600D23-2087-4B5B-A63A-6E41821F2A0F}" srcOrd="2" destOrd="0" presId="urn:microsoft.com/office/officeart/2005/8/layout/cycle2"/>
    <dgm:cxn modelId="{3385C82A-C969-4545-A71C-B8CFB2B0E02F}" type="presParOf" srcId="{86674624-D020-4D14-8523-4F2631FCE180}" destId="{46F12BA1-021C-410F-ACD9-F06D54196364}" srcOrd="3" destOrd="0" presId="urn:microsoft.com/office/officeart/2005/8/layout/cycle2"/>
    <dgm:cxn modelId="{43E6B43B-4012-43E2-9A99-642759B7C17C}" type="presParOf" srcId="{46F12BA1-021C-410F-ACD9-F06D54196364}" destId="{BB7F0C6D-540D-423B-9394-38DEF9070ED7}" srcOrd="0" destOrd="0" presId="urn:microsoft.com/office/officeart/2005/8/layout/cycle2"/>
    <dgm:cxn modelId="{B2DABC46-84AA-44F5-B21A-40728B842AD5}" type="presParOf" srcId="{86674624-D020-4D14-8523-4F2631FCE180}" destId="{AB2175A0-CC5A-43B4-AB81-5FA0AF3E40AA}" srcOrd="4" destOrd="0" presId="urn:microsoft.com/office/officeart/2005/8/layout/cycle2"/>
    <dgm:cxn modelId="{24161E4C-9726-4E75-BE03-6392D82957D8}" type="presParOf" srcId="{86674624-D020-4D14-8523-4F2631FCE180}" destId="{8964C024-BC96-41E1-8C10-F06DF31C5E86}" srcOrd="5" destOrd="0" presId="urn:microsoft.com/office/officeart/2005/8/layout/cycle2"/>
    <dgm:cxn modelId="{FC898F0C-EE0E-41D1-9275-A71A19A812BF}" type="presParOf" srcId="{8964C024-BC96-41E1-8C10-F06DF31C5E86}" destId="{615ACAFC-ED3D-4F69-8181-0822BCAB2ACA}" srcOrd="0" destOrd="0" presId="urn:microsoft.com/office/officeart/2005/8/layout/cycle2"/>
    <dgm:cxn modelId="{FD825AD0-5D3F-4463-B0D2-0BE6BAC9BBD4}" type="presParOf" srcId="{86674624-D020-4D14-8523-4F2631FCE180}" destId="{98A036B1-BCEA-43A6-AE54-C2234F0DF4F8}" srcOrd="6" destOrd="0" presId="urn:microsoft.com/office/officeart/2005/8/layout/cycle2"/>
    <dgm:cxn modelId="{161EB404-DB9F-43DD-AD78-F9B59CB83A18}" type="presParOf" srcId="{86674624-D020-4D14-8523-4F2631FCE180}" destId="{0643A53C-54D4-48EA-A5A3-09663D2C252E}" srcOrd="7" destOrd="0" presId="urn:microsoft.com/office/officeart/2005/8/layout/cycle2"/>
    <dgm:cxn modelId="{7C722E30-D15A-44C4-8C3C-37B4BCDFE9F9}" type="presParOf" srcId="{0643A53C-54D4-48EA-A5A3-09663D2C252E}" destId="{C06A9C14-9C62-499B-9CA0-E4E100D8E9DA}" srcOrd="0" destOrd="0" presId="urn:microsoft.com/office/officeart/2005/8/layout/cycle2"/>
    <dgm:cxn modelId="{4B5B7B13-522E-42FF-ABE1-0AB3A653882B}" type="presParOf" srcId="{86674624-D020-4D14-8523-4F2631FCE180}" destId="{156EE7EE-A0EA-4A5C-88DA-1A1636E4244A}" srcOrd="8" destOrd="0" presId="urn:microsoft.com/office/officeart/2005/8/layout/cycle2"/>
    <dgm:cxn modelId="{57BA0873-7468-4447-A5C0-3DDF3AA318CB}" type="presParOf" srcId="{86674624-D020-4D14-8523-4F2631FCE180}" destId="{FE45002D-006D-40CA-BF97-C853D0A39B13}" srcOrd="9" destOrd="0" presId="urn:microsoft.com/office/officeart/2005/8/layout/cycle2"/>
    <dgm:cxn modelId="{1910D8BA-F4C2-4F2A-A103-597947905F56}" type="presParOf" srcId="{FE45002D-006D-40CA-BF97-C853D0A39B13}" destId="{4735F5B6-0D0C-44E7-BF76-5A3D9C5B38C9}" srcOrd="0" destOrd="0" presId="urn:microsoft.com/office/officeart/2005/8/layout/cycle2"/>
    <dgm:cxn modelId="{2412E9DC-AA39-4C2B-877E-9DAF344217A4}" type="presParOf" srcId="{86674624-D020-4D14-8523-4F2631FCE180}" destId="{E6AD7282-8E14-4FA6-A02D-FB96390B8941}" srcOrd="10" destOrd="0" presId="urn:microsoft.com/office/officeart/2005/8/layout/cycle2"/>
    <dgm:cxn modelId="{62146B3D-4353-484F-94E6-2DA32322E031}" type="presParOf" srcId="{86674624-D020-4D14-8523-4F2631FCE180}" destId="{3A559371-0B5D-49FE-BFFD-A5083026176B}" srcOrd="11" destOrd="0" presId="urn:microsoft.com/office/officeart/2005/8/layout/cycle2"/>
    <dgm:cxn modelId="{935494C6-6D99-4575-AF52-E076709BD21E}" type="presParOf" srcId="{3A559371-0B5D-49FE-BFFD-A5083026176B}" destId="{58EC8AE6-B8D3-4366-8066-83DA9AC5205A}" srcOrd="0" destOrd="0" presId="urn:microsoft.com/office/officeart/2005/8/layout/cycle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7CCDF1-9726-491E-9741-37747C9FB171}">
      <dsp:nvSpPr>
        <dsp:cNvPr id="0" name=""/>
        <dsp:cNvSpPr/>
      </dsp:nvSpPr>
      <dsp:spPr>
        <a:xfrm>
          <a:off x="2344042" y="593"/>
          <a:ext cx="798314" cy="798314"/>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Description</a:t>
          </a:r>
          <a:endParaRPr lang="en-GB" sz="1050" b="1" kern="1200">
            <a:solidFill>
              <a:sysClr val="windowText" lastClr="000000"/>
            </a:solidFill>
          </a:endParaRPr>
        </a:p>
      </dsp:txBody>
      <dsp:txXfrm>
        <a:off x="2460952" y="117503"/>
        <a:ext cx="564494" cy="564494"/>
      </dsp:txXfrm>
    </dsp:sp>
    <dsp:sp modelId="{46B51E50-6778-4698-B3EC-91FD3A04547D}">
      <dsp:nvSpPr>
        <dsp:cNvPr id="0" name=""/>
        <dsp:cNvSpPr/>
      </dsp:nvSpPr>
      <dsp:spPr>
        <a:xfrm rot="1800000">
          <a:off x="3151220" y="562131"/>
          <a:ext cx="213131" cy="26943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GB" sz="1800" b="1" kern="1200">
            <a:solidFill>
              <a:sysClr val="windowText" lastClr="000000"/>
            </a:solidFill>
          </a:endParaRPr>
        </a:p>
      </dsp:txBody>
      <dsp:txXfrm>
        <a:off x="3155503" y="600032"/>
        <a:ext cx="149192" cy="161658"/>
      </dsp:txXfrm>
    </dsp:sp>
    <dsp:sp modelId="{0A600D23-2087-4B5B-A63A-6E41821F2A0F}">
      <dsp:nvSpPr>
        <dsp:cNvPr id="0" name=""/>
        <dsp:cNvSpPr/>
      </dsp:nvSpPr>
      <dsp:spPr>
        <a:xfrm>
          <a:off x="3383662" y="600818"/>
          <a:ext cx="798314" cy="798314"/>
        </a:xfrm>
        <a:prstGeom prst="ellipse">
          <a:avLst/>
        </a:prstGeom>
        <a:solidFill>
          <a:schemeClr val="accent3">
            <a:hueOff val="2250053"/>
            <a:satOff val="-3376"/>
            <a:lumOff val="-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Text" lastClr="000000"/>
              </a:solidFill>
            </a:rPr>
            <a:t>Feelings</a:t>
          </a:r>
        </a:p>
      </dsp:txBody>
      <dsp:txXfrm>
        <a:off x="3500572" y="717728"/>
        <a:ext cx="564494" cy="564494"/>
      </dsp:txXfrm>
    </dsp:sp>
    <dsp:sp modelId="{46F12BA1-021C-410F-ACD9-F06D54196364}">
      <dsp:nvSpPr>
        <dsp:cNvPr id="0" name=""/>
        <dsp:cNvSpPr/>
      </dsp:nvSpPr>
      <dsp:spPr>
        <a:xfrm rot="5400000">
          <a:off x="3676253" y="1459452"/>
          <a:ext cx="213131" cy="269430"/>
        </a:xfrm>
        <a:prstGeom prst="rightArrow">
          <a:avLst>
            <a:gd name="adj1" fmla="val 60000"/>
            <a:gd name="adj2" fmla="val 50000"/>
          </a:avLst>
        </a:prstGeom>
        <a:solidFill>
          <a:schemeClr val="accent3">
            <a:hueOff val="2250053"/>
            <a:satOff val="-3376"/>
            <a:lumOff val="-54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GB" sz="1800" b="1" kern="1200">
            <a:solidFill>
              <a:sysClr val="windowText" lastClr="000000"/>
            </a:solidFill>
          </a:endParaRPr>
        </a:p>
      </dsp:txBody>
      <dsp:txXfrm>
        <a:off x="3708223" y="1481369"/>
        <a:ext cx="149192" cy="161658"/>
      </dsp:txXfrm>
    </dsp:sp>
    <dsp:sp modelId="{AB2175A0-CC5A-43B4-AB81-5FA0AF3E40AA}">
      <dsp:nvSpPr>
        <dsp:cNvPr id="0" name=""/>
        <dsp:cNvSpPr/>
      </dsp:nvSpPr>
      <dsp:spPr>
        <a:xfrm>
          <a:off x="3383662" y="1801267"/>
          <a:ext cx="798314" cy="798314"/>
        </a:xfrm>
        <a:prstGeom prst="ellipse">
          <a:avLst/>
        </a:prstGeom>
        <a:solidFill>
          <a:schemeClr val="accent3">
            <a:hueOff val="4500106"/>
            <a:satOff val="-6752"/>
            <a:lumOff val="-1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Text" lastClr="000000"/>
              </a:solidFill>
            </a:rPr>
            <a:t>Evaluation</a:t>
          </a:r>
        </a:p>
      </dsp:txBody>
      <dsp:txXfrm>
        <a:off x="3500572" y="1918177"/>
        <a:ext cx="564494" cy="564494"/>
      </dsp:txXfrm>
    </dsp:sp>
    <dsp:sp modelId="{8964C024-BC96-41E1-8C10-F06DF31C5E86}">
      <dsp:nvSpPr>
        <dsp:cNvPr id="0" name=""/>
        <dsp:cNvSpPr/>
      </dsp:nvSpPr>
      <dsp:spPr>
        <a:xfrm rot="9000000">
          <a:off x="3161667" y="2362805"/>
          <a:ext cx="213131" cy="269430"/>
        </a:xfrm>
        <a:prstGeom prst="rightArrow">
          <a:avLst>
            <a:gd name="adj1" fmla="val 60000"/>
            <a:gd name="adj2" fmla="val 50000"/>
          </a:avLst>
        </a:prstGeom>
        <a:solidFill>
          <a:schemeClr val="accent3">
            <a:hueOff val="4500106"/>
            <a:satOff val="-6752"/>
            <a:lumOff val="-109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GB" sz="1800" b="1" kern="1200">
            <a:solidFill>
              <a:sysClr val="windowText" lastClr="000000"/>
            </a:solidFill>
          </a:endParaRPr>
        </a:p>
      </dsp:txBody>
      <dsp:txXfrm rot="10800000">
        <a:off x="3221323" y="2400706"/>
        <a:ext cx="149192" cy="161658"/>
      </dsp:txXfrm>
    </dsp:sp>
    <dsp:sp modelId="{98A036B1-BCEA-43A6-AE54-C2234F0DF4F8}">
      <dsp:nvSpPr>
        <dsp:cNvPr id="0" name=""/>
        <dsp:cNvSpPr/>
      </dsp:nvSpPr>
      <dsp:spPr>
        <a:xfrm>
          <a:off x="2344042" y="2401491"/>
          <a:ext cx="798314" cy="798314"/>
        </a:xfrm>
        <a:prstGeom prst="ellipse">
          <a:avLst/>
        </a:prstGeom>
        <a:solidFill>
          <a:schemeClr val="accent3">
            <a:hueOff val="6750158"/>
            <a:satOff val="-10128"/>
            <a:lumOff val="-164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Text" lastClr="000000"/>
              </a:solidFill>
            </a:rPr>
            <a:t>Analysis</a:t>
          </a:r>
        </a:p>
      </dsp:txBody>
      <dsp:txXfrm>
        <a:off x="2460952" y="2518401"/>
        <a:ext cx="564494" cy="564494"/>
      </dsp:txXfrm>
    </dsp:sp>
    <dsp:sp modelId="{0643A53C-54D4-48EA-A5A3-09663D2C252E}">
      <dsp:nvSpPr>
        <dsp:cNvPr id="0" name=""/>
        <dsp:cNvSpPr/>
      </dsp:nvSpPr>
      <dsp:spPr>
        <a:xfrm rot="12600000">
          <a:off x="2122048" y="2368837"/>
          <a:ext cx="213131" cy="269430"/>
        </a:xfrm>
        <a:prstGeom prst="rightArrow">
          <a:avLst>
            <a:gd name="adj1" fmla="val 60000"/>
            <a:gd name="adj2" fmla="val 50000"/>
          </a:avLst>
        </a:prstGeom>
        <a:solidFill>
          <a:schemeClr val="accent3">
            <a:hueOff val="6750158"/>
            <a:satOff val="-10128"/>
            <a:lumOff val="-164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GB" sz="1800" b="1" kern="1200">
            <a:solidFill>
              <a:sysClr val="windowText" lastClr="000000"/>
            </a:solidFill>
          </a:endParaRPr>
        </a:p>
      </dsp:txBody>
      <dsp:txXfrm rot="10800000">
        <a:off x="2181704" y="2438708"/>
        <a:ext cx="149192" cy="161658"/>
      </dsp:txXfrm>
    </dsp:sp>
    <dsp:sp modelId="{156EE7EE-A0EA-4A5C-88DA-1A1636E4244A}">
      <dsp:nvSpPr>
        <dsp:cNvPr id="0" name=""/>
        <dsp:cNvSpPr/>
      </dsp:nvSpPr>
      <dsp:spPr>
        <a:xfrm>
          <a:off x="1304423" y="1801267"/>
          <a:ext cx="798314" cy="798314"/>
        </a:xfrm>
        <a:prstGeom prst="ellipse">
          <a:avLst/>
        </a:prstGeom>
        <a:solidFill>
          <a:schemeClr val="accent3">
            <a:hueOff val="9000211"/>
            <a:satOff val="-13504"/>
            <a:lumOff val="-219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Text" lastClr="000000"/>
              </a:solidFill>
            </a:rPr>
            <a:t>Conclusion</a:t>
          </a:r>
        </a:p>
      </dsp:txBody>
      <dsp:txXfrm>
        <a:off x="1421333" y="1918177"/>
        <a:ext cx="564494" cy="564494"/>
      </dsp:txXfrm>
    </dsp:sp>
    <dsp:sp modelId="{FE45002D-006D-40CA-BF97-C853D0A39B13}">
      <dsp:nvSpPr>
        <dsp:cNvPr id="0" name=""/>
        <dsp:cNvSpPr/>
      </dsp:nvSpPr>
      <dsp:spPr>
        <a:xfrm rot="16200000">
          <a:off x="1597014" y="1471516"/>
          <a:ext cx="213131" cy="269430"/>
        </a:xfrm>
        <a:prstGeom prst="rightArrow">
          <a:avLst>
            <a:gd name="adj1" fmla="val 60000"/>
            <a:gd name="adj2" fmla="val 50000"/>
          </a:avLst>
        </a:prstGeom>
        <a:solidFill>
          <a:schemeClr val="accent3">
            <a:hueOff val="9000211"/>
            <a:satOff val="-13504"/>
            <a:lumOff val="-219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GB" sz="1800" b="1" kern="1200">
            <a:solidFill>
              <a:sysClr val="windowText" lastClr="000000"/>
            </a:solidFill>
          </a:endParaRPr>
        </a:p>
      </dsp:txBody>
      <dsp:txXfrm>
        <a:off x="1628984" y="1557372"/>
        <a:ext cx="149192" cy="161658"/>
      </dsp:txXfrm>
    </dsp:sp>
    <dsp:sp modelId="{E6AD7282-8E14-4FA6-A02D-FB96390B8941}">
      <dsp:nvSpPr>
        <dsp:cNvPr id="0" name=""/>
        <dsp:cNvSpPr/>
      </dsp:nvSpPr>
      <dsp:spPr>
        <a:xfrm>
          <a:off x="1304423" y="600818"/>
          <a:ext cx="798314" cy="798314"/>
        </a:xfrm>
        <a:prstGeom prst="ellipse">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Text" lastClr="000000"/>
              </a:solidFill>
            </a:rPr>
            <a:t>Action Plan</a:t>
          </a:r>
        </a:p>
      </dsp:txBody>
      <dsp:txXfrm>
        <a:off x="1421333" y="717728"/>
        <a:ext cx="564494" cy="564494"/>
      </dsp:txXfrm>
    </dsp:sp>
    <dsp:sp modelId="{3A559371-0B5D-49FE-BFFD-A5083026176B}">
      <dsp:nvSpPr>
        <dsp:cNvPr id="0" name=""/>
        <dsp:cNvSpPr/>
      </dsp:nvSpPr>
      <dsp:spPr>
        <a:xfrm rot="19800000">
          <a:off x="2111600" y="568163"/>
          <a:ext cx="213131" cy="269430"/>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GB" sz="1800" b="1" kern="1200">
            <a:solidFill>
              <a:sysClr val="windowText" lastClr="000000"/>
            </a:solidFill>
          </a:endParaRPr>
        </a:p>
      </dsp:txBody>
      <dsp:txXfrm>
        <a:off x="2115883" y="638034"/>
        <a:ext cx="149192" cy="16165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5A632-0B33-4681-8A2F-EEE076943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7700</Words>
  <Characters>43891</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11</dc:creator>
  <cp:lastModifiedBy>Aamenakhatun Nadimahmed ARAB</cp:lastModifiedBy>
  <cp:revision>2</cp:revision>
  <dcterms:created xsi:type="dcterms:W3CDTF">2026-04-26T22:09:00Z</dcterms:created>
  <dcterms:modified xsi:type="dcterms:W3CDTF">2026-04-26T22:09:00Z</dcterms:modified>
</cp:coreProperties>
</file>