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3D1F1" w14:textId="77777777" w:rsidR="00BF2B6F" w:rsidRDefault="00BF2B6F"/>
    <w:p w14:paraId="4BD20270" w14:textId="77777777" w:rsidR="007B72D0" w:rsidRDefault="007B72D0"/>
    <w:sdt>
      <w:sdtPr>
        <w:id w:val="120734849"/>
        <w:docPartObj>
          <w:docPartGallery w:val="Cover Pages"/>
          <w:docPartUnique/>
        </w:docPartObj>
      </w:sdtPr>
      <w:sdtEndPr>
        <w:rPr>
          <w:rFonts w:ascii="Arial" w:hAnsi="Arial" w:cs="Arial"/>
          <w:b/>
          <w:bCs/>
        </w:rPr>
      </w:sdtEndPr>
      <w:sdtContent>
        <w:p w14:paraId="21AA48E3" w14:textId="77777777" w:rsidR="007B72D0" w:rsidRDefault="007B72D0" w:rsidP="007B72D0"/>
        <w:tbl>
          <w:tblPr>
            <w:tblpPr w:leftFromText="187" w:rightFromText="187" w:vertAnchor="page" w:horzAnchor="margin" w:tblpXSpec="center" w:tblpY="4284"/>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8266"/>
          </w:tblGrid>
          <w:tr w:rsidR="007B72D0" w14:paraId="49C8FFBB" w14:textId="77777777" w:rsidTr="007B72D0">
            <w:sdt>
              <w:sdtPr>
                <w:rPr>
                  <w:rFonts w:ascii="Arial" w:hAnsi="Arial" w:cs="Arial"/>
                  <w:sz w:val="24"/>
                  <w:szCs w:val="24"/>
                </w:rPr>
                <w:alias w:val="Company"/>
                <w:id w:val="13406915"/>
                <w:placeholder>
                  <w:docPart w:val="BA1FB0D2580441F992EDA64216A57C25"/>
                </w:placeholder>
                <w:dataBinding w:prefixMappings="xmlns:ns0='http://schemas.openxmlformats.org/officeDocument/2006/extended-properties'" w:xpath="/ns0:Properties[1]/ns0:Company[1]" w:storeItemID="{6668398D-A668-4E3E-A5EB-62B293D839F1}"/>
                <w:text/>
              </w:sdtPr>
              <w:sdtEndPr/>
              <w:sdtContent>
                <w:tc>
                  <w:tcPr>
                    <w:tcW w:w="8266" w:type="dxa"/>
                    <w:tcMar>
                      <w:top w:w="216" w:type="dxa"/>
                      <w:left w:w="115" w:type="dxa"/>
                      <w:bottom w:w="216" w:type="dxa"/>
                      <w:right w:w="115" w:type="dxa"/>
                    </w:tcMar>
                  </w:tcPr>
                  <w:p w14:paraId="1CBAEAA8" w14:textId="1465C057" w:rsidR="007B72D0" w:rsidRDefault="007B72D0" w:rsidP="007B72D0">
                    <w:pPr>
                      <w:pStyle w:val="NoSpacing"/>
                      <w:rPr>
                        <w:color w:val="0F4761" w:themeColor="accent1" w:themeShade="BF"/>
                        <w:sz w:val="24"/>
                      </w:rPr>
                    </w:pPr>
                    <w:r>
                      <w:rPr>
                        <w:rFonts w:ascii="Arial" w:hAnsi="Arial" w:cs="Arial"/>
                        <w:sz w:val="24"/>
                        <w:szCs w:val="24"/>
                      </w:rPr>
                      <w:t>Document 5</w:t>
                    </w:r>
                  </w:p>
                </w:tc>
              </w:sdtContent>
            </w:sdt>
          </w:tr>
          <w:tr w:rsidR="007B72D0" w14:paraId="1C0BB04E" w14:textId="77777777" w:rsidTr="007B72D0">
            <w:tc>
              <w:tcPr>
                <w:tcW w:w="8266" w:type="dxa"/>
              </w:tcPr>
              <w:sdt>
                <w:sdtPr>
                  <w:rPr>
                    <w:rFonts w:ascii="Arial" w:eastAsiaTheme="majorEastAsia" w:hAnsi="Arial" w:cs="Arial"/>
                    <w:sz w:val="88"/>
                    <w:szCs w:val="88"/>
                  </w:rPr>
                  <w:alias w:val="Title"/>
                  <w:id w:val="13406919"/>
                  <w:placeholder>
                    <w:docPart w:val="FA324C4912F741FA96749C9B862118D2"/>
                  </w:placeholder>
                  <w:dataBinding w:prefixMappings="xmlns:ns0='http://schemas.openxmlformats.org/package/2006/metadata/core-properties' xmlns:ns1='http://purl.org/dc/elements/1.1/'" w:xpath="/ns0:coreProperties[1]/ns1:title[1]" w:storeItemID="{6C3C8BC8-F283-45AE-878A-BAB7291924A1}"/>
                  <w:text/>
                </w:sdtPr>
                <w:sdtEndPr/>
                <w:sdtContent>
                  <w:p w14:paraId="3F077476" w14:textId="63B5F508" w:rsidR="007B72D0" w:rsidRDefault="007B72D0" w:rsidP="007B72D0">
                    <w:pPr>
                      <w:pStyle w:val="NoSpacing"/>
                      <w:spacing w:line="216" w:lineRule="auto"/>
                      <w:rPr>
                        <w:rFonts w:asciiTheme="majorHAnsi" w:eastAsiaTheme="majorEastAsia" w:hAnsiTheme="majorHAnsi" w:cstheme="majorBidi"/>
                        <w:color w:val="156082" w:themeColor="accent1"/>
                        <w:sz w:val="88"/>
                        <w:szCs w:val="88"/>
                      </w:rPr>
                    </w:pPr>
                    <w:r>
                      <w:rPr>
                        <w:rFonts w:ascii="Arial" w:eastAsiaTheme="majorEastAsia" w:hAnsi="Arial" w:cs="Arial"/>
                        <w:sz w:val="88"/>
                        <w:szCs w:val="88"/>
                      </w:rPr>
                      <w:t>Learning Areas</w:t>
                    </w:r>
                  </w:p>
                </w:sdtContent>
              </w:sdt>
            </w:tc>
          </w:tr>
          <w:tr w:rsidR="007B72D0" w14:paraId="52325028" w14:textId="77777777" w:rsidTr="007B72D0">
            <w:tc>
              <w:tcPr>
                <w:tcW w:w="8266" w:type="dxa"/>
                <w:tcMar>
                  <w:top w:w="216" w:type="dxa"/>
                  <w:left w:w="115" w:type="dxa"/>
                  <w:bottom w:w="216" w:type="dxa"/>
                  <w:right w:w="115" w:type="dxa"/>
                </w:tcMar>
              </w:tcPr>
              <w:p w14:paraId="07776739" w14:textId="26315A0B" w:rsidR="007B72D0" w:rsidRPr="005D5DA0" w:rsidRDefault="007B72D0" w:rsidP="007B72D0">
                <w:pPr>
                  <w:pStyle w:val="NoSpacing"/>
                  <w:rPr>
                    <w:rFonts w:ascii="Arial" w:hAnsi="Arial" w:cs="Arial"/>
                    <w:sz w:val="28"/>
                    <w:szCs w:val="28"/>
                  </w:rPr>
                </w:pPr>
              </w:p>
              <w:p w14:paraId="79ECAF8D" w14:textId="77777777" w:rsidR="00250441" w:rsidRPr="00250441" w:rsidRDefault="001D570C" w:rsidP="007B72D0">
                <w:pPr>
                  <w:pStyle w:val="NoSpacing"/>
                  <w:rPr>
                    <w:sz w:val="24"/>
                  </w:rPr>
                </w:pPr>
                <w:r w:rsidRPr="00250441">
                  <w:rPr>
                    <w:sz w:val="24"/>
                  </w:rPr>
                  <w:t>Total Credit being claimed</w:t>
                </w:r>
                <w:r w:rsidR="00250441" w:rsidRPr="00250441">
                  <w:rPr>
                    <w:sz w:val="24"/>
                  </w:rPr>
                  <w:t>:</w:t>
                </w:r>
                <w:r w:rsidR="00CC04A5" w:rsidRPr="00250441">
                  <w:rPr>
                    <w:sz w:val="24"/>
                  </w:rPr>
                  <w:t xml:space="preserve"> 100 credits</w:t>
                </w:r>
              </w:p>
              <w:p w14:paraId="5FA1832D" w14:textId="4FBCC3BA" w:rsidR="007B72D0" w:rsidRDefault="00250441" w:rsidP="007B72D0">
                <w:pPr>
                  <w:pStyle w:val="NoSpacing"/>
                  <w:rPr>
                    <w:color w:val="0F4761" w:themeColor="accent1" w:themeShade="BF"/>
                    <w:sz w:val="24"/>
                  </w:rPr>
                </w:pPr>
                <w:r w:rsidRPr="00250441">
                  <w:rPr>
                    <w:sz w:val="24"/>
                  </w:rPr>
                  <w:t>Level of claim:</w:t>
                </w:r>
                <w:r w:rsidR="00CC04A5" w:rsidRPr="00250441">
                  <w:rPr>
                    <w:sz w:val="24"/>
                  </w:rPr>
                  <w:t xml:space="preserve"> Level 7</w:t>
                </w:r>
              </w:p>
            </w:tc>
          </w:tr>
          <w:tr w:rsidR="007B72D0" w14:paraId="23660C6C" w14:textId="77777777" w:rsidTr="007B72D0">
            <w:tc>
              <w:tcPr>
                <w:tcW w:w="8266" w:type="dxa"/>
                <w:tcMar>
                  <w:top w:w="216" w:type="dxa"/>
                  <w:left w:w="115" w:type="dxa"/>
                  <w:bottom w:w="216" w:type="dxa"/>
                  <w:right w:w="115" w:type="dxa"/>
                </w:tcMar>
              </w:tcPr>
              <w:p w14:paraId="653E5594" w14:textId="77777777" w:rsidR="007B72D0" w:rsidRDefault="007B72D0" w:rsidP="007B72D0">
                <w:pPr>
                  <w:pStyle w:val="NoSpacing"/>
                  <w:rPr>
                    <w:rFonts w:ascii="Arial" w:hAnsi="Arial" w:cs="Arial"/>
                    <w:b/>
                    <w:bCs/>
                    <w:sz w:val="28"/>
                    <w:szCs w:val="28"/>
                  </w:rPr>
                </w:pPr>
              </w:p>
            </w:tc>
          </w:tr>
        </w:tbl>
        <w:p w14:paraId="6F39DD34" w14:textId="77777777" w:rsidR="007B72D0" w:rsidRDefault="007B72D0" w:rsidP="007B72D0">
          <w:pPr>
            <w:pStyle w:val="NoSpacing"/>
            <w:rPr>
              <w:rFonts w:ascii="Arial" w:hAnsi="Arial" w:cs="Arial"/>
              <w:b/>
              <w:bCs/>
            </w:rPr>
          </w:pPr>
          <w:r>
            <w:rPr>
              <w:rFonts w:ascii="Arial" w:hAnsi="Arial" w:cs="Arial"/>
              <w:b/>
              <w:bCs/>
            </w:rPr>
            <w:t xml:space="preserve"> </w:t>
          </w:r>
        </w:p>
        <w:p w14:paraId="19E80975" w14:textId="77777777" w:rsidR="007B72D0" w:rsidRDefault="007B72D0" w:rsidP="007B72D0">
          <w:pPr>
            <w:pStyle w:val="NoSpacing"/>
            <w:rPr>
              <w:rFonts w:ascii="Arial" w:hAnsi="Arial" w:cs="Arial"/>
              <w:b/>
              <w:bCs/>
            </w:rPr>
          </w:pPr>
        </w:p>
        <w:p w14:paraId="75BF80D4" w14:textId="77777777" w:rsidR="007B72D0" w:rsidRDefault="007B72D0" w:rsidP="007B72D0">
          <w:pPr>
            <w:pStyle w:val="NoSpacing"/>
            <w:rPr>
              <w:rFonts w:ascii="Arial" w:hAnsi="Arial" w:cs="Arial"/>
              <w:b/>
              <w:bCs/>
            </w:rPr>
          </w:pPr>
        </w:p>
        <w:p w14:paraId="4EBE2F1D" w14:textId="77777777" w:rsidR="007B72D0" w:rsidRDefault="007B72D0" w:rsidP="007B72D0">
          <w:pPr>
            <w:pStyle w:val="NoSpacing"/>
            <w:rPr>
              <w:rFonts w:ascii="Arial" w:hAnsi="Arial" w:cs="Arial"/>
              <w:b/>
              <w:bCs/>
            </w:rPr>
          </w:pPr>
        </w:p>
        <w:p w14:paraId="71224D2A" w14:textId="77777777" w:rsidR="007B72D0" w:rsidRDefault="007B72D0" w:rsidP="007B72D0">
          <w:pPr>
            <w:pStyle w:val="NoSpacing"/>
            <w:rPr>
              <w:rFonts w:ascii="Arial" w:hAnsi="Arial" w:cs="Arial"/>
              <w:b/>
              <w:bCs/>
            </w:rPr>
          </w:pPr>
        </w:p>
        <w:p w14:paraId="4BF73819" w14:textId="77777777" w:rsidR="007B72D0" w:rsidRDefault="007B72D0" w:rsidP="007B72D0">
          <w:pPr>
            <w:pStyle w:val="NoSpacing"/>
            <w:rPr>
              <w:rFonts w:ascii="Arial" w:hAnsi="Arial" w:cs="Arial"/>
              <w:b/>
              <w:bCs/>
            </w:rPr>
          </w:pPr>
        </w:p>
        <w:p w14:paraId="662FEA07" w14:textId="77777777" w:rsidR="007B72D0" w:rsidRDefault="007B72D0" w:rsidP="007B72D0">
          <w:pPr>
            <w:pStyle w:val="NoSpacing"/>
            <w:rPr>
              <w:rFonts w:ascii="Arial" w:hAnsi="Arial" w:cs="Arial"/>
              <w:b/>
              <w:bCs/>
            </w:rPr>
          </w:pPr>
        </w:p>
        <w:p w14:paraId="5731EB4E" w14:textId="77777777" w:rsidR="007B72D0" w:rsidRDefault="007B72D0" w:rsidP="007B72D0">
          <w:pPr>
            <w:pStyle w:val="NoSpacing"/>
            <w:rPr>
              <w:rFonts w:ascii="Arial" w:hAnsi="Arial" w:cs="Arial"/>
              <w:b/>
              <w:bCs/>
            </w:rPr>
          </w:pPr>
        </w:p>
        <w:p w14:paraId="311CE43B" w14:textId="77777777" w:rsidR="007B72D0" w:rsidRDefault="007B72D0" w:rsidP="007B72D0">
          <w:pPr>
            <w:pStyle w:val="NoSpacing"/>
            <w:rPr>
              <w:rFonts w:ascii="Arial" w:hAnsi="Arial" w:cs="Arial"/>
              <w:b/>
              <w:bCs/>
            </w:rPr>
          </w:pPr>
        </w:p>
        <w:p w14:paraId="3C6C7D8E" w14:textId="77777777" w:rsidR="007B72D0" w:rsidRDefault="007B72D0" w:rsidP="007B72D0">
          <w:pPr>
            <w:pStyle w:val="NoSpacing"/>
            <w:rPr>
              <w:rFonts w:ascii="Arial" w:hAnsi="Arial" w:cs="Arial"/>
              <w:b/>
              <w:bCs/>
            </w:rPr>
          </w:pPr>
        </w:p>
        <w:p w14:paraId="29198D6C" w14:textId="77777777" w:rsidR="007B72D0" w:rsidRDefault="007B72D0" w:rsidP="007B72D0">
          <w:pPr>
            <w:pStyle w:val="NoSpacing"/>
            <w:rPr>
              <w:rFonts w:ascii="Arial" w:hAnsi="Arial" w:cs="Arial"/>
              <w:b/>
              <w:bCs/>
            </w:rPr>
          </w:pPr>
        </w:p>
        <w:p w14:paraId="54534418" w14:textId="77777777" w:rsidR="007B72D0" w:rsidRDefault="007B72D0" w:rsidP="007B72D0">
          <w:pPr>
            <w:pStyle w:val="NoSpacing"/>
            <w:rPr>
              <w:rFonts w:ascii="Arial" w:hAnsi="Arial" w:cs="Arial"/>
              <w:b/>
              <w:bCs/>
            </w:rPr>
          </w:pPr>
        </w:p>
        <w:p w14:paraId="19684116" w14:textId="77777777" w:rsidR="007B72D0" w:rsidRDefault="007B72D0" w:rsidP="007B72D0">
          <w:pPr>
            <w:pStyle w:val="NoSpacing"/>
            <w:rPr>
              <w:rFonts w:ascii="Arial" w:hAnsi="Arial" w:cs="Arial"/>
              <w:b/>
              <w:bCs/>
            </w:rPr>
          </w:pPr>
        </w:p>
        <w:p w14:paraId="4F959FD7" w14:textId="77777777" w:rsidR="007B72D0" w:rsidRDefault="007B72D0" w:rsidP="007B72D0">
          <w:pPr>
            <w:pStyle w:val="NoSpacing"/>
            <w:rPr>
              <w:rFonts w:ascii="Arial" w:hAnsi="Arial" w:cs="Arial"/>
              <w:b/>
              <w:bCs/>
            </w:rPr>
          </w:pPr>
        </w:p>
        <w:p w14:paraId="3A21D372" w14:textId="77777777" w:rsidR="007B72D0" w:rsidRDefault="007B72D0" w:rsidP="007B72D0">
          <w:pPr>
            <w:pStyle w:val="NoSpacing"/>
            <w:rPr>
              <w:rFonts w:ascii="Arial" w:hAnsi="Arial" w:cs="Arial"/>
              <w:b/>
              <w:bCs/>
            </w:rPr>
          </w:pPr>
        </w:p>
        <w:p w14:paraId="3EB99C2C" w14:textId="77777777" w:rsidR="007B72D0" w:rsidRDefault="007B72D0" w:rsidP="007B72D0">
          <w:pPr>
            <w:pStyle w:val="NoSpacing"/>
            <w:rPr>
              <w:rFonts w:ascii="Arial" w:hAnsi="Arial" w:cs="Arial"/>
              <w:b/>
              <w:bCs/>
            </w:rPr>
          </w:pPr>
        </w:p>
        <w:p w14:paraId="71A92311" w14:textId="77777777" w:rsidR="007B72D0" w:rsidRDefault="007B72D0" w:rsidP="007B72D0">
          <w:pPr>
            <w:pStyle w:val="NoSpacing"/>
            <w:rPr>
              <w:rFonts w:ascii="Arial" w:hAnsi="Arial" w:cs="Arial"/>
              <w:b/>
              <w:bCs/>
            </w:rPr>
          </w:pPr>
        </w:p>
        <w:p w14:paraId="00B33047" w14:textId="77777777" w:rsidR="007B72D0" w:rsidRDefault="007B72D0" w:rsidP="007B72D0">
          <w:pPr>
            <w:pStyle w:val="NoSpacing"/>
            <w:rPr>
              <w:rFonts w:ascii="Arial" w:hAnsi="Arial" w:cs="Arial"/>
              <w:b/>
              <w:bCs/>
            </w:rPr>
          </w:pPr>
        </w:p>
        <w:p w14:paraId="754FB2E3" w14:textId="77777777" w:rsidR="007B72D0" w:rsidRDefault="007B72D0" w:rsidP="007B72D0">
          <w:pPr>
            <w:pStyle w:val="NoSpacing"/>
            <w:rPr>
              <w:rFonts w:ascii="Arial" w:hAnsi="Arial" w:cs="Arial"/>
              <w:b/>
              <w:bCs/>
            </w:rPr>
          </w:pPr>
        </w:p>
        <w:p w14:paraId="0D8E96EB" w14:textId="77777777" w:rsidR="007B72D0" w:rsidRDefault="007B72D0" w:rsidP="007B72D0">
          <w:pPr>
            <w:pStyle w:val="NoSpacing"/>
            <w:rPr>
              <w:rFonts w:ascii="Arial" w:hAnsi="Arial" w:cs="Arial"/>
              <w:b/>
              <w:bCs/>
            </w:rPr>
          </w:pPr>
        </w:p>
        <w:p w14:paraId="32407C54" w14:textId="77777777" w:rsidR="007B72D0" w:rsidRDefault="007B72D0" w:rsidP="007B72D0">
          <w:pPr>
            <w:pStyle w:val="NoSpacing"/>
            <w:rPr>
              <w:rFonts w:ascii="Arial" w:hAnsi="Arial" w:cs="Arial"/>
              <w:b/>
              <w:bCs/>
            </w:rPr>
          </w:pPr>
        </w:p>
        <w:p w14:paraId="6EEE7CE0" w14:textId="77777777" w:rsidR="007B72D0" w:rsidRDefault="007B72D0" w:rsidP="007B72D0">
          <w:pPr>
            <w:pStyle w:val="NoSpacing"/>
            <w:rPr>
              <w:rFonts w:ascii="Arial" w:hAnsi="Arial" w:cs="Arial"/>
              <w:b/>
              <w:bCs/>
            </w:rPr>
          </w:pPr>
        </w:p>
        <w:p w14:paraId="4E399FD3" w14:textId="77777777" w:rsidR="007B72D0" w:rsidRDefault="007B72D0" w:rsidP="007B72D0">
          <w:pPr>
            <w:pStyle w:val="NoSpacing"/>
            <w:rPr>
              <w:rFonts w:ascii="Arial" w:hAnsi="Arial" w:cs="Arial"/>
              <w:b/>
              <w:bCs/>
            </w:rPr>
          </w:pPr>
        </w:p>
        <w:p w14:paraId="13B544A3" w14:textId="77777777" w:rsidR="007B72D0" w:rsidRDefault="007B72D0" w:rsidP="007B72D0">
          <w:pPr>
            <w:pStyle w:val="NoSpacing"/>
            <w:rPr>
              <w:rFonts w:ascii="Arial" w:hAnsi="Arial" w:cs="Arial"/>
              <w:b/>
              <w:bCs/>
            </w:rPr>
          </w:pPr>
        </w:p>
        <w:p w14:paraId="2C16D2AB" w14:textId="77777777" w:rsidR="007B72D0" w:rsidRDefault="007B72D0" w:rsidP="007B72D0">
          <w:pPr>
            <w:pStyle w:val="NoSpacing"/>
            <w:rPr>
              <w:rFonts w:ascii="Arial" w:hAnsi="Arial" w:cs="Arial"/>
              <w:b/>
              <w:bCs/>
            </w:rPr>
          </w:pPr>
        </w:p>
        <w:p w14:paraId="029CBF78" w14:textId="77777777" w:rsidR="007B72D0" w:rsidRDefault="007B72D0" w:rsidP="007B72D0">
          <w:pPr>
            <w:pStyle w:val="NoSpacing"/>
            <w:rPr>
              <w:rFonts w:ascii="Arial" w:hAnsi="Arial" w:cs="Arial"/>
              <w:b/>
              <w:bCs/>
            </w:rPr>
          </w:pPr>
        </w:p>
        <w:p w14:paraId="526A0DCC" w14:textId="77777777" w:rsidR="007B72D0" w:rsidRDefault="007B72D0" w:rsidP="007B72D0">
          <w:pPr>
            <w:pStyle w:val="NoSpacing"/>
            <w:rPr>
              <w:rFonts w:ascii="Arial" w:hAnsi="Arial" w:cs="Arial"/>
              <w:b/>
              <w:bCs/>
            </w:rPr>
          </w:pPr>
        </w:p>
        <w:p w14:paraId="49A03596" w14:textId="77777777" w:rsidR="007B72D0" w:rsidRDefault="007B72D0" w:rsidP="007B72D0">
          <w:pPr>
            <w:pStyle w:val="NoSpacing"/>
            <w:rPr>
              <w:rFonts w:ascii="Arial" w:hAnsi="Arial" w:cs="Arial"/>
              <w:b/>
              <w:bCs/>
            </w:rPr>
          </w:pPr>
        </w:p>
        <w:p w14:paraId="22348A3E" w14:textId="77777777" w:rsidR="007B72D0" w:rsidRDefault="007B72D0" w:rsidP="007B72D0">
          <w:pPr>
            <w:pStyle w:val="NoSpacing"/>
            <w:rPr>
              <w:rFonts w:ascii="Arial" w:hAnsi="Arial" w:cs="Arial"/>
              <w:b/>
              <w:bCs/>
            </w:rPr>
          </w:pPr>
        </w:p>
        <w:p w14:paraId="54A842B1" w14:textId="77777777" w:rsidR="007B72D0" w:rsidRDefault="007B72D0" w:rsidP="007B72D0">
          <w:pPr>
            <w:pStyle w:val="NoSpacing"/>
            <w:rPr>
              <w:rFonts w:ascii="Arial" w:hAnsi="Arial" w:cs="Arial"/>
              <w:b/>
              <w:bCs/>
            </w:rPr>
          </w:pPr>
        </w:p>
        <w:p w14:paraId="561355CB" w14:textId="77777777" w:rsidR="007B72D0" w:rsidRDefault="007B72D0" w:rsidP="007B72D0">
          <w:pPr>
            <w:pStyle w:val="NoSpacing"/>
            <w:rPr>
              <w:rFonts w:ascii="Arial" w:hAnsi="Arial" w:cs="Arial"/>
              <w:b/>
              <w:bCs/>
            </w:rPr>
          </w:pPr>
        </w:p>
        <w:p w14:paraId="3ECF3040" w14:textId="77777777" w:rsidR="007B72D0" w:rsidRDefault="007B72D0" w:rsidP="007B72D0">
          <w:pPr>
            <w:pStyle w:val="NoSpacing"/>
            <w:rPr>
              <w:rFonts w:ascii="Arial" w:hAnsi="Arial" w:cs="Arial"/>
              <w:b/>
              <w:bCs/>
            </w:rPr>
          </w:pPr>
        </w:p>
        <w:p w14:paraId="2D7AE97C" w14:textId="77777777" w:rsidR="007B72D0" w:rsidRDefault="007B72D0" w:rsidP="007B72D0">
          <w:pPr>
            <w:pStyle w:val="NoSpacing"/>
            <w:rPr>
              <w:rFonts w:ascii="Arial" w:hAnsi="Arial" w:cs="Arial"/>
              <w:b/>
              <w:bCs/>
            </w:rPr>
          </w:pPr>
        </w:p>
        <w:p w14:paraId="5F5BF28B" w14:textId="77777777" w:rsidR="007B72D0" w:rsidRDefault="007B72D0" w:rsidP="007B72D0">
          <w:pPr>
            <w:pStyle w:val="NoSpacing"/>
            <w:rPr>
              <w:rFonts w:ascii="Arial" w:hAnsi="Arial" w:cs="Arial"/>
              <w:b/>
              <w:bCs/>
            </w:rPr>
          </w:pPr>
        </w:p>
        <w:p w14:paraId="657496AF" w14:textId="77777777" w:rsidR="007B72D0" w:rsidRDefault="007B72D0" w:rsidP="007B72D0">
          <w:pPr>
            <w:pStyle w:val="NoSpacing"/>
            <w:rPr>
              <w:rFonts w:ascii="Arial" w:hAnsi="Arial" w:cs="Arial"/>
              <w:b/>
              <w:bCs/>
            </w:rPr>
          </w:pPr>
        </w:p>
        <w:p w14:paraId="44C5AFC2" w14:textId="77777777" w:rsidR="007B72D0" w:rsidRDefault="007B72D0" w:rsidP="007B72D0">
          <w:pPr>
            <w:pStyle w:val="NoSpacing"/>
            <w:spacing w:line="360" w:lineRule="auto"/>
            <w:ind w:left="1134"/>
            <w:rPr>
              <w:rFonts w:ascii="Arial" w:hAnsi="Arial" w:cs="Arial"/>
              <w:sz w:val="28"/>
              <w:szCs w:val="28"/>
            </w:rPr>
          </w:pPr>
          <w:r>
            <w:rPr>
              <w:rFonts w:ascii="Arial" w:hAnsi="Arial" w:cs="Arial"/>
              <w:sz w:val="28"/>
              <w:szCs w:val="28"/>
            </w:rPr>
            <w:t xml:space="preserve">Student Name: </w:t>
          </w:r>
          <w:r>
            <w:rPr>
              <w:rFonts w:ascii="Arial" w:hAnsi="Arial" w:cs="Arial"/>
              <w:sz w:val="28"/>
              <w:szCs w:val="28"/>
            </w:rPr>
            <w:tab/>
            <w:t>Mia Evans</w:t>
          </w:r>
        </w:p>
        <w:p w14:paraId="6EF48CCD" w14:textId="3EA9589F" w:rsidR="007B72D0" w:rsidRPr="005D5DA0" w:rsidRDefault="007B72D0" w:rsidP="007B72D0">
          <w:pPr>
            <w:pStyle w:val="NoSpacing"/>
            <w:spacing w:line="360" w:lineRule="auto"/>
            <w:ind w:left="1134"/>
            <w:rPr>
              <w:rFonts w:ascii="Arial" w:hAnsi="Arial" w:cs="Arial"/>
              <w:sz w:val="28"/>
              <w:szCs w:val="28"/>
            </w:rPr>
          </w:pPr>
          <w:r w:rsidRPr="005D5DA0">
            <w:rPr>
              <w:rFonts w:ascii="Arial" w:hAnsi="Arial" w:cs="Arial"/>
              <w:sz w:val="28"/>
              <w:szCs w:val="28"/>
            </w:rPr>
            <w:t>Student N</w:t>
          </w:r>
          <w:r>
            <w:rPr>
              <w:rFonts w:ascii="Arial" w:hAnsi="Arial" w:cs="Arial"/>
              <w:sz w:val="28"/>
              <w:szCs w:val="28"/>
            </w:rPr>
            <w:t>o.</w:t>
          </w:r>
          <w:r w:rsidRPr="005D5DA0">
            <w:rPr>
              <w:rFonts w:ascii="Arial" w:hAnsi="Arial" w:cs="Arial"/>
              <w:sz w:val="28"/>
              <w:szCs w:val="28"/>
            </w:rPr>
            <w:t xml:space="preserve">: </w:t>
          </w:r>
          <w:r>
            <w:rPr>
              <w:rFonts w:ascii="Arial" w:hAnsi="Arial" w:cs="Arial"/>
              <w:sz w:val="28"/>
              <w:szCs w:val="28"/>
            </w:rPr>
            <w:tab/>
          </w:r>
          <w:r>
            <w:rPr>
              <w:rFonts w:ascii="Arial" w:hAnsi="Arial" w:cs="Arial"/>
              <w:sz w:val="28"/>
              <w:szCs w:val="28"/>
            </w:rPr>
            <w:tab/>
          </w:r>
          <w:r w:rsidRPr="005D5DA0">
            <w:rPr>
              <w:rFonts w:ascii="Arial" w:hAnsi="Arial" w:cs="Arial"/>
              <w:sz w:val="28"/>
              <w:szCs w:val="28"/>
            </w:rPr>
            <w:t>2129370</w:t>
          </w:r>
        </w:p>
        <w:p w14:paraId="17B72EE7" w14:textId="698F242A" w:rsidR="007B72D0" w:rsidRDefault="007B72D0" w:rsidP="007B72D0">
          <w:pPr>
            <w:pStyle w:val="NoSpacing"/>
            <w:spacing w:line="360" w:lineRule="auto"/>
            <w:ind w:left="2880" w:hanging="1746"/>
            <w:rPr>
              <w:rFonts w:ascii="Arial" w:hAnsi="Arial" w:cs="Arial"/>
              <w:sz w:val="28"/>
              <w:szCs w:val="28"/>
            </w:rPr>
          </w:pPr>
          <w:r>
            <w:rPr>
              <w:rFonts w:ascii="Arial" w:hAnsi="Arial" w:cs="Arial"/>
              <w:sz w:val="28"/>
              <w:szCs w:val="28"/>
            </w:rPr>
            <w:t xml:space="preserve">Qualification: </w:t>
          </w:r>
          <w:r>
            <w:rPr>
              <w:rFonts w:ascii="Arial" w:hAnsi="Arial" w:cs="Arial"/>
              <w:sz w:val="28"/>
              <w:szCs w:val="28"/>
            </w:rPr>
            <w:tab/>
          </w:r>
          <w:r>
            <w:rPr>
              <w:rFonts w:ascii="Arial" w:hAnsi="Arial" w:cs="Arial"/>
              <w:sz w:val="28"/>
              <w:szCs w:val="28"/>
            </w:rPr>
            <w:tab/>
            <w:t>Master of Arts, Professional Practice</w:t>
          </w:r>
        </w:p>
        <w:p w14:paraId="11BCC4F2" w14:textId="336B4DB4" w:rsidR="007B72D0" w:rsidRDefault="007B72D0" w:rsidP="007B72D0">
          <w:pPr>
            <w:pStyle w:val="NoSpacing"/>
            <w:spacing w:line="360" w:lineRule="auto"/>
            <w:ind w:left="3600" w:hanging="2466"/>
            <w:rPr>
              <w:rFonts w:ascii="Arial" w:hAnsi="Arial" w:cs="Arial"/>
              <w:sz w:val="28"/>
              <w:szCs w:val="28"/>
            </w:rPr>
          </w:pPr>
          <w:r>
            <w:rPr>
              <w:rFonts w:ascii="Arial" w:hAnsi="Arial" w:cs="Arial"/>
              <w:sz w:val="28"/>
              <w:szCs w:val="28"/>
            </w:rPr>
            <w:t xml:space="preserve">Module: </w:t>
          </w:r>
          <w:r>
            <w:rPr>
              <w:rFonts w:ascii="Arial" w:hAnsi="Arial" w:cs="Arial"/>
              <w:sz w:val="28"/>
              <w:szCs w:val="28"/>
            </w:rPr>
            <w:tab/>
          </w:r>
          <w:r w:rsidRPr="005D5DA0">
            <w:rPr>
              <w:rFonts w:ascii="Arial" w:hAnsi="Arial" w:cs="Arial"/>
              <w:sz w:val="28"/>
              <w:szCs w:val="28"/>
            </w:rPr>
            <w:t xml:space="preserve">BMPF7000 </w:t>
          </w:r>
          <w:r>
            <w:rPr>
              <w:rFonts w:ascii="Arial" w:hAnsi="Arial" w:cs="Arial"/>
              <w:sz w:val="28"/>
              <w:szCs w:val="28"/>
            </w:rPr>
            <w:br/>
          </w:r>
          <w:r w:rsidRPr="005D5DA0">
            <w:rPr>
              <w:rFonts w:ascii="Arial" w:hAnsi="Arial" w:cs="Arial"/>
              <w:sz w:val="28"/>
              <w:szCs w:val="28"/>
            </w:rPr>
            <w:t>Recognition and Accreditation of Learning (RAL)</w:t>
          </w:r>
        </w:p>
        <w:p w14:paraId="456E1907" w14:textId="77777777" w:rsidR="007B72D0" w:rsidRDefault="00F342E2" w:rsidP="007B72D0">
          <w:pPr>
            <w:rPr>
              <w:rFonts w:ascii="Arial" w:hAnsi="Arial" w:cs="Arial"/>
              <w:b/>
              <w:bCs/>
            </w:rPr>
          </w:pPr>
        </w:p>
      </w:sdtContent>
    </w:sdt>
    <w:p w14:paraId="2BC2FA8F" w14:textId="77777777" w:rsidR="007B72D0" w:rsidRDefault="007B72D0" w:rsidP="007B72D0">
      <w:pPr>
        <w:spacing w:line="360" w:lineRule="auto"/>
        <w:rPr>
          <w:rFonts w:ascii="Arial" w:hAnsi="Arial" w:cs="Arial"/>
          <w:b/>
          <w:bCs/>
        </w:rPr>
      </w:pPr>
    </w:p>
    <w:p w14:paraId="2011D052" w14:textId="77777777" w:rsidR="00283EF0" w:rsidRDefault="00283EF0" w:rsidP="007B72D0">
      <w:pPr>
        <w:spacing w:line="360" w:lineRule="auto"/>
        <w:rPr>
          <w:rFonts w:ascii="Arial" w:hAnsi="Arial" w:cs="Arial"/>
          <w:b/>
          <w:bCs/>
          <w:sz w:val="28"/>
          <w:szCs w:val="28"/>
        </w:rPr>
      </w:pPr>
    </w:p>
    <w:sdt>
      <w:sdtPr>
        <w:rPr>
          <w:rFonts w:asciiTheme="minorHAnsi" w:eastAsiaTheme="minorEastAsia" w:hAnsiTheme="minorHAnsi" w:cs="Times New Roman"/>
          <w:color w:val="auto"/>
          <w:sz w:val="22"/>
          <w:szCs w:val="22"/>
        </w:rPr>
        <w:id w:val="-1363044857"/>
        <w:docPartObj>
          <w:docPartGallery w:val="Table of Contents"/>
          <w:docPartUnique/>
        </w:docPartObj>
      </w:sdtPr>
      <w:sdtEndPr/>
      <w:sdtContent>
        <w:p w14:paraId="068B1C46" w14:textId="77777777" w:rsidR="00EB601C" w:rsidRDefault="00EB601C">
          <w:pPr>
            <w:pStyle w:val="TOCHeading"/>
          </w:pPr>
        </w:p>
        <w:p w14:paraId="16C52122" w14:textId="555A5C13" w:rsidR="00FE38DA" w:rsidRPr="000D0917" w:rsidRDefault="00FE38DA">
          <w:pPr>
            <w:pStyle w:val="TOCHeading"/>
            <w:rPr>
              <w:rFonts w:ascii="Arial" w:hAnsi="Arial" w:cs="Arial"/>
              <w:b/>
              <w:bCs/>
              <w:color w:val="auto"/>
              <w:sz w:val="36"/>
              <w:szCs w:val="36"/>
            </w:rPr>
          </w:pPr>
          <w:r w:rsidRPr="000D0917">
            <w:rPr>
              <w:rFonts w:ascii="Arial" w:hAnsi="Arial" w:cs="Arial"/>
              <w:b/>
              <w:bCs/>
              <w:color w:val="auto"/>
              <w:sz w:val="36"/>
              <w:szCs w:val="36"/>
            </w:rPr>
            <w:t>Contents</w:t>
          </w:r>
        </w:p>
        <w:p w14:paraId="10CAF65F" w14:textId="77777777" w:rsidR="00EB601C" w:rsidRPr="00EB601C" w:rsidRDefault="00EB601C" w:rsidP="00EB601C">
          <w:pPr>
            <w:rPr>
              <w:lang w:val="en-US" w:eastAsia="en-US"/>
            </w:rPr>
          </w:pPr>
        </w:p>
        <w:p w14:paraId="02CF5175" w14:textId="77777777" w:rsidR="00EB601C" w:rsidRPr="00EB601C" w:rsidRDefault="00EB601C" w:rsidP="00EB601C">
          <w:pPr>
            <w:rPr>
              <w:lang w:val="en-US" w:eastAsia="en-US"/>
            </w:rPr>
          </w:pPr>
        </w:p>
        <w:p w14:paraId="2394C7DB" w14:textId="72616857" w:rsidR="00FE38DA" w:rsidRPr="000D0917" w:rsidRDefault="002616E3" w:rsidP="000D0917">
          <w:pPr>
            <w:pStyle w:val="TOC1"/>
            <w:spacing w:line="360" w:lineRule="auto"/>
            <w:rPr>
              <w:rFonts w:ascii="Arial" w:hAnsi="Arial" w:cs="Arial"/>
              <w:sz w:val="28"/>
              <w:szCs w:val="28"/>
            </w:rPr>
          </w:pPr>
          <w:r w:rsidRPr="000D0917">
            <w:rPr>
              <w:rFonts w:ascii="Arial" w:hAnsi="Arial" w:cs="Arial"/>
              <w:sz w:val="28"/>
              <w:szCs w:val="28"/>
            </w:rPr>
            <w:t>Learning Area 1</w:t>
          </w:r>
          <w:r w:rsidR="00FE38DA" w:rsidRPr="000D0917">
            <w:rPr>
              <w:rFonts w:ascii="Arial" w:hAnsi="Arial" w:cs="Arial"/>
              <w:sz w:val="28"/>
              <w:szCs w:val="28"/>
            </w:rPr>
            <w:ptab w:relativeTo="margin" w:alignment="right" w:leader="dot"/>
          </w:r>
          <w:r w:rsidR="008F7B24" w:rsidRPr="000D0917">
            <w:rPr>
              <w:rFonts w:ascii="Arial" w:hAnsi="Arial" w:cs="Arial"/>
              <w:sz w:val="28"/>
              <w:szCs w:val="28"/>
            </w:rPr>
            <w:t>2</w:t>
          </w:r>
        </w:p>
        <w:p w14:paraId="1DC3E05F" w14:textId="451C74A7" w:rsidR="00FE38DA" w:rsidRPr="000D0917" w:rsidRDefault="0070465B" w:rsidP="000D0917">
          <w:pPr>
            <w:pStyle w:val="TOC2"/>
            <w:spacing w:line="360" w:lineRule="auto"/>
            <w:ind w:left="0"/>
            <w:rPr>
              <w:rFonts w:ascii="Arial" w:hAnsi="Arial" w:cs="Arial"/>
              <w:sz w:val="28"/>
              <w:szCs w:val="28"/>
            </w:rPr>
          </w:pPr>
          <w:r w:rsidRPr="000D0917">
            <w:rPr>
              <w:rFonts w:ascii="Arial" w:hAnsi="Arial" w:cs="Arial"/>
              <w:sz w:val="28"/>
              <w:szCs w:val="28"/>
            </w:rPr>
            <w:t>Learning Area 2</w:t>
          </w:r>
          <w:r w:rsidR="002616E3" w:rsidRPr="000D0917">
            <w:rPr>
              <w:rFonts w:ascii="Arial" w:hAnsi="Arial" w:cs="Arial"/>
              <w:sz w:val="28"/>
              <w:szCs w:val="28"/>
            </w:rPr>
            <w:t xml:space="preserve"> </w:t>
          </w:r>
          <w:r w:rsidR="00FE38DA" w:rsidRPr="000D0917">
            <w:rPr>
              <w:rFonts w:ascii="Arial" w:hAnsi="Arial" w:cs="Arial"/>
              <w:sz w:val="28"/>
              <w:szCs w:val="28"/>
            </w:rPr>
            <w:ptab w:relativeTo="margin" w:alignment="right" w:leader="dot"/>
          </w:r>
          <w:r w:rsidR="0021707D" w:rsidRPr="000D0917">
            <w:rPr>
              <w:rFonts w:ascii="Arial" w:hAnsi="Arial" w:cs="Arial"/>
              <w:sz w:val="28"/>
              <w:szCs w:val="28"/>
            </w:rPr>
            <w:t>34</w:t>
          </w:r>
        </w:p>
        <w:p w14:paraId="7E835EBF" w14:textId="31CE6460" w:rsidR="00FE38DA" w:rsidRPr="000D0917" w:rsidRDefault="0070465B" w:rsidP="000D0917">
          <w:pPr>
            <w:pStyle w:val="TOC3"/>
            <w:spacing w:line="360" w:lineRule="auto"/>
            <w:ind w:left="0"/>
            <w:rPr>
              <w:rFonts w:ascii="Arial" w:hAnsi="Arial" w:cs="Arial"/>
              <w:sz w:val="28"/>
              <w:szCs w:val="28"/>
            </w:rPr>
          </w:pPr>
          <w:r w:rsidRPr="000D0917">
            <w:rPr>
              <w:rFonts w:ascii="Arial" w:hAnsi="Arial" w:cs="Arial"/>
              <w:sz w:val="28"/>
              <w:szCs w:val="28"/>
            </w:rPr>
            <w:t>Appendices: Evidence</w:t>
          </w:r>
          <w:r w:rsidR="00895B50">
            <w:rPr>
              <w:rFonts w:ascii="Arial" w:hAnsi="Arial" w:cs="Arial"/>
              <w:sz w:val="28"/>
              <w:szCs w:val="28"/>
            </w:rPr>
            <w:t xml:space="preserve"> list</w:t>
          </w:r>
          <w:r w:rsidR="00FE38DA" w:rsidRPr="000D0917">
            <w:rPr>
              <w:rFonts w:ascii="Arial" w:hAnsi="Arial" w:cs="Arial"/>
              <w:sz w:val="28"/>
              <w:szCs w:val="28"/>
            </w:rPr>
            <w:ptab w:relativeTo="margin" w:alignment="right" w:leader="dot"/>
          </w:r>
          <w:r w:rsidR="00F3771C" w:rsidRPr="000D0917">
            <w:rPr>
              <w:rFonts w:ascii="Arial" w:hAnsi="Arial" w:cs="Arial"/>
              <w:sz w:val="28"/>
              <w:szCs w:val="28"/>
            </w:rPr>
            <w:t>54</w:t>
          </w:r>
        </w:p>
        <w:p w14:paraId="10D6B51C" w14:textId="4EE94F1C" w:rsidR="00FE38DA" w:rsidRPr="000D0917" w:rsidRDefault="00C85630" w:rsidP="000D0917">
          <w:pPr>
            <w:pStyle w:val="TOC1"/>
            <w:spacing w:line="360" w:lineRule="auto"/>
            <w:rPr>
              <w:rFonts w:ascii="Arial" w:hAnsi="Arial" w:cs="Arial"/>
              <w:sz w:val="28"/>
              <w:szCs w:val="28"/>
            </w:rPr>
          </w:pPr>
          <w:r>
            <w:rPr>
              <w:rFonts w:ascii="Arial" w:hAnsi="Arial" w:cs="Arial"/>
              <w:sz w:val="28"/>
              <w:szCs w:val="28"/>
            </w:rPr>
            <w:t xml:space="preserve">Abbreviations &amp; </w:t>
          </w:r>
          <w:r w:rsidR="00334D95">
            <w:rPr>
              <w:rFonts w:ascii="Arial" w:hAnsi="Arial" w:cs="Arial"/>
              <w:sz w:val="28"/>
              <w:szCs w:val="28"/>
            </w:rPr>
            <w:t>Acronyms</w:t>
          </w:r>
          <w:r w:rsidR="00FE38DA" w:rsidRPr="000D0917">
            <w:rPr>
              <w:rFonts w:ascii="Arial" w:hAnsi="Arial" w:cs="Arial"/>
              <w:sz w:val="28"/>
              <w:szCs w:val="28"/>
            </w:rPr>
            <w:ptab w:relativeTo="margin" w:alignment="right" w:leader="dot"/>
          </w:r>
          <w:r w:rsidR="0021707D" w:rsidRPr="000D0917">
            <w:rPr>
              <w:rFonts w:ascii="Arial" w:hAnsi="Arial" w:cs="Arial"/>
              <w:sz w:val="28"/>
              <w:szCs w:val="28"/>
            </w:rPr>
            <w:t>56</w:t>
          </w:r>
        </w:p>
        <w:p w14:paraId="17EEA00F" w14:textId="25A54B84" w:rsidR="00FE38DA" w:rsidRPr="000D0917" w:rsidRDefault="0070465B" w:rsidP="000D0917">
          <w:pPr>
            <w:pStyle w:val="TOC2"/>
            <w:spacing w:line="360" w:lineRule="auto"/>
            <w:ind w:left="0"/>
            <w:rPr>
              <w:rFonts w:ascii="Arial" w:hAnsi="Arial" w:cs="Arial"/>
              <w:sz w:val="28"/>
              <w:szCs w:val="28"/>
            </w:rPr>
          </w:pPr>
          <w:r w:rsidRPr="000D0917">
            <w:rPr>
              <w:rFonts w:ascii="Arial" w:hAnsi="Arial" w:cs="Arial"/>
              <w:sz w:val="28"/>
              <w:szCs w:val="28"/>
            </w:rPr>
            <w:t>References</w:t>
          </w:r>
          <w:r w:rsidR="00FE38DA" w:rsidRPr="000D0917">
            <w:rPr>
              <w:rFonts w:ascii="Arial" w:hAnsi="Arial" w:cs="Arial"/>
              <w:sz w:val="28"/>
              <w:szCs w:val="28"/>
            </w:rPr>
            <w:ptab w:relativeTo="margin" w:alignment="right" w:leader="dot"/>
          </w:r>
          <w:r w:rsidR="00FE38DA" w:rsidRPr="000D0917">
            <w:rPr>
              <w:rFonts w:ascii="Arial" w:hAnsi="Arial" w:cs="Arial"/>
              <w:sz w:val="28"/>
              <w:szCs w:val="28"/>
            </w:rPr>
            <w:t>5</w:t>
          </w:r>
          <w:r w:rsidR="0021707D" w:rsidRPr="000D0917">
            <w:rPr>
              <w:rFonts w:ascii="Arial" w:hAnsi="Arial" w:cs="Arial"/>
              <w:sz w:val="28"/>
              <w:szCs w:val="28"/>
            </w:rPr>
            <w:t>7</w:t>
          </w:r>
        </w:p>
        <w:p w14:paraId="387F0B5C" w14:textId="586FEF7D" w:rsidR="00FE38DA" w:rsidRDefault="00F342E2">
          <w:pPr>
            <w:pStyle w:val="TOC3"/>
            <w:ind w:left="446"/>
          </w:pPr>
        </w:p>
      </w:sdtContent>
    </w:sdt>
    <w:p w14:paraId="1941EF10" w14:textId="77777777" w:rsidR="007B72D0" w:rsidRDefault="007B72D0" w:rsidP="007B72D0">
      <w:pPr>
        <w:spacing w:line="360" w:lineRule="auto"/>
        <w:rPr>
          <w:rFonts w:ascii="Arial" w:hAnsi="Arial" w:cs="Arial"/>
          <w:b/>
          <w:bCs/>
          <w:sz w:val="28"/>
          <w:szCs w:val="28"/>
        </w:rPr>
      </w:pPr>
    </w:p>
    <w:p w14:paraId="609ABA05" w14:textId="77777777" w:rsidR="007B72D0" w:rsidRDefault="007B72D0" w:rsidP="007B72D0">
      <w:pPr>
        <w:spacing w:line="360" w:lineRule="auto"/>
        <w:rPr>
          <w:rFonts w:ascii="Arial" w:hAnsi="Arial" w:cs="Arial"/>
          <w:b/>
          <w:bCs/>
          <w:sz w:val="28"/>
          <w:szCs w:val="28"/>
        </w:rPr>
      </w:pPr>
    </w:p>
    <w:p w14:paraId="6D0F100C" w14:textId="77777777" w:rsidR="007B72D0" w:rsidRDefault="007B72D0" w:rsidP="007B72D0">
      <w:pPr>
        <w:ind w:left="426"/>
      </w:pPr>
    </w:p>
    <w:p w14:paraId="503A7FD2" w14:textId="77777777" w:rsidR="007B72D0" w:rsidRDefault="007B72D0"/>
    <w:p w14:paraId="7FD12495" w14:textId="77777777" w:rsidR="007B72D0" w:rsidRDefault="007B72D0"/>
    <w:p w14:paraId="5635BF59" w14:textId="77777777" w:rsidR="007B72D0" w:rsidRDefault="007B72D0"/>
    <w:p w14:paraId="34F87BA6" w14:textId="77777777" w:rsidR="007B72D0" w:rsidRDefault="007B72D0"/>
    <w:p w14:paraId="60F9DA39" w14:textId="77777777" w:rsidR="007B72D0" w:rsidRDefault="007B72D0"/>
    <w:p w14:paraId="615E4DB1" w14:textId="77777777" w:rsidR="007B72D0" w:rsidRDefault="007B72D0"/>
    <w:p w14:paraId="55B7496C" w14:textId="77777777" w:rsidR="007B72D0" w:rsidRDefault="007B72D0"/>
    <w:p w14:paraId="590FBCF4" w14:textId="77777777" w:rsidR="007B72D0" w:rsidRDefault="007B72D0"/>
    <w:p w14:paraId="20DE5F64" w14:textId="77777777" w:rsidR="007B72D0" w:rsidRDefault="007B72D0"/>
    <w:p w14:paraId="70CF6261" w14:textId="77777777" w:rsidR="007B72D0" w:rsidRDefault="007B72D0"/>
    <w:p w14:paraId="52FF21B3" w14:textId="77777777" w:rsidR="007B72D0" w:rsidRDefault="007B72D0"/>
    <w:p w14:paraId="00A81D01" w14:textId="77777777" w:rsidR="007B72D0" w:rsidRDefault="007B72D0"/>
    <w:p w14:paraId="1DABEA4E" w14:textId="77777777" w:rsidR="007B72D0" w:rsidRDefault="007B72D0"/>
    <w:p w14:paraId="086529B0" w14:textId="2BFCFF15" w:rsidR="00622B9F" w:rsidRDefault="00622B9F">
      <w:pPr>
        <w:spacing w:line="259" w:lineRule="auto"/>
      </w:pPr>
      <w:r>
        <w:br w:type="page"/>
      </w:r>
    </w:p>
    <w:p w14:paraId="171C6F96" w14:textId="49BA3A8E" w:rsidR="00283EF0" w:rsidRPr="00622B9F" w:rsidRDefault="00283EF0" w:rsidP="00622B9F">
      <w:pPr>
        <w:spacing w:line="259" w:lineRule="auto"/>
      </w:pPr>
      <w:r w:rsidRPr="00765579">
        <w:rPr>
          <w:rFonts w:ascii="Arial" w:hAnsi="Arial" w:cs="Arial"/>
          <w:b/>
          <w:bCs/>
          <w:sz w:val="28"/>
          <w:szCs w:val="28"/>
          <w:u w:val="single"/>
        </w:rPr>
        <w:lastRenderedPageBreak/>
        <w:t>Learning Area 1</w:t>
      </w:r>
    </w:p>
    <w:p w14:paraId="4D5F82AE" w14:textId="1B29DEA0" w:rsidR="00577758" w:rsidRPr="002E5E8F" w:rsidRDefault="00577758" w:rsidP="002E5E8F">
      <w:pPr>
        <w:spacing w:line="360" w:lineRule="auto"/>
        <w:rPr>
          <w:rFonts w:ascii="Arial" w:eastAsia="Arial" w:hAnsi="Arial" w:cs="Arial"/>
          <w:b/>
          <w:bCs/>
        </w:rPr>
      </w:pPr>
      <w:r w:rsidRPr="00834BD7">
        <w:rPr>
          <w:rFonts w:ascii="Arial" w:eastAsia="Arial" w:hAnsi="Arial" w:cs="Arial"/>
          <w:b/>
          <w:bCs/>
        </w:rPr>
        <w:t>Professional Practice Framework</w:t>
      </w:r>
      <w:r w:rsidR="00765579">
        <w:rPr>
          <w:rFonts w:ascii="Arial" w:eastAsia="Arial" w:hAnsi="Arial" w:cs="Arial"/>
          <w:b/>
          <w:bCs/>
        </w:rPr>
        <w:br/>
        <w:t>BMPF</w:t>
      </w:r>
      <w:r w:rsidR="00F82256">
        <w:rPr>
          <w:rFonts w:ascii="Arial" w:eastAsia="Arial" w:hAnsi="Arial" w:cs="Arial"/>
          <w:b/>
          <w:bCs/>
        </w:rPr>
        <w:t xml:space="preserve">7000: </w:t>
      </w:r>
      <w:r w:rsidRPr="00834BD7">
        <w:rPr>
          <w:rFonts w:ascii="Arial" w:eastAsia="Arial" w:hAnsi="Arial" w:cs="Arial"/>
          <w:b/>
          <w:bCs/>
        </w:rPr>
        <w:t xml:space="preserve">Recognition and Accreditation of Prior Learning (RAL) module </w:t>
      </w:r>
      <w:r w:rsidR="00F82256">
        <w:rPr>
          <w:rFonts w:ascii="Arial" w:eastAsia="Arial" w:hAnsi="Arial" w:cs="Arial"/>
          <w:b/>
          <w:bCs/>
        </w:rPr>
        <w:br/>
      </w:r>
      <w:r w:rsidR="00F82256" w:rsidRPr="00834BD7">
        <w:rPr>
          <w:rFonts w:ascii="Arial" w:hAnsi="Arial" w:cs="Arial"/>
          <w:b/>
          <w:bCs/>
        </w:rPr>
        <w:t>Total Credit being claimed: 50 credits</w:t>
      </w:r>
      <w:r w:rsidR="00F82256">
        <w:rPr>
          <w:rFonts w:ascii="Arial" w:hAnsi="Arial" w:cs="Arial"/>
          <w:b/>
          <w:bCs/>
        </w:rPr>
        <w:br/>
      </w:r>
      <w:r w:rsidRPr="00834BD7">
        <w:rPr>
          <w:rFonts w:ascii="Arial" w:hAnsi="Arial" w:cs="Arial"/>
          <w:b/>
          <w:bCs/>
        </w:rPr>
        <w:t xml:space="preserve">Level of Claim: </w:t>
      </w:r>
      <w:r w:rsidR="00F82256">
        <w:rPr>
          <w:rFonts w:ascii="Arial" w:hAnsi="Arial" w:cs="Arial"/>
          <w:b/>
          <w:bCs/>
        </w:rPr>
        <w:t>7</w:t>
      </w:r>
    </w:p>
    <w:p w14:paraId="642528B2" w14:textId="77777777" w:rsidR="00577758" w:rsidRPr="00834BD7" w:rsidRDefault="00577758" w:rsidP="00577758">
      <w:pPr>
        <w:spacing w:line="360" w:lineRule="auto"/>
        <w:jc w:val="both"/>
        <w:rPr>
          <w:rFonts w:ascii="Arial" w:hAnsi="Arial" w:cs="Arial"/>
          <w:b/>
          <w:bCs/>
          <w:u w:val="single"/>
        </w:rPr>
      </w:pPr>
      <w:r w:rsidRPr="00834BD7">
        <w:rPr>
          <w:rFonts w:ascii="Arial" w:hAnsi="Arial" w:cs="Arial"/>
          <w:b/>
          <w:bCs/>
          <w:u w:val="single"/>
        </w:rPr>
        <w:t>Learning Area 1: Building Capability and Capacity in Strategic Workforce Planning (50 Credits)</w:t>
      </w:r>
    </w:p>
    <w:p w14:paraId="00972C8E" w14:textId="77777777" w:rsidR="00577758" w:rsidRPr="00834BD7" w:rsidRDefault="00577758" w:rsidP="00577758">
      <w:pPr>
        <w:spacing w:line="360" w:lineRule="auto"/>
        <w:jc w:val="both"/>
        <w:rPr>
          <w:rFonts w:ascii="Arial" w:hAnsi="Arial" w:cs="Arial"/>
          <w:b/>
          <w:bCs/>
          <w:u w:val="single"/>
        </w:rPr>
      </w:pPr>
      <w:r w:rsidRPr="00834BD7">
        <w:rPr>
          <w:rFonts w:ascii="Arial" w:hAnsi="Arial" w:cs="Arial"/>
          <w:b/>
          <w:bCs/>
          <w:u w:val="single"/>
        </w:rPr>
        <w:t>Background</w:t>
      </w:r>
    </w:p>
    <w:p w14:paraId="4294E8AD" w14:textId="77777777" w:rsidR="00577758" w:rsidRPr="00834BD7" w:rsidRDefault="00577758" w:rsidP="00577758">
      <w:pPr>
        <w:spacing w:line="360" w:lineRule="auto"/>
        <w:jc w:val="both"/>
        <w:rPr>
          <w:rFonts w:ascii="Arial" w:hAnsi="Arial" w:cs="Arial"/>
        </w:rPr>
      </w:pPr>
      <w:r w:rsidRPr="00834BD7">
        <w:rPr>
          <w:rFonts w:ascii="Arial" w:hAnsi="Arial" w:cs="Arial"/>
        </w:rPr>
        <w:t>In January 2021 I commenced my current role of Workforce Planning Project Manager at Hywel Dda University Health Board (HDUHB). The post was a new role and the first of its kind in Wales creating a new Strategic Workforce Planning team within the Health Board. Prior to this there had only been one individual, my manager, leading Strategic Workforce Planning, with similar individuals undertaking the role across the other Health Boards in Wales. As a group of 4 Project Managers within a newly developed team, it was our role to begin to build capability and capacity for Strategic Workforce Planning across the Health Board. As there is no formal training to become a workforce planner, we were all appointed on an Annex 21 contract, which is a training contract, giving us 12 months to undertake a Six step Workforce plan to enable us to become proficient in our understanding of Strategic Workforce Planning.</w:t>
      </w:r>
    </w:p>
    <w:p w14:paraId="65AF0B50" w14:textId="77777777" w:rsidR="00577758" w:rsidRPr="00834BD7" w:rsidRDefault="00577758" w:rsidP="00577758">
      <w:pPr>
        <w:spacing w:line="360" w:lineRule="auto"/>
        <w:jc w:val="both"/>
        <w:rPr>
          <w:rFonts w:ascii="Arial" w:hAnsi="Arial" w:cs="Arial"/>
        </w:rPr>
      </w:pPr>
      <w:r w:rsidRPr="00834BD7">
        <w:rPr>
          <w:rFonts w:ascii="Arial" w:hAnsi="Arial" w:cs="Arial"/>
        </w:rPr>
        <w:t>I have chosen to claim credit for this learning area because the learning and experience I have gained in workforce planning since being in post has significantly contributed to my knowledge, skills and understanding of this area. I feel I have developed as an individual and have been able to contribute to enhancing the knowledge of others to enable them to undertake workforce plans to aid in improving the future direction of the Health board.</w:t>
      </w:r>
    </w:p>
    <w:p w14:paraId="0751F8E6" w14:textId="77777777" w:rsidR="00577758" w:rsidRPr="00834BD7" w:rsidRDefault="00577758" w:rsidP="00577758">
      <w:pPr>
        <w:spacing w:line="360" w:lineRule="auto"/>
        <w:jc w:val="both"/>
        <w:rPr>
          <w:rFonts w:ascii="Arial" w:hAnsi="Arial" w:cs="Arial"/>
        </w:rPr>
      </w:pPr>
    </w:p>
    <w:p w14:paraId="6EC63431" w14:textId="77777777" w:rsidR="00577758" w:rsidRPr="00834BD7" w:rsidRDefault="00577758" w:rsidP="00577758">
      <w:pPr>
        <w:spacing w:line="360" w:lineRule="auto"/>
        <w:jc w:val="both"/>
        <w:rPr>
          <w:rFonts w:ascii="Arial" w:hAnsi="Arial" w:cs="Arial"/>
        </w:rPr>
      </w:pPr>
      <w:r w:rsidRPr="00834BD7">
        <w:rPr>
          <w:rFonts w:ascii="Arial" w:hAnsi="Arial" w:cs="Arial"/>
          <w:b/>
          <w:bCs/>
          <w:u w:val="single"/>
        </w:rPr>
        <w:t>Learning Outcomes</w:t>
      </w:r>
    </w:p>
    <w:p w14:paraId="44CD352F" w14:textId="77777777" w:rsidR="00577758" w:rsidRPr="00834BD7" w:rsidRDefault="00577758" w:rsidP="00577758">
      <w:pPr>
        <w:spacing w:line="360" w:lineRule="auto"/>
        <w:jc w:val="both"/>
        <w:rPr>
          <w:rFonts w:ascii="Arial" w:hAnsi="Arial" w:cs="Arial"/>
        </w:rPr>
      </w:pPr>
      <w:r w:rsidRPr="00834BD7">
        <w:rPr>
          <w:rFonts w:ascii="Arial" w:hAnsi="Arial" w:cs="Arial"/>
        </w:rPr>
        <w:t>1: Research, critically analyse and apply workforce planning methodologies</w:t>
      </w:r>
    </w:p>
    <w:p w14:paraId="0F7E2FCF" w14:textId="77777777" w:rsidR="00577758" w:rsidRPr="00834BD7" w:rsidRDefault="00577758" w:rsidP="00577758">
      <w:pPr>
        <w:spacing w:line="360" w:lineRule="auto"/>
        <w:jc w:val="both"/>
        <w:rPr>
          <w:rFonts w:ascii="Arial" w:hAnsi="Arial" w:cs="Arial"/>
        </w:rPr>
      </w:pPr>
      <w:r w:rsidRPr="00834BD7">
        <w:rPr>
          <w:rFonts w:ascii="Arial" w:hAnsi="Arial" w:cs="Arial"/>
        </w:rPr>
        <w:t>2: Strategically promote and influence workforce planning through establishing and engaging with a variety of internal and external stakeholders</w:t>
      </w:r>
    </w:p>
    <w:p w14:paraId="76FCC29B" w14:textId="77777777" w:rsidR="00577758" w:rsidRPr="00834BD7" w:rsidRDefault="00577758" w:rsidP="00577758">
      <w:pPr>
        <w:spacing w:line="360" w:lineRule="auto"/>
        <w:jc w:val="both"/>
        <w:rPr>
          <w:rFonts w:ascii="Arial" w:hAnsi="Arial" w:cs="Arial"/>
        </w:rPr>
      </w:pPr>
      <w:r w:rsidRPr="00834BD7">
        <w:rPr>
          <w:rFonts w:ascii="Arial" w:hAnsi="Arial" w:cs="Arial"/>
        </w:rPr>
        <w:t>3: Collate and critically analyse data to inform workforce planning capability across the organisation</w:t>
      </w:r>
    </w:p>
    <w:p w14:paraId="59C2AD2B" w14:textId="77777777" w:rsidR="00577758" w:rsidRPr="00834BD7" w:rsidRDefault="00577758" w:rsidP="00577758">
      <w:pPr>
        <w:spacing w:line="360" w:lineRule="auto"/>
        <w:jc w:val="both"/>
        <w:rPr>
          <w:rFonts w:ascii="Arial" w:hAnsi="Arial" w:cs="Arial"/>
        </w:rPr>
      </w:pPr>
      <w:r w:rsidRPr="00834BD7">
        <w:rPr>
          <w:rFonts w:ascii="Arial" w:hAnsi="Arial" w:cs="Arial"/>
        </w:rPr>
        <w:t>4: Design and develop a range of tools and resources to aid workforce planning</w:t>
      </w:r>
    </w:p>
    <w:p w14:paraId="14C45551" w14:textId="631DC001" w:rsidR="00577758" w:rsidRPr="00834BD7" w:rsidRDefault="00577758" w:rsidP="00577758">
      <w:pPr>
        <w:spacing w:line="360" w:lineRule="auto"/>
        <w:jc w:val="both"/>
        <w:rPr>
          <w:rFonts w:ascii="Arial" w:hAnsi="Arial" w:cs="Arial"/>
        </w:rPr>
      </w:pPr>
      <w:r w:rsidRPr="00834BD7">
        <w:rPr>
          <w:rFonts w:ascii="Arial" w:hAnsi="Arial" w:cs="Arial"/>
        </w:rPr>
        <w:lastRenderedPageBreak/>
        <w:t xml:space="preserve">In this learning area I propose to critically analyse the way in which I developed my knowledge and understanding of workforce planning and how I led on areas of work to increase the capability of our workforce to aid them in creating workforce plans for their service areas. I plan to use the Borton (1970) model on reflection to aid me in undertaking this reflective piece. Following Driscoll’s (2007) expanded model of experiential learning that was adapted for healthcare and clinical practice I hope to reflect on my learning journey throughout my work. Using this model to answer the key questions of What?, So What? and </w:t>
      </w:r>
      <w:r w:rsidR="00745ACC">
        <w:rPr>
          <w:rFonts w:ascii="Arial" w:hAnsi="Arial" w:cs="Arial"/>
        </w:rPr>
        <w:t>N</w:t>
      </w:r>
      <w:r w:rsidRPr="00834BD7">
        <w:rPr>
          <w:rFonts w:ascii="Arial" w:hAnsi="Arial" w:cs="Arial"/>
        </w:rPr>
        <w:t>ow what? and the actions I intend to take from my new learning.</w:t>
      </w:r>
    </w:p>
    <w:p w14:paraId="4B09D02E" w14:textId="77777777" w:rsidR="00577758" w:rsidRPr="00834BD7" w:rsidRDefault="00577758" w:rsidP="00577758">
      <w:pPr>
        <w:spacing w:line="360" w:lineRule="auto"/>
        <w:jc w:val="both"/>
        <w:rPr>
          <w:rFonts w:ascii="Arial" w:hAnsi="Arial" w:cs="Arial"/>
        </w:rPr>
      </w:pPr>
    </w:p>
    <w:p w14:paraId="36B280D2" w14:textId="77777777" w:rsidR="00577758" w:rsidRPr="00912195" w:rsidRDefault="00577758" w:rsidP="00577758">
      <w:pPr>
        <w:spacing w:line="360" w:lineRule="auto"/>
        <w:jc w:val="both"/>
        <w:rPr>
          <w:rFonts w:ascii="Arial" w:hAnsi="Arial" w:cs="Arial"/>
          <w:b/>
          <w:bCs/>
          <w:u w:val="single"/>
        </w:rPr>
      </w:pPr>
      <w:r w:rsidRPr="00912195">
        <w:rPr>
          <w:rFonts w:ascii="Arial" w:hAnsi="Arial" w:cs="Arial"/>
          <w:b/>
          <w:bCs/>
          <w:u w:val="single"/>
        </w:rPr>
        <w:t xml:space="preserve">Learning outcome 1 : </w:t>
      </w:r>
    </w:p>
    <w:p w14:paraId="7904CCCE"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Research, critically analyse and apply workforce planning methodologies</w:t>
      </w:r>
    </w:p>
    <w:p w14:paraId="4831F6D8" w14:textId="77777777" w:rsidR="00577758" w:rsidRPr="00834BD7" w:rsidRDefault="00577758" w:rsidP="00577758">
      <w:pPr>
        <w:spacing w:line="360" w:lineRule="auto"/>
        <w:jc w:val="both"/>
        <w:rPr>
          <w:rFonts w:ascii="Arial" w:hAnsi="Arial" w:cs="Arial"/>
        </w:rPr>
      </w:pPr>
      <w:r w:rsidRPr="00834BD7">
        <w:rPr>
          <w:rFonts w:ascii="Arial" w:hAnsi="Arial" w:cs="Arial"/>
        </w:rPr>
        <w:t>This learning outcome will cover the beginning of my Annex 21 period in post, covering the pre interview stage from September 2020 to March 2021 where I had begun to analyse and understand the true meaning of the role.</w:t>
      </w:r>
    </w:p>
    <w:p w14:paraId="3FD7879F"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Prior to applying for the role of Workforce Planning Project Manager at HDUHB I had little knowledge of Strategic Workforce Planning. I had been involved in organisational change processes and the realignment of resources in my role as Project Manager whilst working at Dyfed-Powys Police but had received no direct training or qualification in the area. I had worked as a Services Project Manager at Macmillan Cancer Support for 18 months and worked with Health boards (HB) across Wales including HDUHB however this had not involved Strategic Workforce Planning explicitly, to my knowledge at the time. My 12 years’ experience in Dyfed-Powys Police (DPP) covering Carmarthenshire, Ceredigion, Pembrokeshire and Powys and my time within Macmillan Cancer Support working with several HBs led me to apply for this role within Hywel Dda believing my experience and transferable skills from my career to date would be beneficial to the role. Further information relating to my skills and experience can be viewed within my annotated CV (Appendix A). </w:t>
      </w:r>
    </w:p>
    <w:p w14:paraId="4A7ABFB8"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What?</w:t>
      </w:r>
    </w:p>
    <w:p w14:paraId="6219D154"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my initial search on Strategic Workforce Planning on reading the role description, I found very little information, therefore I sought out other opportunities to further aid my understanding of the role. I undertook this through speaking to the Strategic Workforce Planning Manager at HDUHB for more information, researching the HB strategic direction and speaking to other current and past colleagues to get their view before applying. Through researching the strategic direction I was able </w:t>
      </w:r>
      <w:r w:rsidRPr="00834BD7">
        <w:rPr>
          <w:rFonts w:ascii="Arial" w:hAnsi="Arial" w:cs="Arial"/>
        </w:rPr>
        <w:lastRenderedPageBreak/>
        <w:t>to understand that the HB values and strategic direction were aligned to my own and therefore allowed me to be happy with my decision in applying to the organisation. The discussions with friends and colleagues confirmed that others believed this role would align with my skills and experience. This was only the second time that I had contacted an individual to discuss an advertised post and it confirmed for me the importance of having those conversations to confirm if a role is right for you. The conversation allowed me to assess which skills and experience I already had that I could emphasise within the application and what I needed to research further to allow me the best opportunity to progress to interview stage.</w:t>
      </w:r>
    </w:p>
    <w:p w14:paraId="13807B67" w14:textId="0640E7A0" w:rsidR="00577758" w:rsidRPr="00834BD7" w:rsidRDefault="00577758" w:rsidP="00577758">
      <w:pPr>
        <w:spacing w:line="360" w:lineRule="auto"/>
        <w:jc w:val="both"/>
        <w:rPr>
          <w:rFonts w:ascii="Arial" w:hAnsi="Arial" w:cs="Arial"/>
        </w:rPr>
      </w:pPr>
      <w:r w:rsidRPr="00834BD7">
        <w:rPr>
          <w:rFonts w:ascii="Arial" w:hAnsi="Arial" w:cs="Arial"/>
        </w:rPr>
        <w:t>Following submission of my application in September 2020 I received communication that I had been shortlisted for interview. As part of the process I was also to produce a report on the key issues facing HDUHB in relation to workforce planning (</w:t>
      </w:r>
      <w:r w:rsidR="006C75B6" w:rsidRPr="00834BD7">
        <w:rPr>
          <w:rFonts w:ascii="Arial" w:hAnsi="Arial" w:cs="Arial"/>
        </w:rPr>
        <w:t>WFP</w:t>
      </w:r>
      <w:r w:rsidRPr="00834BD7">
        <w:rPr>
          <w:rFonts w:ascii="Arial" w:hAnsi="Arial" w:cs="Arial"/>
        </w:rPr>
        <w:t>) to be submitted within 72 hours of receipt of the email (Appendix B); a 10 minute presentation on a critique of the Six Steps for Health Methodology for Workforce Planning (Appendix C); along with bringing an object or piece of music that reflected my values and character, both to be presented at interview.  Undertaking this work meant that I had to actively research workforce planning methodologies to critique the six steps and undertake an analysis of the HB considering any issues relating to the health sector that may impact the workforce. Having undertaken this research it enabled me to have a foundation of knowledge of the potential issues I may be dealing with in the first few weeks and months in post. Studying the Six Steps allowed me to differentiate this specific workforce planning methodology with other learning I’d previously undertaken and understand the similarities. The Prince 2 methodology had some similarities in the construct which gave me confidence that I would be embarking on a similar and familiar approach. Although I was yet to experience the locational and experiential learning of this methodology, I was now familiar with the information contained within its approach. Through discovering workforce issues that were facing the health sector at the time and expanding to look at the global issues as a result of the Covid-19 pandemic when writing my interview report, looking back this had enabled me to develop and build my knowledge prior to starting in post. On reflection this gave me a good grounding and foundation of the current issues within the new health sector I was entering. Being an ‘outsider’ in the world of health, the research I had undertaken allowed me to relate to my new colleagues and didn’t make me feel as much of an imposter as I may have if I had not undertaken the additional research. Although at the time of undertaking the work it seemed like a large task, I can now see how it contributed to my knowledge of workforce planning and HDUHB prior to securing the role and gave me a foundation to enable me to research and critically analyse workforce planning methodologies.</w:t>
      </w:r>
    </w:p>
    <w:p w14:paraId="430AE9DF" w14:textId="711BC71D" w:rsidR="00577758" w:rsidRPr="00834BD7" w:rsidRDefault="00577758" w:rsidP="00577758">
      <w:pPr>
        <w:spacing w:line="360" w:lineRule="auto"/>
        <w:jc w:val="both"/>
        <w:rPr>
          <w:rFonts w:ascii="Arial" w:hAnsi="Arial" w:cs="Arial"/>
        </w:rPr>
      </w:pPr>
      <w:r w:rsidRPr="00834BD7">
        <w:rPr>
          <w:rFonts w:ascii="Arial" w:hAnsi="Arial" w:cs="Arial"/>
        </w:rPr>
        <w:lastRenderedPageBreak/>
        <w:t xml:space="preserve">After being successful in the recruitment process for the post and prior to starting in my role, my manager asked me to complete a Workforce Planning Capability Assessment Matrix (WPCAM) specifically designed by Health Education and Improvement Wales (HEIW). The matrix is used as a benchmarking tool to gauge individuals or team capabilities across 8 different </w:t>
      </w:r>
      <w:r w:rsidR="006C75B6" w:rsidRPr="00834BD7">
        <w:rPr>
          <w:rFonts w:ascii="Arial" w:hAnsi="Arial" w:cs="Arial"/>
        </w:rPr>
        <w:t>WFP</w:t>
      </w:r>
      <w:r w:rsidRPr="00834BD7">
        <w:rPr>
          <w:rFonts w:ascii="Arial" w:hAnsi="Arial" w:cs="Arial"/>
        </w:rPr>
        <w:t xml:space="preserve"> areas. At the time of undertaking the assessment, I had no </w:t>
      </w:r>
      <w:r w:rsidR="006C75B6" w:rsidRPr="00834BD7">
        <w:rPr>
          <w:rFonts w:ascii="Arial" w:hAnsi="Arial" w:cs="Arial"/>
        </w:rPr>
        <w:t>WFP</w:t>
      </w:r>
      <w:r w:rsidRPr="00834BD7">
        <w:rPr>
          <w:rFonts w:ascii="Arial" w:hAnsi="Arial" w:cs="Arial"/>
        </w:rPr>
        <w:t xml:space="preserve"> experience and was wholly reliant on my previous experiences and knowledge to gauge where I would place myself, not understanding the terminology. I was also unsure of the reason of undertaking the assessment. However throughout the year, we would refer to the capability matrix, critique its usefulness, language used and how it could be used for the wider organisation to assess teams, services and directorates to enable training plans to be put in place. We also re-assessed ourselves at the end of the Annex 21 period to enable us to see our individual progression across the year and aid in addressing areas that needed further understanding to help develop individual action and learning plans. From my initial assessment, Integrated </w:t>
      </w:r>
      <w:r w:rsidR="006C75B6" w:rsidRPr="00834BD7">
        <w:rPr>
          <w:rFonts w:ascii="Arial" w:hAnsi="Arial" w:cs="Arial"/>
        </w:rPr>
        <w:t>WFP</w:t>
      </w:r>
      <w:r w:rsidRPr="00834BD7">
        <w:rPr>
          <w:rFonts w:ascii="Arial" w:hAnsi="Arial" w:cs="Arial"/>
        </w:rPr>
        <w:t xml:space="preserve"> skills and Governance &amp; Quality assurance were my lowest scores (Appendix D). Therefore in conversation with my manager, my focus on starting the post was to research and develop an understanding of these areas within my new HB surroundings.</w:t>
      </w:r>
    </w:p>
    <w:p w14:paraId="14BAE67B"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Prior to starting in post I had the geographical understanding of the HB area and some NHS experience from my role in Macmillan Cancer Support however this was focused on the oncology workforce only. My challenge in commencing as a Workforce planning project manager was to quickly become acclimatised with the whole HB and it’s range of services and workforce complexities. </w:t>
      </w:r>
    </w:p>
    <w:p w14:paraId="6128C7AF" w14:textId="0647DDE7" w:rsidR="00577758" w:rsidRPr="00834BD7" w:rsidRDefault="00577758" w:rsidP="00577758">
      <w:pPr>
        <w:spacing w:line="360" w:lineRule="auto"/>
        <w:jc w:val="both"/>
        <w:rPr>
          <w:rFonts w:ascii="Arial" w:hAnsi="Arial" w:cs="Arial"/>
        </w:rPr>
      </w:pPr>
      <w:r w:rsidRPr="00834BD7">
        <w:rPr>
          <w:rFonts w:ascii="Arial" w:hAnsi="Arial" w:cs="Arial"/>
        </w:rPr>
        <w:t xml:space="preserve">My initial introduction to the HB was through my new colleagues, who themselves had decades of NHS experience between them. My manager had a wealth of </w:t>
      </w:r>
      <w:r w:rsidR="006C75B6" w:rsidRPr="00834BD7">
        <w:rPr>
          <w:rFonts w:ascii="Arial" w:hAnsi="Arial" w:cs="Arial"/>
        </w:rPr>
        <w:t>WFP</w:t>
      </w:r>
      <w:r w:rsidRPr="00834BD7">
        <w:rPr>
          <w:rFonts w:ascii="Arial" w:hAnsi="Arial" w:cs="Arial"/>
        </w:rPr>
        <w:t xml:space="preserve"> experience, both within the NHS and within the private sector therefore had a good understanding of different perspectives. Through observing her in meetings with the team, wider workforce colleagues and the wider service leads, Executive directors both clinical and non-clinical I was able to learn about the differing hierarchical and flat structures across the HB and how </w:t>
      </w:r>
      <w:r w:rsidR="006C75B6" w:rsidRPr="00834BD7">
        <w:rPr>
          <w:rFonts w:ascii="Arial" w:hAnsi="Arial" w:cs="Arial"/>
        </w:rPr>
        <w:t>WFP</w:t>
      </w:r>
      <w:r w:rsidRPr="00834BD7">
        <w:rPr>
          <w:rFonts w:ascii="Arial" w:hAnsi="Arial" w:cs="Arial"/>
        </w:rPr>
        <w:t xml:space="preserve"> knowledge was, at the time, in its infancy. Through exposure to these different meetings I could begin to build relationships with the key stakeholders and develop my future role in helping them to understand and apply </w:t>
      </w:r>
      <w:r w:rsidR="006C75B6" w:rsidRPr="00834BD7">
        <w:rPr>
          <w:rFonts w:ascii="Arial" w:hAnsi="Arial" w:cs="Arial"/>
        </w:rPr>
        <w:t>WFP</w:t>
      </w:r>
      <w:r w:rsidRPr="00834BD7">
        <w:rPr>
          <w:rFonts w:ascii="Arial" w:hAnsi="Arial" w:cs="Arial"/>
        </w:rPr>
        <w:t xml:space="preserve"> in their specific areas.</w:t>
      </w:r>
    </w:p>
    <w:p w14:paraId="74817DF5"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My clinical understanding was extremely limited on entering the role but over the year this knowledge grew immensely through the influence of my new colleague who had a background in working within theatres in the HB. I was guided by her expertise initially and over the year was able to contribute and have a much greater understanding when speaking to clinicians about the </w:t>
      </w:r>
      <w:r w:rsidRPr="00834BD7">
        <w:rPr>
          <w:rFonts w:ascii="Arial" w:hAnsi="Arial" w:cs="Arial"/>
        </w:rPr>
        <w:lastRenderedPageBreak/>
        <w:t xml:space="preserve">challenges they face within their services. Creating a glossary of terms for myself has aided me in understanding the various terms and acronyms used across the HB and having a colleague whom I can ask for explanations pre, and post meetings has allowed me to be more credible in my role. Although no one expected me to know or understand their world, having some basic knowledge has given me extra confidence and allowed me to be more prepared when meeting with services. </w:t>
      </w:r>
    </w:p>
    <w:p w14:paraId="26CA03BC"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Being the completely new person to the NHS was a daunting initial experience but the support of my colleagues and their openness to share information was extremely comforting and encouraging as they recognised that I could bring a different perspective to the team. </w:t>
      </w:r>
    </w:p>
    <w:p w14:paraId="2EFE1425" w14:textId="70D5314E" w:rsidR="00577758" w:rsidRPr="00834BD7" w:rsidRDefault="00577758" w:rsidP="00577758">
      <w:pPr>
        <w:spacing w:line="360" w:lineRule="auto"/>
        <w:jc w:val="both"/>
        <w:rPr>
          <w:rFonts w:ascii="Arial" w:hAnsi="Arial" w:cs="Arial"/>
        </w:rPr>
      </w:pPr>
      <w:r w:rsidRPr="00834BD7">
        <w:rPr>
          <w:rFonts w:ascii="Arial" w:hAnsi="Arial" w:cs="Arial"/>
        </w:rPr>
        <w:t xml:space="preserve">The first few weeks in post were spent with the four of us beginning to understand our role which for me meant focusing on the data element of </w:t>
      </w:r>
      <w:r w:rsidR="006C75B6" w:rsidRPr="00834BD7">
        <w:rPr>
          <w:rFonts w:ascii="Arial" w:hAnsi="Arial" w:cs="Arial"/>
        </w:rPr>
        <w:t>WFP</w:t>
      </w:r>
      <w:r w:rsidRPr="00834BD7">
        <w:rPr>
          <w:rFonts w:ascii="Arial" w:hAnsi="Arial" w:cs="Arial"/>
        </w:rPr>
        <w:t xml:space="preserve">. I spent time with colleagues within the Workforce Utilisation team being trained on how to use and critically analyse the Electronic Staff Record (ESR) system. The system houses all staff data and allows specific roles to gain access to create reports, export and analyse data. My initial task was to understand how this information was relevant and what I could glean from the data to truly understand what the HB workforce looked like. The time spent with the team allowed me to learn about the complexities of the organisation, the financial, hierarchical and role structure to enable me to begin analysing the data for </w:t>
      </w:r>
      <w:r w:rsidR="006C75B6" w:rsidRPr="00834BD7">
        <w:rPr>
          <w:rFonts w:ascii="Arial" w:hAnsi="Arial" w:cs="Arial"/>
        </w:rPr>
        <w:t>WFP</w:t>
      </w:r>
      <w:r w:rsidRPr="00834BD7">
        <w:rPr>
          <w:rFonts w:ascii="Arial" w:hAnsi="Arial" w:cs="Arial"/>
        </w:rPr>
        <w:t xml:space="preserve">. Reflecting on that initial period, although I gained a good understanding of the HB structure, in hindsight I would have spent more time with the team gaining a more detailed understanding of the differing elements of the reports and what they used them for. Over time I have achieved this understanding but being new in post I didn’t want to impose on people’s time and therefore may have extended the period it took for me to learn the systems. On reflecting on this learning I have been able to identify ways in which I would make future learning opportunities more effective. These would include asking more questions when I am being taught to use a system and not being reluctant to go back and ask for further support or training when opportunities to learn from individuals have been provided.  </w:t>
      </w:r>
    </w:p>
    <w:p w14:paraId="6457A8E7"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Once my initial induction in the role was complete, I was introduced to the Integrated Medium-Term Plan (IMTP). This document is an Annual plan submitted to Welsh Government (WG) to detail what has been undertaken in the organisation and the HB intention for the coming 3 years. As part of the document a Workforce technical document is also submitted detailing the workforce baseline of the organisation at the time of submitting; the education and commissioning requirements submitted for future years; along with highlighting known workforce risks and proposed mitigations to enable the plan to be enacted over the coming years. </w:t>
      </w:r>
    </w:p>
    <w:p w14:paraId="11F7A17A" w14:textId="5E54C132" w:rsidR="00577758" w:rsidRPr="00834BD7" w:rsidRDefault="00577758" w:rsidP="00577758">
      <w:pPr>
        <w:spacing w:line="360" w:lineRule="auto"/>
        <w:jc w:val="both"/>
        <w:rPr>
          <w:rFonts w:ascii="Arial" w:hAnsi="Arial" w:cs="Arial"/>
        </w:rPr>
      </w:pPr>
      <w:r w:rsidRPr="00834BD7">
        <w:rPr>
          <w:rFonts w:ascii="Arial" w:hAnsi="Arial" w:cs="Arial"/>
        </w:rPr>
        <w:lastRenderedPageBreak/>
        <w:t xml:space="preserve">Being new in post I was given the previous </w:t>
      </w:r>
      <w:r w:rsidR="009816C5" w:rsidRPr="00834BD7">
        <w:rPr>
          <w:rFonts w:ascii="Arial" w:hAnsi="Arial" w:cs="Arial"/>
        </w:rPr>
        <w:t>year’s</w:t>
      </w:r>
      <w:r w:rsidRPr="00834BD7">
        <w:rPr>
          <w:rFonts w:ascii="Arial" w:hAnsi="Arial" w:cs="Arial"/>
        </w:rPr>
        <w:t xml:space="preserve"> submission as a basis to work from and the sections within were divided between the team. The document was over 100 pages and there was a deadline of end of March for submission to WG with internal ratification required, therefore as a team we had approximately 6 weeks to gather all the information required and write the document to submit to board for ratification. My basic knowledge of ESR was now tested as I had to now produce correct and legible data in simple tables to enable any reader to understand the information. I drew on the relationships that I had built with my manager and colleagues in workforce utilisation to extract the initial information. We had bi weekly meetings to ensure we were on track and to discuss issues arising and to enable us to share information gathered. Highlighting the workforce risks meant that we had to engage with the services to understand their current pressures and look to mitigate these. On collating the data I was able to critically analyse and raise areas of concern where there were high vacancies, or the age profile of the service meant that there needed to be robust succession planning in place to prevent the service becoming fragile (Appendix E).</w:t>
      </w:r>
    </w:p>
    <w:p w14:paraId="63FA8CF3"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undertaking the IMTP process at the beginning of my employment with HDUHB it enabled me to get a firm grasp of the big issues facing the HB and where our focus as a team may need to be, to aid in developing workforce plans. It enabled us as a team to work together closely and build our relationships quickly to allow us to communicate well and share information we had gathered. </w:t>
      </w:r>
    </w:p>
    <w:p w14:paraId="1DFE38FF" w14:textId="77777777" w:rsidR="00577758" w:rsidRPr="00834BD7" w:rsidRDefault="00577758" w:rsidP="00577758">
      <w:pPr>
        <w:spacing w:line="360" w:lineRule="auto"/>
        <w:jc w:val="both"/>
        <w:rPr>
          <w:rFonts w:ascii="Arial" w:hAnsi="Arial" w:cs="Arial"/>
        </w:rPr>
      </w:pPr>
      <w:r w:rsidRPr="00834BD7">
        <w:rPr>
          <w:rFonts w:ascii="Arial" w:hAnsi="Arial" w:cs="Arial"/>
        </w:rPr>
        <w:t>For the first few months in post we were working mostly from home and were only face to face once a week. Therefore I learnt quickly how to utilise Microsoft Teams well to enable sharing of information and documents. In my previous role in Macmillan I had begun to utilise Teams as we began working from home during the pandemic therefore, I had some prior knowledge on its capability. However working in this new environment with a new team I was able to learn and share my knowledge to utilise the Teams channel functionality to share word documents to enable simultaneous editing of the document. This also enabled us as a team to work truly agile as we could access the same information independently knowing it was the latest version and call each other to allow us to build our team dynamic. This also meant our weekly face to face team sessions made us more focused on the combined learning we needed.</w:t>
      </w:r>
    </w:p>
    <w:p w14:paraId="3CDD45A2"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Creating a workforce technical document within 3 months of being in post was a large ask but it forced us to become immersed in the organisation which for me garnered my learning and allowed me to begin to really understand the HB dynamic. In submerging myself within the data I was able to learn the financial cost code structure of the HB allowing me to identify and build my knowledge </w:t>
      </w:r>
      <w:r w:rsidRPr="00834BD7">
        <w:rPr>
          <w:rFonts w:ascii="Arial" w:hAnsi="Arial" w:cs="Arial"/>
        </w:rPr>
        <w:lastRenderedPageBreak/>
        <w:t xml:space="preserve">of all the different directorates that sit within HDUHB and the key roles and individuals across these areas who I would need to build relationships with. </w:t>
      </w:r>
    </w:p>
    <w:p w14:paraId="0FC53E22" w14:textId="77777777" w:rsidR="00577758" w:rsidRPr="00834BD7" w:rsidRDefault="00577758" w:rsidP="00577758">
      <w:pPr>
        <w:spacing w:line="360" w:lineRule="auto"/>
        <w:jc w:val="both"/>
        <w:rPr>
          <w:rFonts w:ascii="Arial" w:hAnsi="Arial" w:cs="Arial"/>
        </w:rPr>
      </w:pPr>
      <w:r w:rsidRPr="00834BD7">
        <w:rPr>
          <w:rFonts w:ascii="Arial" w:hAnsi="Arial" w:cs="Arial"/>
        </w:rPr>
        <w:t>Reproducing data for the document gave me insights into how the data could be utilised more effectively and allowed me to begin to put additional analysis in place to gather further information to inform the workforce baseline of the HB. From undertaking this piece of work I could now understand the information, critically analyse the data and help inform next steps for services. The process also gave me critical friends that I could call on from wider teams to check my findings and to test hypothesis with. The process allowed me to build my confidence within my role as data specialist for the team and put steps in place to enhance my learning across the remainder of the year.</w:t>
      </w:r>
    </w:p>
    <w:p w14:paraId="1CED4F82" w14:textId="77777777" w:rsidR="00577758" w:rsidRPr="00834BD7" w:rsidRDefault="00577758" w:rsidP="00577758">
      <w:pPr>
        <w:spacing w:line="360" w:lineRule="auto"/>
        <w:jc w:val="both"/>
        <w:rPr>
          <w:rFonts w:ascii="Arial" w:hAnsi="Arial" w:cs="Arial"/>
        </w:rPr>
      </w:pPr>
      <w:r w:rsidRPr="00834BD7">
        <w:rPr>
          <w:rFonts w:ascii="Arial" w:hAnsi="Arial" w:cs="Arial"/>
        </w:rPr>
        <w:t>Following the IMTP process, WG also ask all HBs to produce a Minimum Data Set (MDS), which is a data document in the form of an Excel template with current and projected data for both workforce, service demand and finance. As the Data solutions arm of the team, submitting the workforce element of the MDS was part of my role, aided by my manager who had previously undertaken the process. The creation of the technical document for the IMTP had given me a good baseline to understand the HB data, which I now had to use to project the expected workforce for the next 3 years. Having worked with Excel within previous roles I was comfortable in dealing with the task at its core but now had to expand on my skills within Excel and my knowledge of the subject to enable me to articulate the data that was needed. I discussed with my manager how the data had previously been calculated to gain an understanding and gathered additional intelligence from ESR reports to allow me to look back at past years information to enable the projected figures. Through utilising the help functionality within Excel and researching methods of projecting and analysing data I learnt to analyse the past data to look for trends. With the known additionality from education &amp; commissioning numbers for the different professional groups I could calculate the projected forecast for the workforce. Submitting the MDS (Appendix F) enhanced my critical analysis of workforce data and allowed me to explore and enhance my excel skills in the process. As the MDS was a quarterly submission, I was able to build on my knowledge and create a spreadsheet that would enable me to add and refine the data for each submission (Appendix G). This also enabled me to gain further insights into the Strategic position of the HB and forge new relationships with the heads of Planning and Senior finance business partners to ensure that there was triangulation between workforce, service and finance data. This has been an iterative process across the last 4 years and each submission is further refined creating more accurate data projections.</w:t>
      </w:r>
    </w:p>
    <w:p w14:paraId="18387DB8" w14:textId="37C54D53" w:rsidR="00577758" w:rsidRPr="00CC3CA2" w:rsidRDefault="00577758" w:rsidP="00577758">
      <w:pPr>
        <w:spacing w:line="360" w:lineRule="auto"/>
        <w:jc w:val="both"/>
        <w:rPr>
          <w:rFonts w:ascii="Arial" w:hAnsi="Arial" w:cs="Arial"/>
        </w:rPr>
      </w:pPr>
      <w:r w:rsidRPr="00834BD7">
        <w:rPr>
          <w:rFonts w:ascii="Arial" w:hAnsi="Arial" w:cs="Arial"/>
        </w:rPr>
        <w:lastRenderedPageBreak/>
        <w:t>In reflecting on the initial MDS submission and the work I undertook to enable me to submit the document I am surprised that I was able to produce this information when I had only been in post less than 4 months. I can see flaws in the work which I have since refined over the subsequent quarterly submissions but am proud of that initial submission and how far I have come. As Kolb (1984:38) explained</w:t>
      </w:r>
      <w:r w:rsidR="00CC3CA2">
        <w:rPr>
          <w:rFonts w:ascii="Arial" w:hAnsi="Arial" w:cs="Arial"/>
        </w:rPr>
        <w:t xml:space="preserve"> </w:t>
      </w:r>
      <w:r w:rsidRPr="00834BD7">
        <w:rPr>
          <w:rFonts w:ascii="Arial" w:hAnsi="Arial" w:cs="Arial"/>
          <w:i/>
          <w:iCs/>
        </w:rPr>
        <w:t xml:space="preserve">“Learning is the process whereby knowledge is created through the </w:t>
      </w:r>
      <w:r w:rsidR="00CC3CA2">
        <w:rPr>
          <w:rFonts w:ascii="Arial" w:hAnsi="Arial" w:cs="Arial"/>
          <w:i/>
          <w:iCs/>
        </w:rPr>
        <w:t xml:space="preserve"> </w:t>
      </w:r>
      <w:r w:rsidRPr="00834BD7">
        <w:rPr>
          <w:rFonts w:ascii="Arial" w:hAnsi="Arial" w:cs="Arial"/>
          <w:i/>
          <w:iCs/>
        </w:rPr>
        <w:t xml:space="preserve">transformation of experience”. </w:t>
      </w:r>
    </w:p>
    <w:p w14:paraId="4A3BBE74" w14:textId="77777777" w:rsidR="00577758" w:rsidRPr="00834BD7" w:rsidRDefault="00577758" w:rsidP="00577758">
      <w:pPr>
        <w:spacing w:line="360" w:lineRule="auto"/>
        <w:jc w:val="both"/>
        <w:rPr>
          <w:rFonts w:ascii="Arial" w:hAnsi="Arial" w:cs="Arial"/>
        </w:rPr>
      </w:pPr>
      <w:r w:rsidRPr="00834BD7">
        <w:rPr>
          <w:rFonts w:ascii="Arial" w:hAnsi="Arial" w:cs="Arial"/>
        </w:rPr>
        <w:t>Through my refined quarterly submissions I can see how my skills and level of knowledge within the workforce data has grown. I am now able to look at wider influences on our workforce projections, incorporating service intelligence and population health along with wider determinants of health to refine our projections which has come from learnt and experiential learning through research and critical analysis of the available data.</w:t>
      </w:r>
    </w:p>
    <w:p w14:paraId="1ADE4C2C" w14:textId="6A9A6743" w:rsidR="00577758" w:rsidRPr="00D609E0" w:rsidRDefault="00577758" w:rsidP="00577758">
      <w:pPr>
        <w:spacing w:line="360" w:lineRule="auto"/>
        <w:jc w:val="both"/>
        <w:rPr>
          <w:rFonts w:ascii="Arial" w:hAnsi="Arial" w:cs="Arial"/>
        </w:rPr>
      </w:pPr>
      <w:r w:rsidRPr="00834BD7">
        <w:rPr>
          <w:rFonts w:ascii="Arial" w:hAnsi="Arial" w:cs="Arial"/>
        </w:rPr>
        <w:t>To enable our newly established team to embed itself within the wider HB, my manager constructed a team route map for the 12-month Annex 21 process to enable us as a team and as individuals to grow our interpersonal relationships as well as our collective position as a Workforce Planning team. Part of this process was setting quarterly team development days with milestones for each quarter for our development. After submission of the IMTP we came together for our first team session in March 2021 to discover more about each other and our future direction as a team. As Senge (1990) stated and our manager wanted us to explore, the focus was on our own personal mastery and</w:t>
      </w:r>
      <w:r w:rsidR="00D609E0">
        <w:rPr>
          <w:rFonts w:ascii="Arial" w:hAnsi="Arial" w:cs="Arial"/>
        </w:rPr>
        <w:t xml:space="preserve">  </w:t>
      </w:r>
      <w:r w:rsidRPr="00834BD7">
        <w:rPr>
          <w:rFonts w:ascii="Arial" w:hAnsi="Arial" w:cs="Arial"/>
          <w:i/>
          <w:iCs/>
        </w:rPr>
        <w:t xml:space="preserve">“The ability to continually clarify what is important to us and learn how to see reality </w:t>
      </w:r>
      <w:r w:rsidR="00D609E0">
        <w:rPr>
          <w:rFonts w:ascii="Arial" w:hAnsi="Arial" w:cs="Arial"/>
          <w:i/>
          <w:iCs/>
        </w:rPr>
        <w:t xml:space="preserve">  </w:t>
      </w:r>
      <w:r w:rsidRPr="00834BD7">
        <w:rPr>
          <w:rFonts w:ascii="Arial" w:hAnsi="Arial" w:cs="Arial"/>
          <w:i/>
          <w:iCs/>
        </w:rPr>
        <w:t>more clearly…expanding their ability to create the results in their life they truly seek.”</w:t>
      </w:r>
    </w:p>
    <w:p w14:paraId="5D1D013C" w14:textId="302D7F7A" w:rsidR="00577758" w:rsidRPr="00834BD7" w:rsidRDefault="00577758" w:rsidP="00577758">
      <w:pPr>
        <w:spacing w:line="360" w:lineRule="auto"/>
        <w:jc w:val="both"/>
        <w:rPr>
          <w:rFonts w:ascii="Arial" w:hAnsi="Arial" w:cs="Arial"/>
        </w:rPr>
      </w:pPr>
      <w:r w:rsidRPr="00834BD7">
        <w:rPr>
          <w:rFonts w:ascii="Arial" w:hAnsi="Arial" w:cs="Arial"/>
        </w:rPr>
        <w:t xml:space="preserve">Within this session (Appendix H) we explored our own history, sharing our individual stories and how we had come to this role delving into both the personal and professional. Within her book </w:t>
      </w:r>
      <w:r w:rsidRPr="00834BD7">
        <w:rPr>
          <w:rFonts w:ascii="Arial" w:hAnsi="Arial" w:cs="Arial"/>
          <w:i/>
          <w:iCs/>
        </w:rPr>
        <w:t>Feeling Power: Emotions and education</w:t>
      </w:r>
      <w:r w:rsidRPr="00834BD7">
        <w:rPr>
          <w:rFonts w:ascii="Arial" w:hAnsi="Arial" w:cs="Arial"/>
        </w:rPr>
        <w:t>, Boler (1999) critiques the politics of emotions in learning stating that ‘to address emotions is risky business’ (</w:t>
      </w:r>
      <w:r w:rsidR="000C006B">
        <w:rPr>
          <w:rFonts w:ascii="Arial" w:hAnsi="Arial" w:cs="Arial"/>
        </w:rPr>
        <w:t>p.</w:t>
      </w:r>
      <w:r w:rsidRPr="00834BD7">
        <w:rPr>
          <w:rFonts w:ascii="Arial" w:hAnsi="Arial" w:cs="Arial"/>
        </w:rPr>
        <w:t xml:space="preserve">109). However by undertaking this exercise I was able to reflect across my own life to date and see how far I have come personally, and it also enabled me and my colleagues to break down any potential barriers or Unconscious Biases we may have held about each other. Having the opportunity to get to know each other on a personal level with all the emotions that brought, allowed us to form a closer bond quickly, which enabled the team to work more effectively. </w:t>
      </w:r>
    </w:p>
    <w:p w14:paraId="7610B0E8" w14:textId="1827BD6F" w:rsidR="00577758" w:rsidRPr="00834BD7" w:rsidRDefault="00577758" w:rsidP="00577758">
      <w:pPr>
        <w:spacing w:line="360" w:lineRule="auto"/>
        <w:jc w:val="both"/>
        <w:rPr>
          <w:rFonts w:ascii="Arial" w:hAnsi="Arial" w:cs="Arial"/>
        </w:rPr>
      </w:pPr>
      <w:r w:rsidRPr="00834BD7">
        <w:rPr>
          <w:rFonts w:ascii="Arial" w:hAnsi="Arial" w:cs="Arial"/>
        </w:rPr>
        <w:t xml:space="preserve">We also relooked at the individual WPCAMs we had submitted prior to starting and scored ourselves as a team. This is an exercise we have undertaken 2 to 3 times a year since to measure our progress and development against the assessment matrix and to set team actions. As the team developed, we scored ourselves not only as a team but how we worked with our wider workforce </w:t>
      </w:r>
      <w:r w:rsidRPr="00834BD7">
        <w:rPr>
          <w:rFonts w:ascii="Arial" w:hAnsi="Arial" w:cs="Arial"/>
        </w:rPr>
        <w:lastRenderedPageBreak/>
        <w:t xml:space="preserve">directorate and with our service and corporate colleagues. These additional scores have allowed us to focus our actions against certain areas e.g. communication, role clarity and how these have developed both positively and negatively across time with different areas of the HB (Appendix I). This has also enabled me to assess how I am developing and whether I am contributing well to the overall team goal of building the capability and capacity of </w:t>
      </w:r>
      <w:r w:rsidR="009816C5" w:rsidRPr="00834BD7">
        <w:rPr>
          <w:rFonts w:ascii="Arial" w:hAnsi="Arial" w:cs="Arial"/>
        </w:rPr>
        <w:t>WFP</w:t>
      </w:r>
      <w:r w:rsidRPr="00834BD7">
        <w:rPr>
          <w:rFonts w:ascii="Arial" w:hAnsi="Arial" w:cs="Arial"/>
        </w:rPr>
        <w:t xml:space="preserve">. </w:t>
      </w:r>
    </w:p>
    <w:p w14:paraId="795FB6A7" w14:textId="25D11D93" w:rsidR="00577758" w:rsidRPr="00834BD7" w:rsidRDefault="00577758" w:rsidP="00577758">
      <w:pPr>
        <w:spacing w:line="360" w:lineRule="auto"/>
        <w:jc w:val="both"/>
        <w:rPr>
          <w:rFonts w:ascii="Arial" w:hAnsi="Arial" w:cs="Arial"/>
        </w:rPr>
      </w:pPr>
      <w:r w:rsidRPr="00834BD7">
        <w:rPr>
          <w:rFonts w:ascii="Arial" w:hAnsi="Arial" w:cs="Arial"/>
        </w:rPr>
        <w:t xml:space="preserve">Within these sessions I also learned about reflective practice, action learning sets and learning styles which have enabled me to grow as an individual and advance and adapt my communication style with others as I work with them to apply workforce planning to get the best out of the process. On reflection on my first year in post I have learned two key things which I hope to continue to take forward on my own learning journey. The importance of reflecting and growing as an individual through different means, be it individual research and analysis or experiential learning to help myself grow as Bolton </w:t>
      </w:r>
      <w:r w:rsidR="00D13FE2">
        <w:rPr>
          <w:rFonts w:ascii="Arial" w:hAnsi="Arial" w:cs="Arial"/>
        </w:rPr>
        <w:t xml:space="preserve">(2010) </w:t>
      </w:r>
      <w:r w:rsidRPr="00834BD7">
        <w:rPr>
          <w:rFonts w:ascii="Arial" w:hAnsi="Arial" w:cs="Arial"/>
        </w:rPr>
        <w:t>stated ‘</w:t>
      </w:r>
      <w:r w:rsidRPr="00986084">
        <w:rPr>
          <w:rFonts w:ascii="Arial" w:hAnsi="Arial" w:cs="Arial"/>
          <w:i/>
          <w:iCs/>
        </w:rPr>
        <w:t xml:space="preserve">Reflective practice can enable us to be authorities over our own lives’ </w:t>
      </w:r>
      <w:r w:rsidRPr="00834BD7">
        <w:rPr>
          <w:rFonts w:ascii="Arial" w:hAnsi="Arial" w:cs="Arial"/>
        </w:rPr>
        <w:t>(</w:t>
      </w:r>
      <w:r w:rsidR="00986084">
        <w:rPr>
          <w:rFonts w:ascii="Arial" w:hAnsi="Arial" w:cs="Arial"/>
        </w:rPr>
        <w:t>p.</w:t>
      </w:r>
      <w:r w:rsidRPr="00834BD7">
        <w:rPr>
          <w:rFonts w:ascii="Arial" w:hAnsi="Arial" w:cs="Arial"/>
        </w:rPr>
        <w:t>254).</w:t>
      </w:r>
    </w:p>
    <w:p w14:paraId="67EF26F7" w14:textId="77777777" w:rsidR="00577758" w:rsidRPr="00834BD7" w:rsidRDefault="00577758" w:rsidP="00577758">
      <w:pPr>
        <w:spacing w:line="360" w:lineRule="auto"/>
        <w:jc w:val="both"/>
        <w:rPr>
          <w:rFonts w:ascii="Arial" w:hAnsi="Arial" w:cs="Arial"/>
        </w:rPr>
      </w:pPr>
      <w:r w:rsidRPr="00834BD7">
        <w:rPr>
          <w:rFonts w:ascii="Arial" w:hAnsi="Arial" w:cs="Arial"/>
        </w:rPr>
        <w:t>The second key learning is the importance of having experiences from individuals who can teach you to be an effective and compassionate leader, either by being able to lead by their example or learn from their inability to practice these traits.</w:t>
      </w:r>
    </w:p>
    <w:p w14:paraId="5CB6CD23"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addition to the support of my colleagues and experiential learning, as part of my individual and the team route map we undertook specific Workforce planning training. I attended a 3-day Six Steps Workforce Planning training session facilitated by Skills for Health (appendix J) with a mixed cohort of individuals from HBs across Wales. These sessions provided in depth knowledge from the creators of the training of the methodology with detailed examples of where it had been put in practice along with guidance and tips on potential barriers, I would face in implementing the methodology in practice within the Health sector. Having had limited practical experience of undertaking workforce planning at the time of doing the training it was useful to receive guidance and information around implementing the six steps as well as an opportunity to ask candid questions on the reality of using the methodology from facilitators who were experts in their field. </w:t>
      </w:r>
    </w:p>
    <w:p w14:paraId="6BE897C5"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 </w:t>
      </w:r>
      <w:r w:rsidRPr="00912195">
        <w:rPr>
          <w:rFonts w:ascii="Arial" w:hAnsi="Arial" w:cs="Arial"/>
        </w:rPr>
        <w:t>also undertook a further training session on Competency based workforce planning training (appendix K) from</w:t>
      </w:r>
      <w:r w:rsidRPr="00834BD7">
        <w:rPr>
          <w:rFonts w:ascii="Arial" w:hAnsi="Arial" w:cs="Arial"/>
        </w:rPr>
        <w:t xml:space="preserve"> the same Skills for Health facilitators later in the year giving me additional tools to use when creating a workforce plan with individuals.  As this training had happened post creation of the IMTP document my initial thoughts were that we should have received the training prior to engaging with any individuals to understand the process. However, after receiving the training and understanding the complexities of WFP in the NHS, I realised that the organisation had a long journey ahead to fully implement Workforce Planning. Having engaged with some service leads, </w:t>
      </w:r>
      <w:r w:rsidRPr="00834BD7">
        <w:rPr>
          <w:rFonts w:ascii="Arial" w:hAnsi="Arial" w:cs="Arial"/>
        </w:rPr>
        <w:lastRenderedPageBreak/>
        <w:t>workforce &amp; OD, and corporate planning and finance colleagues throughout the IMTP process it enabled me to learn about the organisation without imposing a set direction through the Six steps framework. I was able to view the HB as it was, with all its imperfections, without being prescriptive about what I needed to understand or learn. Having then had the knowledge of the Six steps training (appendix J) and additional resources I was able to begin to apply the framework based on my initial understanding of the services.</w:t>
      </w:r>
    </w:p>
    <w:p w14:paraId="55135B86" w14:textId="77777777" w:rsidR="00577758" w:rsidRPr="00834BD7" w:rsidRDefault="00577758" w:rsidP="00577758">
      <w:pPr>
        <w:spacing w:line="360" w:lineRule="auto"/>
        <w:jc w:val="both"/>
        <w:rPr>
          <w:rFonts w:ascii="Arial" w:hAnsi="Arial" w:cs="Arial"/>
        </w:rPr>
      </w:pPr>
      <w:r w:rsidRPr="00834BD7">
        <w:rPr>
          <w:rFonts w:ascii="Arial" w:hAnsi="Arial" w:cs="Arial"/>
        </w:rPr>
        <w:t>In reflecting on my learning from the pre interview stage and initial few months in post using Borton’s (1970) ‘So What?’, ‘Now what?’ I can note a few key areas of learning.</w:t>
      </w:r>
    </w:p>
    <w:p w14:paraId="62AB005D"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So What?</w:t>
      </w:r>
    </w:p>
    <w:p w14:paraId="5539E413" w14:textId="6C214E5B" w:rsidR="00577758" w:rsidRPr="00834BD7" w:rsidRDefault="00577758" w:rsidP="00577758">
      <w:pPr>
        <w:spacing w:line="360" w:lineRule="auto"/>
        <w:jc w:val="both"/>
        <w:rPr>
          <w:rFonts w:ascii="Arial" w:hAnsi="Arial" w:cs="Arial"/>
        </w:rPr>
      </w:pPr>
      <w:r w:rsidRPr="00834BD7">
        <w:rPr>
          <w:rFonts w:ascii="Arial" w:hAnsi="Arial" w:cs="Arial"/>
        </w:rPr>
        <w:t>As a result of researching and analysing workforce planning methodologies, particularly the S</w:t>
      </w:r>
      <w:r w:rsidR="00B0144B">
        <w:rPr>
          <w:rFonts w:ascii="Arial" w:hAnsi="Arial" w:cs="Arial"/>
        </w:rPr>
        <w:t>i</w:t>
      </w:r>
      <w:r w:rsidRPr="00834BD7">
        <w:rPr>
          <w:rFonts w:ascii="Arial" w:hAnsi="Arial" w:cs="Arial"/>
        </w:rPr>
        <w:t>x Steps (Skills for Health, 2014) approach,  I felt increasingly grounded in my new role. Having spent time being trained by experts who developed the Six step methodology and through hands-on experience developing a workforce technical document, I grew in both confidence and competence.</w:t>
      </w:r>
    </w:p>
    <w:p w14:paraId="28EF8326"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Developing relationships with my new team members, who were also navigating a brand-new role, proved immensely valuable. It was comforting to know that others were going through the same challenges. When I experienced information overload or struggled to interpret organisational language, acronyms, or directorate structures, I could turn to my peers for reassurance and support. </w:t>
      </w:r>
    </w:p>
    <w:p w14:paraId="05F356D1" w14:textId="2AAB8B44" w:rsidR="00912195" w:rsidRDefault="00577758" w:rsidP="00577758">
      <w:pPr>
        <w:spacing w:line="360" w:lineRule="auto"/>
        <w:jc w:val="both"/>
        <w:rPr>
          <w:rFonts w:ascii="Arial" w:hAnsi="Arial" w:cs="Arial"/>
        </w:rPr>
      </w:pPr>
      <w:r w:rsidRPr="00834BD7">
        <w:rPr>
          <w:rFonts w:ascii="Arial" w:hAnsi="Arial" w:cs="Arial"/>
        </w:rPr>
        <w:t xml:space="preserve">This collaborative support and shared learning </w:t>
      </w:r>
      <w:r w:rsidR="00F67703" w:rsidRPr="00834BD7">
        <w:rPr>
          <w:rFonts w:ascii="Arial" w:hAnsi="Arial" w:cs="Arial"/>
        </w:rPr>
        <w:t>align</w:t>
      </w:r>
      <w:r w:rsidRPr="00834BD7">
        <w:rPr>
          <w:rFonts w:ascii="Arial" w:hAnsi="Arial" w:cs="Arial"/>
        </w:rPr>
        <w:t xml:space="preserve"> with theories of social learning and workplace communities of practice (Wenger, 1998). The opportunity to share experiences with colleagues helped create a learning environment where we could co-construct meaning and apply new knowledge in practical ways. Wenger’s concept of “legitimate peripheral participation” describes how newcomers become more central members of a professional community through guided engagement, which resonates with my early experience of being mentored and supported while gaining knowledge of the NHS context.</w:t>
      </w:r>
    </w:p>
    <w:p w14:paraId="1B76D9C5" w14:textId="77777777" w:rsidR="00716727" w:rsidRDefault="00577758" w:rsidP="00577758">
      <w:pPr>
        <w:spacing w:line="360" w:lineRule="auto"/>
        <w:jc w:val="both"/>
        <w:rPr>
          <w:rFonts w:ascii="Arial" w:hAnsi="Arial" w:cs="Arial"/>
        </w:rPr>
      </w:pPr>
      <w:r w:rsidRPr="00834BD7">
        <w:rPr>
          <w:rFonts w:ascii="Arial" w:hAnsi="Arial" w:cs="Arial"/>
        </w:rPr>
        <w:t xml:space="preserve">Over time, this unfamiliar world became more accessible. Within three </w:t>
      </w:r>
      <w:r w:rsidR="00912195" w:rsidRPr="00834BD7">
        <w:rPr>
          <w:rFonts w:ascii="Arial" w:hAnsi="Arial" w:cs="Arial"/>
        </w:rPr>
        <w:t>months</w:t>
      </w:r>
      <w:r w:rsidRPr="00834BD7">
        <w:rPr>
          <w:rFonts w:ascii="Arial" w:hAnsi="Arial" w:cs="Arial"/>
        </w:rPr>
        <w:t>, I noticed</w:t>
      </w:r>
      <w:r w:rsidR="00716727">
        <w:rPr>
          <w:rFonts w:ascii="Arial" w:hAnsi="Arial" w:cs="Arial"/>
        </w:rPr>
        <w:t xml:space="preserve"> </w:t>
      </w:r>
      <w:r w:rsidRPr="00834BD7">
        <w:rPr>
          <w:rFonts w:ascii="Arial" w:hAnsi="Arial" w:cs="Arial"/>
        </w:rPr>
        <w:t>improvements in my understanding, and three and a half years later, I continue to be surprised by how much I’ve learnt and retained.</w:t>
      </w:r>
    </w:p>
    <w:p w14:paraId="4BBDB239" w14:textId="77777777" w:rsidR="00716727" w:rsidRDefault="00577758" w:rsidP="00577758">
      <w:pPr>
        <w:spacing w:line="360" w:lineRule="auto"/>
        <w:jc w:val="both"/>
        <w:rPr>
          <w:rFonts w:ascii="Arial" w:hAnsi="Arial" w:cs="Arial"/>
        </w:rPr>
      </w:pPr>
      <w:r w:rsidRPr="00834BD7">
        <w:rPr>
          <w:rFonts w:ascii="Arial" w:hAnsi="Arial" w:cs="Arial"/>
        </w:rPr>
        <w:t xml:space="preserve">That initial period also helped me develop technical skills. I had to learn and create new Excel spreadsheets, tables, and formulas to assess both the current and future state of the workforce. These outputs formed the basis of my work for the years that followed. While I recognise that there </w:t>
      </w:r>
      <w:r w:rsidRPr="00834BD7">
        <w:rPr>
          <w:rFonts w:ascii="Arial" w:hAnsi="Arial" w:cs="Arial"/>
        </w:rPr>
        <w:lastRenderedPageBreak/>
        <w:t>is always room to improve, I’m proud of the progress I made in a short space of time, and how quickly I adapted to meet the demands of the role.</w:t>
      </w:r>
    </w:p>
    <w:p w14:paraId="0786FEE8" w14:textId="1D143BE6" w:rsidR="00577758" w:rsidRPr="00834BD7" w:rsidRDefault="00716727" w:rsidP="00577758">
      <w:pPr>
        <w:spacing w:line="360" w:lineRule="auto"/>
        <w:jc w:val="both"/>
        <w:rPr>
          <w:rFonts w:ascii="Arial" w:hAnsi="Arial" w:cs="Arial"/>
        </w:rPr>
      </w:pPr>
      <w:r>
        <w:rPr>
          <w:rFonts w:ascii="Arial" w:hAnsi="Arial" w:cs="Arial"/>
        </w:rPr>
        <w:t>T</w:t>
      </w:r>
      <w:r w:rsidR="00577758" w:rsidRPr="00834BD7">
        <w:rPr>
          <w:rFonts w:ascii="Arial" w:hAnsi="Arial" w:cs="Arial"/>
        </w:rPr>
        <w:t>his reflective process also made me aware of how workforce planning methodologies must be applied in a way that responds to the realities of local services. The Six Steps framework is highly valuable, but context is essential. Applying it meaningfully requires both technical knowledge and interpersonal insight. As suggested by Eraut (2000), much professional learning happens informally through experience, problem-solving, and interactions within the workplace, this form of tacit knowledge development has been central to my learning in this role.</w:t>
      </w:r>
    </w:p>
    <w:p w14:paraId="60EDC34D" w14:textId="77777777" w:rsidR="00577758" w:rsidRPr="00834BD7" w:rsidRDefault="00577758" w:rsidP="00577758">
      <w:pPr>
        <w:spacing w:line="360" w:lineRule="auto"/>
        <w:jc w:val="both"/>
        <w:rPr>
          <w:rFonts w:ascii="Arial" w:hAnsi="Arial" w:cs="Arial"/>
        </w:rPr>
      </w:pPr>
    </w:p>
    <w:p w14:paraId="1C6A4395"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Now what?</w:t>
      </w:r>
    </w:p>
    <w:p w14:paraId="33AF601B" w14:textId="5BB168DC" w:rsidR="00577758" w:rsidRPr="00834BD7" w:rsidRDefault="00577758" w:rsidP="00577758">
      <w:pPr>
        <w:spacing w:line="360" w:lineRule="auto"/>
        <w:jc w:val="both"/>
        <w:rPr>
          <w:rFonts w:ascii="Arial" w:hAnsi="Arial" w:cs="Arial"/>
        </w:rPr>
      </w:pPr>
      <w:r w:rsidRPr="00834BD7">
        <w:rPr>
          <w:rFonts w:ascii="Arial" w:hAnsi="Arial" w:cs="Arial"/>
        </w:rPr>
        <w:t xml:space="preserve">Having gained confidence in my role and my position I began to feel less of an imposter. The document and plans I produced were not only accepted, </w:t>
      </w:r>
      <w:r w:rsidR="00523D4A" w:rsidRPr="00834BD7">
        <w:rPr>
          <w:rFonts w:ascii="Arial" w:hAnsi="Arial" w:cs="Arial"/>
        </w:rPr>
        <w:t>but they were also</w:t>
      </w:r>
      <w:r w:rsidRPr="00834BD7">
        <w:rPr>
          <w:rFonts w:ascii="Arial" w:hAnsi="Arial" w:cs="Arial"/>
        </w:rPr>
        <w:t xml:space="preserve"> praised. Over time, I started to believe more in my own abilities and felt increasingly assured that I was the right person for the role.</w:t>
      </w:r>
    </w:p>
    <w:p w14:paraId="4B9FE1F3" w14:textId="77777777" w:rsidR="00716727" w:rsidRDefault="00577758" w:rsidP="00577758">
      <w:pPr>
        <w:spacing w:line="360" w:lineRule="auto"/>
        <w:jc w:val="both"/>
        <w:rPr>
          <w:rFonts w:ascii="Arial" w:hAnsi="Arial" w:cs="Arial"/>
          <w:lang w:val="en-US"/>
        </w:rPr>
      </w:pPr>
      <w:r w:rsidRPr="00723647">
        <w:rPr>
          <w:rFonts w:ascii="Arial" w:hAnsi="Arial" w:cs="Arial"/>
          <w:lang w:val="en-US"/>
        </w:rPr>
        <w:t>This confidence was bolstered by the development of our team. Starting a new team from scratch with three other individuals allowed for a sense of trust and mutual learning. We brought different strength</w:t>
      </w:r>
      <w:r w:rsidRPr="00834BD7">
        <w:rPr>
          <w:rFonts w:ascii="Arial" w:hAnsi="Arial" w:cs="Arial"/>
          <w:lang w:val="en-US"/>
        </w:rPr>
        <w:t xml:space="preserve">s; </w:t>
      </w:r>
      <w:r w:rsidRPr="00723647">
        <w:rPr>
          <w:rFonts w:ascii="Arial" w:hAnsi="Arial" w:cs="Arial"/>
          <w:lang w:val="en-US"/>
        </w:rPr>
        <w:t>technical, strategic, clinical</w:t>
      </w:r>
      <w:r w:rsidRPr="00834BD7">
        <w:rPr>
          <w:rFonts w:ascii="Arial" w:hAnsi="Arial" w:cs="Arial"/>
          <w:lang w:val="en-US"/>
        </w:rPr>
        <w:t xml:space="preserve">; </w:t>
      </w:r>
      <w:r w:rsidRPr="00723647">
        <w:rPr>
          <w:rFonts w:ascii="Arial" w:hAnsi="Arial" w:cs="Arial"/>
          <w:lang w:val="en-US"/>
        </w:rPr>
        <w:t xml:space="preserve">and we learned from each other. I contributed </w:t>
      </w:r>
      <w:r w:rsidRPr="00834BD7">
        <w:rPr>
          <w:rFonts w:ascii="Arial" w:hAnsi="Arial" w:cs="Arial"/>
          <w:lang w:val="en-US"/>
        </w:rPr>
        <w:t>through</w:t>
      </w:r>
      <w:r w:rsidRPr="00723647">
        <w:rPr>
          <w:rFonts w:ascii="Arial" w:hAnsi="Arial" w:cs="Arial"/>
          <w:lang w:val="en-US"/>
        </w:rPr>
        <w:t xml:space="preserve"> my experience with data and database creation, while others shared their knowledge of specific services</w:t>
      </w:r>
      <w:r w:rsidRPr="00834BD7">
        <w:rPr>
          <w:rFonts w:ascii="Arial" w:hAnsi="Arial" w:cs="Arial"/>
          <w:lang w:val="en-US"/>
        </w:rPr>
        <w:t xml:space="preserve">, </w:t>
      </w:r>
      <w:r w:rsidRPr="00723647">
        <w:rPr>
          <w:rFonts w:ascii="Arial" w:hAnsi="Arial" w:cs="Arial"/>
          <w:lang w:val="en-US"/>
        </w:rPr>
        <w:t>operational</w:t>
      </w:r>
      <w:r w:rsidRPr="00834BD7">
        <w:rPr>
          <w:rFonts w:ascii="Arial" w:hAnsi="Arial" w:cs="Arial"/>
          <w:lang w:val="en-US"/>
        </w:rPr>
        <w:t xml:space="preserve"> experience, and clinical expertise.</w:t>
      </w:r>
    </w:p>
    <w:p w14:paraId="56272321" w14:textId="77777777" w:rsidR="00CE1508" w:rsidRDefault="00577758" w:rsidP="00577758">
      <w:pPr>
        <w:spacing w:line="360" w:lineRule="auto"/>
        <w:jc w:val="both"/>
        <w:rPr>
          <w:rFonts w:ascii="Arial" w:hAnsi="Arial" w:cs="Arial"/>
          <w:lang w:val="en-US"/>
        </w:rPr>
      </w:pPr>
      <w:r w:rsidRPr="00723647">
        <w:rPr>
          <w:rFonts w:ascii="Arial" w:hAnsi="Arial" w:cs="Arial"/>
          <w:lang w:val="en-US"/>
        </w:rPr>
        <w:t>This collaborative learning aligns with the work of Kim et a</w:t>
      </w:r>
      <w:r w:rsidRPr="00834BD7">
        <w:rPr>
          <w:rFonts w:ascii="Arial" w:hAnsi="Arial" w:cs="Arial"/>
          <w:lang w:val="en-US"/>
        </w:rPr>
        <w:t>l</w:t>
      </w:r>
      <w:r w:rsidRPr="00723647">
        <w:rPr>
          <w:rFonts w:ascii="Arial" w:hAnsi="Arial" w:cs="Arial"/>
          <w:lang w:val="en-US"/>
        </w:rPr>
        <w:t>. (2021), who state:</w:t>
      </w:r>
    </w:p>
    <w:p w14:paraId="1D838964" w14:textId="3B6DCFA7" w:rsidR="00577758" w:rsidRPr="00834BD7" w:rsidRDefault="00577758" w:rsidP="00577758">
      <w:pPr>
        <w:spacing w:line="360" w:lineRule="auto"/>
        <w:jc w:val="both"/>
        <w:rPr>
          <w:rFonts w:ascii="Arial" w:hAnsi="Arial" w:cs="Arial"/>
          <w:lang w:val="en-US"/>
        </w:rPr>
      </w:pPr>
      <w:r w:rsidRPr="00723647">
        <w:rPr>
          <w:rFonts w:ascii="Arial" w:hAnsi="Arial" w:cs="Arial"/>
          <w:i/>
          <w:iCs/>
          <w:lang w:val="en-US"/>
        </w:rPr>
        <w:t>“EI facilitates group development because effective teamwork begins with knowing each other's strengths and weaknesses and leveraging those strengths (Bar-On, 1997). In a similar vein, Druskat and Wolf (2001) proposed that group emotional intelligence helps develop team trust and a sense of shared identity. Thus, EI plays a critical role in nurturing team effectiveness, which leads to better decision making, development of creative solutions, and higher productivity.”</w:t>
      </w:r>
      <w:r w:rsidRPr="00834BD7">
        <w:rPr>
          <w:rFonts w:ascii="Arial" w:hAnsi="Arial" w:cs="Arial"/>
          <w:lang w:val="en-US"/>
        </w:rPr>
        <w:t xml:space="preserve"> (p.182).</w:t>
      </w:r>
    </w:p>
    <w:p w14:paraId="5A3A70AE" w14:textId="77777777" w:rsidR="00577758" w:rsidRPr="00834BD7" w:rsidRDefault="00577758" w:rsidP="00577758">
      <w:pPr>
        <w:spacing w:line="360" w:lineRule="auto"/>
        <w:jc w:val="both"/>
        <w:rPr>
          <w:rFonts w:ascii="Arial" w:hAnsi="Arial" w:cs="Arial"/>
          <w:lang w:val="en-US"/>
        </w:rPr>
      </w:pPr>
      <w:r w:rsidRPr="00723647">
        <w:rPr>
          <w:rFonts w:ascii="Arial" w:hAnsi="Arial" w:cs="Arial"/>
          <w:lang w:val="en-US"/>
        </w:rPr>
        <w:t>These interpersonal dynamics also reflect Goleman's (1998) work on emotional intelligence, which emphasises self-awareness, self-regulation, motivation, empathy, and social skills as core components of effective leadership and teamwork. My growing ability to share ideas, ask for help, and offer support to others reflected progress in these areas.</w:t>
      </w:r>
    </w:p>
    <w:p w14:paraId="0F01BBA0" w14:textId="2FF84D45" w:rsidR="00577758" w:rsidRPr="00834BD7" w:rsidRDefault="00577758" w:rsidP="00577758">
      <w:pPr>
        <w:spacing w:line="360" w:lineRule="auto"/>
        <w:jc w:val="both"/>
        <w:rPr>
          <w:rFonts w:ascii="Arial" w:hAnsi="Arial" w:cs="Arial"/>
          <w:lang w:val="en-US"/>
        </w:rPr>
      </w:pPr>
      <w:r w:rsidRPr="00723647">
        <w:rPr>
          <w:rFonts w:ascii="Arial" w:hAnsi="Arial" w:cs="Arial"/>
          <w:lang w:val="en-US"/>
        </w:rPr>
        <w:t>Going forward, I aim to continue developing and applying workforce planning methodologies in practice</w:t>
      </w:r>
      <w:r w:rsidRPr="00834BD7">
        <w:rPr>
          <w:rFonts w:ascii="Arial" w:hAnsi="Arial" w:cs="Arial"/>
          <w:lang w:val="en-US"/>
        </w:rPr>
        <w:t xml:space="preserve">, </w:t>
      </w:r>
      <w:r w:rsidRPr="00723647">
        <w:rPr>
          <w:rFonts w:ascii="Arial" w:hAnsi="Arial" w:cs="Arial"/>
          <w:lang w:val="en-US"/>
        </w:rPr>
        <w:t xml:space="preserve">ensuring they are contextually grounded and flexible enough to meet real-world service </w:t>
      </w:r>
      <w:r w:rsidRPr="00723647">
        <w:rPr>
          <w:rFonts w:ascii="Arial" w:hAnsi="Arial" w:cs="Arial"/>
          <w:lang w:val="en-US"/>
        </w:rPr>
        <w:lastRenderedPageBreak/>
        <w:t>needs. In line with Kolb’s (1984) experiential learning cycle, I have moved through the stages of concrete experience, reflective observation, and abstract conceptualisation. The next step</w:t>
      </w:r>
      <w:r w:rsidRPr="00834BD7">
        <w:rPr>
          <w:rFonts w:ascii="Arial" w:hAnsi="Arial" w:cs="Arial"/>
          <w:lang w:val="en-US"/>
        </w:rPr>
        <w:t xml:space="preserve">, </w:t>
      </w:r>
      <w:r w:rsidRPr="00723647">
        <w:rPr>
          <w:rFonts w:ascii="Arial" w:hAnsi="Arial" w:cs="Arial"/>
          <w:lang w:val="en-US"/>
        </w:rPr>
        <w:t>active experimentation</w:t>
      </w:r>
      <w:r w:rsidRPr="00834BD7">
        <w:rPr>
          <w:rFonts w:ascii="Arial" w:hAnsi="Arial" w:cs="Arial"/>
          <w:lang w:val="en-US"/>
        </w:rPr>
        <w:t xml:space="preserve">, </w:t>
      </w:r>
      <w:r w:rsidRPr="00723647">
        <w:rPr>
          <w:rFonts w:ascii="Arial" w:hAnsi="Arial" w:cs="Arial"/>
          <w:lang w:val="en-US"/>
        </w:rPr>
        <w:t>will involve applying my learning more strategically in future projects and supporting others to do the same.</w:t>
      </w:r>
    </w:p>
    <w:p w14:paraId="508798A1" w14:textId="77777777" w:rsidR="00577758" w:rsidRPr="00723647" w:rsidRDefault="00577758" w:rsidP="00577758">
      <w:pPr>
        <w:spacing w:line="360" w:lineRule="auto"/>
        <w:jc w:val="both"/>
        <w:rPr>
          <w:rFonts w:ascii="Arial" w:hAnsi="Arial" w:cs="Arial"/>
          <w:lang w:val="en-US"/>
        </w:rPr>
      </w:pPr>
      <w:r w:rsidRPr="00834BD7">
        <w:rPr>
          <w:rFonts w:ascii="Arial" w:hAnsi="Arial" w:cs="Arial"/>
          <w:lang w:val="en-US"/>
        </w:rPr>
        <w:t xml:space="preserve">The </w:t>
      </w:r>
      <w:r w:rsidRPr="00723647">
        <w:rPr>
          <w:rFonts w:ascii="Arial" w:hAnsi="Arial" w:cs="Arial"/>
          <w:lang w:val="en-US"/>
        </w:rPr>
        <w:t>next stage of my learning journey involved applying this foundational understanding</w:t>
      </w:r>
      <w:r w:rsidRPr="00834BD7">
        <w:rPr>
          <w:rFonts w:ascii="Arial" w:hAnsi="Arial" w:cs="Arial"/>
          <w:lang w:val="en-US"/>
        </w:rPr>
        <w:t xml:space="preserve"> to enable a broader strategic influence</w:t>
      </w:r>
      <w:r w:rsidRPr="00723647">
        <w:rPr>
          <w:rFonts w:ascii="Arial" w:hAnsi="Arial" w:cs="Arial"/>
          <w:lang w:val="en-US"/>
        </w:rPr>
        <w:t xml:space="preserve"> </w:t>
      </w:r>
      <w:r w:rsidRPr="00834BD7">
        <w:rPr>
          <w:rFonts w:ascii="Arial" w:hAnsi="Arial" w:cs="Arial"/>
          <w:lang w:val="en-US"/>
        </w:rPr>
        <w:t xml:space="preserve">which </w:t>
      </w:r>
      <w:r w:rsidRPr="00723647">
        <w:rPr>
          <w:rFonts w:ascii="Arial" w:hAnsi="Arial" w:cs="Arial"/>
          <w:lang w:val="en-US"/>
        </w:rPr>
        <w:t>will be explored in the next learning outcome</w:t>
      </w:r>
      <w:r w:rsidRPr="00834BD7">
        <w:rPr>
          <w:rFonts w:ascii="Arial" w:hAnsi="Arial" w:cs="Arial"/>
          <w:lang w:val="en-US"/>
        </w:rPr>
        <w:t xml:space="preserve"> before further addressing the enhancement of my technical forecasting skills in Learning outcome 3.</w:t>
      </w:r>
    </w:p>
    <w:p w14:paraId="525871A4" w14:textId="77777777" w:rsidR="00A73768" w:rsidRDefault="00A73768" w:rsidP="00577758">
      <w:pPr>
        <w:spacing w:line="360" w:lineRule="auto"/>
        <w:jc w:val="both"/>
        <w:rPr>
          <w:rFonts w:ascii="Arial" w:hAnsi="Arial" w:cs="Arial"/>
        </w:rPr>
      </w:pPr>
    </w:p>
    <w:p w14:paraId="23F69F14" w14:textId="77777777" w:rsidR="00F342E2" w:rsidRPr="00834BD7" w:rsidRDefault="00F342E2" w:rsidP="00577758">
      <w:pPr>
        <w:spacing w:line="360" w:lineRule="auto"/>
        <w:jc w:val="both"/>
        <w:rPr>
          <w:rFonts w:ascii="Arial" w:hAnsi="Arial" w:cs="Arial"/>
        </w:rPr>
      </w:pPr>
    </w:p>
    <w:p w14:paraId="6B8FA214" w14:textId="285D0E0E" w:rsidR="00CE1508" w:rsidRPr="00CE1508" w:rsidRDefault="00577758" w:rsidP="00577758">
      <w:pPr>
        <w:spacing w:line="360" w:lineRule="auto"/>
        <w:jc w:val="both"/>
        <w:rPr>
          <w:rFonts w:ascii="Arial" w:hAnsi="Arial" w:cs="Arial"/>
          <w:b/>
          <w:bCs/>
          <w:u w:val="single"/>
        </w:rPr>
      </w:pPr>
      <w:r w:rsidRPr="00CE1508">
        <w:rPr>
          <w:rFonts w:ascii="Arial" w:hAnsi="Arial" w:cs="Arial"/>
          <w:b/>
          <w:bCs/>
          <w:u w:val="single"/>
        </w:rPr>
        <w:t>Learning Outcome 2</w:t>
      </w:r>
    </w:p>
    <w:p w14:paraId="510A6AD7" w14:textId="1800A391" w:rsidR="00577758" w:rsidRPr="00834BD7" w:rsidRDefault="00577758" w:rsidP="00577758">
      <w:pPr>
        <w:spacing w:line="360" w:lineRule="auto"/>
        <w:jc w:val="both"/>
        <w:rPr>
          <w:rFonts w:ascii="Arial" w:hAnsi="Arial" w:cs="Arial"/>
          <w:b/>
          <w:bCs/>
          <w:vanish/>
          <w:specVanish/>
        </w:rPr>
      </w:pPr>
      <w:r w:rsidRPr="00834BD7">
        <w:rPr>
          <w:rFonts w:ascii="Arial" w:hAnsi="Arial" w:cs="Arial"/>
          <w:b/>
          <w:bCs/>
        </w:rPr>
        <w:t>Strategically promote and influence workforce planning through establishing and engaging with a variety of internal and external stakeholders</w:t>
      </w:r>
    </w:p>
    <w:p w14:paraId="7AF0CEAF" w14:textId="77777777" w:rsidR="00CE1508" w:rsidRDefault="00577758" w:rsidP="00577758">
      <w:pPr>
        <w:spacing w:line="360" w:lineRule="auto"/>
        <w:jc w:val="both"/>
        <w:rPr>
          <w:rFonts w:ascii="Arial" w:hAnsi="Arial" w:cs="Arial"/>
          <w:u w:val="single"/>
        </w:rPr>
      </w:pPr>
      <w:r w:rsidRPr="00834BD7">
        <w:rPr>
          <w:rFonts w:ascii="Arial" w:hAnsi="Arial" w:cs="Arial"/>
          <w:u w:val="single"/>
        </w:rPr>
        <w:t xml:space="preserve"> </w:t>
      </w:r>
    </w:p>
    <w:p w14:paraId="17B192E6" w14:textId="14F0F4EC" w:rsidR="00577758" w:rsidRPr="00834BD7" w:rsidRDefault="00577758" w:rsidP="00577758">
      <w:pPr>
        <w:spacing w:line="360" w:lineRule="auto"/>
        <w:jc w:val="both"/>
        <w:rPr>
          <w:rFonts w:ascii="Arial" w:hAnsi="Arial" w:cs="Arial"/>
          <w:u w:val="single"/>
        </w:rPr>
      </w:pPr>
      <w:r w:rsidRPr="00834BD7">
        <w:rPr>
          <w:rFonts w:ascii="Arial" w:hAnsi="Arial" w:cs="Arial"/>
          <w:u w:val="single"/>
        </w:rPr>
        <w:t>Background</w:t>
      </w:r>
    </w:p>
    <w:p w14:paraId="125D3E66"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During the initial implementation of the WFP team, as newly developed WFP Project Managers, we were allocated areas to attempt to cover the HB structure. We were given a speciality area, which for me was Data &amp; Data modelling. We were also allocated a County based on our own geographic location or previous working relationships. As the newcomer to the HB I was given Carmarthenshire, specifically Prince Phillip Hospital (PPH) in Llanelli as this was the closest to my home address. We were also allocated a Professional group of the workforce. The workforce is categorised into 8 professional groups, varying in numbers and roles which cover – Additional Clinical Services (ACS), Additional Professional, Scientific &amp; Technical (APST), Administrative &amp; Clerical (A&amp;C), Allied Health Professionals (AHPs) , Health Care Scientists, Medical &amp; Dental, Nursing &amp; Midwifery and Estates &amp; Facilities. As the team member with the least clinical knowledge, I was given the Estates &amp; Facilities workforce as my professional group which represented approximately 10% of the HB workforce. </w:t>
      </w:r>
    </w:p>
    <w:p w14:paraId="1E2F956A" w14:textId="23DCA5BA" w:rsidR="00577758" w:rsidRPr="00834BD7" w:rsidRDefault="00577758" w:rsidP="00577758">
      <w:pPr>
        <w:spacing w:line="360" w:lineRule="auto"/>
        <w:jc w:val="both"/>
        <w:rPr>
          <w:rFonts w:ascii="Arial" w:hAnsi="Arial" w:cs="Arial"/>
        </w:rPr>
      </w:pPr>
      <w:r w:rsidRPr="00834BD7">
        <w:rPr>
          <w:rFonts w:ascii="Arial" w:hAnsi="Arial" w:cs="Arial"/>
        </w:rPr>
        <w:t xml:space="preserve">During this learning outcome I will provide different examples of work I undertook across my first year in post where I engaged with a variety of different services and organisations in a bid to begin promoting and influencing the importance of workforce planning across HDUHB and beyond. The first of these examples is the creation of a formalised Six Step workforce plan, I will then discuss my role in creating a workforce plan for the Mass Vaccination Centres across the HDUHB footprint and finally the wider engagement with teams within the HB and external HB across Wales through </w:t>
      </w:r>
      <w:r w:rsidR="009816C5" w:rsidRPr="00834BD7">
        <w:rPr>
          <w:rFonts w:ascii="Arial" w:hAnsi="Arial" w:cs="Arial"/>
        </w:rPr>
        <w:t>WFP</w:t>
      </w:r>
      <w:r w:rsidRPr="00834BD7">
        <w:rPr>
          <w:rFonts w:ascii="Arial" w:hAnsi="Arial" w:cs="Arial"/>
        </w:rPr>
        <w:t xml:space="preserve"> forums and networks. </w:t>
      </w:r>
    </w:p>
    <w:p w14:paraId="2283CC7D"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lastRenderedPageBreak/>
        <w:t>What?</w:t>
      </w:r>
    </w:p>
    <w:p w14:paraId="3548AE1A" w14:textId="28168014" w:rsidR="00577758" w:rsidRPr="00834BD7" w:rsidRDefault="00577758" w:rsidP="00577758">
      <w:pPr>
        <w:spacing w:line="360" w:lineRule="auto"/>
        <w:jc w:val="both"/>
        <w:rPr>
          <w:rFonts w:ascii="Arial" w:hAnsi="Arial" w:cs="Arial"/>
        </w:rPr>
      </w:pPr>
      <w:r w:rsidRPr="00834BD7">
        <w:rPr>
          <w:rFonts w:ascii="Arial" w:hAnsi="Arial" w:cs="Arial"/>
        </w:rPr>
        <w:t xml:space="preserve">To complete the 12-month training element of my Annex 21 contract I was to undertake a Six step Workforce plan to prove that I was able to apply the knowledge attained across the period. My manager left the option open to undertake a plan with any service or directorate that I had begun working with. The aim was to begin to scope out different areas, following the creation of the IMTP document (noted in learning outcome 1, appendix E) and undertaking the formal training, and have an area in mind to begin working with by the time I had reached 4-6 months in post. During the Annual plan process, aside from collecting and analysing the data for the workforce baselines, I had also begun engaging with my professional group. The newly appointed Head of Operations for Facilities had started within the HB on the same day that I had. During our initial conversations we developed a bond as the ‘newcomers’ to the organisation and helped each other where possible to begin to navigate the directorate and the teams within the facilities and estates directorate. This was a great learning and discovery phase for me as I was able to develop a relationship with the individual based on a mutual understanding that we both had been appointed to new roles, in new teams in a completely alien organisation to us both. I believe this gave us comfort in knowing that although neither of us would have the full understanding or answers to the direct problems being faced, we both had previous acquired skills which were transferable to aid us until we understood the context further. </w:t>
      </w:r>
    </w:p>
    <w:p w14:paraId="404BFB5B" w14:textId="77777777" w:rsidR="00577758" w:rsidRPr="00834BD7" w:rsidRDefault="00577758" w:rsidP="00577758">
      <w:pPr>
        <w:spacing w:line="360" w:lineRule="auto"/>
        <w:jc w:val="both"/>
        <w:rPr>
          <w:rFonts w:ascii="Arial" w:hAnsi="Arial" w:cs="Arial"/>
        </w:rPr>
      </w:pPr>
      <w:r w:rsidRPr="00834BD7">
        <w:rPr>
          <w:rFonts w:ascii="Arial" w:hAnsi="Arial" w:cs="Arial"/>
        </w:rPr>
        <w:t>I was introduced to the deputy head of operations who in contrast had been in the organisation for decades and was an expert in her field. She was also entrenched within the service and therefore hadn’t had the opportunity to look at what changes were needed for the future as she was submerged in the issues of the present. My initial role in meeting the team was to support their plans to enable them to implement the new Enhanced Cleaning standards that had been brought in to control the spread of infection as a result Covid-19. Prior to me starting in post, the deputy head along with the directorate finance business partner had undertaken an exercise to ascertain the additional staffing and resources that would be required to implement the new standards based on the WG guidance (appendix L). My role initially was to begin to understand the service to help expand my knowledge of the directorate, gather information to write the annual plan along with being a conduit to other workforce colleagues who could aid the process.</w:t>
      </w:r>
    </w:p>
    <w:p w14:paraId="3DF698B7"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During these initial discussions, I began to build relationships with key managers in the directorate. In discussions with them I learnt more about the structures of the team from both a financial and operational lens. I also found a key contact through the financial business partner. As he had been in the Health board for several years and had begun his career as a porter within PPH, he was able </w:t>
      </w:r>
      <w:r w:rsidRPr="00834BD7">
        <w:rPr>
          <w:rFonts w:ascii="Arial" w:hAnsi="Arial" w:cs="Arial"/>
        </w:rPr>
        <w:lastRenderedPageBreak/>
        <w:t xml:space="preserve">to share and impart knowledge to me on how the teams truly worked from both an operational and financial stance. He also had respect from all levels within the facilities team as he had the experiential experience. </w:t>
      </w:r>
    </w:p>
    <w:p w14:paraId="384D8956" w14:textId="3FA79BAE" w:rsidR="00577758" w:rsidRPr="00834BD7" w:rsidRDefault="00577758" w:rsidP="00577758">
      <w:pPr>
        <w:spacing w:line="360" w:lineRule="auto"/>
        <w:jc w:val="both"/>
        <w:rPr>
          <w:rFonts w:ascii="Arial" w:hAnsi="Arial" w:cs="Arial"/>
        </w:rPr>
      </w:pPr>
      <w:r w:rsidRPr="00834BD7">
        <w:rPr>
          <w:rFonts w:ascii="Arial" w:hAnsi="Arial" w:cs="Arial"/>
        </w:rPr>
        <w:t>As Kolb (2015) built on Kurt Lewin’s</w:t>
      </w:r>
      <w:r w:rsidR="00AF2E7A">
        <w:rPr>
          <w:rFonts w:ascii="Arial" w:hAnsi="Arial" w:cs="Arial"/>
        </w:rPr>
        <w:t xml:space="preserve"> (1936)</w:t>
      </w:r>
      <w:r w:rsidRPr="00834BD7">
        <w:rPr>
          <w:rFonts w:ascii="Arial" w:hAnsi="Arial" w:cs="Arial"/>
        </w:rPr>
        <w:t xml:space="preserve"> foundations that ‘Learning is more effective when it is an active rather than a passive process’ he emphasised the importance of active engagement and reflection in the learning process which is a core principle of the experiential learning cycle. Being an active participant working with the Head of Operations gave me the understanding I needed as a new member to the Health board and as a Wf planner. If I wanted to make a difference, then I needed to understand the issues from the ground up. Working with the deputy manager of operations I also could see how easily it was to get absorbed in the issues that were happening ‘now’ and how difficult it may be to get people to understand the work I wanted to do, to look to the future and how we could do things differently. </w:t>
      </w:r>
    </w:p>
    <w:p w14:paraId="119A6E74"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Having engaged with the teams initially to look at what they required from the Annual Plan it was evident that due to the pressure from WG and therefore the Executive team the implementation of enhanced cleaning was vital. Firstly, to ensure the standards were being met during continued high prevalence of Covid-19 and secondly there was a potential time limit on the funds that would be available to aid any additional recruitment that would be needed. It was expected the funds may only be available until the end of the financial year therefore there was a very short window to undertake the work. Having reviewed the previous work that had been undertaken (appendix L) I scheduled in meetings with the key individuals involved to check the calculations against the guidance to put a plan in place to begin recruiting the staff that was required. An Enhanced Cleaning Recruitment group was set up consisting of the Director of Estates &amp; Facilities, Head of Recruitment, Head of Occupational Health, the Senior Finance Business Partner, the Head of Facilities, Deputy Head of Facilities and myself as the Workforce planning lead (Appendix M). The group membership widened to include others as was necessary. As there were several roles to recruit and the need for the process to move quickly, I offered solutions to shortening the recruitment process. </w:t>
      </w:r>
    </w:p>
    <w:p w14:paraId="6C8C132F" w14:textId="77777777" w:rsidR="00577758" w:rsidRPr="00834BD7" w:rsidRDefault="00577758" w:rsidP="00577758">
      <w:pPr>
        <w:spacing w:line="360" w:lineRule="auto"/>
        <w:jc w:val="both"/>
        <w:rPr>
          <w:rFonts w:ascii="Arial" w:hAnsi="Arial" w:cs="Arial"/>
        </w:rPr>
      </w:pPr>
      <w:r w:rsidRPr="00834BD7">
        <w:rPr>
          <w:rFonts w:ascii="Arial" w:hAnsi="Arial" w:cs="Arial"/>
        </w:rPr>
        <w:t>Having worked briefly in recruitment within DPP I had some prior knowledge to the steps required to recruit an individual and having recently gone through the process myself in the HB. I understood where time delays could happen, but I needed to understand the actual process and the Key performance Indicators (KPIs) the HB were to adhere to.</w:t>
      </w:r>
    </w:p>
    <w:p w14:paraId="54C8D102"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 therefore asked for all relevant documentation and once received met with the Head of Recruitment to understand each area of the process and who was responsible. I then met with the </w:t>
      </w:r>
      <w:r w:rsidRPr="00834BD7">
        <w:rPr>
          <w:rFonts w:ascii="Arial" w:hAnsi="Arial" w:cs="Arial"/>
        </w:rPr>
        <w:lastRenderedPageBreak/>
        <w:t xml:space="preserve">Head of Occupational Health to understand her area of the process and what was the art of the possible to shorten the timeframe. After understanding the requirements and potential areas for change I produced options for approval (appendix N). I shared these with the group and the options were discussed at the next meeting where decisions were made on which process would be followed. The recruitment of up to 120 staff was then put in place with the aim to get individuals into the HB in the shortest timeframe possible. </w:t>
      </w:r>
    </w:p>
    <w:p w14:paraId="370718F6"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working with the team throughout the recruitment process I realised that although they had some indicative numbers for the workforce, they required to make the changes to implement the Enhanced Cleaning service, they did not have a workforce plan to enable them to act upon it. Therefore, I informed my manager that I would undertake my Annex 21 Six steps plan on the Enhanced cleaning implementation enabling me to focus on one specific service area who needed a Wf plan. She agreed and could see the benefit undertaking the plan would be for not only the service but also for my personal development and education of the service. </w:t>
      </w:r>
    </w:p>
    <w:p w14:paraId="26556A0A" w14:textId="77777777" w:rsidR="00577758" w:rsidRPr="00834BD7" w:rsidRDefault="00577758" w:rsidP="00577758">
      <w:pPr>
        <w:spacing w:line="360" w:lineRule="auto"/>
        <w:jc w:val="both"/>
        <w:rPr>
          <w:rFonts w:ascii="Arial" w:hAnsi="Arial" w:cs="Arial"/>
        </w:rPr>
      </w:pPr>
      <w:r w:rsidRPr="00834BD7">
        <w:rPr>
          <w:rFonts w:ascii="Arial" w:hAnsi="Arial" w:cs="Arial"/>
        </w:rPr>
        <w:t>In discussions with the head and deputy head of facilities and the financial business partner, I introduced the Six steps framework and talked them through my thoughts on using the enhanced cleaning standards as a basis of creating a workforce plan for the domestic workforce across the HB (Appendix O). I was initially hesitant to introduce the concept as it was a new framework for me, and it was now my role to effectively sell the benefits of working with them to put pen to paper and help draft the plan. I shared the Six steps coaching document that I had received as part of the resources from my training (Appendix P) which has a set of key questions to ask for each of the steps. I also shared a Word template of the framework (Appendix Q) that I stated I would formulate the plan in and share with them. In hindsight I think a more formal targeted session on what the Six Steps was would have been beneficial to get a greater understanding. As the team were happy to receive any support on offer, they weren’t too concerned with the process, as I was offering much needed help to them. However, looking back I would ensure the stakeholder analysis was undertaken more thoroughly to inform who the key stakeholders were to enable the right people to be part of the development of the plan from the outset. Along with ensuring that the value of the Wf plan and the work it would take to implement was fully signed up to.</w:t>
      </w:r>
    </w:p>
    <w:p w14:paraId="35D1BEDA" w14:textId="77777777" w:rsidR="00577758" w:rsidRPr="00834BD7" w:rsidRDefault="00577758" w:rsidP="00577758">
      <w:pPr>
        <w:spacing w:line="360" w:lineRule="auto"/>
        <w:jc w:val="both"/>
        <w:rPr>
          <w:rFonts w:ascii="Arial" w:hAnsi="Arial" w:cs="Arial"/>
        </w:rPr>
      </w:pPr>
      <w:r w:rsidRPr="00834BD7">
        <w:rPr>
          <w:rFonts w:ascii="Arial" w:hAnsi="Arial" w:cs="Arial"/>
        </w:rPr>
        <w:t>These meetings continued sporadically over the proceeding months as the day-to-day reality of recruiting and training the additional staff became apparent along with the impact of Covid-19 re-emerging and adding an additional strain on the workforce. As the recruitment had taken place and despite the chaos that was happening within the service, there was no drive or impetus from the Head of facilities to get a plan in place as he was now, like his colleagues submerged in the day-</w:t>
      </w:r>
      <w:r w:rsidRPr="00834BD7">
        <w:rPr>
          <w:rFonts w:ascii="Arial" w:hAnsi="Arial" w:cs="Arial"/>
        </w:rPr>
        <w:lastRenderedPageBreak/>
        <w:t xml:space="preserve">to-day work and didn’t have the time to plan. I felt very frustrated at this point as I was now 9 months into my role and was no further forward in putting a workforce plan in place. This was frustrating on two levels as not only could I state what a difference a thought-out workforce plan could make to the service, I was also cognisant that my Annex 21 training period was reliant on me producing a Workforce plan for a service. </w:t>
      </w:r>
    </w:p>
    <w:p w14:paraId="4A937408"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On reflection, as stated earlier, with hindsight I would have undertaken a Stakeholder Analysis with the service on my initial meetings as I had learnt was part of the initial steps of a Six step workforce plan. This would have given me the insight into who the key managers and supervisors were within the structure so that I could have met with them earlier in the process and not been stuck at the senior level of the directorate. As Smith (2000) noted ‘Stakeholder Analysis is a pivotal practice of successful projects… it provides the team with views and measures and that can help uncover and remove barriers.’ </w:t>
      </w:r>
    </w:p>
    <w:p w14:paraId="15D731A6"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August 2021 on re-engaging with the Head of Facilities around the importance of putting a workforce plan in place, I received his permission to engage with the managers and supervisors within the hospital sites. Having also spent many months not being able to meet people in person I also decided to undertake these meetings face to face. This was one of the best decisions I made as I spent several hours with the facilities managers at both Glangwili General Hospital (GGH) and PPH which allowed me to get a far greater understanding of the reality of the issues they were facing and the impact of decisions that were being made on the service. </w:t>
      </w:r>
    </w:p>
    <w:p w14:paraId="7B985F81"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As a result of these meetings and subsequent meetings with the key managers and supervisors I was able to begin to formulate a workforce plan for both GGH and PPH to look at truly implementing the enhanced cleaning service across the site. I shared baseline data (appendix R) with the managers along with the head of facilities and a plan began to emerge for the service. </w:t>
      </w:r>
    </w:p>
    <w:p w14:paraId="1F94CC87"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By November 2021 I had managed to produce the skeleton of a six-step workforce plan for facilities with reflections (appendix S) which had only been completed fully to step 2 with proposals for what was to be undertaken next for the remaining steps. I therefore entered my Annex 21 appraisal feeling a slight failure as I had not achieved what was required of me to pass my training. As part of the process, along with producing the plan, I was to also produce a reflective piece on the whole Six step process and on the insights, I had gained over the year. In discussion with my manager at the assessment it became evident that she had never expected us as a team to be able to complete a Six step workforce plan. However, through undertaking the process I had developed the skills and insight required to enable me to complete a workforce plan. I had also developed the skills to </w:t>
      </w:r>
      <w:r w:rsidRPr="00834BD7">
        <w:rPr>
          <w:rFonts w:ascii="Arial" w:hAnsi="Arial" w:cs="Arial"/>
        </w:rPr>
        <w:lastRenderedPageBreak/>
        <w:t xml:space="preserve">critique and evaluate the Six Step methodology to see where some elements could be utilised and others adapted to fit into the various challenges and barriers we face in the NHS.  </w:t>
      </w:r>
    </w:p>
    <w:p w14:paraId="2A7729D7"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re-reading my reflective document (appendix T) from the time I don’t feel my opinions have changed much over the last 3 years. Undertaking a Six step workforce plan with a service was one way to test the process and promote workforce planning throughout the HB however parallel pieces of work I undertook also enabled me to influence the importance of workforce planning across the organisation. </w:t>
      </w:r>
    </w:p>
    <w:p w14:paraId="388CEBEE"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A few weeks into post, my manager invited me to join the Bronze Vaccination Group and as a result I became the workforce planning representative on the group for the remainder of the year. The Covid 19 vaccinations had only been approved for a matter of months and prior to me starting in post vaccination centres had been set up across the three counties to begin to vaccinate the population of HDUHB. However, as this had been an immediate response to the sudden availability of vaccinations and the need to begin to administer the drug, the workforce to undertake the roles consisted of all of those who currently were able to inject within their current roles. Those with the skill where then redeployed from their posts due to Covid19 restrictions.  This was a short-term plan to begin the roll out, therefore a full workforce plan was required to put a sustainable workforce in place to allow other staff to return to their permanent roles. </w:t>
      </w:r>
    </w:p>
    <w:p w14:paraId="1143E69A" w14:textId="77777777" w:rsidR="00577758" w:rsidRPr="00834BD7" w:rsidRDefault="00577758" w:rsidP="00577758">
      <w:pPr>
        <w:spacing w:line="360" w:lineRule="auto"/>
        <w:jc w:val="both"/>
        <w:rPr>
          <w:rFonts w:ascii="Arial" w:hAnsi="Arial" w:cs="Arial"/>
        </w:rPr>
      </w:pPr>
      <w:r w:rsidRPr="00834BD7">
        <w:rPr>
          <w:rFonts w:ascii="Arial" w:hAnsi="Arial" w:cs="Arial"/>
        </w:rPr>
        <w:t>As part of my role I worked closely with the Transformation Project Manager overseeing the delivery of the Mass Vaccination Centre (MVC) project along with working with the Assistant Director of Public Health to receive the most up to date information on any UK government or WG decisions along with the detailed information from the Joint Committee on Vaccination &amp; Immunisation (JCVI). I attended weekly Bronze Vaccination Group meetings which were attended by Public Health, Head of Pharmacy, Nursing heads of Vaccination &amp; Immunisation, Heads of Estates, Head of Emergency Planning, Deputy Medical Director of Primary &amp; Community Care, Heads of Digital Service, Finance along with County colleagues across Health &amp; Social Care (Appendix U). This was a joint venture across all the county areas to ensure everybody would receive their Covid injection.</w:t>
      </w:r>
    </w:p>
    <w:p w14:paraId="74F24CF4"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When I was first asked to work with the Project Manager to plan the required workforce to undertake this project, I was daunted by the task having never done anything at this scale before. I had helped to coordinate projects within DPP and Macmillan and had planned resource allocation and looked at skills, however this was at an entirely different scale and was a steep learning curve. As Covid restrictions were beginning to be lifted, those undertaking the temporary roles within the MVCs needed to return to their substantive roles therefore a new workforce had to be employed imminently. It was my role to analyse what staff were needed based on the skills required, and the </w:t>
      </w:r>
      <w:r w:rsidRPr="00834BD7">
        <w:rPr>
          <w:rFonts w:ascii="Arial" w:hAnsi="Arial" w:cs="Arial"/>
        </w:rPr>
        <w:lastRenderedPageBreak/>
        <w:t>volume of staff needed at each MVC to deliver the total number of injections for the population based on the WG and UK government timescales for delivery. During this period, I learnt a substantial amount about the relationship between the HB and Public Health along with the variety of roles across these areas. I also gained exposure to several assistant director and higher managerial roles across the organisations that immediately put my personal role and team in the limelight. This was personally difficult for me to comprehend having only been in post a few weeks and being expected to deliver and advise on a position that I was only just grasping myself.</w:t>
      </w:r>
    </w:p>
    <w:p w14:paraId="0E7F1086"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 worked closely with the Project manager who had mapped out all the activity data for the population and the number of doses to be delivered and to what timescale. I now needed to look at the different roles required and to calculate the workforce to the number of injections to be delivered. As his excel skills seemed quite advanced, I was able to learn from him and help format my calculations in a similar way to ensure any changes made to the activity related across to the workforce data. In working with the Asst. Director of Public Health, the Immunisation coordinator and my wider workforce colleagues I was able to learn about the different roles across nursing, Health Care Support Workers (HCSW) and admin functions and apply the exemptions granted under the JVCI guidance to allow different roles to administer the injections and to understand the training requirements needed for each role (appendix V). </w:t>
      </w:r>
    </w:p>
    <w:p w14:paraId="3BA99D1A"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On reflection, although I was working on the MVCs, Facilities Enhanced cleaning and the Annual Plan across the same period, the intensity of this time having just started in a new post makes me reflect on how much I achieved during that period. This project also allowed me to get a great insight into understanding skills and requirements of roles and the importance of guidance changes which gave me a fantastic grounding for the different work I’ve gone on to do with other services. </w:t>
      </w:r>
    </w:p>
    <w:p w14:paraId="74FCBFAA"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This work resulted in several additional meetings that occurred almost daily to get to a fairly accurate number of staff and roles to be recruited. It was a very intense period which resulted in the creation of several spreadsheets looking at the demand and supply (Appendix W) linking in different variables, such as the ability to recruit certain roles and the availability of the vaccine and the venues to deliver from. </w:t>
      </w:r>
    </w:p>
    <w:p w14:paraId="1F51D911"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 remained part of the Bronze Vaccination group for the next year to ensure the workforce requirement was adapted to any guidance changes or increase/decrease in need. I remain a key contact and when changes have occurred such as vaccinations moving to Primary care to deliver, I have re analysed the workforce requirement based on the demand. </w:t>
      </w:r>
    </w:p>
    <w:p w14:paraId="220121D7"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 consider the MVC project a success and am proud of the part I played in getting the vaccinations delivered across the HB area. Although it was a steep learning curve, I gained a lot from the </w:t>
      </w:r>
      <w:r w:rsidRPr="00834BD7">
        <w:rPr>
          <w:rFonts w:ascii="Arial" w:hAnsi="Arial" w:cs="Arial"/>
        </w:rPr>
        <w:lastRenderedPageBreak/>
        <w:t>experience, not only in broadening my own understanding and knowledge of the HB and its wider colleagues across Public Health and Social Care but in helping to cement what I can offer as part of the data solutions component of workforce planning. It allowed me to try out new techniques; to look at different variables to enhance my own Excel skills but also showcase what workforce planning could do for the organisation. As a result I have worked with the Asst Director of Public Health on several projects since looking at workforce plans for School Nurses, Immunisation teams and for the Annual Plan and Education &amp; Commissioning.</w:t>
      </w:r>
    </w:p>
    <w:p w14:paraId="207C0595" w14:textId="2C02201D" w:rsidR="00577758" w:rsidRPr="00834BD7" w:rsidRDefault="00577758" w:rsidP="00577758">
      <w:pPr>
        <w:spacing w:line="360" w:lineRule="auto"/>
        <w:jc w:val="both"/>
        <w:rPr>
          <w:rFonts w:ascii="Arial" w:hAnsi="Arial" w:cs="Arial"/>
          <w:lang w:val="en-US"/>
        </w:rPr>
      </w:pPr>
      <w:r w:rsidRPr="009B5E3F">
        <w:rPr>
          <w:rFonts w:ascii="Arial" w:hAnsi="Arial" w:cs="Arial"/>
          <w:lang w:val="en-US"/>
        </w:rPr>
        <w:t>One significant moment early in my role came during my first meeting of the All-Wales Workforce Planning (</w:t>
      </w:r>
      <w:r w:rsidR="009816C5" w:rsidRPr="009B5E3F">
        <w:rPr>
          <w:rFonts w:ascii="Arial" w:hAnsi="Arial" w:cs="Arial"/>
          <w:lang w:val="en-US"/>
        </w:rPr>
        <w:t>WFP</w:t>
      </w:r>
      <w:r w:rsidRPr="009B5E3F">
        <w:rPr>
          <w:rFonts w:ascii="Arial" w:hAnsi="Arial" w:cs="Arial"/>
          <w:lang w:val="en-US"/>
        </w:rPr>
        <w:t>) Network. Sitting on the call, I remember seeing a dozen or more faces look surprised to hear that my manager had a dedicated team of four Workforce Planning Project Managers. That was the moment I realised the scale of what we were doing—our team was the first of its kind in Wales.</w:t>
      </w:r>
    </w:p>
    <w:p w14:paraId="50EEDBC0" w14:textId="7A541E19" w:rsidR="00577758" w:rsidRPr="00834BD7" w:rsidRDefault="00577758" w:rsidP="00577758">
      <w:pPr>
        <w:spacing w:line="360" w:lineRule="auto"/>
        <w:jc w:val="both"/>
        <w:rPr>
          <w:rFonts w:ascii="Arial" w:hAnsi="Arial" w:cs="Arial"/>
          <w:lang w:val="en-US"/>
        </w:rPr>
      </w:pPr>
      <w:r w:rsidRPr="009B5E3F">
        <w:rPr>
          <w:rFonts w:ascii="Arial" w:hAnsi="Arial" w:cs="Arial"/>
          <w:lang w:val="en-US"/>
        </w:rPr>
        <w:t xml:space="preserve">As we went around with introductions, it became clear that many of the people attending the network were not solely workforce </w:t>
      </w:r>
      <w:r w:rsidR="000F7C02" w:rsidRPr="009B5E3F">
        <w:rPr>
          <w:rFonts w:ascii="Arial" w:hAnsi="Arial" w:cs="Arial"/>
          <w:lang w:val="en-US"/>
        </w:rPr>
        <w:t>planners but</w:t>
      </w:r>
      <w:r w:rsidRPr="009B5E3F">
        <w:rPr>
          <w:rFonts w:ascii="Arial" w:hAnsi="Arial" w:cs="Arial"/>
          <w:lang w:val="en-US"/>
        </w:rPr>
        <w:t xml:space="preserve"> had </w:t>
      </w:r>
      <w:r w:rsidR="009816C5" w:rsidRPr="009B5E3F">
        <w:rPr>
          <w:rFonts w:ascii="Arial" w:hAnsi="Arial" w:cs="Arial"/>
          <w:lang w:val="en-US"/>
        </w:rPr>
        <w:t>WFP</w:t>
      </w:r>
      <w:r w:rsidRPr="009B5E3F">
        <w:rPr>
          <w:rFonts w:ascii="Arial" w:hAnsi="Arial" w:cs="Arial"/>
          <w:lang w:val="en-US"/>
        </w:rPr>
        <w:t xml:space="preserve"> as one small part of broader workforce or operational responsibilities. In contrast, our dedicated team placed us in a unique position. We became something aspirational for others, and it made me recognise how forward-thinking my manager had been in creating a dedicated resource for strategic workforce planning.</w:t>
      </w:r>
    </w:p>
    <w:p w14:paraId="76713E8C" w14:textId="75DDE612" w:rsidR="00577758" w:rsidRPr="00834BD7" w:rsidRDefault="00577758" w:rsidP="00577758">
      <w:pPr>
        <w:spacing w:line="360" w:lineRule="auto"/>
        <w:jc w:val="both"/>
        <w:rPr>
          <w:rFonts w:ascii="Arial" w:hAnsi="Arial" w:cs="Arial"/>
          <w:lang w:val="en-US"/>
        </w:rPr>
      </w:pPr>
      <w:r w:rsidRPr="009B5E3F">
        <w:rPr>
          <w:rFonts w:ascii="Arial" w:hAnsi="Arial" w:cs="Arial"/>
          <w:lang w:val="en-US"/>
        </w:rPr>
        <w:t xml:space="preserve">It was in that moment, during the first </w:t>
      </w:r>
      <w:r w:rsidR="009816C5" w:rsidRPr="009B5E3F">
        <w:rPr>
          <w:rFonts w:ascii="Arial" w:hAnsi="Arial" w:cs="Arial"/>
          <w:lang w:val="en-US"/>
        </w:rPr>
        <w:t>WFP</w:t>
      </w:r>
      <w:r w:rsidRPr="009B5E3F">
        <w:rPr>
          <w:rFonts w:ascii="Arial" w:hAnsi="Arial" w:cs="Arial"/>
          <w:lang w:val="en-US"/>
        </w:rPr>
        <w:t xml:space="preserve"> Network meeting, that I began to appreciate how unique our position was, and how much potential we had to influence strategic direction—not just within our Health Board but across Wales. This realisation gave me an early sense of responsibility and pride in being part of something new and important.</w:t>
      </w:r>
    </w:p>
    <w:p w14:paraId="71796CFA" w14:textId="454C94E5" w:rsidR="00577758" w:rsidRPr="00834BD7" w:rsidRDefault="00577758" w:rsidP="00577758">
      <w:pPr>
        <w:spacing w:line="360" w:lineRule="auto"/>
        <w:jc w:val="both"/>
        <w:rPr>
          <w:rFonts w:ascii="Arial" w:hAnsi="Arial" w:cs="Arial"/>
          <w:lang w:val="en-US"/>
        </w:rPr>
      </w:pPr>
      <w:r w:rsidRPr="009B5E3F">
        <w:rPr>
          <w:rFonts w:ascii="Arial" w:hAnsi="Arial" w:cs="Arial"/>
          <w:lang w:val="en-US"/>
        </w:rPr>
        <w:t>As I alluded to earlier, the position we were put in as a new team allowed us to develop a sense of shared identity. This emerged partly through our shared emotional intelligence (EI), but also from the challenges we faced together. I also found, through reflecting on the work I’ve undertaken during this period, that shared EI with key individuals—especially those with high empathy—was a vital part of how I was able to build relationships and influence outcomes.</w:t>
      </w:r>
      <w:r w:rsidR="00F342E2">
        <w:rPr>
          <w:rFonts w:ascii="Arial" w:hAnsi="Arial" w:cs="Arial"/>
          <w:lang w:val="en-US"/>
        </w:rPr>
        <w:br/>
      </w:r>
      <w:r w:rsidRPr="009B5E3F">
        <w:rPr>
          <w:rFonts w:ascii="Arial" w:hAnsi="Arial" w:cs="Arial"/>
          <w:lang w:val="en-US"/>
        </w:rPr>
        <w:br/>
        <w:t>Newman (2014) stated that “</w:t>
      </w:r>
      <w:r w:rsidRPr="00212800">
        <w:rPr>
          <w:rFonts w:ascii="Arial" w:hAnsi="Arial" w:cs="Arial"/>
          <w:i/>
          <w:iCs/>
          <w:lang w:val="en-US"/>
        </w:rPr>
        <w:t>Transformational leaders are distinguished by the ability to empathise with others. Empathy represents one of the most important dynamic emotional competencies differentiating star performing leaders from the rest”</w:t>
      </w:r>
      <w:r w:rsidRPr="009B5E3F">
        <w:rPr>
          <w:rFonts w:ascii="Arial" w:hAnsi="Arial" w:cs="Arial"/>
          <w:lang w:val="en-US"/>
        </w:rPr>
        <w:t xml:space="preserve"> (p.155). This moment in the first </w:t>
      </w:r>
      <w:r w:rsidR="006C4E72" w:rsidRPr="009B5E3F">
        <w:rPr>
          <w:rFonts w:ascii="Arial" w:hAnsi="Arial" w:cs="Arial"/>
          <w:lang w:val="en-US"/>
        </w:rPr>
        <w:t>WFP</w:t>
      </w:r>
      <w:r w:rsidRPr="009B5E3F">
        <w:rPr>
          <w:rFonts w:ascii="Arial" w:hAnsi="Arial" w:cs="Arial"/>
          <w:lang w:val="en-US"/>
        </w:rPr>
        <w:t xml:space="preserve"> Network meeting defined for me that I was truly working for a transformational leader. It also galvanized the idea that, from us merely being in post as dedicated ‘Workforce Planners</w:t>
      </w:r>
      <w:r w:rsidR="00F342E2" w:rsidRPr="009B5E3F">
        <w:rPr>
          <w:rFonts w:ascii="Arial" w:hAnsi="Arial" w:cs="Arial"/>
          <w:lang w:val="en-US"/>
        </w:rPr>
        <w:t>,’</w:t>
      </w:r>
      <w:r w:rsidRPr="009B5E3F">
        <w:rPr>
          <w:rFonts w:ascii="Arial" w:hAnsi="Arial" w:cs="Arial"/>
          <w:lang w:val="en-US"/>
        </w:rPr>
        <w:t xml:space="preserve"> we were already strategically influencing </w:t>
      </w:r>
      <w:r w:rsidR="006C4E72" w:rsidRPr="009B5E3F">
        <w:rPr>
          <w:rFonts w:ascii="Arial" w:hAnsi="Arial" w:cs="Arial"/>
          <w:lang w:val="en-US"/>
        </w:rPr>
        <w:t>WFP</w:t>
      </w:r>
      <w:r w:rsidRPr="009B5E3F">
        <w:rPr>
          <w:rFonts w:ascii="Arial" w:hAnsi="Arial" w:cs="Arial"/>
          <w:lang w:val="en-US"/>
        </w:rPr>
        <w:t xml:space="preserve"> across Wales.</w:t>
      </w:r>
    </w:p>
    <w:p w14:paraId="5A56B738" w14:textId="77777777" w:rsidR="00577758" w:rsidRPr="009B5E3F" w:rsidRDefault="00577758" w:rsidP="00577758">
      <w:pPr>
        <w:spacing w:line="360" w:lineRule="auto"/>
        <w:jc w:val="both"/>
        <w:rPr>
          <w:rFonts w:ascii="Arial" w:hAnsi="Arial" w:cs="Arial"/>
          <w:lang w:val="en-US"/>
        </w:rPr>
      </w:pPr>
      <w:r w:rsidRPr="009B5E3F">
        <w:rPr>
          <w:rFonts w:ascii="Arial" w:hAnsi="Arial" w:cs="Arial"/>
          <w:lang w:val="en-US"/>
        </w:rPr>
        <w:lastRenderedPageBreak/>
        <w:t>Throughout the year, I continued to attend the network meetings. As my confidence in my abilities grew, I began to share more with the wider network. As a result, I contributed to the development of a national tool and had colleagues from across Wales asking for guidance and support. I will explore the origins and progress of this in my next learning outcome.</w:t>
      </w:r>
    </w:p>
    <w:p w14:paraId="4BBFB7AF" w14:textId="77777777" w:rsidR="00577758" w:rsidRPr="00834BD7" w:rsidRDefault="00577758" w:rsidP="00577758">
      <w:pPr>
        <w:spacing w:line="360" w:lineRule="auto"/>
        <w:jc w:val="both"/>
        <w:rPr>
          <w:rFonts w:ascii="Arial" w:hAnsi="Arial" w:cs="Arial"/>
        </w:rPr>
      </w:pPr>
    </w:p>
    <w:p w14:paraId="14F69456"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 xml:space="preserve">So What? </w:t>
      </w:r>
    </w:p>
    <w:p w14:paraId="52A55FF6" w14:textId="77777777" w:rsidR="00577758" w:rsidRPr="00834BD7" w:rsidRDefault="00577758" w:rsidP="00577758">
      <w:pPr>
        <w:spacing w:line="360" w:lineRule="auto"/>
        <w:jc w:val="both"/>
        <w:rPr>
          <w:rFonts w:ascii="Arial" w:hAnsi="Arial" w:cs="Arial"/>
          <w:b/>
          <w:bCs/>
        </w:rPr>
      </w:pPr>
      <w:r w:rsidRPr="0018596F">
        <w:rPr>
          <w:rFonts w:ascii="Arial" w:hAnsi="Arial" w:cs="Arial"/>
          <w:lang w:val="en-US"/>
        </w:rPr>
        <w:t xml:space="preserve">Looking back on that first year, I was proud of how much I had achieved—particularly </w:t>
      </w:r>
      <w:r w:rsidRPr="00834BD7">
        <w:rPr>
          <w:rFonts w:ascii="Arial" w:hAnsi="Arial" w:cs="Arial"/>
          <w:lang w:val="en-US"/>
        </w:rPr>
        <w:t>the sheer range of services with which I had engaged</w:t>
      </w:r>
      <w:r w:rsidRPr="0018596F">
        <w:rPr>
          <w:rFonts w:ascii="Arial" w:hAnsi="Arial" w:cs="Arial"/>
          <w:lang w:val="en-US"/>
        </w:rPr>
        <w:t>. At times, I felt overwhelmed, but I also saw clear progress both in my own development and in how the Health Board began to perceive workforce planning. By the end of the year, there was a noticeable shift from “Workforce planning</w:t>
      </w:r>
      <w:r w:rsidRPr="00834BD7">
        <w:rPr>
          <w:rFonts w:ascii="Arial" w:hAnsi="Arial" w:cs="Arial"/>
          <w:lang w:val="en-US"/>
        </w:rPr>
        <w:t xml:space="preserve">, </w:t>
      </w:r>
      <w:r w:rsidRPr="0018596F">
        <w:rPr>
          <w:rFonts w:ascii="Arial" w:hAnsi="Arial" w:cs="Arial"/>
          <w:lang w:val="en-US"/>
        </w:rPr>
        <w:t>who are you?” to “Workforce planning</w:t>
      </w:r>
      <w:r w:rsidRPr="00834BD7">
        <w:rPr>
          <w:rFonts w:ascii="Arial" w:hAnsi="Arial" w:cs="Arial"/>
          <w:lang w:val="en-US"/>
        </w:rPr>
        <w:t xml:space="preserve">, </w:t>
      </w:r>
      <w:r w:rsidRPr="0018596F">
        <w:rPr>
          <w:rFonts w:ascii="Arial" w:hAnsi="Arial" w:cs="Arial"/>
          <w:lang w:val="en-US"/>
        </w:rPr>
        <w:t>tell me more.” This felt like a tangible outcome of the work my team and I had done to promote and influence the agenda more widely.</w:t>
      </w:r>
    </w:p>
    <w:p w14:paraId="2D5F4D77" w14:textId="77777777" w:rsidR="00577758" w:rsidRPr="00834BD7" w:rsidRDefault="00577758" w:rsidP="00577758">
      <w:pPr>
        <w:spacing w:line="360" w:lineRule="auto"/>
        <w:jc w:val="both"/>
        <w:rPr>
          <w:rFonts w:ascii="Arial" w:hAnsi="Arial" w:cs="Arial"/>
          <w:lang w:val="en-US"/>
        </w:rPr>
      </w:pPr>
      <w:r w:rsidRPr="0018596F">
        <w:rPr>
          <w:rFonts w:ascii="Arial" w:hAnsi="Arial" w:cs="Arial"/>
          <w:lang w:val="en-US"/>
        </w:rPr>
        <w:t>This shift aligns with concepts of transformational leadership, particularly in how my manager created the conditions for innovation and change. As Newman (2014, p.155) states, “</w:t>
      </w:r>
      <w:r w:rsidRPr="004342D5">
        <w:rPr>
          <w:rFonts w:ascii="Arial" w:hAnsi="Arial" w:cs="Arial"/>
          <w:i/>
          <w:iCs/>
          <w:lang w:val="en-US"/>
        </w:rPr>
        <w:t>Transformational leaders are distinguished by the ability to empathise with others. Empathy represents one of the most important dynamic emotional competencies differentiating star performing leaders from the rest.”</w:t>
      </w:r>
      <w:r w:rsidRPr="0018596F">
        <w:rPr>
          <w:rFonts w:ascii="Arial" w:hAnsi="Arial" w:cs="Arial"/>
          <w:lang w:val="en-US"/>
        </w:rPr>
        <w:t xml:space="preserve"> I began to reflect that I was fortunate to be working for a transformational leader and was also starting to see the impact of that leadership model in my own practice. Shared emotional intelligence within our team, and with key stakeholders, enabled stronger relationships and opened doors for deeper engagement.</w:t>
      </w:r>
    </w:p>
    <w:p w14:paraId="3C2B93B1" w14:textId="77777777" w:rsidR="00577758" w:rsidRPr="00834BD7" w:rsidRDefault="00577758" w:rsidP="00577758">
      <w:pPr>
        <w:spacing w:line="360" w:lineRule="auto"/>
        <w:jc w:val="both"/>
        <w:rPr>
          <w:rFonts w:ascii="Arial" w:hAnsi="Arial" w:cs="Arial"/>
        </w:rPr>
      </w:pPr>
      <w:r w:rsidRPr="00834BD7">
        <w:rPr>
          <w:rFonts w:ascii="Arial" w:hAnsi="Arial" w:cs="Arial"/>
        </w:rPr>
        <w:t>As a result of my proposals in analysing the enhanced cleaning recruitment process and providing potential solutions, 102 appointments were made, and staff began in post within an average of 22 working days as opposed to the 46 working day average it was expected to take. This felt like an achievement having been involved in this piece of work within weeks of being in post and the fact that I had been working with the Director and heads of service areas. However, my subsequent discussions with the facilities team over the proceeding months and my own increase in knowledge of workforce planning made me realize that jumping straight to the solution of recruiting, before understanding the problems within the service, and what it was aiming to achieve, was not the golden solution it had hoped it would be.</w:t>
      </w:r>
    </w:p>
    <w:p w14:paraId="6ECDAF63" w14:textId="77777777" w:rsidR="00577758" w:rsidRPr="00834BD7" w:rsidRDefault="00577758" w:rsidP="00577758">
      <w:pPr>
        <w:spacing w:line="360" w:lineRule="auto"/>
        <w:jc w:val="both"/>
        <w:rPr>
          <w:rFonts w:ascii="Arial" w:hAnsi="Arial" w:cs="Arial"/>
        </w:rPr>
      </w:pPr>
      <w:r w:rsidRPr="0018596F">
        <w:rPr>
          <w:rFonts w:ascii="Arial" w:hAnsi="Arial" w:cs="Arial"/>
          <w:lang w:val="en-US"/>
        </w:rPr>
        <w:t xml:space="preserve">I </w:t>
      </w:r>
      <w:r w:rsidRPr="00834BD7">
        <w:rPr>
          <w:rFonts w:ascii="Arial" w:hAnsi="Arial" w:cs="Arial"/>
          <w:lang w:val="en-US"/>
        </w:rPr>
        <w:t>was disappointed I had not been</w:t>
      </w:r>
      <w:r w:rsidRPr="0018596F">
        <w:rPr>
          <w:rFonts w:ascii="Arial" w:hAnsi="Arial" w:cs="Arial"/>
          <w:lang w:val="en-US"/>
        </w:rPr>
        <w:t xml:space="preserve"> able to move forward with the facilities team’s workforce plan, and this taught me an important lesson about the unpredictable nature of change within the NHS. Even with the best intentions and planning, priorities can shift quickly in response to emerging </w:t>
      </w:r>
      <w:r w:rsidRPr="0018596F">
        <w:rPr>
          <w:rFonts w:ascii="Arial" w:hAnsi="Arial" w:cs="Arial"/>
          <w:lang w:val="en-US"/>
        </w:rPr>
        <w:lastRenderedPageBreak/>
        <w:t xml:space="preserve">issues. This is something </w:t>
      </w:r>
      <w:r w:rsidRPr="00834BD7">
        <w:rPr>
          <w:rFonts w:ascii="Arial" w:hAnsi="Arial" w:cs="Arial"/>
          <w:lang w:val="en-US"/>
        </w:rPr>
        <w:t>I have</w:t>
      </w:r>
      <w:r w:rsidRPr="0018596F">
        <w:rPr>
          <w:rFonts w:ascii="Arial" w:hAnsi="Arial" w:cs="Arial"/>
          <w:lang w:val="en-US"/>
        </w:rPr>
        <w:t xml:space="preserve"> had to come to terms with and incorporate into my mindset and </w:t>
      </w:r>
      <w:r w:rsidRPr="00834BD7">
        <w:rPr>
          <w:rFonts w:ascii="Arial" w:hAnsi="Arial" w:cs="Arial"/>
          <w:lang w:val="en-US"/>
        </w:rPr>
        <w:t>expectations.</w:t>
      </w:r>
    </w:p>
    <w:p w14:paraId="63CE4ABF" w14:textId="77777777" w:rsidR="00577758" w:rsidRPr="00834BD7" w:rsidRDefault="00577758" w:rsidP="00577758">
      <w:pPr>
        <w:spacing w:line="360" w:lineRule="auto"/>
        <w:jc w:val="both"/>
        <w:rPr>
          <w:rFonts w:ascii="Arial" w:hAnsi="Arial" w:cs="Arial"/>
          <w:lang w:val="en-US"/>
        </w:rPr>
      </w:pPr>
      <w:r w:rsidRPr="0018596F">
        <w:rPr>
          <w:rFonts w:ascii="Arial" w:hAnsi="Arial" w:cs="Arial"/>
          <w:lang w:val="en-US"/>
        </w:rPr>
        <w:br/>
      </w:r>
      <w:r w:rsidRPr="00834BD7">
        <w:rPr>
          <w:rFonts w:ascii="Arial" w:hAnsi="Arial" w:cs="Arial"/>
          <w:b/>
          <w:bCs/>
        </w:rPr>
        <w:t xml:space="preserve">Now what? </w:t>
      </w:r>
      <w:r w:rsidRPr="00834BD7">
        <w:rPr>
          <w:rFonts w:ascii="Arial" w:hAnsi="Arial" w:cs="Arial"/>
        </w:rPr>
        <w:t xml:space="preserve"> </w:t>
      </w:r>
    </w:p>
    <w:p w14:paraId="5FADEB19" w14:textId="77777777" w:rsidR="00945A0F" w:rsidRDefault="00577758" w:rsidP="00577758">
      <w:pPr>
        <w:spacing w:line="360" w:lineRule="auto"/>
        <w:jc w:val="both"/>
        <w:rPr>
          <w:rFonts w:ascii="Arial" w:hAnsi="Arial" w:cs="Arial"/>
          <w:lang w:val="en-US"/>
        </w:rPr>
      </w:pPr>
      <w:r w:rsidRPr="002418B6">
        <w:rPr>
          <w:rFonts w:ascii="Arial" w:hAnsi="Arial" w:cs="Arial"/>
          <w:lang w:val="en-US"/>
        </w:rPr>
        <w:t>Reflecting on my first year, I can see that my influence was incremental rather than transformational</w:t>
      </w:r>
      <w:r w:rsidRPr="00834BD7">
        <w:rPr>
          <w:rFonts w:ascii="Arial" w:hAnsi="Arial" w:cs="Arial"/>
          <w:lang w:val="en-US"/>
        </w:rPr>
        <w:t>, however,</w:t>
      </w:r>
      <w:r w:rsidRPr="002418B6">
        <w:rPr>
          <w:rFonts w:ascii="Arial" w:hAnsi="Arial" w:cs="Arial"/>
          <w:lang w:val="en-US"/>
        </w:rPr>
        <w:t xml:space="preserve"> that </w:t>
      </w:r>
      <w:r w:rsidRPr="00834BD7">
        <w:rPr>
          <w:rFonts w:ascii="Arial" w:hAnsi="Arial" w:cs="Arial"/>
          <w:lang w:val="en-US"/>
        </w:rPr>
        <w:t>does not</w:t>
      </w:r>
      <w:r w:rsidRPr="002418B6">
        <w:rPr>
          <w:rFonts w:ascii="Arial" w:hAnsi="Arial" w:cs="Arial"/>
          <w:lang w:val="en-US"/>
        </w:rPr>
        <w:t xml:space="preserve"> mean it </w:t>
      </w:r>
      <w:r w:rsidRPr="00834BD7">
        <w:rPr>
          <w:rFonts w:ascii="Arial" w:hAnsi="Arial" w:cs="Arial"/>
          <w:lang w:val="en-US"/>
        </w:rPr>
        <w:t>was not</w:t>
      </w:r>
      <w:r w:rsidRPr="002418B6">
        <w:rPr>
          <w:rFonts w:ascii="Arial" w:hAnsi="Arial" w:cs="Arial"/>
          <w:lang w:val="en-US"/>
        </w:rPr>
        <w:t xml:space="preserve"> meaningful. While my understanding of the full scope of the Health Board remained relatively high-level at the time, I had made contributions in key areas that had a ripple effect across the system. As Kotter (1996) emphasises, real organisational change often starts with small wins that build momentum. By strategically targeting services where we could demonstrate value, our team helped embed workforce planning as a legitimate and necessary part of the wider planning function.</w:t>
      </w:r>
    </w:p>
    <w:p w14:paraId="00F5CEE7" w14:textId="40D5A87F" w:rsidR="00577758" w:rsidRPr="00834BD7" w:rsidRDefault="00577758" w:rsidP="00577758">
      <w:pPr>
        <w:spacing w:line="360" w:lineRule="auto"/>
        <w:jc w:val="both"/>
        <w:rPr>
          <w:rFonts w:ascii="Arial" w:hAnsi="Arial" w:cs="Arial"/>
          <w:lang w:val="en-US"/>
        </w:rPr>
      </w:pPr>
      <w:r w:rsidRPr="002418B6">
        <w:rPr>
          <w:rFonts w:ascii="Arial" w:hAnsi="Arial" w:cs="Arial"/>
          <w:lang w:val="en-US"/>
        </w:rPr>
        <w:t xml:space="preserve">Three years on, workforce planning is now embedded in the executive agenda. Our team is a key component of the Annual Planning Coordination Group, and we are consistently called upon to contribute to strategic planning discussions. While there is still progress to be made, I believe </w:t>
      </w:r>
      <w:r w:rsidRPr="00834BD7">
        <w:rPr>
          <w:rFonts w:ascii="Arial" w:hAnsi="Arial" w:cs="Arial"/>
          <w:lang w:val="en-US"/>
        </w:rPr>
        <w:t>we have</w:t>
      </w:r>
      <w:r w:rsidRPr="002418B6">
        <w:rPr>
          <w:rFonts w:ascii="Arial" w:hAnsi="Arial" w:cs="Arial"/>
          <w:lang w:val="en-US"/>
        </w:rPr>
        <w:t xml:space="preserve"> helped shift the narrative from reactive staffing to proactive planning.</w:t>
      </w:r>
    </w:p>
    <w:p w14:paraId="710F1901" w14:textId="773F7D6A" w:rsidR="00577758" w:rsidRPr="002418B6" w:rsidRDefault="00577758" w:rsidP="00577758">
      <w:pPr>
        <w:spacing w:line="360" w:lineRule="auto"/>
        <w:jc w:val="both"/>
        <w:rPr>
          <w:rFonts w:ascii="Arial" w:hAnsi="Arial" w:cs="Arial"/>
          <w:lang w:val="en-US"/>
        </w:rPr>
      </w:pPr>
      <w:r w:rsidRPr="002418B6">
        <w:rPr>
          <w:rFonts w:ascii="Arial" w:hAnsi="Arial" w:cs="Arial"/>
          <w:lang w:val="en-US"/>
        </w:rPr>
        <w:t xml:space="preserve">On a personal level, seeing my contributions written down helps me recognise the value </w:t>
      </w:r>
      <w:r w:rsidRPr="00834BD7">
        <w:rPr>
          <w:rFonts w:ascii="Arial" w:hAnsi="Arial" w:cs="Arial"/>
          <w:lang w:val="en-US"/>
        </w:rPr>
        <w:t>I have</w:t>
      </w:r>
      <w:r w:rsidRPr="002418B6">
        <w:rPr>
          <w:rFonts w:ascii="Arial" w:hAnsi="Arial" w:cs="Arial"/>
          <w:lang w:val="en-US"/>
        </w:rPr>
        <w:t xml:space="preserve"> added. However, I also acknowledge the need to continue developing my confidence</w:t>
      </w:r>
      <w:r w:rsidRPr="00834BD7">
        <w:rPr>
          <w:rFonts w:ascii="Arial" w:hAnsi="Arial" w:cs="Arial"/>
          <w:lang w:val="en-US"/>
        </w:rPr>
        <w:t xml:space="preserve">, </w:t>
      </w:r>
      <w:r w:rsidRPr="002418B6">
        <w:rPr>
          <w:rFonts w:ascii="Arial" w:hAnsi="Arial" w:cs="Arial"/>
          <w:lang w:val="en-US"/>
        </w:rPr>
        <w:t xml:space="preserve">especially in larger, more strategic meetings. While I feel assured in one-to-one or small group settings, I find it more challenging to assert my voice in high-level forums. This is </w:t>
      </w:r>
      <w:r w:rsidR="005058A3" w:rsidRPr="002418B6">
        <w:rPr>
          <w:rFonts w:ascii="Arial" w:hAnsi="Arial" w:cs="Arial"/>
          <w:lang w:val="en-US"/>
        </w:rPr>
        <w:t xml:space="preserve">something </w:t>
      </w:r>
      <w:r w:rsidR="005058A3" w:rsidRPr="00834BD7">
        <w:rPr>
          <w:rFonts w:ascii="Arial" w:hAnsi="Arial" w:cs="Arial"/>
          <w:lang w:val="en-US"/>
        </w:rPr>
        <w:t>on which I am actively working</w:t>
      </w:r>
      <w:r w:rsidRPr="002418B6">
        <w:rPr>
          <w:rFonts w:ascii="Arial" w:hAnsi="Arial" w:cs="Arial"/>
          <w:lang w:val="en-US"/>
        </w:rPr>
        <w:t>. As Goleman (1998) noted in his work on emotional intelligence, self-awareness and self-regulation are key components of leadership growth. I believe that building confidence to speak up in more strategic spaces is an important next step for my development as a leader.</w:t>
      </w:r>
    </w:p>
    <w:p w14:paraId="6B3F3831" w14:textId="77777777" w:rsidR="00577758" w:rsidRPr="00834BD7" w:rsidRDefault="00577758" w:rsidP="00577758">
      <w:pPr>
        <w:spacing w:line="360" w:lineRule="auto"/>
        <w:jc w:val="both"/>
        <w:rPr>
          <w:rFonts w:ascii="Arial" w:hAnsi="Arial" w:cs="Arial"/>
        </w:rPr>
      </w:pPr>
    </w:p>
    <w:p w14:paraId="604D86BA" w14:textId="2D61C207" w:rsidR="000F5520" w:rsidRPr="000F5520" w:rsidRDefault="00577758" w:rsidP="00577758">
      <w:pPr>
        <w:spacing w:line="360" w:lineRule="auto"/>
        <w:jc w:val="both"/>
        <w:rPr>
          <w:rFonts w:ascii="Arial" w:hAnsi="Arial" w:cs="Arial"/>
          <w:b/>
          <w:bCs/>
          <w:u w:val="single"/>
        </w:rPr>
      </w:pPr>
      <w:r w:rsidRPr="000F5520">
        <w:rPr>
          <w:rFonts w:ascii="Arial" w:hAnsi="Arial" w:cs="Arial"/>
          <w:b/>
          <w:bCs/>
          <w:u w:val="single"/>
        </w:rPr>
        <w:t xml:space="preserve">Learning Outcome 3 </w:t>
      </w:r>
    </w:p>
    <w:p w14:paraId="1EFD6DCE" w14:textId="540BB5E2" w:rsidR="00577758" w:rsidRPr="00834BD7" w:rsidRDefault="00577758" w:rsidP="00577758">
      <w:pPr>
        <w:spacing w:line="360" w:lineRule="auto"/>
        <w:jc w:val="both"/>
        <w:rPr>
          <w:rFonts w:ascii="Arial" w:hAnsi="Arial" w:cs="Arial"/>
          <w:b/>
          <w:bCs/>
        </w:rPr>
      </w:pPr>
      <w:r w:rsidRPr="00834BD7">
        <w:rPr>
          <w:rFonts w:ascii="Arial" w:hAnsi="Arial" w:cs="Arial"/>
          <w:b/>
          <w:bCs/>
        </w:rPr>
        <w:t>Collate and critically analyse data to inform workforce planning capability across the organisation</w:t>
      </w:r>
    </w:p>
    <w:p w14:paraId="7B6A2769" w14:textId="77777777" w:rsidR="00577758" w:rsidRPr="00834BD7" w:rsidRDefault="00577758" w:rsidP="00577758">
      <w:pPr>
        <w:spacing w:line="360" w:lineRule="auto"/>
        <w:jc w:val="both"/>
        <w:rPr>
          <w:rFonts w:ascii="Arial" w:hAnsi="Arial" w:cs="Arial"/>
          <w:u w:val="single"/>
        </w:rPr>
      </w:pPr>
      <w:r w:rsidRPr="00834BD7">
        <w:rPr>
          <w:rFonts w:ascii="Arial" w:hAnsi="Arial" w:cs="Arial"/>
          <w:u w:val="single"/>
        </w:rPr>
        <w:t>Background</w:t>
      </w:r>
    </w:p>
    <w:p w14:paraId="3276F476"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As part of my specialist interest as Workforce Planning project manager, my initial 12 months in post focused on workforce data and data modelling. Within this remit, as discussed in Learning outcome 1, I began my data journey by learning the key data sources and how I could analyse and interrogate the data. As part of my learning around the Six step Workforce planning methodology I </w:t>
      </w:r>
      <w:r w:rsidRPr="00834BD7">
        <w:rPr>
          <w:rFonts w:ascii="Arial" w:hAnsi="Arial" w:cs="Arial"/>
        </w:rPr>
        <w:lastRenderedPageBreak/>
        <w:t xml:space="preserve">learnt that some of the key components to understanding your workforce data is to look at the Budget, Actual &amp; Vacancies; Sickness Data; Attrition Data and Age profile. Knowing these would help teams understand their workforce baseline and enable them to plan accordingly. </w:t>
      </w:r>
    </w:p>
    <w:p w14:paraId="188D1C86" w14:textId="77777777" w:rsidR="00577758" w:rsidRPr="00834BD7" w:rsidRDefault="00577758" w:rsidP="00577758">
      <w:pPr>
        <w:spacing w:line="360" w:lineRule="auto"/>
        <w:jc w:val="both"/>
        <w:rPr>
          <w:rFonts w:ascii="Arial" w:hAnsi="Arial" w:cs="Arial"/>
        </w:rPr>
      </w:pPr>
      <w:r w:rsidRPr="00834BD7">
        <w:rPr>
          <w:rFonts w:ascii="Arial" w:hAnsi="Arial" w:cs="Arial"/>
        </w:rPr>
        <w:t>Within this learning outcome I am going to discuss some of the key data analysis I undertook during my first year in post and how this has helped the HB plan in a more efficient and effective way. I am going to discuss 3 key areas which are interlinked: the IMTP or Annual Plan, the Minimum Data Set (MDS) and the Education &amp; Commissioning process. I am also going to describe a specific piece of work on scenario planning for a long-term future strategic piece looking toward the future new Emergency &amp; Acute hospital for the HB. All these different pieces of work helped inform the future workforce planning capability of the organisation.</w:t>
      </w:r>
    </w:p>
    <w:p w14:paraId="788C095B"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What?</w:t>
      </w:r>
    </w:p>
    <w:p w14:paraId="2F4FEF9B" w14:textId="77777777" w:rsidR="00577758" w:rsidRPr="00834BD7" w:rsidRDefault="00577758" w:rsidP="00577758">
      <w:pPr>
        <w:spacing w:line="360" w:lineRule="auto"/>
        <w:jc w:val="both"/>
        <w:rPr>
          <w:rFonts w:ascii="Arial" w:hAnsi="Arial" w:cs="Arial"/>
        </w:rPr>
      </w:pPr>
      <w:r w:rsidRPr="00834BD7">
        <w:rPr>
          <w:rFonts w:ascii="Arial" w:hAnsi="Arial" w:cs="Arial"/>
        </w:rPr>
        <w:t>As referred to in Learning outcome 1, as part of the IMTP process I conducted a workforce baseline analysis which was woven through the Workforce technical document (appendix E) integrating multiple workforce datasets to ensure data accuracy to reflect the current workforce in Hywel Dda and the growth in the workforce compared to historical data. Focusing on highlighting the gaps and potential risks to the future skills and succession planning of the workforce to enable a thorough baseline to be viewed. To enable me to do this I consolidated data from ESR to represent the age profile of the workforce, turnover and sickness however through my work I encountered challenges relating to data quality, inconsistencies and missing data which impacted the overall baseline analysis. There was very limited primary care and social care workforce data I could draw upon to show the whole HB picture which created gaps and the inconsistent data available to look at the detail of skills available across the HB made consolidation difficult. Bamberry &amp; Poolman (2022) emphasise the need for reliable data to inform workforce strategies which is what is required for true evidence-based workforce planning.</w:t>
      </w:r>
    </w:p>
    <w:p w14:paraId="28A7D76A"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In completing the MDS (appendix F) for the first time I utilised core elements of the data within the IMTP however my Excel and scenario planning skills were put to the test as I needed to project what the workforce would be across the next 3 years. For this I needed to gather any additional information from the plans gathered from my colleagues in their discussions with their professional groups to understand if any specific projects or programmes of work were going to increase or decrease the workforce over the coming years. I also needed to incorporate the information from the Education &amp; Commissioning (EC) process. </w:t>
      </w:r>
    </w:p>
    <w:p w14:paraId="49FFC9A2"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One of the primary functions of Health Education Improvement Wales (HEIW) is to commission a constant supply of registered healthcare staff across Wales. As part of this process each HB </w:t>
      </w:r>
      <w:r w:rsidRPr="00834BD7">
        <w:rPr>
          <w:rFonts w:ascii="Arial" w:hAnsi="Arial" w:cs="Arial"/>
        </w:rPr>
        <w:lastRenderedPageBreak/>
        <w:t>undertakes its own EC process to inform HEIW how many places they require on a range of undergraduate courses for their current and future workforce. This includes commissioning places for nurses, HCSW, therapists, pharmacists, radiologists. HEIW are responsible for all professional groups except for Medical and Dentistry whose education requirements are undertaken by the Deanery. In my first months in post the EC process along with the IMTP and MDS submission was the primary focus. As a team we met with service leads and professional nursing leads to understand what was required based on previous years submissions and potential future attrition through turnover and retirement that would need a replacement workforce. Utilising some of the data I had gathered for the IMTP I helped project our future age profile to give an indication of the required numbers.</w:t>
      </w:r>
    </w:p>
    <w:p w14:paraId="74E73AAB" w14:textId="77777777" w:rsidR="00577758" w:rsidRPr="00834BD7" w:rsidRDefault="00577758" w:rsidP="00577758">
      <w:pPr>
        <w:spacing w:line="360" w:lineRule="auto"/>
        <w:jc w:val="both"/>
        <w:rPr>
          <w:rFonts w:ascii="Arial" w:hAnsi="Arial" w:cs="Arial"/>
        </w:rPr>
      </w:pPr>
      <w:r w:rsidRPr="00834BD7">
        <w:rPr>
          <w:rFonts w:ascii="Arial" w:hAnsi="Arial" w:cs="Arial"/>
        </w:rPr>
        <w:t>As noted previously my analysis revealed disjointed workforce data which limited my ability to generate a single source of truth and therefore impacted accurate forecasting. Due to the timescales, for this first year I was reliant on utilising previous data submissions and harnessing professional judgement from key leads across the organisation to inform our EC requirements to create a workforce age profile (Appendix X). Schön’s (1983) ‘reflection in action’ emphasises the need for professionals to adapt as they work. Through encountering these data inconsistencies and limitations I adjusted my approach by introducing validation checks through harnessing the professional judgement of others and utilising my colleagues to cross reference any data received, however this revealed to me the limitations of the current process and that it needed to improve for the next EC cycle. This data was then incorporated into the MDS as an indication of how many newly qualified staff we would forecast to receive over the coming years.</w:t>
      </w:r>
    </w:p>
    <w:p w14:paraId="65C2A4C2" w14:textId="77777777" w:rsidR="00577758" w:rsidRPr="00834BD7" w:rsidRDefault="00577758" w:rsidP="00577758">
      <w:pPr>
        <w:spacing w:line="360" w:lineRule="auto"/>
        <w:jc w:val="both"/>
        <w:rPr>
          <w:rFonts w:ascii="Arial" w:hAnsi="Arial" w:cs="Arial"/>
        </w:rPr>
      </w:pPr>
      <w:r w:rsidRPr="00834BD7">
        <w:rPr>
          <w:rFonts w:ascii="Arial" w:hAnsi="Arial" w:cs="Arial"/>
        </w:rPr>
        <w:t>Following the submissions of the EC, IMTP and MDS my manager having now witnessed my capabilities invited me to attend the planning meetings regarding the creation of a Programme Business Case for the HBs new Emergency and Acute Hospital. I became the workforce planning representative on the meetings and began working with colleagues in the Finance Value Business (FVB) team to forecast the workforce requirements for the new hospital in 7 years’ time. Utilising my new skills from the MDS in starting to forecast and scenario plan I was aware of the limitations of the data I currently had and looked to explore this further through understanding what other data was available in ESR that I could utilise through meeting with the workforce intelligence team. Having gathered additional information and through multiple conversations with the FVB team I was able to explore through Excel different methods of consolidating and analysing the data using Pivot Tables and formulas.</w:t>
      </w:r>
    </w:p>
    <w:p w14:paraId="7737A361" w14:textId="72383100" w:rsidR="00577758" w:rsidRPr="00834BD7" w:rsidRDefault="00577758" w:rsidP="00577758">
      <w:pPr>
        <w:spacing w:line="360" w:lineRule="auto"/>
        <w:jc w:val="both"/>
        <w:rPr>
          <w:rFonts w:ascii="Arial" w:hAnsi="Arial" w:cs="Arial"/>
        </w:rPr>
      </w:pPr>
      <w:r w:rsidRPr="00834BD7">
        <w:rPr>
          <w:rFonts w:ascii="Arial" w:hAnsi="Arial" w:cs="Arial"/>
        </w:rPr>
        <w:lastRenderedPageBreak/>
        <w:t xml:space="preserve">In Learning outcome 4 I will refer to the training resources I and the team created. As part of this work, we developed a Regeneration framework (appendix Y) looking at the 6 B’s as a means of breaking down the workforce options available e.g. Recruitment, Agency &amp; Bank, upskilling through education and training. Through utilising the Regeneration Framework I looked to categorise the data available to me into these 6 areas to enable me to forecast. Through using the reliable data, I had available; historical recruitment, retirement, turnover and EC figures I was able to formulate a tool that could be used to project what the future workforce could look like giving a baseline projection. I was then able to explore potential scenarios to give alternative options, examples of which were increasing or decreasing potential training places, retirement and turnover figures. </w:t>
      </w:r>
    </w:p>
    <w:p w14:paraId="2C83B893" w14:textId="77777777" w:rsidR="00577758" w:rsidRPr="00834BD7" w:rsidRDefault="00577758" w:rsidP="00577758">
      <w:pPr>
        <w:spacing w:line="360" w:lineRule="auto"/>
        <w:jc w:val="both"/>
        <w:rPr>
          <w:rFonts w:ascii="Arial" w:hAnsi="Arial" w:cs="Arial"/>
        </w:rPr>
      </w:pPr>
      <w:r w:rsidRPr="00834BD7">
        <w:rPr>
          <w:rFonts w:ascii="Arial" w:hAnsi="Arial" w:cs="Arial"/>
        </w:rPr>
        <w:t>This allowed for strategic workforce insights to be concluded on the potential available workforce for the future hospital and whereas a HB we need to focus our efforts on growing certain roles or reskill the workforce to enable the strategy vision of moving care closer to the community. I produced an Excel document that was submitted as part of the PBC to WG which helped inform what we believed the future workforce projections where noting what needed to happen from that point in time to achieve the correct workforce required for the new hospital (appendix Z). In working with the FVB team I was able to enhance my own knowledge of scenario planning, thinking of population health, wider determinants of health and how our colleagues across different organisations need to be part of our future plans to enable them. This made me ensure that I was aligning my work to ‘A Healthier Wales’ (Welsh Government, 2018), which emphasises ‘integrated workforce planning across health and social care’.  </w:t>
      </w:r>
    </w:p>
    <w:p w14:paraId="2936A1D1" w14:textId="77777777" w:rsidR="000F5520" w:rsidRDefault="000F5520" w:rsidP="00577758">
      <w:pPr>
        <w:spacing w:line="360" w:lineRule="auto"/>
        <w:jc w:val="both"/>
        <w:rPr>
          <w:rFonts w:ascii="Arial" w:hAnsi="Arial" w:cs="Arial"/>
          <w:b/>
          <w:bCs/>
        </w:rPr>
      </w:pPr>
    </w:p>
    <w:p w14:paraId="544CAE73" w14:textId="09D771D5" w:rsidR="00577758" w:rsidRPr="00834BD7" w:rsidRDefault="00577758" w:rsidP="00577758">
      <w:pPr>
        <w:spacing w:line="360" w:lineRule="auto"/>
        <w:jc w:val="both"/>
        <w:rPr>
          <w:rFonts w:ascii="Arial" w:hAnsi="Arial" w:cs="Arial"/>
          <w:b/>
          <w:bCs/>
        </w:rPr>
      </w:pPr>
      <w:r w:rsidRPr="00834BD7">
        <w:rPr>
          <w:rFonts w:ascii="Arial" w:hAnsi="Arial" w:cs="Arial"/>
          <w:b/>
          <w:bCs/>
        </w:rPr>
        <w:t>So What?</w:t>
      </w:r>
    </w:p>
    <w:p w14:paraId="1CCD63D2" w14:textId="0E9B3446" w:rsidR="00577758" w:rsidRPr="00834BD7" w:rsidRDefault="00577758" w:rsidP="00577758">
      <w:pPr>
        <w:spacing w:line="360" w:lineRule="auto"/>
        <w:jc w:val="both"/>
        <w:rPr>
          <w:rFonts w:ascii="Arial" w:hAnsi="Arial" w:cs="Arial"/>
        </w:rPr>
      </w:pPr>
      <w:r w:rsidRPr="00834BD7">
        <w:rPr>
          <w:rFonts w:ascii="Arial" w:hAnsi="Arial" w:cs="Arial"/>
        </w:rPr>
        <w:t xml:space="preserve">Through collating and analysing the workforce data across these different pieces of work it provided me with critical insights into workforce challenges. The HEIW Workforce Strategy (2020-2030) calls for ‘data-driven workforce planning’ however in collating the available data I found key gaps in the accuracy and reliability of the data and how gathering the key components I required would be a challenge. This limited my ability to explore some areas within the Regeneration Framework as I was not able to gather the necessary data however, it also allowed me to reflect on the information I had and what foundations I could lay within my work and what I could build on </w:t>
      </w:r>
      <w:r w:rsidR="00C93930" w:rsidRPr="00834BD7">
        <w:rPr>
          <w:rFonts w:ascii="Arial" w:hAnsi="Arial" w:cs="Arial"/>
        </w:rPr>
        <w:t>later</w:t>
      </w:r>
      <w:r w:rsidRPr="00834BD7">
        <w:rPr>
          <w:rFonts w:ascii="Arial" w:hAnsi="Arial" w:cs="Arial"/>
        </w:rPr>
        <w:t xml:space="preserve">. This allowed me to focus my efforts and create a robust projection tool formulated on a few key reliable sources of data as workforce data quality and integration is essential to allow strategic decision making and forecasting to happen. </w:t>
      </w:r>
    </w:p>
    <w:p w14:paraId="0E7B344D" w14:textId="77777777" w:rsidR="00577758" w:rsidRPr="00834BD7" w:rsidRDefault="00577758" w:rsidP="00577758">
      <w:pPr>
        <w:spacing w:line="360" w:lineRule="auto"/>
        <w:jc w:val="both"/>
        <w:rPr>
          <w:rFonts w:ascii="Arial" w:hAnsi="Arial" w:cs="Arial"/>
        </w:rPr>
      </w:pPr>
      <w:r w:rsidRPr="00834BD7">
        <w:rPr>
          <w:rFonts w:ascii="Arial" w:hAnsi="Arial" w:cs="Arial"/>
        </w:rPr>
        <w:lastRenderedPageBreak/>
        <w:t>Through my analysis, although I was able to improve on my own Excel knowledge to allow me to create the forecasting tool it also showed me that Excel, although useful does have its limitations. It allowed for ‘structured data analysis’, however it lacked ‘predictive modelling, automation, and interactive reporting capabilities’ (Winston,2021). Knowing its limitations allowed me to begin to think of using alternative and more advanced analytical tools such as Power BI which could help enhance workforce intelligence and allow for a more interactive projection tool.</w:t>
      </w:r>
    </w:p>
    <w:p w14:paraId="27922C9D" w14:textId="77777777" w:rsidR="00577758" w:rsidRPr="00834BD7" w:rsidRDefault="00577758" w:rsidP="00577758">
      <w:pPr>
        <w:spacing w:line="360" w:lineRule="auto"/>
        <w:jc w:val="both"/>
        <w:rPr>
          <w:rFonts w:ascii="Arial" w:hAnsi="Arial" w:cs="Arial"/>
          <w:b/>
          <w:bCs/>
        </w:rPr>
      </w:pPr>
    </w:p>
    <w:p w14:paraId="2DC6572E"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Now What?</w:t>
      </w:r>
    </w:p>
    <w:p w14:paraId="2D0B58E1" w14:textId="77777777" w:rsidR="00577758" w:rsidRPr="00037CEC" w:rsidRDefault="00577758" w:rsidP="00577758">
      <w:pPr>
        <w:spacing w:line="360" w:lineRule="auto"/>
        <w:jc w:val="both"/>
        <w:rPr>
          <w:rFonts w:ascii="Arial" w:hAnsi="Arial" w:cs="Arial"/>
        </w:rPr>
      </w:pPr>
      <w:r w:rsidRPr="00037CEC">
        <w:rPr>
          <w:rFonts w:ascii="Arial" w:hAnsi="Arial" w:cs="Arial"/>
        </w:rPr>
        <w:t>Reflecting on the work I undertook during my first year in post, I have spent the past three years actively seeking ways to enhance workforce data analysis within my role. I have engaged with internal Health Board workforce groups to promote improved data sharing and standardisation. While these efforts have encountered barriers</w:t>
      </w:r>
      <w:r w:rsidRPr="00834BD7">
        <w:rPr>
          <w:rFonts w:ascii="Arial" w:hAnsi="Arial" w:cs="Arial"/>
        </w:rPr>
        <w:t xml:space="preserve">, </w:t>
      </w:r>
      <w:r w:rsidRPr="00037CEC">
        <w:rPr>
          <w:rFonts w:ascii="Arial" w:hAnsi="Arial" w:cs="Arial"/>
        </w:rPr>
        <w:t>including reluctance to share information and inconsistent data capture</w:t>
      </w:r>
      <w:r w:rsidRPr="00834BD7">
        <w:rPr>
          <w:rFonts w:ascii="Arial" w:hAnsi="Arial" w:cs="Arial"/>
        </w:rPr>
        <w:t xml:space="preserve">, </w:t>
      </w:r>
      <w:r w:rsidRPr="00037CEC">
        <w:rPr>
          <w:rFonts w:ascii="Arial" w:hAnsi="Arial" w:cs="Arial"/>
        </w:rPr>
        <w:t>there has been incremental progress. The development of several internal dashboards now allows for greater visibility and real-time analysis, which marks a significant step forward in embedding workforce intelligence into strategic planning.</w:t>
      </w:r>
    </w:p>
    <w:p w14:paraId="275D690F" w14:textId="77777777" w:rsidR="00577758" w:rsidRPr="00037CEC" w:rsidRDefault="00577758" w:rsidP="00577758">
      <w:pPr>
        <w:spacing w:line="360" w:lineRule="auto"/>
        <w:jc w:val="both"/>
        <w:rPr>
          <w:rFonts w:ascii="Arial" w:hAnsi="Arial" w:cs="Arial"/>
        </w:rPr>
      </w:pPr>
      <w:r w:rsidRPr="00037CEC">
        <w:rPr>
          <w:rFonts w:ascii="Arial" w:hAnsi="Arial" w:cs="Arial"/>
        </w:rPr>
        <w:t>I have also contributed to the national Future NHS Workforce Solution Transformation Programme by attending engagement sessions, providing updates on Hywel Dda's position, and supporting preparatory work for the new ESR rollout. As part of this, I have played a role in data cleansing efforts to ensure the accuracy of local workforce information. I recognise that sustainable improvement in data quality is not a one-time effort but a continuous process requiring collaboration, transparency, and digital maturity. My involvement has highlighted the need for consistent national standards and governance, supporting the Welsh Government’s ambition for improved comparability and benchmarking across NHS Wales (Welsh Government, 2023).</w:t>
      </w:r>
    </w:p>
    <w:p w14:paraId="45943C91" w14:textId="77777777" w:rsidR="00577758" w:rsidRPr="00037CEC" w:rsidRDefault="00577758" w:rsidP="00577758">
      <w:pPr>
        <w:spacing w:line="360" w:lineRule="auto"/>
        <w:jc w:val="both"/>
        <w:rPr>
          <w:rFonts w:ascii="Arial" w:hAnsi="Arial" w:cs="Arial"/>
        </w:rPr>
      </w:pPr>
      <w:r w:rsidRPr="00037CEC">
        <w:rPr>
          <w:rFonts w:ascii="Arial" w:hAnsi="Arial" w:cs="Arial"/>
        </w:rPr>
        <w:t>Looking forward, my aim is to continue developing my analytical capabilities, particularly in predictive modelling. I have identified the transition from Excel to Power BI as a critical step in this development. Power BI’s capacity for automation, scenario visualisation, and dynamic reporting aligns well with the strategic needs of workforce planning and will enable more accurate and accessible forecasting tools. This goal reflects my commitment to evidence-based decision-making, as advocated by Rousseau (2018), and reinforces the importance of aligning technical skillsets with organisational intelligence needs.</w:t>
      </w:r>
    </w:p>
    <w:p w14:paraId="2F80DD4A" w14:textId="31125838" w:rsidR="000F5520" w:rsidRPr="000F5520" w:rsidRDefault="00577758" w:rsidP="00577758">
      <w:pPr>
        <w:spacing w:line="360" w:lineRule="auto"/>
        <w:jc w:val="both"/>
        <w:rPr>
          <w:rFonts w:ascii="Arial" w:hAnsi="Arial" w:cs="Arial"/>
        </w:rPr>
      </w:pPr>
      <w:r w:rsidRPr="00037CEC">
        <w:rPr>
          <w:rFonts w:ascii="Arial" w:hAnsi="Arial" w:cs="Arial"/>
        </w:rPr>
        <w:t xml:space="preserve">I plan to embed reflective practice more systematically in my work by continuing to apply Borton’s model. This will enable me to critically evaluate the effectiveness of my data methodologies and </w:t>
      </w:r>
      <w:r w:rsidRPr="00037CEC">
        <w:rPr>
          <w:rFonts w:ascii="Arial" w:hAnsi="Arial" w:cs="Arial"/>
        </w:rPr>
        <w:lastRenderedPageBreak/>
        <w:t xml:space="preserve">adapt them in response to emerging needs. The National Workforce Implementation Plan emphasises that robust workforce intelligence is </w:t>
      </w:r>
      <w:r w:rsidR="00F55999">
        <w:rPr>
          <w:rFonts w:ascii="Arial" w:hAnsi="Arial" w:cs="Arial"/>
        </w:rPr>
        <w:t>‘</w:t>
      </w:r>
      <w:r w:rsidRPr="00037CEC">
        <w:rPr>
          <w:rFonts w:ascii="Arial" w:hAnsi="Arial" w:cs="Arial"/>
        </w:rPr>
        <w:t>fundamental to understanding</w:t>
      </w:r>
      <w:r w:rsidR="00F55999">
        <w:rPr>
          <w:rFonts w:ascii="Arial" w:hAnsi="Arial" w:cs="Arial"/>
        </w:rPr>
        <w:t>’</w:t>
      </w:r>
      <w:r w:rsidRPr="00037CEC">
        <w:rPr>
          <w:rFonts w:ascii="Arial" w:hAnsi="Arial" w:cs="Arial"/>
        </w:rPr>
        <w:t xml:space="preserve"> and </w:t>
      </w:r>
      <w:r w:rsidR="00F55999">
        <w:rPr>
          <w:rFonts w:ascii="Arial" w:hAnsi="Arial" w:cs="Arial"/>
        </w:rPr>
        <w:t>‘</w:t>
      </w:r>
      <w:r w:rsidRPr="00037CEC">
        <w:rPr>
          <w:rFonts w:ascii="Arial" w:hAnsi="Arial" w:cs="Arial"/>
        </w:rPr>
        <w:t>making informed decisions about future workforce needs</w:t>
      </w:r>
      <w:r w:rsidR="00F55999">
        <w:rPr>
          <w:rFonts w:ascii="Arial" w:hAnsi="Arial" w:cs="Arial"/>
        </w:rPr>
        <w:t>’</w:t>
      </w:r>
      <w:r w:rsidRPr="00037CEC">
        <w:rPr>
          <w:rFonts w:ascii="Arial" w:hAnsi="Arial" w:cs="Arial"/>
        </w:rPr>
        <w:t xml:space="preserve"> (Welsh Government, 2023). My learning has reinforced the value of digital transformation in workforce analytics, and I am committed to contributing to a data environment that supports sustainable, evidence-led workforce strategies across Hywel Dda and NHS Wales more broadly.</w:t>
      </w:r>
    </w:p>
    <w:p w14:paraId="50C057AD" w14:textId="77777777" w:rsidR="000F5520" w:rsidRDefault="000F5520" w:rsidP="00577758">
      <w:pPr>
        <w:spacing w:line="360" w:lineRule="auto"/>
        <w:jc w:val="both"/>
        <w:rPr>
          <w:rFonts w:ascii="Arial" w:hAnsi="Arial" w:cs="Arial"/>
          <w:b/>
          <w:bCs/>
          <w:u w:val="single"/>
        </w:rPr>
      </w:pPr>
    </w:p>
    <w:p w14:paraId="0A10B3B6" w14:textId="7DB62BEE" w:rsidR="000F5520" w:rsidRPr="000F5520" w:rsidRDefault="00577758" w:rsidP="00577758">
      <w:pPr>
        <w:spacing w:line="360" w:lineRule="auto"/>
        <w:jc w:val="both"/>
        <w:rPr>
          <w:rFonts w:ascii="Arial" w:hAnsi="Arial" w:cs="Arial"/>
          <w:b/>
          <w:bCs/>
          <w:u w:val="single"/>
        </w:rPr>
      </w:pPr>
      <w:r w:rsidRPr="000F5520">
        <w:rPr>
          <w:rFonts w:ascii="Arial" w:hAnsi="Arial" w:cs="Arial"/>
          <w:b/>
          <w:bCs/>
          <w:u w:val="single"/>
        </w:rPr>
        <w:t xml:space="preserve">Learning Outcome 4 </w:t>
      </w:r>
    </w:p>
    <w:p w14:paraId="05DF0E63" w14:textId="552BBD79" w:rsidR="00577758" w:rsidRPr="00834BD7" w:rsidRDefault="00577758" w:rsidP="00577758">
      <w:pPr>
        <w:spacing w:line="360" w:lineRule="auto"/>
        <w:jc w:val="both"/>
        <w:rPr>
          <w:rFonts w:ascii="Arial" w:hAnsi="Arial" w:cs="Arial"/>
          <w:b/>
          <w:bCs/>
        </w:rPr>
      </w:pPr>
      <w:r w:rsidRPr="00834BD7">
        <w:rPr>
          <w:rFonts w:ascii="Arial" w:hAnsi="Arial" w:cs="Arial"/>
          <w:b/>
          <w:bCs/>
        </w:rPr>
        <w:t>Design and develop a range of tools and resources to aid workforce planning</w:t>
      </w:r>
    </w:p>
    <w:p w14:paraId="593795B3" w14:textId="77777777" w:rsidR="00577758" w:rsidRPr="00834BD7" w:rsidRDefault="00577758" w:rsidP="00577758">
      <w:pPr>
        <w:spacing w:line="360" w:lineRule="auto"/>
        <w:jc w:val="both"/>
        <w:rPr>
          <w:rFonts w:ascii="Arial" w:hAnsi="Arial" w:cs="Arial"/>
          <w:u w:val="single"/>
        </w:rPr>
      </w:pPr>
      <w:r w:rsidRPr="00834BD7">
        <w:rPr>
          <w:rFonts w:ascii="Arial" w:hAnsi="Arial" w:cs="Arial"/>
          <w:u w:val="single"/>
        </w:rPr>
        <w:t>Background</w:t>
      </w:r>
    </w:p>
    <w:p w14:paraId="4476D489" w14:textId="77777777" w:rsidR="00577758" w:rsidRPr="00834BD7" w:rsidRDefault="00577758" w:rsidP="00577758">
      <w:pPr>
        <w:spacing w:line="360" w:lineRule="auto"/>
        <w:jc w:val="both"/>
        <w:rPr>
          <w:rFonts w:ascii="Arial" w:hAnsi="Arial" w:cs="Arial"/>
        </w:rPr>
      </w:pPr>
      <w:r w:rsidRPr="00834BD7">
        <w:rPr>
          <w:rFonts w:ascii="Arial" w:hAnsi="Arial" w:cs="Arial"/>
        </w:rPr>
        <w:t>Within the team remit to build capability and capacity in workforce planning, one of my main aims was to develop the knowledge of staff in HDUHB through teaching them the merits of workforce planning and developing their skills. To do this, I and the team developed a range of tools and resources to help services in creating their own workforce plans.</w:t>
      </w:r>
    </w:p>
    <w:p w14:paraId="1DC463D0" w14:textId="77777777" w:rsidR="00577758" w:rsidRPr="00834BD7" w:rsidRDefault="00577758" w:rsidP="00577758">
      <w:pPr>
        <w:spacing w:line="360" w:lineRule="auto"/>
        <w:jc w:val="both"/>
        <w:rPr>
          <w:rFonts w:ascii="Arial" w:hAnsi="Arial" w:cs="Arial"/>
        </w:rPr>
      </w:pPr>
      <w:r w:rsidRPr="00834BD7">
        <w:rPr>
          <w:rFonts w:ascii="Arial" w:hAnsi="Arial" w:cs="Arial"/>
        </w:rPr>
        <w:t>As the team had all been trained in the Six Steps methodology our starting point was to convey and share this training to HB staff. I looked to educate staff through creating a WFP forum to share and impart our knowledge. In addition, each of the team took a section of the six steps and developed core templates for services to use in the creation of their workforce plans. For me, this focused on the baseline data and how individuals could gather and analyse their services therefore I created range of Excel templates to compliment Step 4. I also created example scenarios based on familiar stories to engage staff as an aid in understanding how to implement the six steps. Through the development of these resources, we created the Regeneration Framework as a means of sharing the different workforce options people had to aid them in their plans but also to enable us to develop our relationships with our wider Workforce colleagues.</w:t>
      </w:r>
    </w:p>
    <w:p w14:paraId="1235E673"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What?</w:t>
      </w:r>
    </w:p>
    <w:p w14:paraId="38D692FC" w14:textId="7065C7D0" w:rsidR="00577758" w:rsidRPr="00834BD7" w:rsidRDefault="00577758" w:rsidP="00577758">
      <w:pPr>
        <w:spacing w:line="360" w:lineRule="auto"/>
        <w:jc w:val="both"/>
        <w:rPr>
          <w:rFonts w:ascii="Arial" w:hAnsi="Arial" w:cs="Arial"/>
        </w:rPr>
      </w:pPr>
      <w:r w:rsidRPr="00834BD7">
        <w:rPr>
          <w:rFonts w:ascii="Arial" w:hAnsi="Arial" w:cs="Arial"/>
        </w:rPr>
        <w:t xml:space="preserve">One of the first engagement tools we created as a team to aid workforce planning across the HB was the creation of a Workforce Planning Forum. Its aim was to share resources, deliver </w:t>
      </w:r>
      <w:r w:rsidR="006C4E72" w:rsidRPr="00834BD7">
        <w:rPr>
          <w:rFonts w:ascii="Arial" w:hAnsi="Arial" w:cs="Arial"/>
        </w:rPr>
        <w:t>WFP</w:t>
      </w:r>
      <w:r w:rsidRPr="00834BD7">
        <w:rPr>
          <w:rFonts w:ascii="Arial" w:hAnsi="Arial" w:cs="Arial"/>
        </w:rPr>
        <w:t xml:space="preserve"> training and provide a space where individuals and teams could come together to share their ideas, lessons learnt and help build a </w:t>
      </w:r>
      <w:r w:rsidR="006C4E72" w:rsidRPr="00834BD7">
        <w:rPr>
          <w:rFonts w:ascii="Arial" w:hAnsi="Arial" w:cs="Arial"/>
        </w:rPr>
        <w:t>WFP</w:t>
      </w:r>
      <w:r w:rsidRPr="00834BD7">
        <w:rPr>
          <w:rFonts w:ascii="Arial" w:hAnsi="Arial" w:cs="Arial"/>
        </w:rPr>
        <w:t xml:space="preserve"> network within the HB. </w:t>
      </w:r>
    </w:p>
    <w:p w14:paraId="1AD192C9" w14:textId="63E80055" w:rsidR="00577758" w:rsidRPr="00834BD7" w:rsidRDefault="00577758" w:rsidP="00577758">
      <w:pPr>
        <w:spacing w:line="360" w:lineRule="auto"/>
        <w:jc w:val="both"/>
        <w:rPr>
          <w:rFonts w:ascii="Arial" w:hAnsi="Arial" w:cs="Arial"/>
        </w:rPr>
      </w:pPr>
      <w:r w:rsidRPr="00834BD7">
        <w:rPr>
          <w:rFonts w:ascii="Arial" w:hAnsi="Arial" w:cs="Arial"/>
        </w:rPr>
        <w:t xml:space="preserve">Towards the end of 2021, as a team, we advertised the forum and invited people to register their interest to attend. I contacted the teams and individuals I had worked with, those that had shown </w:t>
      </w:r>
      <w:r w:rsidRPr="00834BD7">
        <w:rPr>
          <w:rFonts w:ascii="Arial" w:hAnsi="Arial" w:cs="Arial"/>
        </w:rPr>
        <w:lastRenderedPageBreak/>
        <w:t xml:space="preserve">an interest in understanding more about </w:t>
      </w:r>
      <w:r w:rsidR="006C4E72" w:rsidRPr="00834BD7">
        <w:rPr>
          <w:rFonts w:ascii="Arial" w:hAnsi="Arial" w:cs="Arial"/>
        </w:rPr>
        <w:t>WFP</w:t>
      </w:r>
      <w:r w:rsidRPr="00834BD7">
        <w:rPr>
          <w:rFonts w:ascii="Arial" w:hAnsi="Arial" w:cs="Arial"/>
        </w:rPr>
        <w:t xml:space="preserve"> or those that seemed opposed to the idea. To effectively workforce plan and achieve organisational goals I and the team knew we must ‘consider financial resources, workforce capacity and service delivery need’ (CIPD, 2023). As I and others had discovered throughout the year particularly when undertaking the Annual Plan, there needed to be further alignment between these three. Therefore, for the first forum we targeted finance business partners to attend, with the aim that as we were about to enter the next cycle of the Annual plan, the more alignment we could get, the better the plan would be. </w:t>
      </w:r>
    </w:p>
    <w:p w14:paraId="74F8D633" w14:textId="77777777" w:rsidR="00577758" w:rsidRPr="00834BD7" w:rsidRDefault="00577758" w:rsidP="00577758">
      <w:pPr>
        <w:spacing w:line="360" w:lineRule="auto"/>
        <w:jc w:val="both"/>
        <w:rPr>
          <w:rFonts w:ascii="Arial" w:hAnsi="Arial" w:cs="Arial"/>
        </w:rPr>
      </w:pPr>
      <w:r w:rsidRPr="00834BD7">
        <w:rPr>
          <w:rFonts w:ascii="Arial" w:hAnsi="Arial" w:cs="Arial"/>
        </w:rPr>
        <w:t>Our first forum was on the 6</w:t>
      </w:r>
      <w:r w:rsidRPr="00834BD7">
        <w:rPr>
          <w:rFonts w:ascii="Arial" w:hAnsi="Arial" w:cs="Arial"/>
          <w:vertAlign w:val="superscript"/>
        </w:rPr>
        <w:t xml:space="preserve">th </w:t>
      </w:r>
      <w:r w:rsidRPr="00834BD7">
        <w:rPr>
          <w:rFonts w:ascii="Arial" w:hAnsi="Arial" w:cs="Arial"/>
        </w:rPr>
        <w:t xml:space="preserve">of October 2021, and we had 12 attendees, the majority from finance. We also had the Asst Director of Finance in attendance which added additional credence and importance to the forum for those attending but also additional pressure on us as a team to promote and help influence workforce planning as something that the HB should engage in and enact as part of their work.  </w:t>
      </w:r>
    </w:p>
    <w:p w14:paraId="093E50AD"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As the data solutions arm of the team I took the attendees through the importance of accurate data, planning and the need for reliable and accessible data. I was very nervous as this was the first time I’d facilitated a workshop on Teams and due to a technology glitch for most of the forum we weren’t able to see any of the attendees. Which on one hand was a good thing however at times I was unsure if there was anyone listening and what their actual reactions were to what they were hearing. We received some very positive comments, and I was happy that everyone in the virtual room acknowledged the importance of accurate data and were keen to work together to improve on this. Therefore, for me it was a positive step in the right direction for my work and for the establishment of the team. </w:t>
      </w:r>
    </w:p>
    <w:p w14:paraId="36A9B0EC"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We undertook several other forums over the coming months, and we have now developed a rolling training offering for people with a continued call for data training. Therefore, I believe our reach as a team is widening and over the last 3 years, I can see a definite shift in the thinking and a desire to understand and implement workforce planning across the HB. </w:t>
      </w:r>
    </w:p>
    <w:p w14:paraId="26F530CB"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To compliment the forum, I created templates to align to the six-step methodology (Appendix A1) focusing on step 2 ‘Map the Service Change’ and step 4 ‘Understanding workforce availability’ to ‘map out the current workforce’ (Skills for Health, updated 2023). In creating these templates, it allowed me to develop my knowledge of the Six steps framework whilst aiding the learning of others. As Dewey (1916) noted, if people are given something to do and ‘not something to learn’, if it then demands thinking, ‘learning naturally results’. My hope in creating the baseline template (appendix A1) was to allow individuals, whilst working through and gathering their data, learn more about its importance and how they could access and analyse it. I created an overview page with </w:t>
      </w:r>
      <w:r w:rsidRPr="00834BD7">
        <w:rPr>
          <w:rFonts w:ascii="Arial" w:hAnsi="Arial" w:cs="Arial"/>
        </w:rPr>
        <w:lastRenderedPageBreak/>
        <w:t xml:space="preserve">guidance on what each tab entailed and where they could find the necessary data to complete the template. I also provided examples on each page to inform them of what they were looking to include. Prior to sharing the template with a wider audience, I trialled it with some individuals that I was working with as a pilot, in this way I was able ‘to assess the feasibility/acceptability of the approach’ (NCCIH, 2023). In doing this I was able to see what was helpful and what additional advice and information I needed to contain. In doing so I noticed that managers were not confident in using ESR and that more work needed to be done to improve the accessibility of workforce data to teams. If managers were not aware of how to access their data, then how were they going to be able to effectively plan? As a result I altered my approach to introducing data when engaging with teams and went back to basics, Starting sessions with a knowledge check to assess their level of understanding of ESR and then providing managers with the key areas to look at in the system and where they could find guides to support their needs. Giving managers this insight allowed them to feel more confident in accessing data and I could see the epiphany moments when they realised this data was already at their disposal. </w:t>
      </w:r>
    </w:p>
    <w:p w14:paraId="275D942B"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During our team introduction to the six steps, our manager had shared a story version that brought it to life through utilising the story of Father Christmas delivering presents. As this was a seasonal version, to enhance individuals understanding of the practical application of the six steps we decided to create a similar example using a story everybody knows. After some thought my colleague and I landed on the story of Cinderella believing that everyone we engaged with would hopefully be aware of the story. Our aim was to use it as an interactive tool to get managers thinking more broadly about what to include within the different elements of the steps. With my colleague we worked through the story, aligning different aspects to the six steps and I then created this within a PowerPoint slide deck. By adding in familiar images and key references from the story to the six steps and utilising the animation and transition functions I was able to create an interactive resource (appendix B1). This enabled me when talking through the slides on the forum to pause at set points and ask the audience to give examples. As they knew the story, they were able to interact and offer responses whilst practically working through a workforce plan aligned to the six steps. The participants reacted to this session positively as they could then understand what each section required. To enhance their learning, I then gave relatable HDUHB service-based examples so they could see practically how they could develop their own plans. I learnt through this process that the Six Steps Methodology provides a robust theoretical framework (Skills for Health, 2014) for individuals to use, but Schön’s ‘knowing-in-action’ (1983) suggests that professionals learn best through real-world application. During the sessions I reflected on the way we were engaging and </w:t>
      </w:r>
      <w:r w:rsidRPr="00834BD7">
        <w:rPr>
          <w:rFonts w:ascii="Arial" w:hAnsi="Arial" w:cs="Arial"/>
        </w:rPr>
        <w:lastRenderedPageBreak/>
        <w:t xml:space="preserve">seeing the reaction to the interactive elements, it made the creation of practical resources more essential for me. </w:t>
      </w:r>
    </w:p>
    <w:p w14:paraId="4C0A06D8"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To enhance people's knowledge of the different workforce interventions that were available to them and improve their understanding of the areas within the Workforce and OD directorate, as a team we began to look at researching what was already readily available. In doing so we discovered the ‘6 Bs’ which described different workforce interventions under the headings Buy, Build, Borrow, Bind, Bounce and Boost. I was able to identify and link to workforce areas with the majority of the Bs however I realised that if I were unable to readily think of what workforce component sat under each heading, why should I expect managers and individuals across HDUHB to be able to understand it. Therefore, as a team we endeavoured to create a document that was relatable and accessible. Through numerous iterations we finally adapted the 6Bs to the Regeneration framework (appendix C1). In doing so we gave an overview of each area with brief examples underneath of the workforce area services could incorporate or go to for support. It also aligned to core areas of WOD e.g. Recruitment, Operations, Learning &amp; Development. To ensure that our WOD colleagues were aware and signed up to the Regen we shared our initial overview with the Senior Leadership Team and asked for their comments. We incorporated these into the design and to further enhance its usability we asked each leader to create a list of interventions and knowledge areas that sat beneath their area. By undertaking this engagement with our wider colleagues, we ensured that they were signed up to the Regen and had been a part of its creation. It also enabled us to begin embedding workforce planning into our WOD directorate. </w:t>
      </w:r>
    </w:p>
    <w:p w14:paraId="37B5626A"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So What?</w:t>
      </w:r>
    </w:p>
    <w:p w14:paraId="448D3D19" w14:textId="25B736DE" w:rsidR="00577758" w:rsidRPr="00834BD7" w:rsidRDefault="00577758" w:rsidP="00577758">
      <w:pPr>
        <w:spacing w:line="360" w:lineRule="auto"/>
        <w:jc w:val="both"/>
        <w:rPr>
          <w:rFonts w:ascii="Arial" w:hAnsi="Arial" w:cs="Arial"/>
        </w:rPr>
      </w:pPr>
      <w:r w:rsidRPr="00834BD7">
        <w:rPr>
          <w:rFonts w:ascii="Arial" w:hAnsi="Arial" w:cs="Arial"/>
        </w:rPr>
        <w:t xml:space="preserve">Creating the </w:t>
      </w:r>
      <w:r w:rsidR="006C4E72" w:rsidRPr="00834BD7">
        <w:rPr>
          <w:rFonts w:ascii="Arial" w:hAnsi="Arial" w:cs="Arial"/>
        </w:rPr>
        <w:t>WFP</w:t>
      </w:r>
      <w:r w:rsidRPr="00834BD7">
        <w:rPr>
          <w:rFonts w:ascii="Arial" w:hAnsi="Arial" w:cs="Arial"/>
        </w:rPr>
        <w:t xml:space="preserve"> resources and undertaking training through the WFP forum demonstrated to me that </w:t>
      </w:r>
      <w:r w:rsidR="006C4E72" w:rsidRPr="00834BD7">
        <w:rPr>
          <w:rFonts w:ascii="Arial" w:hAnsi="Arial" w:cs="Arial"/>
        </w:rPr>
        <w:t>WFP</w:t>
      </w:r>
      <w:r w:rsidRPr="00834BD7">
        <w:rPr>
          <w:rFonts w:ascii="Arial" w:hAnsi="Arial" w:cs="Arial"/>
        </w:rPr>
        <w:t xml:space="preserve"> training is essential for all staff within HDUHB. Strategic workforce planning depends on skilled professionals capable of data-driven decision-making (Wright and Ulrich, 2018). However, my experience revealed that across all levels there was limited knowledge of what </w:t>
      </w:r>
      <w:r w:rsidR="006C4E72" w:rsidRPr="00834BD7">
        <w:rPr>
          <w:rFonts w:ascii="Arial" w:hAnsi="Arial" w:cs="Arial"/>
        </w:rPr>
        <w:t>WFP</w:t>
      </w:r>
      <w:r w:rsidRPr="00834BD7">
        <w:rPr>
          <w:rFonts w:ascii="Arial" w:hAnsi="Arial" w:cs="Arial"/>
        </w:rPr>
        <w:t xml:space="preserve"> was and how it could be utilised to effectively plan across the organisation. This aligns with Bamberry and Poolman (2022), who emphasise that workforce planning education must be structured and accessible to all levels of staff.</w:t>
      </w:r>
    </w:p>
    <w:p w14:paraId="796DB195" w14:textId="77777777" w:rsidR="00577758" w:rsidRPr="00834BD7" w:rsidRDefault="00577758" w:rsidP="00577758">
      <w:pPr>
        <w:spacing w:line="360" w:lineRule="auto"/>
        <w:jc w:val="both"/>
        <w:rPr>
          <w:rFonts w:ascii="Arial" w:hAnsi="Arial" w:cs="Arial"/>
        </w:rPr>
      </w:pPr>
      <w:r w:rsidRPr="00834BD7">
        <w:rPr>
          <w:rFonts w:ascii="Arial" w:hAnsi="Arial" w:cs="Arial"/>
        </w:rPr>
        <w:t xml:space="preserve">I learnt that for training to be effective I must ensure that it has a balance of theory and practical application. In reflecting on my own learning styles, I looked at my own learning preference utilising the VARK questionnaire (appendix D1). My preference is for visual learning followed by aural therefore the creation of practical, visually appealing tools leant into my preferred learning style enabling me to hopefully create resources that were effective. My initial training approach would </w:t>
      </w:r>
      <w:r w:rsidRPr="00834BD7">
        <w:rPr>
          <w:rFonts w:ascii="Arial" w:hAnsi="Arial" w:cs="Arial"/>
        </w:rPr>
        <w:lastRenderedPageBreak/>
        <w:t>have been to rely heavily on theoretical content of the six steps however through developing the resources and knowing I personally found this difficult to apply I was able to adapt my approach. Introducing scenario-based learning, and interactive planning exercises through the Cinderella story and the Regen framework improved engagement and application of concepts.</w:t>
      </w:r>
    </w:p>
    <w:p w14:paraId="0042A89A" w14:textId="71ABB362" w:rsidR="00577758" w:rsidRPr="00834BD7" w:rsidRDefault="00577758" w:rsidP="00577758">
      <w:pPr>
        <w:spacing w:line="360" w:lineRule="auto"/>
        <w:jc w:val="both"/>
        <w:rPr>
          <w:rFonts w:ascii="Arial" w:hAnsi="Arial" w:cs="Arial"/>
        </w:rPr>
      </w:pPr>
      <w:r w:rsidRPr="00834BD7">
        <w:rPr>
          <w:rFonts w:ascii="Arial" w:hAnsi="Arial" w:cs="Arial"/>
        </w:rPr>
        <w:t xml:space="preserve">The Workforce Planning Forum acted as a Community of Practice, where individuals could share experiences and discuss solutions. This aligns with Lave and Wenger’s (1991) theory of situated learning, which suggests that learning occurs most effectively through collaboration in professional contexts. However, we found that we had inconsistent participation in the forums which helped highlight the need for structured engagement and communication strategies. During this first year I and the team were learning and expecting the HB to learn at the same pace. We however were embedded in </w:t>
      </w:r>
      <w:r w:rsidR="006C4E72" w:rsidRPr="00834BD7">
        <w:rPr>
          <w:rFonts w:ascii="Arial" w:hAnsi="Arial" w:cs="Arial"/>
        </w:rPr>
        <w:t>WFP</w:t>
      </w:r>
      <w:r w:rsidRPr="00834BD7">
        <w:rPr>
          <w:rFonts w:ascii="Arial" w:hAnsi="Arial" w:cs="Arial"/>
        </w:rPr>
        <w:t xml:space="preserve"> whereas for our colleagues this was an ‘add on’ and it was to take time to get </w:t>
      </w:r>
      <w:r w:rsidR="006C4E72" w:rsidRPr="00834BD7">
        <w:rPr>
          <w:rFonts w:ascii="Arial" w:hAnsi="Arial" w:cs="Arial"/>
        </w:rPr>
        <w:t>WFP</w:t>
      </w:r>
      <w:r w:rsidRPr="00834BD7">
        <w:rPr>
          <w:rFonts w:ascii="Arial" w:hAnsi="Arial" w:cs="Arial"/>
        </w:rPr>
        <w:t xml:space="preserve"> on everyone’s agenda. Four years on, workforce planning language is embedded across the HB, evidencing cultural change.</w:t>
      </w:r>
    </w:p>
    <w:p w14:paraId="184ADF02" w14:textId="77777777" w:rsidR="00577758" w:rsidRPr="00834BD7" w:rsidRDefault="00577758" w:rsidP="00577758">
      <w:pPr>
        <w:spacing w:line="360" w:lineRule="auto"/>
        <w:jc w:val="both"/>
        <w:rPr>
          <w:rFonts w:ascii="Arial" w:hAnsi="Arial" w:cs="Arial"/>
          <w:b/>
          <w:bCs/>
        </w:rPr>
      </w:pPr>
      <w:r w:rsidRPr="00834BD7">
        <w:rPr>
          <w:rFonts w:ascii="Arial" w:hAnsi="Arial" w:cs="Arial"/>
          <w:b/>
          <w:bCs/>
        </w:rPr>
        <w:t>Now What?</w:t>
      </w:r>
    </w:p>
    <w:p w14:paraId="0B5A1903" w14:textId="5A25BC56" w:rsidR="00577758" w:rsidRPr="00834BD7" w:rsidRDefault="00577758" w:rsidP="00577758">
      <w:pPr>
        <w:spacing w:line="360" w:lineRule="auto"/>
        <w:jc w:val="both"/>
        <w:rPr>
          <w:rFonts w:ascii="Arial" w:hAnsi="Arial" w:cs="Arial"/>
        </w:rPr>
      </w:pPr>
      <w:r w:rsidRPr="00834BD7">
        <w:rPr>
          <w:rFonts w:ascii="Arial" w:hAnsi="Arial" w:cs="Arial"/>
        </w:rPr>
        <w:t xml:space="preserve">To enhance </w:t>
      </w:r>
      <w:r w:rsidR="006C4E72" w:rsidRPr="00834BD7">
        <w:rPr>
          <w:rFonts w:ascii="Arial" w:hAnsi="Arial" w:cs="Arial"/>
        </w:rPr>
        <w:t>WFP</w:t>
      </w:r>
      <w:r w:rsidRPr="00834BD7">
        <w:rPr>
          <w:rFonts w:ascii="Arial" w:hAnsi="Arial" w:cs="Arial"/>
        </w:rPr>
        <w:t xml:space="preserve"> across the HB I have continued to develop resources through making </w:t>
      </w:r>
      <w:r w:rsidR="006C4E72" w:rsidRPr="00834BD7">
        <w:rPr>
          <w:rFonts w:ascii="Arial" w:hAnsi="Arial" w:cs="Arial"/>
        </w:rPr>
        <w:t>WFP</w:t>
      </w:r>
      <w:r w:rsidRPr="00834BD7">
        <w:rPr>
          <w:rFonts w:ascii="Arial" w:hAnsi="Arial" w:cs="Arial"/>
        </w:rPr>
        <w:t xml:space="preserve"> data more accessible. As noted within the other learning areas I have created templates through the O</w:t>
      </w:r>
      <w:r w:rsidR="00E04C47">
        <w:rPr>
          <w:rFonts w:ascii="Arial" w:hAnsi="Arial" w:cs="Arial"/>
        </w:rPr>
        <w:t>perational Workforce</w:t>
      </w:r>
      <w:r w:rsidRPr="00834BD7">
        <w:rPr>
          <w:rFonts w:ascii="Arial" w:hAnsi="Arial" w:cs="Arial"/>
        </w:rPr>
        <w:t xml:space="preserve"> plans, developed dashboards and projection tools. During the last 4 years the organisation has also developed and as part of this wider tools have become available to aid services in accessing data and training. </w:t>
      </w:r>
    </w:p>
    <w:p w14:paraId="1A7E3C4C" w14:textId="37440B2D" w:rsidR="00577758" w:rsidRPr="00834BD7" w:rsidRDefault="00577758" w:rsidP="00577758">
      <w:pPr>
        <w:spacing w:line="360" w:lineRule="auto"/>
        <w:jc w:val="both"/>
        <w:rPr>
          <w:rFonts w:ascii="Arial" w:hAnsi="Arial" w:cs="Arial"/>
        </w:rPr>
      </w:pPr>
      <w:r w:rsidRPr="00834BD7">
        <w:rPr>
          <w:rFonts w:ascii="Arial" w:hAnsi="Arial" w:cs="Arial"/>
        </w:rPr>
        <w:t xml:space="preserve">I still utilise many of the resources I initially created when introducing </w:t>
      </w:r>
      <w:r w:rsidR="006C4E72" w:rsidRPr="00834BD7">
        <w:rPr>
          <w:rFonts w:ascii="Arial" w:hAnsi="Arial" w:cs="Arial"/>
        </w:rPr>
        <w:t>WFP</w:t>
      </w:r>
      <w:r w:rsidRPr="00834BD7">
        <w:rPr>
          <w:rFonts w:ascii="Arial" w:hAnsi="Arial" w:cs="Arial"/>
        </w:rPr>
        <w:t xml:space="preserve"> to new teams. I have therefore begun to develop tiered training approaches, with the aim of introducing beginner, intermediate, and advanced training pathways to accommodate different skill levels (Wright and Ulrich, 2018). Training in its core function is now the remit of my colleague however I continue to input into training sessions and provide specific data resources. I envisage </w:t>
      </w:r>
      <w:r w:rsidR="006C4E72" w:rsidRPr="00834BD7">
        <w:rPr>
          <w:rFonts w:ascii="Arial" w:hAnsi="Arial" w:cs="Arial"/>
        </w:rPr>
        <w:t>WFP</w:t>
      </w:r>
      <w:r w:rsidRPr="00834BD7">
        <w:rPr>
          <w:rFonts w:ascii="Arial" w:hAnsi="Arial" w:cs="Arial"/>
        </w:rPr>
        <w:t xml:space="preserve"> being part of mandatory training at a beginner level and as a team we continue to develop our </w:t>
      </w:r>
      <w:r w:rsidR="006C4E72" w:rsidRPr="00834BD7">
        <w:rPr>
          <w:rFonts w:ascii="Arial" w:hAnsi="Arial" w:cs="Arial"/>
        </w:rPr>
        <w:t>WFP</w:t>
      </w:r>
      <w:r w:rsidRPr="00834BD7">
        <w:rPr>
          <w:rFonts w:ascii="Arial" w:hAnsi="Arial" w:cs="Arial"/>
        </w:rPr>
        <w:t xml:space="preserve"> offer through training, workshops and for me the development of data accessibility. This has now expanded to working with HEIW at a national level to provide benchmarking data, but I continue to develop in house solutions tailored to HDUHB.</w:t>
      </w:r>
    </w:p>
    <w:p w14:paraId="77DC0215" w14:textId="78ECAA6C" w:rsidR="00577758" w:rsidRPr="00834BD7" w:rsidRDefault="00577758" w:rsidP="00577758">
      <w:pPr>
        <w:spacing w:line="360" w:lineRule="auto"/>
        <w:jc w:val="both"/>
        <w:rPr>
          <w:rFonts w:ascii="Arial" w:hAnsi="Arial" w:cs="Arial"/>
        </w:rPr>
      </w:pPr>
      <w:r w:rsidRPr="00834BD7">
        <w:rPr>
          <w:rFonts w:ascii="Arial" w:hAnsi="Arial" w:cs="Arial"/>
        </w:rPr>
        <w:t>To help provide more relatable resources I would like to strengthen the practical application. In reflecting on the work</w:t>
      </w:r>
      <w:r w:rsidR="009229E2">
        <w:rPr>
          <w:rFonts w:ascii="Arial" w:hAnsi="Arial" w:cs="Arial"/>
        </w:rPr>
        <w:t xml:space="preserve"> </w:t>
      </w:r>
      <w:r w:rsidRPr="00834BD7">
        <w:rPr>
          <w:rFonts w:ascii="Arial" w:hAnsi="Arial" w:cs="Arial"/>
        </w:rPr>
        <w:t>I have undertaken to date with numerous services</w:t>
      </w:r>
      <w:r w:rsidR="000374A4">
        <w:rPr>
          <w:rFonts w:ascii="Arial" w:hAnsi="Arial" w:cs="Arial"/>
        </w:rPr>
        <w:t>,</w:t>
      </w:r>
      <w:r w:rsidRPr="00834BD7">
        <w:rPr>
          <w:rFonts w:ascii="Arial" w:hAnsi="Arial" w:cs="Arial"/>
        </w:rPr>
        <w:t xml:space="preserve"> I would like to develop more case studies and interactive scenarios which will aid the HB in ‘reinforcing applied learning’ (Schön, 1983).</w:t>
      </w:r>
    </w:p>
    <w:p w14:paraId="4E48E728" w14:textId="3C6A5804" w:rsidR="00577758" w:rsidRPr="00834BD7" w:rsidRDefault="00577758" w:rsidP="00577758">
      <w:pPr>
        <w:spacing w:line="360" w:lineRule="auto"/>
        <w:jc w:val="both"/>
        <w:rPr>
          <w:rFonts w:ascii="Arial" w:hAnsi="Arial" w:cs="Arial"/>
        </w:rPr>
      </w:pPr>
      <w:r w:rsidRPr="00834BD7">
        <w:rPr>
          <w:rFonts w:ascii="Arial" w:hAnsi="Arial" w:cs="Arial"/>
        </w:rPr>
        <w:lastRenderedPageBreak/>
        <w:t xml:space="preserve">Due to its reach and our realisation that the HB needed a more focused ground up approach to </w:t>
      </w:r>
      <w:r w:rsidR="006C4E72" w:rsidRPr="00834BD7">
        <w:rPr>
          <w:rFonts w:ascii="Arial" w:hAnsi="Arial" w:cs="Arial"/>
        </w:rPr>
        <w:t>WFP</w:t>
      </w:r>
      <w:r w:rsidRPr="00834BD7">
        <w:rPr>
          <w:rFonts w:ascii="Arial" w:hAnsi="Arial" w:cs="Arial"/>
        </w:rPr>
        <w:t xml:space="preserve"> our internal forum was not sustained, instead focusing on working directly with services and enhancing our wider capability through a varied training approach. During this period HEIW’s </w:t>
      </w:r>
      <w:r w:rsidR="006C4E72" w:rsidRPr="00834BD7">
        <w:rPr>
          <w:rFonts w:ascii="Arial" w:hAnsi="Arial" w:cs="Arial"/>
        </w:rPr>
        <w:t>WFP</w:t>
      </w:r>
      <w:r w:rsidRPr="00834BD7">
        <w:rPr>
          <w:rFonts w:ascii="Arial" w:hAnsi="Arial" w:cs="Arial"/>
        </w:rPr>
        <w:t xml:space="preserve"> team have also expanded and have developed ‘Ty Dysgu’ which is a web-based learning platform. This houses numerous training resources, leadership related content and expert-led sessions therefore the forum element of our initial offer, although it did not work in the time we created it, has gone on to a national level. This has led to the ability at a national level to enable peer mentoring to sustain active participation (Lave and Wenger, 1991).</w:t>
      </w:r>
    </w:p>
    <w:p w14:paraId="5DD8BB6D" w14:textId="2C0AA8A6" w:rsidR="00577758" w:rsidRPr="00834BD7" w:rsidRDefault="00577758" w:rsidP="00577758">
      <w:pPr>
        <w:spacing w:line="360" w:lineRule="auto"/>
        <w:jc w:val="both"/>
        <w:rPr>
          <w:rFonts w:ascii="Arial" w:hAnsi="Arial" w:cs="Arial"/>
        </w:rPr>
      </w:pPr>
      <w:r w:rsidRPr="00834BD7">
        <w:rPr>
          <w:rFonts w:ascii="Arial" w:hAnsi="Arial" w:cs="Arial"/>
        </w:rPr>
        <w:t>I would</w:t>
      </w:r>
      <w:r w:rsidR="0001199F">
        <w:rPr>
          <w:rFonts w:ascii="Arial" w:hAnsi="Arial" w:cs="Arial"/>
        </w:rPr>
        <w:t xml:space="preserve"> now</w:t>
      </w:r>
      <w:r w:rsidRPr="00834BD7">
        <w:rPr>
          <w:rFonts w:ascii="Arial" w:hAnsi="Arial" w:cs="Arial"/>
        </w:rPr>
        <w:t xml:space="preserve"> like to focus my efforts </w:t>
      </w:r>
      <w:r w:rsidR="002B1A82">
        <w:rPr>
          <w:rFonts w:ascii="Arial" w:hAnsi="Arial" w:cs="Arial"/>
        </w:rPr>
        <w:t>on</w:t>
      </w:r>
      <w:r w:rsidRPr="00834BD7">
        <w:rPr>
          <w:rFonts w:ascii="Arial" w:hAnsi="Arial" w:cs="Arial"/>
        </w:rPr>
        <w:t xml:space="preserve"> </w:t>
      </w:r>
      <w:r w:rsidR="006C4E72" w:rsidRPr="00834BD7">
        <w:rPr>
          <w:rFonts w:ascii="Arial" w:hAnsi="Arial" w:cs="Arial"/>
        </w:rPr>
        <w:t>embed</w:t>
      </w:r>
      <w:r w:rsidR="006C4E72">
        <w:rPr>
          <w:rFonts w:ascii="Arial" w:hAnsi="Arial" w:cs="Arial"/>
        </w:rPr>
        <w:t>ding</w:t>
      </w:r>
      <w:r w:rsidRPr="00834BD7">
        <w:rPr>
          <w:rFonts w:ascii="Arial" w:hAnsi="Arial" w:cs="Arial"/>
        </w:rPr>
        <w:t xml:space="preserve"> evaluation in our day-to-day offer. I and the team have created numerous resources over the last 4 years and through our interaction with services and improved communication and engagement I can see the change we have made. 4 years ago, I was eager to work with colleagues across finance and workforce to aid services in their plans, but </w:t>
      </w:r>
      <w:r w:rsidR="006C4E72" w:rsidRPr="00834BD7">
        <w:rPr>
          <w:rFonts w:ascii="Arial" w:hAnsi="Arial" w:cs="Arial"/>
        </w:rPr>
        <w:t>WFP</w:t>
      </w:r>
      <w:r w:rsidRPr="00834BD7">
        <w:rPr>
          <w:rFonts w:ascii="Arial" w:hAnsi="Arial" w:cs="Arial"/>
        </w:rPr>
        <w:t xml:space="preserve"> was an unknown and the concepts were a mystery</w:t>
      </w:r>
      <w:r w:rsidR="006E1049">
        <w:rPr>
          <w:rFonts w:ascii="Arial" w:hAnsi="Arial" w:cs="Arial"/>
        </w:rPr>
        <w:t>,</w:t>
      </w:r>
      <w:r w:rsidRPr="00834BD7">
        <w:rPr>
          <w:rFonts w:ascii="Arial" w:hAnsi="Arial" w:cs="Arial"/>
        </w:rPr>
        <w:t xml:space="preserve"> therefore being a part of HB plans was a struggle. Today the words ‘workforce planning’ are on most people's agenda and a member of the team are essential to the conversations. This has been a huge cultural shift which we can see however we do not have the practical evidence to reinforce it. Therefore, I would like to use the Kirkpatrick or CIRO model into my day-to-day work to allow me and the team to truly measure the long-term impact of workforce planning effectiveness (Kirkpatrick, 1959). Any future training and resources we create should assess long-term behavioural changes in workforce planning practices.</w:t>
      </w:r>
    </w:p>
    <w:p w14:paraId="5E9B32E4" w14:textId="77777777" w:rsidR="00577758" w:rsidRPr="00834BD7" w:rsidRDefault="00577758" w:rsidP="00577758">
      <w:pPr>
        <w:spacing w:line="360" w:lineRule="auto"/>
        <w:jc w:val="both"/>
        <w:rPr>
          <w:rFonts w:ascii="Arial" w:hAnsi="Arial" w:cs="Arial"/>
        </w:rPr>
      </w:pPr>
      <w:r w:rsidRPr="00834BD7">
        <w:rPr>
          <w:rFonts w:ascii="Arial" w:hAnsi="Arial" w:cs="Arial"/>
        </w:rPr>
        <w:t>Developing workforce planning training resources in HDUHB reinforced the need for structured, interactive, and strategically aligned learning approaches. The Welsh Government’s workforce vision emphasises a sustainable and adaptable workforce (Welsh Government, 2018). I hope by continuing to create resources that enable services to engage with and embed workforce planning into their day-to-day plans I can strengthen workforce planning capacity across Hywel Dda University Health Board.</w:t>
      </w:r>
    </w:p>
    <w:p w14:paraId="627A0DB8" w14:textId="77777777" w:rsidR="000972DB" w:rsidRDefault="000972DB"/>
    <w:p w14:paraId="1D4ACE35" w14:textId="77777777" w:rsidR="000972DB" w:rsidRDefault="000972DB"/>
    <w:p w14:paraId="7221F7F1" w14:textId="77777777" w:rsidR="000972DB" w:rsidRDefault="000972DB"/>
    <w:p w14:paraId="3DD40731" w14:textId="77777777" w:rsidR="000972DB" w:rsidRDefault="000972DB"/>
    <w:p w14:paraId="3BE4AE17" w14:textId="77777777" w:rsidR="000972DB" w:rsidRDefault="000972DB"/>
    <w:p w14:paraId="07F72D97" w14:textId="77777777" w:rsidR="000972DB" w:rsidRDefault="000972DB"/>
    <w:p w14:paraId="064AC0B3" w14:textId="77777777" w:rsidR="000972DB" w:rsidRDefault="000972DB"/>
    <w:p w14:paraId="3882A102" w14:textId="77777777" w:rsidR="000972DB" w:rsidRDefault="000972DB"/>
    <w:p w14:paraId="4FA7929C" w14:textId="77777777" w:rsidR="000972DB" w:rsidRDefault="000972DB"/>
    <w:p w14:paraId="0552BD82" w14:textId="77777777" w:rsidR="000972DB" w:rsidRDefault="000972DB"/>
    <w:p w14:paraId="4A66AE9B" w14:textId="528F7CF7" w:rsidR="000972DB" w:rsidRPr="00840DC3" w:rsidRDefault="000972DB" w:rsidP="000972DB">
      <w:pPr>
        <w:rPr>
          <w:rFonts w:ascii="Arial" w:hAnsi="Arial" w:cs="Arial"/>
          <w:b/>
          <w:bCs/>
          <w:color w:val="000000"/>
          <w:sz w:val="36"/>
          <w:szCs w:val="36"/>
        </w:rPr>
      </w:pPr>
      <w:r w:rsidRPr="00840DC3">
        <w:rPr>
          <w:rFonts w:ascii="Arial" w:hAnsi="Arial" w:cs="Arial"/>
          <w:b/>
          <w:bCs/>
          <w:color w:val="000000"/>
          <w:sz w:val="36"/>
          <w:szCs w:val="36"/>
        </w:rPr>
        <w:t xml:space="preserve">THIS PAGE </w:t>
      </w:r>
      <w:r w:rsidR="000F5520">
        <w:rPr>
          <w:rFonts w:ascii="Arial" w:hAnsi="Arial" w:cs="Arial"/>
          <w:b/>
          <w:bCs/>
          <w:color w:val="000000"/>
          <w:sz w:val="36"/>
          <w:szCs w:val="36"/>
        </w:rPr>
        <w:t>I</w:t>
      </w:r>
      <w:r w:rsidRPr="00840DC3">
        <w:rPr>
          <w:rFonts w:ascii="Arial" w:hAnsi="Arial" w:cs="Arial"/>
          <w:b/>
          <w:bCs/>
          <w:color w:val="000000"/>
          <w:sz w:val="36"/>
          <w:szCs w:val="36"/>
        </w:rPr>
        <w:t>S INTENTIONALLY BLANK</w:t>
      </w:r>
    </w:p>
    <w:p w14:paraId="28274EB8" w14:textId="77777777" w:rsidR="007B72D0" w:rsidRDefault="007B72D0"/>
    <w:p w14:paraId="10BFFBEA" w14:textId="77777777" w:rsidR="000972DB" w:rsidRDefault="000972DB"/>
    <w:p w14:paraId="3CC1B505" w14:textId="77777777" w:rsidR="000972DB" w:rsidRDefault="000972DB"/>
    <w:p w14:paraId="3279B3C0" w14:textId="77777777" w:rsidR="000972DB" w:rsidRDefault="000972DB"/>
    <w:p w14:paraId="2F2639CE" w14:textId="77777777" w:rsidR="000972DB" w:rsidRDefault="000972DB"/>
    <w:p w14:paraId="3800D619" w14:textId="77777777" w:rsidR="000972DB" w:rsidRDefault="000972DB"/>
    <w:p w14:paraId="2542A65E" w14:textId="77777777" w:rsidR="000972DB" w:rsidRDefault="000972DB"/>
    <w:p w14:paraId="41BCD713" w14:textId="77777777" w:rsidR="000972DB" w:rsidRDefault="000972DB"/>
    <w:p w14:paraId="374B4C8C" w14:textId="77777777" w:rsidR="000972DB" w:rsidRDefault="000972DB"/>
    <w:p w14:paraId="2FC2C49C" w14:textId="77777777" w:rsidR="000972DB" w:rsidRDefault="000972DB"/>
    <w:p w14:paraId="59EDBE28" w14:textId="77777777" w:rsidR="000972DB" w:rsidRDefault="000972DB"/>
    <w:p w14:paraId="1F83993B" w14:textId="77777777" w:rsidR="000972DB" w:rsidRDefault="000972DB"/>
    <w:p w14:paraId="32CC938D" w14:textId="77777777" w:rsidR="000972DB" w:rsidRDefault="000972DB"/>
    <w:p w14:paraId="1549659B" w14:textId="77777777" w:rsidR="000972DB" w:rsidRDefault="000972DB"/>
    <w:p w14:paraId="0F354412" w14:textId="77777777" w:rsidR="000972DB" w:rsidRDefault="000972DB"/>
    <w:p w14:paraId="3BCC7ABA" w14:textId="77777777" w:rsidR="000972DB" w:rsidRDefault="000972DB"/>
    <w:p w14:paraId="709D339D" w14:textId="77777777" w:rsidR="000972DB" w:rsidRDefault="000972DB"/>
    <w:p w14:paraId="35BB0BF9" w14:textId="77777777" w:rsidR="007B72D0" w:rsidRDefault="007B72D0"/>
    <w:p w14:paraId="68157679" w14:textId="77777777" w:rsidR="007B72D0" w:rsidRDefault="007B72D0"/>
    <w:p w14:paraId="2BFC1DE2" w14:textId="77777777" w:rsidR="007B72D0" w:rsidRDefault="007B72D0"/>
    <w:p w14:paraId="0102F2E1" w14:textId="77777777" w:rsidR="000F5520" w:rsidRDefault="000F5520" w:rsidP="007B72D0"/>
    <w:p w14:paraId="714C32C9" w14:textId="77777777" w:rsidR="005975EE" w:rsidRDefault="005975EE" w:rsidP="007B72D0">
      <w:pPr>
        <w:rPr>
          <w:rFonts w:ascii="Arial" w:eastAsia="Arial" w:hAnsi="Arial" w:cs="Arial"/>
          <w:b/>
          <w:bCs/>
        </w:rPr>
      </w:pPr>
    </w:p>
    <w:p w14:paraId="62481659" w14:textId="77777777" w:rsidR="005975EE" w:rsidRDefault="005975EE" w:rsidP="007B72D0">
      <w:pPr>
        <w:rPr>
          <w:rFonts w:ascii="Arial" w:eastAsia="Arial" w:hAnsi="Arial" w:cs="Arial"/>
          <w:b/>
          <w:bCs/>
        </w:rPr>
      </w:pPr>
    </w:p>
    <w:p w14:paraId="274594DA" w14:textId="77777777" w:rsidR="005975EE" w:rsidRDefault="005975EE" w:rsidP="007B72D0">
      <w:pPr>
        <w:rPr>
          <w:rFonts w:ascii="Arial" w:eastAsia="Arial" w:hAnsi="Arial" w:cs="Arial"/>
          <w:b/>
          <w:bCs/>
        </w:rPr>
      </w:pPr>
    </w:p>
    <w:p w14:paraId="536F1C2A" w14:textId="336C333C" w:rsidR="007B72D0" w:rsidRDefault="007B72D0" w:rsidP="007B72D0">
      <w:pPr>
        <w:rPr>
          <w:rFonts w:ascii="Arial" w:eastAsia="Arial" w:hAnsi="Arial" w:cs="Arial"/>
          <w:b/>
          <w:bCs/>
        </w:rPr>
      </w:pPr>
      <w:r w:rsidRPr="3C527882">
        <w:rPr>
          <w:rFonts w:ascii="Arial" w:eastAsia="Arial" w:hAnsi="Arial" w:cs="Arial"/>
          <w:b/>
          <w:bCs/>
        </w:rPr>
        <w:lastRenderedPageBreak/>
        <w:t>Professional Practice Framework</w:t>
      </w:r>
    </w:p>
    <w:p w14:paraId="689853DE" w14:textId="2390A6B8" w:rsidR="007B72D0" w:rsidRPr="004D0BD8" w:rsidRDefault="000F5520" w:rsidP="007B72D0">
      <w:pPr>
        <w:rPr>
          <w:rFonts w:ascii="Arial" w:eastAsia="Arial" w:hAnsi="Arial" w:cs="Arial"/>
          <w:b/>
          <w:bCs/>
          <w:sz w:val="22"/>
          <w:szCs w:val="22"/>
        </w:rPr>
      </w:pPr>
      <w:r>
        <w:rPr>
          <w:rFonts w:ascii="Arial" w:eastAsia="Arial" w:hAnsi="Arial" w:cs="Arial"/>
          <w:b/>
          <w:bCs/>
        </w:rPr>
        <w:t xml:space="preserve">BMPF7000: </w:t>
      </w:r>
      <w:r w:rsidR="007B72D0" w:rsidRPr="3C527882">
        <w:rPr>
          <w:rFonts w:ascii="Arial" w:eastAsia="Arial" w:hAnsi="Arial" w:cs="Arial"/>
          <w:b/>
          <w:bCs/>
        </w:rPr>
        <w:t>Recognition and Accreditation of Prior Learning (RAL) module</w:t>
      </w:r>
      <w:r w:rsidR="007B72D0" w:rsidRPr="3C527882">
        <w:rPr>
          <w:rFonts w:ascii="Arial" w:eastAsia="Arial" w:hAnsi="Arial" w:cs="Arial"/>
          <w:b/>
          <w:bCs/>
          <w:sz w:val="22"/>
          <w:szCs w:val="22"/>
        </w:rPr>
        <w:t xml:space="preserve"> </w:t>
      </w:r>
    </w:p>
    <w:p w14:paraId="36D658F8" w14:textId="22E543DB" w:rsidR="007B72D0" w:rsidRPr="000972DB" w:rsidRDefault="000972DB" w:rsidP="007B72D0">
      <w:pPr>
        <w:rPr>
          <w:rFonts w:ascii="Arial" w:eastAsia="Arial" w:hAnsi="Arial" w:cs="Arial"/>
          <w:color w:val="4C94D8" w:themeColor="text2" w:themeTint="80"/>
          <w:sz w:val="28"/>
          <w:szCs w:val="28"/>
          <w:u w:val="single"/>
        </w:rPr>
      </w:pPr>
      <w:r w:rsidRPr="000972DB">
        <w:rPr>
          <w:rFonts w:ascii="Arial" w:eastAsia="Arial" w:hAnsi="Arial" w:cs="Arial"/>
          <w:b/>
          <w:bCs/>
          <w:sz w:val="28"/>
          <w:szCs w:val="28"/>
          <w:u w:val="single"/>
        </w:rPr>
        <w:t>Learning Area 2</w:t>
      </w:r>
    </w:p>
    <w:tbl>
      <w:tblPr>
        <w:tblStyle w:val="TableGrid"/>
        <w:tblW w:w="10485" w:type="dxa"/>
        <w:tblLook w:val="04A0" w:firstRow="1" w:lastRow="0" w:firstColumn="1" w:lastColumn="0" w:noHBand="0" w:noVBand="1"/>
      </w:tblPr>
      <w:tblGrid>
        <w:gridCol w:w="1665"/>
        <w:gridCol w:w="8820"/>
      </w:tblGrid>
      <w:tr w:rsidR="007B72D0" w14:paraId="7CB310AF" w14:textId="77777777" w:rsidTr="0009209A">
        <w:tc>
          <w:tcPr>
            <w:tcW w:w="1665" w:type="dxa"/>
          </w:tcPr>
          <w:p w14:paraId="581FFC75" w14:textId="77777777" w:rsidR="007B72D0" w:rsidRDefault="007B72D0" w:rsidP="0009209A">
            <w:pPr>
              <w:rPr>
                <w:rFonts w:ascii="Arial" w:eastAsia="Arial" w:hAnsi="Arial" w:cs="Arial"/>
                <w:sz w:val="22"/>
                <w:szCs w:val="22"/>
              </w:rPr>
            </w:pPr>
            <w:r w:rsidRPr="3C527882">
              <w:rPr>
                <w:rFonts w:ascii="Arial" w:eastAsia="Arial" w:hAnsi="Arial" w:cs="Arial"/>
                <w:sz w:val="22"/>
                <w:szCs w:val="22"/>
              </w:rPr>
              <w:t>Learning Area Title:</w:t>
            </w:r>
          </w:p>
        </w:tc>
        <w:tc>
          <w:tcPr>
            <w:tcW w:w="8820" w:type="dxa"/>
          </w:tcPr>
          <w:p w14:paraId="5E24F097"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Use of effective Workforce analytics to provide insight and build capability in Workforce Planning to deliver a Strategic Clinical Services Programme</w:t>
            </w:r>
          </w:p>
          <w:p w14:paraId="4A2EB3C3" w14:textId="77777777" w:rsidR="007B72D0" w:rsidRDefault="007B72D0" w:rsidP="0009209A">
            <w:pPr>
              <w:rPr>
                <w:rFonts w:ascii="Arial" w:eastAsia="Arial" w:hAnsi="Arial" w:cs="Arial"/>
                <w:color w:val="4C94D8" w:themeColor="text2" w:themeTint="80"/>
                <w:sz w:val="22"/>
                <w:szCs w:val="22"/>
              </w:rPr>
            </w:pPr>
          </w:p>
        </w:tc>
      </w:tr>
      <w:tr w:rsidR="007B72D0" w14:paraId="7866D37B" w14:textId="77777777" w:rsidTr="0009209A">
        <w:tc>
          <w:tcPr>
            <w:tcW w:w="1665" w:type="dxa"/>
          </w:tcPr>
          <w:p w14:paraId="7C940966" w14:textId="77777777" w:rsidR="007B72D0" w:rsidRDefault="007B72D0" w:rsidP="0009209A">
            <w:pPr>
              <w:rPr>
                <w:rFonts w:ascii="Arial" w:eastAsia="Arial" w:hAnsi="Arial" w:cs="Arial"/>
                <w:sz w:val="22"/>
                <w:szCs w:val="22"/>
              </w:rPr>
            </w:pPr>
            <w:r w:rsidRPr="3C527882">
              <w:rPr>
                <w:rFonts w:ascii="Arial" w:eastAsia="Arial" w:hAnsi="Arial" w:cs="Arial"/>
                <w:sz w:val="22"/>
                <w:szCs w:val="22"/>
              </w:rPr>
              <w:t xml:space="preserve">Level of claim: (4, 5, 6 or </w:t>
            </w:r>
            <w:r>
              <w:rPr>
                <w:rFonts w:ascii="Arial" w:eastAsia="Arial" w:hAnsi="Arial" w:cs="Arial"/>
                <w:sz w:val="22"/>
                <w:szCs w:val="22"/>
              </w:rPr>
              <w:t>7</w:t>
            </w:r>
            <w:r w:rsidRPr="3C527882">
              <w:rPr>
                <w:rFonts w:ascii="Arial" w:eastAsia="Arial" w:hAnsi="Arial" w:cs="Arial"/>
                <w:sz w:val="22"/>
                <w:szCs w:val="22"/>
              </w:rPr>
              <w:t>)</w:t>
            </w:r>
          </w:p>
        </w:tc>
        <w:tc>
          <w:tcPr>
            <w:tcW w:w="8820" w:type="dxa"/>
          </w:tcPr>
          <w:p w14:paraId="563989C3" w14:textId="77777777" w:rsidR="007B72D0" w:rsidRPr="00280B81" w:rsidRDefault="007B72D0" w:rsidP="0009209A">
            <w:pPr>
              <w:rPr>
                <w:rFonts w:ascii="Arial" w:eastAsia="Arial" w:hAnsi="Arial" w:cs="Arial"/>
                <w:sz w:val="22"/>
                <w:szCs w:val="22"/>
              </w:rPr>
            </w:pPr>
            <w:r w:rsidRPr="00280B81">
              <w:rPr>
                <w:rFonts w:ascii="Arial" w:eastAsia="Arial" w:hAnsi="Arial" w:cs="Arial"/>
                <w:sz w:val="22"/>
                <w:szCs w:val="22"/>
              </w:rPr>
              <w:t>7</w:t>
            </w:r>
          </w:p>
        </w:tc>
      </w:tr>
      <w:tr w:rsidR="007B72D0" w14:paraId="3C6D9663" w14:textId="77777777" w:rsidTr="0009209A">
        <w:tc>
          <w:tcPr>
            <w:tcW w:w="1665" w:type="dxa"/>
          </w:tcPr>
          <w:p w14:paraId="1BCC0721" w14:textId="77777777" w:rsidR="007B72D0" w:rsidRDefault="007B72D0" w:rsidP="0009209A">
            <w:pPr>
              <w:rPr>
                <w:rFonts w:ascii="Arial" w:eastAsia="Arial" w:hAnsi="Arial" w:cs="Arial"/>
                <w:sz w:val="22"/>
                <w:szCs w:val="22"/>
              </w:rPr>
            </w:pPr>
            <w:r w:rsidRPr="3C527882">
              <w:rPr>
                <w:rFonts w:ascii="Arial" w:eastAsia="Arial" w:hAnsi="Arial" w:cs="Arial"/>
                <w:sz w:val="22"/>
                <w:szCs w:val="22"/>
              </w:rPr>
              <w:t>Total credit being claimed:</w:t>
            </w:r>
          </w:p>
        </w:tc>
        <w:tc>
          <w:tcPr>
            <w:tcW w:w="8820" w:type="dxa"/>
          </w:tcPr>
          <w:p w14:paraId="7D3A30C3" w14:textId="77777777" w:rsidR="007B72D0" w:rsidRPr="00280B81" w:rsidRDefault="007B72D0" w:rsidP="0009209A">
            <w:pPr>
              <w:rPr>
                <w:rFonts w:ascii="Arial" w:eastAsia="Arial" w:hAnsi="Arial" w:cs="Arial"/>
                <w:sz w:val="22"/>
                <w:szCs w:val="22"/>
              </w:rPr>
            </w:pPr>
            <w:r>
              <w:rPr>
                <w:rFonts w:ascii="Arial" w:eastAsia="Arial" w:hAnsi="Arial" w:cs="Arial"/>
                <w:sz w:val="22"/>
                <w:szCs w:val="22"/>
              </w:rPr>
              <w:t>50</w:t>
            </w:r>
          </w:p>
        </w:tc>
      </w:tr>
      <w:tr w:rsidR="007B72D0" w14:paraId="1F6117D9" w14:textId="77777777" w:rsidTr="0009209A">
        <w:tc>
          <w:tcPr>
            <w:tcW w:w="1665" w:type="dxa"/>
          </w:tcPr>
          <w:p w14:paraId="532F1D05" w14:textId="77777777" w:rsidR="007B72D0" w:rsidRDefault="007B72D0" w:rsidP="0009209A">
            <w:pPr>
              <w:rPr>
                <w:rFonts w:ascii="Arial" w:eastAsia="Arial" w:hAnsi="Arial" w:cs="Arial"/>
                <w:sz w:val="22"/>
                <w:szCs w:val="22"/>
              </w:rPr>
            </w:pPr>
            <w:r w:rsidRPr="3C527882">
              <w:rPr>
                <w:rFonts w:ascii="Arial" w:eastAsia="Arial" w:hAnsi="Arial" w:cs="Arial"/>
                <w:sz w:val="22"/>
                <w:szCs w:val="22"/>
              </w:rPr>
              <w:t>List of learning outcomes:</w:t>
            </w:r>
          </w:p>
        </w:tc>
        <w:tc>
          <w:tcPr>
            <w:tcW w:w="8820" w:type="dxa"/>
          </w:tcPr>
          <w:p w14:paraId="5179267A"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LO 1</w:t>
            </w:r>
            <w:r>
              <w:rPr>
                <w:rFonts w:ascii="Arial" w:hAnsi="Arial" w:cs="Arial"/>
                <w:b/>
                <w:bCs/>
                <w:sz w:val="22"/>
                <w:szCs w:val="22"/>
              </w:rPr>
              <w:t>:</w:t>
            </w:r>
            <w:r w:rsidRPr="004D119B">
              <w:rPr>
                <w:rFonts w:ascii="Arial" w:hAnsi="Arial" w:cs="Arial"/>
                <w:b/>
                <w:bCs/>
                <w:sz w:val="22"/>
                <w:szCs w:val="22"/>
              </w:rPr>
              <w:t xml:space="preserve"> Research and critically analyse the Health board’s current and historical workforce data to inform and influence strategic decision-making for the clinical services plan programme. </w:t>
            </w:r>
          </w:p>
          <w:p w14:paraId="2FC5F21C" w14:textId="77777777" w:rsidR="007B72D0" w:rsidRPr="004D119B" w:rsidRDefault="007B72D0" w:rsidP="0009209A">
            <w:pPr>
              <w:spacing w:line="360" w:lineRule="auto"/>
              <w:rPr>
                <w:rFonts w:ascii="Arial" w:eastAsia="Arial" w:hAnsi="Arial" w:cs="Arial"/>
                <w:b/>
                <w:bCs/>
                <w:color w:val="4C94D8" w:themeColor="text2" w:themeTint="80"/>
                <w:sz w:val="22"/>
                <w:szCs w:val="22"/>
              </w:rPr>
            </w:pPr>
          </w:p>
          <w:p w14:paraId="57E5E334"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LO 2</w:t>
            </w:r>
            <w:r>
              <w:rPr>
                <w:rFonts w:ascii="Arial" w:hAnsi="Arial" w:cs="Arial"/>
                <w:b/>
                <w:bCs/>
                <w:sz w:val="22"/>
                <w:szCs w:val="22"/>
              </w:rPr>
              <w:t>:</w:t>
            </w:r>
            <w:r w:rsidRPr="004D119B">
              <w:rPr>
                <w:rFonts w:ascii="Arial" w:hAnsi="Arial" w:cs="Arial"/>
                <w:b/>
                <w:bCs/>
                <w:sz w:val="22"/>
                <w:szCs w:val="22"/>
              </w:rPr>
              <w:t xml:space="preserve"> Collaborate effectively with clinical professionals to integrate expert insights into the design of strategic workforce and service development plans through data gathering and stakeholder consultations.</w:t>
            </w:r>
          </w:p>
          <w:p w14:paraId="294A2339" w14:textId="77777777" w:rsidR="007B72D0" w:rsidRPr="004D119B" w:rsidRDefault="007B72D0" w:rsidP="0009209A">
            <w:pPr>
              <w:spacing w:line="360" w:lineRule="auto"/>
              <w:jc w:val="both"/>
              <w:rPr>
                <w:rFonts w:ascii="Arial" w:hAnsi="Arial" w:cs="Arial"/>
                <w:b/>
                <w:bCs/>
                <w:sz w:val="22"/>
                <w:szCs w:val="22"/>
              </w:rPr>
            </w:pPr>
          </w:p>
          <w:p w14:paraId="1C3619AD"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LO 3</w:t>
            </w:r>
            <w:r>
              <w:rPr>
                <w:rFonts w:ascii="Arial" w:hAnsi="Arial" w:cs="Arial"/>
                <w:b/>
                <w:bCs/>
                <w:sz w:val="22"/>
                <w:szCs w:val="22"/>
              </w:rPr>
              <w:t>:</w:t>
            </w:r>
            <w:r w:rsidRPr="004D119B">
              <w:rPr>
                <w:rFonts w:ascii="Arial" w:hAnsi="Arial" w:cs="Arial"/>
                <w:b/>
                <w:bCs/>
                <w:sz w:val="22"/>
                <w:szCs w:val="22"/>
              </w:rPr>
              <w:t xml:space="preserve">  Design and present a comprehensive workforce feasibility assessment to inform executive decision-making and support organisational strategic objectives.</w:t>
            </w:r>
          </w:p>
          <w:p w14:paraId="6283BEC3" w14:textId="77777777" w:rsidR="007B72D0" w:rsidRPr="004D119B" w:rsidRDefault="007B72D0" w:rsidP="0009209A">
            <w:pPr>
              <w:spacing w:line="360" w:lineRule="auto"/>
              <w:jc w:val="both"/>
              <w:rPr>
                <w:rFonts w:ascii="Arial" w:hAnsi="Arial" w:cs="Arial"/>
                <w:b/>
                <w:bCs/>
                <w:sz w:val="22"/>
                <w:szCs w:val="22"/>
              </w:rPr>
            </w:pPr>
          </w:p>
          <w:p w14:paraId="733A3287"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LO 4</w:t>
            </w:r>
            <w:r>
              <w:rPr>
                <w:rFonts w:ascii="Arial" w:hAnsi="Arial" w:cs="Arial"/>
                <w:b/>
                <w:bCs/>
                <w:sz w:val="22"/>
                <w:szCs w:val="22"/>
              </w:rPr>
              <w:t>:</w:t>
            </w:r>
            <w:r w:rsidRPr="004D119B">
              <w:rPr>
                <w:rFonts w:ascii="Arial" w:hAnsi="Arial" w:cs="Arial"/>
                <w:b/>
                <w:bCs/>
                <w:sz w:val="22"/>
                <w:szCs w:val="22"/>
              </w:rPr>
              <w:t xml:space="preserve"> Critically appraise and refine workforce plans, incorporating phased implementation approaches to align with organisational timelines, resource availability, and evolving healthcare needs.</w:t>
            </w:r>
          </w:p>
          <w:p w14:paraId="1AB15045" w14:textId="77777777" w:rsidR="007B72D0" w:rsidRPr="00036606" w:rsidRDefault="007B72D0" w:rsidP="0009209A">
            <w:pPr>
              <w:tabs>
                <w:tab w:val="left" w:pos="426"/>
              </w:tabs>
              <w:spacing w:line="360" w:lineRule="auto"/>
              <w:rPr>
                <w:rFonts w:ascii="Arial" w:eastAsia="Arial" w:hAnsi="Arial" w:cs="Arial"/>
                <w:color w:val="00B0F0"/>
                <w:sz w:val="22"/>
                <w:szCs w:val="22"/>
              </w:rPr>
            </w:pPr>
          </w:p>
        </w:tc>
      </w:tr>
      <w:tr w:rsidR="007B72D0" w14:paraId="68EBCB17" w14:textId="77777777" w:rsidTr="0009209A">
        <w:tc>
          <w:tcPr>
            <w:tcW w:w="1665" w:type="dxa"/>
          </w:tcPr>
          <w:p w14:paraId="6ADC9CD2"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Introduction to your Learning Area</w:t>
            </w:r>
          </w:p>
          <w:p w14:paraId="2C791EF3"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(1,000 max words)</w:t>
            </w:r>
          </w:p>
        </w:tc>
        <w:tc>
          <w:tcPr>
            <w:tcW w:w="8820" w:type="dxa"/>
          </w:tcPr>
          <w:p w14:paraId="3DA51117" w14:textId="77777777" w:rsidR="007B72D0" w:rsidRPr="00E14743" w:rsidRDefault="007B72D0" w:rsidP="0009209A">
            <w:pPr>
              <w:jc w:val="both"/>
              <w:rPr>
                <w:rFonts w:ascii="Arial" w:eastAsia="Arial" w:hAnsi="Arial" w:cs="Arial"/>
                <w:b/>
                <w:bCs/>
                <w:color w:val="00B0F0"/>
                <w:sz w:val="22"/>
                <w:szCs w:val="22"/>
                <w:u w:val="single"/>
              </w:rPr>
            </w:pPr>
            <w:r w:rsidRPr="00E14743">
              <w:rPr>
                <w:rFonts w:ascii="Arial" w:hAnsi="Arial" w:cs="Arial"/>
                <w:b/>
                <w:bCs/>
                <w:sz w:val="22"/>
                <w:szCs w:val="22"/>
                <w:u w:val="single"/>
              </w:rPr>
              <w:t>Background</w:t>
            </w:r>
          </w:p>
          <w:p w14:paraId="008D7DC5" w14:textId="77777777" w:rsidR="007B72D0" w:rsidRDefault="007B72D0" w:rsidP="0009209A">
            <w:pPr>
              <w:jc w:val="both"/>
              <w:rPr>
                <w:rFonts w:ascii="Arial" w:eastAsia="Arial" w:hAnsi="Arial" w:cs="Arial"/>
                <w:color w:val="00B0F0"/>
                <w:sz w:val="22"/>
                <w:szCs w:val="22"/>
              </w:rPr>
            </w:pPr>
          </w:p>
          <w:p w14:paraId="4F1E9CF2" w14:textId="77777777" w:rsidR="007B72D0" w:rsidRDefault="007B72D0" w:rsidP="0009209A">
            <w:pPr>
              <w:jc w:val="both"/>
              <w:rPr>
                <w:rFonts w:ascii="Arial" w:eastAsia="Arial" w:hAnsi="Arial" w:cs="Arial"/>
                <w:color w:val="00B0F0"/>
                <w:sz w:val="22"/>
                <w:szCs w:val="22"/>
              </w:rPr>
            </w:pPr>
          </w:p>
          <w:p w14:paraId="6477DA76" w14:textId="3C552174" w:rsidR="007B72D0" w:rsidRDefault="007B72D0" w:rsidP="0009209A">
            <w:pPr>
              <w:spacing w:line="360" w:lineRule="auto"/>
              <w:jc w:val="both"/>
              <w:rPr>
                <w:rFonts w:ascii="Arial" w:eastAsia="Arial" w:hAnsi="Arial" w:cs="Arial"/>
                <w:sz w:val="22"/>
                <w:szCs w:val="22"/>
              </w:rPr>
            </w:pPr>
            <w:r w:rsidRPr="007665BA">
              <w:rPr>
                <w:rFonts w:ascii="Arial" w:eastAsia="Arial" w:hAnsi="Arial" w:cs="Arial"/>
                <w:sz w:val="22"/>
                <w:szCs w:val="22"/>
              </w:rPr>
              <w:t xml:space="preserve">In March 2023 as a result of increasing fragility across several of the Health boards clinical services, the HB Executive team were asked to approve the establishment of a programme of work to develop a Clinical Services plan (CSP) (Appendix </w:t>
            </w:r>
            <w:r>
              <w:rPr>
                <w:rFonts w:ascii="Arial" w:eastAsia="Arial" w:hAnsi="Arial" w:cs="Arial"/>
                <w:sz w:val="22"/>
                <w:szCs w:val="22"/>
              </w:rPr>
              <w:t>E1</w:t>
            </w:r>
            <w:r w:rsidRPr="007665BA">
              <w:rPr>
                <w:rFonts w:ascii="Arial" w:eastAsia="Arial" w:hAnsi="Arial" w:cs="Arial"/>
                <w:sz w:val="22"/>
                <w:szCs w:val="22"/>
              </w:rPr>
              <w:t>). This was to address the increased fragility of 9 services which needed urgent attention to improve the service provision, prior to the long-term goal of a new Acute Hospital</w:t>
            </w:r>
            <w:r>
              <w:rPr>
                <w:rFonts w:ascii="Arial" w:eastAsia="Arial" w:hAnsi="Arial" w:cs="Arial"/>
                <w:sz w:val="22"/>
                <w:szCs w:val="22"/>
              </w:rPr>
              <w:t>,</w:t>
            </w:r>
            <w:r w:rsidRPr="007665BA">
              <w:rPr>
                <w:rFonts w:ascii="Arial" w:eastAsia="Arial" w:hAnsi="Arial" w:cs="Arial"/>
                <w:sz w:val="22"/>
                <w:szCs w:val="22"/>
              </w:rPr>
              <w:t xml:space="preserve"> set out in the programme business case in line with the HB strategy ‘A Healthier Mid and West Wales’. The CSP programme </w:t>
            </w:r>
            <w:r>
              <w:rPr>
                <w:rFonts w:ascii="Arial" w:eastAsia="Arial" w:hAnsi="Arial" w:cs="Arial"/>
                <w:sz w:val="22"/>
                <w:szCs w:val="22"/>
              </w:rPr>
              <w:t>aims were</w:t>
            </w:r>
            <w:r w:rsidRPr="007665BA">
              <w:rPr>
                <w:rFonts w:ascii="Arial" w:eastAsia="Arial" w:hAnsi="Arial" w:cs="Arial"/>
                <w:sz w:val="22"/>
                <w:szCs w:val="22"/>
              </w:rPr>
              <w:t xml:space="preserve"> to create a plan for each service area, bringing together service leads and clinicians to develop a set of options across several multi-professional workshops and supporting task and finish groups. </w:t>
            </w:r>
            <w:r>
              <w:rPr>
                <w:rFonts w:ascii="Arial" w:eastAsia="Arial" w:hAnsi="Arial" w:cs="Arial"/>
                <w:sz w:val="22"/>
                <w:szCs w:val="22"/>
              </w:rPr>
              <w:t xml:space="preserve">This has been a very complex programme with </w:t>
            </w:r>
            <w:r w:rsidR="00C93930">
              <w:rPr>
                <w:rFonts w:ascii="Arial" w:eastAsia="Arial" w:hAnsi="Arial" w:cs="Arial"/>
                <w:sz w:val="22"/>
                <w:szCs w:val="22"/>
              </w:rPr>
              <w:t>several</w:t>
            </w:r>
            <w:r>
              <w:rPr>
                <w:rFonts w:ascii="Arial" w:eastAsia="Arial" w:hAnsi="Arial" w:cs="Arial"/>
                <w:sz w:val="22"/>
                <w:szCs w:val="22"/>
              </w:rPr>
              <w:t xml:space="preserve"> interdependencies across the service areas concerned. The 9 </w:t>
            </w:r>
            <w:r>
              <w:rPr>
                <w:rFonts w:ascii="Arial" w:eastAsia="Arial" w:hAnsi="Arial" w:cs="Arial"/>
                <w:sz w:val="22"/>
                <w:szCs w:val="22"/>
              </w:rPr>
              <w:lastRenderedPageBreak/>
              <w:t xml:space="preserve">services involved are: Critical Care, Dermatology, Emergency General Surgery, Endoscopy, Ophthalmology, Orthopaedics, Radiology, Stroke and Urology. In addition, for the first phase of the programme Primary Care was included, however due to its size and significant risk following phase 1, a separate programme was established to undertake the work separately. </w:t>
            </w:r>
          </w:p>
          <w:p w14:paraId="6504D168" w14:textId="77777777" w:rsidR="007B72D0" w:rsidRPr="007665BA" w:rsidRDefault="007B72D0" w:rsidP="0009209A">
            <w:pPr>
              <w:spacing w:line="360" w:lineRule="auto"/>
              <w:jc w:val="both"/>
              <w:rPr>
                <w:rFonts w:ascii="Arial" w:eastAsia="Arial" w:hAnsi="Arial" w:cs="Arial"/>
                <w:sz w:val="22"/>
                <w:szCs w:val="22"/>
              </w:rPr>
            </w:pPr>
            <w:r w:rsidRPr="007665BA">
              <w:rPr>
                <w:rFonts w:ascii="Arial" w:eastAsia="Arial" w:hAnsi="Arial" w:cs="Arial"/>
                <w:sz w:val="22"/>
                <w:szCs w:val="22"/>
              </w:rPr>
              <w:t xml:space="preserve">As referred to in Learning area 1, I created workforce projections for the PBC, therefore I continued to attend the activity modelling group meetings (appendix </w:t>
            </w:r>
            <w:r>
              <w:rPr>
                <w:rFonts w:ascii="Arial" w:eastAsia="Arial" w:hAnsi="Arial" w:cs="Arial"/>
                <w:sz w:val="22"/>
                <w:szCs w:val="22"/>
              </w:rPr>
              <w:t>F1</w:t>
            </w:r>
            <w:r w:rsidRPr="007665BA">
              <w:rPr>
                <w:rFonts w:ascii="Arial" w:eastAsia="Arial" w:hAnsi="Arial" w:cs="Arial"/>
                <w:sz w:val="22"/>
                <w:szCs w:val="22"/>
              </w:rPr>
              <w:t>)</w:t>
            </w:r>
            <w:r>
              <w:rPr>
                <w:rFonts w:ascii="Arial" w:eastAsia="Arial" w:hAnsi="Arial" w:cs="Arial"/>
                <w:sz w:val="22"/>
                <w:szCs w:val="22"/>
              </w:rPr>
              <w:t>. A</w:t>
            </w:r>
            <w:r w:rsidRPr="007665BA">
              <w:rPr>
                <w:rFonts w:ascii="Arial" w:eastAsia="Arial" w:hAnsi="Arial" w:cs="Arial"/>
                <w:sz w:val="22"/>
                <w:szCs w:val="22"/>
              </w:rPr>
              <w:t xml:space="preserve">s the </w:t>
            </w:r>
            <w:r>
              <w:rPr>
                <w:rFonts w:ascii="Arial" w:eastAsia="Arial" w:hAnsi="Arial" w:cs="Arial"/>
                <w:sz w:val="22"/>
                <w:szCs w:val="22"/>
              </w:rPr>
              <w:t xml:space="preserve">CSP </w:t>
            </w:r>
            <w:r w:rsidRPr="007665BA">
              <w:rPr>
                <w:rFonts w:ascii="Arial" w:eastAsia="Arial" w:hAnsi="Arial" w:cs="Arial"/>
                <w:sz w:val="22"/>
                <w:szCs w:val="22"/>
              </w:rPr>
              <w:t>programme was a stepping stone to the future aims of the strategy</w:t>
            </w:r>
            <w:r>
              <w:rPr>
                <w:rFonts w:ascii="Arial" w:eastAsia="Arial" w:hAnsi="Arial" w:cs="Arial"/>
                <w:sz w:val="22"/>
                <w:szCs w:val="22"/>
              </w:rPr>
              <w:t>, the PBC activity group meetings</w:t>
            </w:r>
            <w:r w:rsidRPr="007665BA">
              <w:rPr>
                <w:rFonts w:ascii="Arial" w:eastAsia="Arial" w:hAnsi="Arial" w:cs="Arial"/>
                <w:sz w:val="22"/>
                <w:szCs w:val="22"/>
              </w:rPr>
              <w:t xml:space="preserve"> morphed into </w:t>
            </w:r>
            <w:r>
              <w:rPr>
                <w:rFonts w:ascii="Arial" w:eastAsia="Arial" w:hAnsi="Arial" w:cs="Arial"/>
                <w:sz w:val="22"/>
                <w:szCs w:val="22"/>
              </w:rPr>
              <w:t>a</w:t>
            </w:r>
            <w:r w:rsidRPr="007665BA">
              <w:rPr>
                <w:rFonts w:ascii="Arial" w:eastAsia="Arial" w:hAnsi="Arial" w:cs="Arial"/>
                <w:sz w:val="22"/>
                <w:szCs w:val="22"/>
              </w:rPr>
              <w:t xml:space="preserve"> CSP</w:t>
            </w:r>
            <w:r>
              <w:rPr>
                <w:rFonts w:ascii="Arial" w:eastAsia="Arial" w:hAnsi="Arial" w:cs="Arial"/>
                <w:sz w:val="22"/>
                <w:szCs w:val="22"/>
              </w:rPr>
              <w:t xml:space="preserve"> focused oversight group</w:t>
            </w:r>
            <w:r w:rsidRPr="007665BA">
              <w:rPr>
                <w:rFonts w:ascii="Arial" w:eastAsia="Arial" w:hAnsi="Arial" w:cs="Arial"/>
                <w:sz w:val="22"/>
                <w:szCs w:val="22"/>
              </w:rPr>
              <w:t xml:space="preserve">. My role within the programme was to </w:t>
            </w:r>
            <w:r>
              <w:rPr>
                <w:rFonts w:ascii="Arial" w:eastAsia="Arial" w:hAnsi="Arial" w:cs="Arial"/>
                <w:sz w:val="22"/>
                <w:szCs w:val="22"/>
              </w:rPr>
              <w:t xml:space="preserve">be the Workforce member of the group and </w:t>
            </w:r>
            <w:r w:rsidRPr="007665BA">
              <w:rPr>
                <w:rFonts w:ascii="Arial" w:eastAsia="Arial" w:hAnsi="Arial" w:cs="Arial"/>
                <w:sz w:val="22"/>
                <w:szCs w:val="22"/>
              </w:rPr>
              <w:t xml:space="preserve">aid the multi-professional and </w:t>
            </w:r>
            <w:r>
              <w:rPr>
                <w:rFonts w:ascii="Arial" w:eastAsia="Arial" w:hAnsi="Arial" w:cs="Arial"/>
                <w:sz w:val="22"/>
                <w:szCs w:val="22"/>
              </w:rPr>
              <w:t>T</w:t>
            </w:r>
            <w:r w:rsidRPr="007665BA">
              <w:rPr>
                <w:rFonts w:ascii="Arial" w:eastAsia="Arial" w:hAnsi="Arial" w:cs="Arial"/>
                <w:sz w:val="22"/>
                <w:szCs w:val="22"/>
              </w:rPr>
              <w:t>ransformation planning team to develop the options</w:t>
            </w:r>
            <w:r>
              <w:rPr>
                <w:rFonts w:ascii="Arial" w:eastAsia="Arial" w:hAnsi="Arial" w:cs="Arial"/>
                <w:sz w:val="22"/>
                <w:szCs w:val="22"/>
              </w:rPr>
              <w:t>. I undertook this by</w:t>
            </w:r>
            <w:r w:rsidRPr="007665BA">
              <w:rPr>
                <w:rFonts w:ascii="Arial" w:eastAsia="Arial" w:hAnsi="Arial" w:cs="Arial"/>
                <w:sz w:val="22"/>
                <w:szCs w:val="22"/>
              </w:rPr>
              <w:t xml:space="preserve"> </w:t>
            </w:r>
            <w:r>
              <w:rPr>
                <w:rFonts w:ascii="Arial" w:eastAsia="Arial" w:hAnsi="Arial" w:cs="Arial"/>
                <w:sz w:val="22"/>
                <w:szCs w:val="22"/>
              </w:rPr>
              <w:t>presenting</w:t>
            </w:r>
            <w:r w:rsidRPr="007665BA">
              <w:rPr>
                <w:rFonts w:ascii="Arial" w:eastAsia="Arial" w:hAnsi="Arial" w:cs="Arial"/>
                <w:sz w:val="22"/>
                <w:szCs w:val="22"/>
              </w:rPr>
              <w:t xml:space="preserve"> </w:t>
            </w:r>
            <w:r>
              <w:rPr>
                <w:rFonts w:ascii="Arial" w:eastAsia="Arial" w:hAnsi="Arial" w:cs="Arial"/>
                <w:sz w:val="22"/>
                <w:szCs w:val="22"/>
              </w:rPr>
              <w:t xml:space="preserve">historical, current and projected </w:t>
            </w:r>
            <w:r w:rsidRPr="007665BA">
              <w:rPr>
                <w:rFonts w:ascii="Arial" w:eastAsia="Arial" w:hAnsi="Arial" w:cs="Arial"/>
                <w:sz w:val="22"/>
                <w:szCs w:val="22"/>
              </w:rPr>
              <w:t>workforce data</w:t>
            </w:r>
            <w:r>
              <w:rPr>
                <w:rFonts w:ascii="Arial" w:eastAsia="Arial" w:hAnsi="Arial" w:cs="Arial"/>
                <w:sz w:val="22"/>
                <w:szCs w:val="22"/>
              </w:rPr>
              <w:t xml:space="preserve"> and providing</w:t>
            </w:r>
            <w:r w:rsidRPr="007665BA">
              <w:rPr>
                <w:rFonts w:ascii="Arial" w:eastAsia="Arial" w:hAnsi="Arial" w:cs="Arial"/>
                <w:sz w:val="22"/>
                <w:szCs w:val="22"/>
              </w:rPr>
              <w:t xml:space="preserve"> advice, insight and support</w:t>
            </w:r>
            <w:r>
              <w:rPr>
                <w:rFonts w:ascii="Arial" w:eastAsia="Arial" w:hAnsi="Arial" w:cs="Arial"/>
                <w:sz w:val="22"/>
                <w:szCs w:val="22"/>
              </w:rPr>
              <w:t xml:space="preserve"> to the teams</w:t>
            </w:r>
            <w:r w:rsidRPr="007665BA">
              <w:rPr>
                <w:rFonts w:ascii="Arial" w:eastAsia="Arial" w:hAnsi="Arial" w:cs="Arial"/>
                <w:sz w:val="22"/>
                <w:szCs w:val="22"/>
              </w:rPr>
              <w:t>. I attended the weekly programme meetings, workshops and individual service task &amp; finish groups across the period</w:t>
            </w:r>
            <w:r>
              <w:rPr>
                <w:rFonts w:ascii="Arial" w:eastAsia="Arial" w:hAnsi="Arial" w:cs="Arial"/>
                <w:sz w:val="22"/>
                <w:szCs w:val="22"/>
              </w:rPr>
              <w:t xml:space="preserve"> and</w:t>
            </w:r>
            <w:r w:rsidRPr="007665BA">
              <w:rPr>
                <w:rFonts w:ascii="Arial" w:eastAsia="Arial" w:hAnsi="Arial" w:cs="Arial"/>
                <w:sz w:val="22"/>
                <w:szCs w:val="22"/>
              </w:rPr>
              <w:t xml:space="preserve"> produced numerous documents and supporting data packs to aid the process</w:t>
            </w:r>
            <w:r>
              <w:rPr>
                <w:rFonts w:ascii="Arial" w:eastAsia="Arial" w:hAnsi="Arial" w:cs="Arial"/>
                <w:sz w:val="22"/>
                <w:szCs w:val="22"/>
              </w:rPr>
              <w:t xml:space="preserve">. I </w:t>
            </w:r>
            <w:r w:rsidRPr="007665BA">
              <w:rPr>
                <w:rFonts w:ascii="Arial" w:eastAsia="Arial" w:hAnsi="Arial" w:cs="Arial"/>
                <w:sz w:val="22"/>
                <w:szCs w:val="22"/>
              </w:rPr>
              <w:t>provide</w:t>
            </w:r>
            <w:r>
              <w:rPr>
                <w:rFonts w:ascii="Arial" w:eastAsia="Arial" w:hAnsi="Arial" w:cs="Arial"/>
                <w:sz w:val="22"/>
                <w:szCs w:val="22"/>
              </w:rPr>
              <w:t>d information and assessments</w:t>
            </w:r>
            <w:r w:rsidRPr="007665BA">
              <w:rPr>
                <w:rFonts w:ascii="Arial" w:eastAsia="Arial" w:hAnsi="Arial" w:cs="Arial"/>
                <w:sz w:val="22"/>
                <w:szCs w:val="22"/>
              </w:rPr>
              <w:t xml:space="preserve"> to the Executive board to aid in Strategic decisions for the future of these services. This has culminated in the programme work going out to public consultation in Spring 2025 with the aim of decisions </w:t>
            </w:r>
            <w:r>
              <w:rPr>
                <w:rFonts w:ascii="Arial" w:eastAsia="Arial" w:hAnsi="Arial" w:cs="Arial"/>
                <w:sz w:val="22"/>
                <w:szCs w:val="22"/>
              </w:rPr>
              <w:t xml:space="preserve">on the future provision of the services </w:t>
            </w:r>
            <w:r w:rsidRPr="007665BA">
              <w:rPr>
                <w:rFonts w:ascii="Arial" w:eastAsia="Arial" w:hAnsi="Arial" w:cs="Arial"/>
                <w:sz w:val="22"/>
                <w:szCs w:val="22"/>
              </w:rPr>
              <w:t xml:space="preserve">being reached in </w:t>
            </w:r>
            <w:r>
              <w:rPr>
                <w:rFonts w:ascii="Arial" w:eastAsia="Arial" w:hAnsi="Arial" w:cs="Arial"/>
                <w:sz w:val="22"/>
                <w:szCs w:val="22"/>
              </w:rPr>
              <w:t xml:space="preserve">Winter </w:t>
            </w:r>
            <w:r w:rsidRPr="007665BA">
              <w:rPr>
                <w:rFonts w:ascii="Arial" w:eastAsia="Arial" w:hAnsi="Arial" w:cs="Arial"/>
                <w:sz w:val="22"/>
                <w:szCs w:val="22"/>
              </w:rPr>
              <w:t xml:space="preserve">2025. </w:t>
            </w:r>
          </w:p>
          <w:p w14:paraId="04E27C3E" w14:textId="77777777" w:rsidR="007B72D0" w:rsidRPr="001044AF" w:rsidRDefault="007B72D0" w:rsidP="0009209A">
            <w:pPr>
              <w:spacing w:line="360" w:lineRule="auto"/>
              <w:jc w:val="both"/>
              <w:rPr>
                <w:rFonts w:ascii="Arial" w:hAnsi="Arial" w:cs="Arial"/>
                <w:sz w:val="22"/>
                <w:szCs w:val="22"/>
              </w:rPr>
            </w:pPr>
            <w:r w:rsidRPr="001044AF">
              <w:rPr>
                <w:rFonts w:ascii="Arial" w:hAnsi="Arial" w:cs="Arial"/>
                <w:sz w:val="22"/>
                <w:szCs w:val="22"/>
              </w:rPr>
              <w:t xml:space="preserve">I have chosen to claim credit for this learning area as I am aware that the knowledge and learning I have gained through this programme of work during the last </w:t>
            </w:r>
            <w:r>
              <w:rPr>
                <w:rFonts w:ascii="Arial" w:hAnsi="Arial" w:cs="Arial"/>
                <w:sz w:val="22"/>
                <w:szCs w:val="22"/>
              </w:rPr>
              <w:t>24</w:t>
            </w:r>
            <w:r w:rsidRPr="001044AF">
              <w:rPr>
                <w:rFonts w:ascii="Arial" w:hAnsi="Arial" w:cs="Arial"/>
                <w:sz w:val="22"/>
                <w:szCs w:val="22"/>
              </w:rPr>
              <w:t xml:space="preserve"> months has significantly contributed to my confidence and ability to engage and negotiate with stakeholders. It has also developed my understanding of how to produce data driven insights within workforce planning. I feel on reflecting on my journey from the beginning of my role to this point in time I have developed further as an individual</w:t>
            </w:r>
            <w:r>
              <w:rPr>
                <w:rFonts w:ascii="Arial" w:hAnsi="Arial" w:cs="Arial"/>
                <w:sz w:val="22"/>
                <w:szCs w:val="22"/>
              </w:rPr>
              <w:t>. I</w:t>
            </w:r>
            <w:r w:rsidRPr="001044AF">
              <w:rPr>
                <w:rFonts w:ascii="Arial" w:hAnsi="Arial" w:cs="Arial"/>
                <w:sz w:val="22"/>
                <w:szCs w:val="22"/>
              </w:rPr>
              <w:t xml:space="preserve"> have been key to improving and enhancing the knowledge of others to enable them to understand the interdependencies and complexity of workforce planning</w:t>
            </w:r>
            <w:r>
              <w:rPr>
                <w:rFonts w:ascii="Arial" w:hAnsi="Arial" w:cs="Arial"/>
                <w:sz w:val="22"/>
                <w:szCs w:val="22"/>
              </w:rPr>
              <w:t>,</w:t>
            </w:r>
            <w:r w:rsidRPr="001044AF">
              <w:rPr>
                <w:rFonts w:ascii="Arial" w:hAnsi="Arial" w:cs="Arial"/>
                <w:sz w:val="22"/>
                <w:szCs w:val="22"/>
              </w:rPr>
              <w:t xml:space="preserve"> and how this can be instrumental in creating a sustainable workforce for the future strategic direction of the Health board.</w:t>
            </w:r>
          </w:p>
          <w:p w14:paraId="7FC51ADB" w14:textId="77777777" w:rsidR="007B72D0" w:rsidRPr="001044AF" w:rsidRDefault="007B72D0" w:rsidP="0009209A">
            <w:pPr>
              <w:spacing w:line="360" w:lineRule="auto"/>
              <w:jc w:val="both"/>
              <w:rPr>
                <w:rFonts w:ascii="Arial" w:eastAsia="Times New Roman" w:hAnsi="Arial" w:cs="Arial"/>
                <w:sz w:val="22"/>
                <w:szCs w:val="22"/>
              </w:rPr>
            </w:pPr>
            <w:r w:rsidRPr="001044AF">
              <w:rPr>
                <w:rFonts w:ascii="Arial" w:eastAsia="Times New Roman" w:hAnsi="Arial" w:cs="Arial"/>
                <w:sz w:val="22"/>
                <w:szCs w:val="22"/>
              </w:rPr>
              <w:t>This learning area focuses on using effective workforce analytics to provide data-driven insights to help collaboratively design the clinical services plan for the Health Board. I propose to analyse the way in which I helped influence the decisions to aid stakeholders co-produce their options and used my communication and negotiation skills with stakeholders through the production of a feasibility assessment to allow for evidence-based decision-making to address health board priorities.</w:t>
            </w:r>
          </w:p>
          <w:p w14:paraId="47A43693" w14:textId="77777777" w:rsidR="007B72D0" w:rsidRPr="00850A67" w:rsidRDefault="007B72D0" w:rsidP="0009209A">
            <w:pPr>
              <w:spacing w:line="360" w:lineRule="auto"/>
              <w:jc w:val="both"/>
              <w:rPr>
                <w:rFonts w:eastAsia="Times New Roman"/>
                <w:color w:val="00B050"/>
              </w:rPr>
            </w:pPr>
            <w:r w:rsidRPr="001044AF">
              <w:rPr>
                <w:rFonts w:ascii="Arial" w:hAnsi="Arial" w:cs="Arial"/>
                <w:sz w:val="22"/>
                <w:szCs w:val="22"/>
              </w:rPr>
              <w:t xml:space="preserve">As with Learning area 1, I plan to use the Borton (1970) model on reflection to continue to aid me in undertaking this reflective piece. </w:t>
            </w:r>
            <w:r>
              <w:rPr>
                <w:rFonts w:ascii="Arial" w:hAnsi="Arial" w:cs="Arial"/>
                <w:sz w:val="22"/>
                <w:szCs w:val="22"/>
              </w:rPr>
              <w:t xml:space="preserve">I considered using other reflective models for this learning area and explored using Kolb’s Experiential Learning cycle (2015). In </w:t>
            </w:r>
            <w:r>
              <w:rPr>
                <w:rFonts w:ascii="Arial" w:hAnsi="Arial" w:cs="Arial"/>
                <w:sz w:val="22"/>
                <w:szCs w:val="22"/>
              </w:rPr>
              <w:lastRenderedPageBreak/>
              <w:t xml:space="preserve">comparing the two models I found that as my learning was focused on what I had achieved for the CSP programme of work and in realising specific learning I believe that Borton’s model was more suitable to my needs. Its structured and concise approach allows me to focus on the key learning I have achieved. As Kolb’s learning cycle offers multiple stages </w:t>
            </w:r>
            <w:r w:rsidRPr="00823B70">
              <w:rPr>
                <w:rFonts w:ascii="Arial" w:hAnsi="Arial" w:cs="Arial"/>
                <w:sz w:val="22"/>
                <w:szCs w:val="22"/>
              </w:rPr>
              <w:t>(Concrete Experience, Reflective Observation, Abstract Conceptualization, Active Experimentation</w:t>
            </w:r>
            <w:r>
              <w:rPr>
                <w:rFonts w:ascii="Arial" w:hAnsi="Arial" w:cs="Arial"/>
                <w:sz w:val="22"/>
                <w:szCs w:val="22"/>
              </w:rPr>
              <w:t xml:space="preserve">) I feel it would be better suited to using his model in my ongoing reflections outside of this piece of work. Its ability to allow for ongoing and cyclical learning would be more adept to my continued personal development. Initially I was inclined to use Kolb’s model for this second Learning area however having received the new template I feel that continuing with Borton’s model would be more beneficial to allow me to be more structured in my reflections. </w:t>
            </w:r>
            <w:r w:rsidRPr="001044AF">
              <w:rPr>
                <w:rFonts w:ascii="Arial" w:hAnsi="Arial" w:cs="Arial"/>
                <w:sz w:val="22"/>
                <w:szCs w:val="22"/>
              </w:rPr>
              <w:t xml:space="preserve">I will </w:t>
            </w:r>
            <w:r>
              <w:rPr>
                <w:rFonts w:ascii="Arial" w:hAnsi="Arial" w:cs="Arial"/>
                <w:sz w:val="22"/>
                <w:szCs w:val="22"/>
              </w:rPr>
              <w:t>therefore be u</w:t>
            </w:r>
            <w:r w:rsidRPr="001044AF">
              <w:rPr>
                <w:rFonts w:ascii="Arial" w:hAnsi="Arial" w:cs="Arial"/>
                <w:sz w:val="22"/>
                <w:szCs w:val="22"/>
              </w:rPr>
              <w:t xml:space="preserve">sing this model to answer the key questions of What?, So What? and now what? and the actions I will continue to take from this new learning. </w:t>
            </w:r>
          </w:p>
          <w:p w14:paraId="01CE785A" w14:textId="77777777" w:rsidR="007B72D0" w:rsidRPr="004D0BD8" w:rsidRDefault="007B72D0" w:rsidP="0009209A">
            <w:pPr>
              <w:jc w:val="both"/>
              <w:rPr>
                <w:rFonts w:ascii="Arial" w:eastAsia="Arial" w:hAnsi="Arial" w:cs="Arial"/>
                <w:color w:val="4C94D8" w:themeColor="text2" w:themeTint="80"/>
                <w:sz w:val="22"/>
                <w:szCs w:val="22"/>
              </w:rPr>
            </w:pPr>
          </w:p>
        </w:tc>
      </w:tr>
    </w:tbl>
    <w:p w14:paraId="38DB2C9E" w14:textId="77777777" w:rsidR="007B72D0" w:rsidRPr="00494356" w:rsidRDefault="007B72D0" w:rsidP="007B72D0">
      <w:pPr>
        <w:jc w:val="both"/>
        <w:rPr>
          <w:rFonts w:ascii="Arial" w:eastAsia="Arial" w:hAnsi="Arial" w:cs="Arial"/>
          <w:sz w:val="22"/>
          <w:szCs w:val="22"/>
        </w:rPr>
      </w:pPr>
    </w:p>
    <w:p w14:paraId="4B4B6C29" w14:textId="77777777" w:rsidR="007B72D0" w:rsidRDefault="007B72D0" w:rsidP="007B72D0">
      <w:pPr>
        <w:jc w:val="both"/>
        <w:rPr>
          <w:rFonts w:ascii="Arial" w:eastAsia="Arial" w:hAnsi="Arial" w:cs="Arial"/>
          <w:i/>
          <w:iCs/>
          <w:color w:val="4C94D8" w:themeColor="text2" w:themeTint="80"/>
          <w:sz w:val="22"/>
          <w:szCs w:val="22"/>
        </w:rPr>
      </w:pPr>
    </w:p>
    <w:tbl>
      <w:tblPr>
        <w:tblStyle w:val="TableGrid"/>
        <w:tblW w:w="10456" w:type="dxa"/>
        <w:tblLook w:val="04A0" w:firstRow="1" w:lastRow="0" w:firstColumn="1" w:lastColumn="0" w:noHBand="0" w:noVBand="1"/>
      </w:tblPr>
      <w:tblGrid>
        <w:gridCol w:w="1680"/>
        <w:gridCol w:w="8776"/>
      </w:tblGrid>
      <w:tr w:rsidR="007B72D0" w14:paraId="1C12C14C" w14:textId="77777777" w:rsidTr="0009209A">
        <w:tc>
          <w:tcPr>
            <w:tcW w:w="1680" w:type="dxa"/>
          </w:tcPr>
          <w:p w14:paraId="278134AB"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 xml:space="preserve">Learning Outcome 1 </w:t>
            </w:r>
          </w:p>
          <w:p w14:paraId="22CE3A72" w14:textId="77777777" w:rsidR="007B72D0" w:rsidRDefault="007B72D0" w:rsidP="0009209A">
            <w:pPr>
              <w:jc w:val="both"/>
              <w:rPr>
                <w:rFonts w:ascii="Arial" w:eastAsia="Arial" w:hAnsi="Arial" w:cs="Arial"/>
                <w:sz w:val="22"/>
                <w:szCs w:val="22"/>
              </w:rPr>
            </w:pPr>
          </w:p>
        </w:tc>
        <w:tc>
          <w:tcPr>
            <w:tcW w:w="8776" w:type="dxa"/>
          </w:tcPr>
          <w:p w14:paraId="5CA4F557"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 xml:space="preserve">Research and critically analyse the Health board’s current and historical workforce data to inform and influence strategic decision-making for the clinical service plan programme. </w:t>
            </w:r>
          </w:p>
          <w:p w14:paraId="3F64E0D9" w14:textId="77777777" w:rsidR="007B72D0" w:rsidRPr="004C00FD" w:rsidRDefault="007B72D0" w:rsidP="0009209A">
            <w:pPr>
              <w:spacing w:line="360" w:lineRule="auto"/>
              <w:jc w:val="both"/>
              <w:rPr>
                <w:rFonts w:ascii="Arial" w:eastAsia="Arial" w:hAnsi="Arial" w:cs="Arial"/>
                <w:color w:val="4C94D8" w:themeColor="text2" w:themeTint="80"/>
                <w:sz w:val="22"/>
                <w:szCs w:val="22"/>
              </w:rPr>
            </w:pPr>
          </w:p>
        </w:tc>
      </w:tr>
      <w:tr w:rsidR="007B72D0" w14:paraId="69EC834C" w14:textId="77777777" w:rsidTr="0009209A">
        <w:tc>
          <w:tcPr>
            <w:tcW w:w="1680" w:type="dxa"/>
          </w:tcPr>
          <w:p w14:paraId="168E39A2"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1,000 – 2,000 max words per learning outcome</w:t>
            </w:r>
          </w:p>
        </w:tc>
        <w:tc>
          <w:tcPr>
            <w:tcW w:w="8776" w:type="dxa"/>
          </w:tcPr>
          <w:p w14:paraId="6945B817"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What? (Descriptive Phase)</w:t>
            </w:r>
          </w:p>
          <w:p w14:paraId="32B44C0F" w14:textId="77777777" w:rsidR="007B72D0" w:rsidRPr="004C00FD" w:rsidRDefault="007B72D0" w:rsidP="0009209A">
            <w:pPr>
              <w:spacing w:line="360" w:lineRule="auto"/>
              <w:jc w:val="both"/>
              <w:rPr>
                <w:rFonts w:ascii="Arial" w:eastAsia="Arial" w:hAnsi="Arial" w:cs="Arial"/>
                <w:i/>
                <w:iCs/>
                <w:color w:val="4C94D8" w:themeColor="text2" w:themeTint="80"/>
                <w:sz w:val="22"/>
                <w:szCs w:val="22"/>
              </w:rPr>
            </w:pPr>
          </w:p>
          <w:p w14:paraId="49D69F09" w14:textId="77777777" w:rsidR="007B72D0" w:rsidRDefault="007B72D0" w:rsidP="0009209A">
            <w:pPr>
              <w:spacing w:line="360" w:lineRule="auto"/>
              <w:jc w:val="both"/>
              <w:rPr>
                <w:rFonts w:ascii="Arial" w:hAnsi="Arial" w:cs="Arial"/>
                <w:sz w:val="22"/>
                <w:szCs w:val="22"/>
              </w:rPr>
            </w:pPr>
            <w:r w:rsidRPr="00056AC0">
              <w:rPr>
                <w:rFonts w:ascii="Arial" w:hAnsi="Arial" w:cs="Arial"/>
                <w:sz w:val="22"/>
                <w:szCs w:val="22"/>
              </w:rPr>
              <w:t>Within Phase 1 of the Clinical Services Plan</w:t>
            </w:r>
            <w:r>
              <w:rPr>
                <w:rFonts w:ascii="Arial" w:hAnsi="Arial" w:cs="Arial"/>
                <w:sz w:val="22"/>
                <w:szCs w:val="22"/>
              </w:rPr>
              <w:t xml:space="preserve"> the scope of the issues paper was to ‘undertake a clinically led assessment of the services’ (appendix G1). My role as the Workforce planning member of the programme team was to gather the historical data for each of the 10 service areas, analysing the data to help illustrate any issues across the previous 5 years. Having worked within the HB for 2 years at this point I was aware of the fragilities of some of the areas as I or my colleagues had been working with some of the services, however this was an initial learning curve to gather the historic information required. I learnt that the retrieval of historic data was not going to be an easy task when roles had changed and individuals with the knowledge had left. I discovered that organisational knowledge was not just the ability to retrieve quantitative data but the requirement of qualitative data to support it to ensure a holistic view. Without this qualitative data I was not able to gather a true story of what had happened across the previous 5 years. As Wright and McMahan (2011) argue, Strategic Workforce Planning should combine statistical models with qualitative insights to develop a realistic, </w:t>
            </w:r>
            <w:r>
              <w:rPr>
                <w:rFonts w:ascii="Arial" w:hAnsi="Arial" w:cs="Arial"/>
                <w:sz w:val="22"/>
                <w:szCs w:val="22"/>
              </w:rPr>
              <w:lastRenderedPageBreak/>
              <w:t>evidence-based strategy. In undertaking this piece of work the importance of the qualitative insights become clear early on.</w:t>
            </w:r>
          </w:p>
          <w:p w14:paraId="499FEFF7"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My initial approach was to gather the necessary data required through downloading and analysing the staff levels from ESR to include headcount, vacancy rates, sickness and turnover for each of the service areas involved beginning with the current picture. For some areas this was straight forward as the services were contained within specific cost codes. However</w:t>
            </w:r>
            <w:r w:rsidRPr="044A564E">
              <w:rPr>
                <w:rFonts w:ascii="Arial" w:hAnsi="Arial" w:cs="Arial"/>
                <w:sz w:val="22"/>
                <w:szCs w:val="22"/>
              </w:rPr>
              <w:t>,</w:t>
            </w:r>
            <w:r>
              <w:rPr>
                <w:rFonts w:ascii="Arial" w:hAnsi="Arial" w:cs="Arial"/>
                <w:sz w:val="22"/>
                <w:szCs w:val="22"/>
              </w:rPr>
              <w:t xml:space="preserve"> for other areas for example Stroke and Orthopaedics, the workforce concerned span across multiple cost codes covering Medical staff, Nursing staff, therapies and different wards and sites. This made the initial data gathering more complex due to the financial structure of where staff were based and how this was represented within the ESR database. My initial learning therefore was to understand each service structure and where the workforce sat within it. To do this I met with key representatives from each service to discuss their teams. Through providing staff in post data I spent many weeks collating information on each service area and mapping this across to the financial cost structure to get the best data possible on the current workforce baseline of each service area. During the discussions it was noted across many areas that there were additional complexities as certain wards may cover more than one service therefore how to quantify the workforce required for that specific service need. Similarly medical staff may have covered multiple modalities therefore it was difficult to be precise on the number of hours a member of staff would spend on one area of work. To overcome this and in conjunction with the planning team and the service leads I formulated a methodology to follow for each service with a set of assumptions (appendix H1). In undertaking this piece of work I learnt how important it is to have a defined methodology to follow that has been agreed by all involved. There were some services who wanted to include wider elements of the workforce that supported the service. Which I agreed if the programme was following a patient pathway approach to its options development they should be included. However, under the remit of the programme it was only the key staff who worked directly for the service who should be included. Therefore in constructing the methodology I ensured that it was noted that the workforce supporting the wider pathway would not be included. </w:t>
            </w:r>
          </w:p>
          <w:p w14:paraId="17C5AC74" w14:textId="0A66C7F7" w:rsidR="007B72D0" w:rsidRDefault="007B72D0" w:rsidP="0009209A">
            <w:pPr>
              <w:spacing w:line="360" w:lineRule="auto"/>
              <w:jc w:val="both"/>
              <w:rPr>
                <w:rFonts w:ascii="Arial" w:hAnsi="Arial" w:cs="Arial"/>
                <w:sz w:val="22"/>
                <w:szCs w:val="22"/>
              </w:rPr>
            </w:pPr>
            <w:r>
              <w:rPr>
                <w:rFonts w:ascii="Arial" w:hAnsi="Arial" w:cs="Arial"/>
                <w:sz w:val="22"/>
                <w:szCs w:val="22"/>
              </w:rPr>
              <w:t>Once I had achieved agreement in the cost codes and staffing to be included within the baseline report</w:t>
            </w:r>
            <w:r w:rsidR="00D4402B">
              <w:rPr>
                <w:rFonts w:ascii="Arial" w:hAnsi="Arial" w:cs="Arial"/>
                <w:sz w:val="22"/>
                <w:szCs w:val="22"/>
              </w:rPr>
              <w:t>,</w:t>
            </w:r>
            <w:r>
              <w:rPr>
                <w:rFonts w:ascii="Arial" w:hAnsi="Arial" w:cs="Arial"/>
                <w:sz w:val="22"/>
                <w:szCs w:val="22"/>
              </w:rPr>
              <w:t xml:space="preserve"> I turned my attention to gathering the historical data. I was met with further challenges and more data inconsistencies during this phase as over the period some cost codes had been changed, closed or moved. I had to therefore widen the people I engaged with to include the relevant finance business partner for each area to ascertain which cost codes I should use for the historical component to enable a true reflection of the service areas. For the most part this was relatively straight forward as </w:t>
            </w:r>
            <w:r>
              <w:rPr>
                <w:rFonts w:ascii="Arial" w:hAnsi="Arial" w:cs="Arial"/>
                <w:sz w:val="22"/>
                <w:szCs w:val="22"/>
              </w:rPr>
              <w:lastRenderedPageBreak/>
              <w:t>most of the individuals had been working within the service areas for five years or more. However there were some areas where I had to go on a fact-finding mission to understand when changes had occurred and who could verify this information to allow me to compile as accurate a picture as possible. On reflection I have learnt that stakeholder engagement at the beginning of any piece of work is key. Ensuring that the individuals who were going to use the data were actively involved in shaping the methodology allowed for trust in my abilities to be developed. During this first phase of the CSP programme the notion that workforce data is not just about numbers, that it’s about people came to the fore. I was aware of this however, the process of gathering the data solidified my awareness and helped me to show others that engaging with people across different teams to refine the data helped ensure that the workforce intelligence was as accurate and reliable as it could be.</w:t>
            </w:r>
          </w:p>
          <w:p w14:paraId="157589D4"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p w14:paraId="59353985" w14:textId="77777777" w:rsidR="007B72D0" w:rsidRPr="004C00FD" w:rsidRDefault="007B72D0" w:rsidP="0009209A">
            <w:pPr>
              <w:spacing w:line="360" w:lineRule="auto"/>
              <w:jc w:val="both"/>
              <w:rPr>
                <w:rFonts w:ascii="Arial" w:eastAsia="Arial" w:hAnsi="Arial" w:cs="Arial"/>
                <w:b/>
                <w:bCs/>
                <w:color w:val="00B0F0"/>
                <w:sz w:val="22"/>
                <w:szCs w:val="22"/>
                <w:u w:val="single"/>
              </w:rPr>
            </w:pPr>
          </w:p>
        </w:tc>
      </w:tr>
      <w:tr w:rsidR="007B72D0" w14:paraId="6C598111" w14:textId="77777777" w:rsidTr="0009209A">
        <w:tc>
          <w:tcPr>
            <w:tcW w:w="1680" w:type="dxa"/>
          </w:tcPr>
          <w:p w14:paraId="3175EE99" w14:textId="77777777" w:rsidR="007B72D0" w:rsidRDefault="007B72D0" w:rsidP="0009209A">
            <w:pPr>
              <w:jc w:val="both"/>
              <w:rPr>
                <w:rFonts w:ascii="Arial" w:eastAsia="Arial" w:hAnsi="Arial" w:cs="Arial"/>
                <w:sz w:val="22"/>
                <w:szCs w:val="22"/>
              </w:rPr>
            </w:pPr>
          </w:p>
        </w:tc>
        <w:tc>
          <w:tcPr>
            <w:tcW w:w="8776" w:type="dxa"/>
          </w:tcPr>
          <w:p w14:paraId="144F4451"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So What? (Analytical Phase)</w:t>
            </w:r>
          </w:p>
          <w:p w14:paraId="3FFC9E02" w14:textId="77777777" w:rsidR="007B72D0" w:rsidRPr="004C00FD" w:rsidRDefault="007B72D0" w:rsidP="0009209A">
            <w:pPr>
              <w:spacing w:line="360" w:lineRule="auto"/>
              <w:jc w:val="both"/>
              <w:rPr>
                <w:rFonts w:ascii="Arial" w:eastAsia="Calibri" w:hAnsi="Arial" w:cs="Arial"/>
                <w:b/>
                <w:bCs/>
                <w:sz w:val="22"/>
                <w:szCs w:val="22"/>
                <w:u w:val="single"/>
                <w:lang w:val="en-US"/>
              </w:rPr>
            </w:pPr>
          </w:p>
          <w:p w14:paraId="5946909C"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In creating the current and historical workforce baselines for phase 1 of the CSP it highlighted to me the value of having a mixed method approach to collecting data and reinforced the limitations of only gathering quantitative workforce data. </w:t>
            </w:r>
          </w:p>
          <w:p w14:paraId="0326A15E"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Many </w:t>
            </w:r>
            <w:r w:rsidRPr="00240AA1">
              <w:rPr>
                <w:rFonts w:ascii="Arial" w:hAnsi="Arial" w:cs="Arial"/>
                <w:sz w:val="22"/>
                <w:szCs w:val="22"/>
              </w:rPr>
              <w:t>workforce planning and learning theories reinforced the need for both qualitative and quantitative</w:t>
            </w:r>
            <w:r>
              <w:rPr>
                <w:rFonts w:ascii="Arial" w:hAnsi="Arial" w:cs="Arial"/>
                <w:sz w:val="22"/>
                <w:szCs w:val="22"/>
              </w:rPr>
              <w:t xml:space="preserve"> </w:t>
            </w:r>
            <w:r w:rsidRPr="00240AA1">
              <w:rPr>
                <w:rFonts w:ascii="Arial" w:hAnsi="Arial" w:cs="Arial"/>
                <w:sz w:val="22"/>
                <w:szCs w:val="22"/>
              </w:rPr>
              <w:t>data</w:t>
            </w:r>
            <w:r>
              <w:rPr>
                <w:rFonts w:ascii="Arial" w:hAnsi="Arial" w:cs="Arial"/>
                <w:sz w:val="22"/>
                <w:szCs w:val="22"/>
              </w:rPr>
              <w:t xml:space="preserve">. </w:t>
            </w:r>
            <w:r w:rsidRPr="00240AA1">
              <w:rPr>
                <w:rFonts w:ascii="Arial" w:hAnsi="Arial" w:cs="Arial"/>
                <w:sz w:val="22"/>
                <w:szCs w:val="22"/>
              </w:rPr>
              <w:t>Soft Systems Methodology (Checkland &amp; Poulter, 2006)</w:t>
            </w:r>
            <w:r>
              <w:rPr>
                <w:rFonts w:ascii="Arial" w:hAnsi="Arial" w:cs="Arial"/>
                <w:sz w:val="22"/>
                <w:szCs w:val="22"/>
              </w:rPr>
              <w:t xml:space="preserve"> state that </w:t>
            </w:r>
            <w:r w:rsidRPr="00240AA1">
              <w:rPr>
                <w:rFonts w:ascii="Arial" w:hAnsi="Arial" w:cs="Arial"/>
                <w:sz w:val="22"/>
                <w:szCs w:val="22"/>
              </w:rPr>
              <w:t xml:space="preserve">Workforce planning is a </w:t>
            </w:r>
            <w:r>
              <w:rPr>
                <w:rFonts w:ascii="Arial" w:hAnsi="Arial" w:cs="Arial"/>
                <w:sz w:val="22"/>
                <w:szCs w:val="22"/>
              </w:rPr>
              <w:t>‘</w:t>
            </w:r>
            <w:r w:rsidRPr="00240AA1">
              <w:rPr>
                <w:rFonts w:ascii="Arial" w:hAnsi="Arial" w:cs="Arial"/>
                <w:sz w:val="22"/>
                <w:szCs w:val="22"/>
              </w:rPr>
              <w:t>complex system</w:t>
            </w:r>
            <w:r>
              <w:rPr>
                <w:rFonts w:ascii="Arial" w:hAnsi="Arial" w:cs="Arial"/>
                <w:sz w:val="22"/>
                <w:szCs w:val="22"/>
              </w:rPr>
              <w:t>’</w:t>
            </w:r>
            <w:r w:rsidRPr="00240AA1">
              <w:rPr>
                <w:rFonts w:ascii="Arial" w:hAnsi="Arial" w:cs="Arial"/>
                <w:sz w:val="22"/>
                <w:szCs w:val="22"/>
              </w:rPr>
              <w:t xml:space="preserve"> where both </w:t>
            </w:r>
            <w:r>
              <w:rPr>
                <w:rFonts w:ascii="Arial" w:hAnsi="Arial" w:cs="Arial"/>
                <w:sz w:val="22"/>
                <w:szCs w:val="22"/>
              </w:rPr>
              <w:t>‘</w:t>
            </w:r>
            <w:r w:rsidRPr="00240AA1">
              <w:rPr>
                <w:rFonts w:ascii="Arial" w:hAnsi="Arial" w:cs="Arial"/>
                <w:sz w:val="22"/>
                <w:szCs w:val="22"/>
              </w:rPr>
              <w:t>hard data (quantitative) and soft data (qualitative) provide a holistic picture.</w:t>
            </w:r>
            <w:r>
              <w:rPr>
                <w:rFonts w:ascii="Arial" w:hAnsi="Arial" w:cs="Arial"/>
                <w:sz w:val="22"/>
                <w:szCs w:val="22"/>
              </w:rPr>
              <w:t xml:space="preserve"> This aligns to </w:t>
            </w:r>
            <w:r w:rsidRPr="00240AA1">
              <w:rPr>
                <w:rFonts w:ascii="Arial" w:hAnsi="Arial" w:cs="Arial"/>
                <w:sz w:val="22"/>
                <w:szCs w:val="22"/>
              </w:rPr>
              <w:t>Kirkpatrick’s Training Evaluation Model (1959)</w:t>
            </w:r>
            <w:r>
              <w:rPr>
                <w:rFonts w:ascii="Arial" w:hAnsi="Arial" w:cs="Arial"/>
                <w:sz w:val="22"/>
                <w:szCs w:val="22"/>
              </w:rPr>
              <w:t xml:space="preserve"> who noted that</w:t>
            </w:r>
            <w:r w:rsidRPr="00240AA1">
              <w:rPr>
                <w:rFonts w:ascii="Arial" w:hAnsi="Arial" w:cs="Arial"/>
                <w:sz w:val="22"/>
                <w:szCs w:val="22"/>
              </w:rPr>
              <w:t xml:space="preserve"> success is measured not just through completion rates (quantitative) but also through staff perceptions and application of learning (qualitative).  </w:t>
            </w:r>
          </w:p>
          <w:p w14:paraId="7C094DD0" w14:textId="77777777" w:rsidR="007B72D0" w:rsidRPr="00240AA1" w:rsidRDefault="007B72D0" w:rsidP="0009209A">
            <w:pPr>
              <w:spacing w:after="160" w:line="360" w:lineRule="auto"/>
              <w:jc w:val="both"/>
              <w:rPr>
                <w:rFonts w:ascii="Arial" w:hAnsi="Arial" w:cs="Arial"/>
                <w:sz w:val="22"/>
                <w:szCs w:val="22"/>
              </w:rPr>
            </w:pPr>
            <w:r>
              <w:rPr>
                <w:rFonts w:ascii="Arial" w:hAnsi="Arial" w:cs="Arial"/>
                <w:sz w:val="22"/>
                <w:szCs w:val="22"/>
              </w:rPr>
              <w:t>Through my experience I observed that retention figures alone were insufficient and that through discussing with the service leads there was lack of career development and frustration which was leading to burnout and individuals deciding to leave for other opportunities. Recruitment struggles were evident from the consistent vacancy gaps noted across the services particularly in hard to fill roles. However when I met with recruitment leads and gathered vacancy data and information on campaigns that had taken place, I was able to get a more holistic picture of the issues.</w:t>
            </w:r>
          </w:p>
          <w:p w14:paraId="0BFB2D63"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The King’s Fund (2021) highlighted that ‘qualitative workforce intelligence’ is essential in forecasting future workforce needs as it accounts for professional experiences, leadership and service transformation needs. Through engaging with a wider group of individuals to get to the heart of the issues I felt that I was able to support the services ensuring the story of their service was an accurate reflection through the data I had </w:t>
            </w:r>
            <w:r>
              <w:rPr>
                <w:rFonts w:ascii="Arial" w:hAnsi="Arial" w:cs="Arial"/>
                <w:sz w:val="22"/>
                <w:szCs w:val="22"/>
              </w:rPr>
              <w:lastRenderedPageBreak/>
              <w:t xml:space="preserve">gathered. I was able to identify issues that were still ongoing in some cases and begin to unpick the reasons behind why roles were difficult to recruit to or why their vacancy rates weren’t accurate. </w:t>
            </w:r>
          </w:p>
          <w:p w14:paraId="3E08ED15"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Through creating a standardised methodology for gathering the data I was able to ensure that the data was collected and analysed consistently across all the service areas making it easier to identify trends, patterns and gaps to inform the issues paper. As </w:t>
            </w:r>
            <w:r w:rsidRPr="00C7315F">
              <w:rPr>
                <w:rFonts w:ascii="Arial" w:hAnsi="Arial" w:cs="Arial"/>
                <w:sz w:val="22"/>
                <w:szCs w:val="22"/>
              </w:rPr>
              <w:t>Checkland &amp; Poulter (2006)</w:t>
            </w:r>
            <w:r>
              <w:rPr>
                <w:rFonts w:ascii="Arial" w:hAnsi="Arial" w:cs="Arial"/>
                <w:sz w:val="22"/>
                <w:szCs w:val="22"/>
              </w:rPr>
              <w:t xml:space="preserve"> </w:t>
            </w:r>
            <w:r w:rsidRPr="00C7315F">
              <w:rPr>
                <w:rFonts w:ascii="Arial" w:hAnsi="Arial" w:cs="Arial"/>
                <w:sz w:val="22"/>
                <w:szCs w:val="22"/>
              </w:rPr>
              <w:t>argue</w:t>
            </w:r>
            <w:r>
              <w:rPr>
                <w:rFonts w:ascii="Arial" w:hAnsi="Arial" w:cs="Arial"/>
                <w:sz w:val="22"/>
                <w:szCs w:val="22"/>
              </w:rPr>
              <w:t>d,</w:t>
            </w:r>
            <w:r w:rsidRPr="00C7315F">
              <w:rPr>
                <w:rFonts w:ascii="Arial" w:hAnsi="Arial" w:cs="Arial"/>
                <w:sz w:val="22"/>
                <w:szCs w:val="22"/>
              </w:rPr>
              <w:t xml:space="preserve"> standardi</w:t>
            </w:r>
            <w:r>
              <w:rPr>
                <w:rFonts w:ascii="Arial" w:hAnsi="Arial" w:cs="Arial"/>
                <w:sz w:val="22"/>
                <w:szCs w:val="22"/>
              </w:rPr>
              <w:t>s</w:t>
            </w:r>
            <w:r w:rsidRPr="00C7315F">
              <w:rPr>
                <w:rFonts w:ascii="Arial" w:hAnsi="Arial" w:cs="Arial"/>
                <w:sz w:val="22"/>
                <w:szCs w:val="22"/>
              </w:rPr>
              <w:t xml:space="preserve">ed methodologies create </w:t>
            </w:r>
            <w:r>
              <w:rPr>
                <w:rFonts w:ascii="Arial" w:hAnsi="Arial" w:cs="Arial"/>
                <w:sz w:val="22"/>
                <w:szCs w:val="22"/>
              </w:rPr>
              <w:t>‘</w:t>
            </w:r>
            <w:r w:rsidRPr="00C7315F">
              <w:rPr>
                <w:rFonts w:ascii="Arial" w:hAnsi="Arial" w:cs="Arial"/>
                <w:sz w:val="22"/>
                <w:szCs w:val="22"/>
              </w:rPr>
              <w:t>shared understanding across complex systems</w:t>
            </w:r>
            <w:r>
              <w:rPr>
                <w:rFonts w:ascii="Arial" w:hAnsi="Arial" w:cs="Arial"/>
                <w:sz w:val="22"/>
                <w:szCs w:val="22"/>
              </w:rPr>
              <w:t>’</w:t>
            </w:r>
            <w:r w:rsidRPr="00C7315F">
              <w:rPr>
                <w:rFonts w:ascii="Arial" w:hAnsi="Arial" w:cs="Arial"/>
                <w:sz w:val="22"/>
                <w:szCs w:val="22"/>
              </w:rPr>
              <w:t>, improving collaboration and decision-making. </w:t>
            </w:r>
            <w:r>
              <w:rPr>
                <w:rFonts w:ascii="Arial" w:hAnsi="Arial" w:cs="Arial"/>
                <w:sz w:val="22"/>
                <w:szCs w:val="22"/>
              </w:rPr>
              <w:t>Through this piece of work I was able to help inform the next steps of the CSP programme, creating the workforce narrative of the issues for each of the services. The experience enhanced my ability to interpret workforce data and communicate it to decision-makers in a more holistic way.</w:t>
            </w:r>
          </w:p>
          <w:p w14:paraId="777C085B"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r w:rsidR="007B72D0" w14:paraId="039FEBA6" w14:textId="77777777" w:rsidTr="0009209A">
        <w:tc>
          <w:tcPr>
            <w:tcW w:w="1680" w:type="dxa"/>
          </w:tcPr>
          <w:p w14:paraId="40B96CAD" w14:textId="77777777" w:rsidR="007B72D0" w:rsidRDefault="007B72D0" w:rsidP="0009209A">
            <w:pPr>
              <w:jc w:val="both"/>
              <w:rPr>
                <w:rFonts w:ascii="Arial" w:eastAsia="Arial" w:hAnsi="Arial" w:cs="Arial"/>
                <w:sz w:val="22"/>
                <w:szCs w:val="22"/>
              </w:rPr>
            </w:pPr>
          </w:p>
        </w:tc>
        <w:tc>
          <w:tcPr>
            <w:tcW w:w="8776" w:type="dxa"/>
          </w:tcPr>
          <w:p w14:paraId="248AFA4C"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Now What? (Transformative Phase)</w:t>
            </w:r>
          </w:p>
          <w:p w14:paraId="02B0FA19" w14:textId="77777777" w:rsidR="007B72D0" w:rsidRPr="004C00FD" w:rsidRDefault="007B72D0" w:rsidP="0009209A">
            <w:pPr>
              <w:spacing w:line="360" w:lineRule="auto"/>
              <w:jc w:val="both"/>
              <w:rPr>
                <w:rFonts w:ascii="Arial" w:eastAsia="Calibri" w:hAnsi="Arial" w:cs="Arial"/>
                <w:b/>
                <w:bCs/>
                <w:sz w:val="22"/>
                <w:szCs w:val="22"/>
                <w:u w:val="single"/>
                <w:lang w:val="en-US"/>
              </w:rPr>
            </w:pPr>
          </w:p>
          <w:p w14:paraId="5A77454E"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Developing the data for the issues paper helped influence my approach to workforce data collection and analysis. I learnt the significance of embedding qualitative data into workforce planning, ensuring that there is a firm methodology in place and undertaking a thorough stakeholder analysis prior to embarking on a project. </w:t>
            </w:r>
          </w:p>
          <w:p w14:paraId="2CAAB255"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Following this phase I have ensured that continue to include qualitative data in my work to truly show the story and to enhance the quantitative data I gather. I will continue to utilise the opinions of staff through meetings, interviews and focus groups and have begun to track thoughts on the way I engage through using feedback surveys. In a recent piece of work on creating Operational Workforce plans, as a team we sought feedback on the way we engage by creating a Microsoft form. As part of this I asked for feedback on the template and how services would like to be engaged with along with what elements of workforce planning they would like to learn more about (appendix I1). This feedback has helped shape the way in which I engage and the value in asking for feedback from colleagues. I will continue to encourage feedback and evaluations and ensure that they incorporate both outcome-based metrics and staff reflections to develop a mixed method workforce planning framework. This will hopefully lead to more informed workforce decisions for the work I and the team undertake but also the work we produce for executive leaders to ensure better alignment to strategic objectives. </w:t>
            </w:r>
          </w:p>
          <w:p w14:paraId="2B882E10"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As part of my role within HDUHB and as part of the National Workforce planning network I will continue to advocate for more holistic workforce intelligence across NHS Wales, working with HEIW to promote the integration of qualitative workforce feedback mechanisms as part of the development of the workforce observatory. Internally to </w:t>
            </w:r>
            <w:r>
              <w:rPr>
                <w:rFonts w:ascii="Arial" w:hAnsi="Arial" w:cs="Arial"/>
                <w:sz w:val="22"/>
                <w:szCs w:val="22"/>
              </w:rPr>
              <w:lastRenderedPageBreak/>
              <w:t>HDUHB I will continue to work with my colleagues across WOD to refine our data collection methods through highlighting where there are gaps and inconsistencies and helping improve the accuracy of our data.</w:t>
            </w:r>
          </w:p>
          <w:p w14:paraId="225BE4B8"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I will continue to ensure that all workforce planning follows a structured framework. Within NHS Wales the Six Steps Methodology formulates the basis of Workforce planning and I will continue to teach and guide colleagues through the process to enable a consistent foundation of understanding to work from. I’m also keen to develop standardised data definitions across NHS Wales to enable improved data comparability. Currently this is inconsistent due to differing levels of data gathering across health boards. Over the last 6 months I have become part of HEIW’s Community of Practice for Supply and Demand data looking at improving our data to allow for comparative data across the Nursing workforce. I aim to continue being part of this group and advocate for consistent data across all staff groups with the aim of being able to have accurate benchmarking data to work with. </w:t>
            </w:r>
          </w:p>
          <w:p w14:paraId="3A623691"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Through improving the accuracy of workforce data there is more trust in what the data is saying which leads to more evidence-based workforce decisions. In helping to create this more reliable data analysis I continue to advocate for workforce data being key to strategy development. I have noticed a significant shift in the last year of corporate colleagues realising the importance of having accurate workforce data and its need in driving decisions. I would like to develop more interactive workforce dashboards for stakeholders to access real time workforce intelligence. This has already been enabled in part by the creation of ‘Our performance dashboard’ by my WOD and Performance colleagues. However for workforce planning there are key metrics missing, these include the availability of workforce projections for retirement and staff in post. I have developed an Excel based tool to aid with retirement projections (appendix J1) however I’d be keen to develop this further to enable colleagues across the organisation to access it to help plan their future workforce requirements. </w:t>
            </w:r>
          </w:p>
          <w:p w14:paraId="64D43CB4"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In reflecting on my experience of phase 1 of the CSP programme I recognise that having an agreed workforce data methodology is crucial for ensuring consistency, accuracy and strategic alignment for the programme and for the wider organisation. Stakeholder mapping and engagement ensures that the workforce intelligence garnered is trusted and relevant. Additionally through embedding both quantitative and qualitative workforce data, richer insights can be sought to allow for a more comprehensive development of future plans.</w:t>
            </w:r>
          </w:p>
          <w:p w14:paraId="3D29B20A"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bl>
    <w:p w14:paraId="291FF3C2" w14:textId="77777777" w:rsidR="007B72D0" w:rsidRDefault="007B72D0" w:rsidP="007B72D0">
      <w:pPr>
        <w:jc w:val="both"/>
        <w:rPr>
          <w:rFonts w:ascii="Arial" w:eastAsia="Arial" w:hAnsi="Arial" w:cs="Arial"/>
          <w:sz w:val="22"/>
          <w:szCs w:val="22"/>
        </w:rPr>
      </w:pPr>
    </w:p>
    <w:tbl>
      <w:tblPr>
        <w:tblStyle w:val="TableGrid"/>
        <w:tblW w:w="10456" w:type="dxa"/>
        <w:tblLook w:val="04A0" w:firstRow="1" w:lastRow="0" w:firstColumn="1" w:lastColumn="0" w:noHBand="0" w:noVBand="1"/>
      </w:tblPr>
      <w:tblGrid>
        <w:gridCol w:w="1650"/>
        <w:gridCol w:w="8806"/>
      </w:tblGrid>
      <w:tr w:rsidR="007B72D0" w14:paraId="5F5BFDF1" w14:textId="77777777" w:rsidTr="0009209A">
        <w:tc>
          <w:tcPr>
            <w:tcW w:w="1650" w:type="dxa"/>
          </w:tcPr>
          <w:p w14:paraId="49D712A6"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lastRenderedPageBreak/>
              <w:t xml:space="preserve">Learning Outcome 2 </w:t>
            </w:r>
          </w:p>
          <w:p w14:paraId="5AF3347B" w14:textId="77777777" w:rsidR="007B72D0" w:rsidRDefault="007B72D0" w:rsidP="0009209A">
            <w:pPr>
              <w:jc w:val="both"/>
              <w:rPr>
                <w:rFonts w:ascii="Arial" w:eastAsia="Arial" w:hAnsi="Arial" w:cs="Arial"/>
                <w:sz w:val="22"/>
                <w:szCs w:val="22"/>
              </w:rPr>
            </w:pPr>
          </w:p>
        </w:tc>
        <w:tc>
          <w:tcPr>
            <w:tcW w:w="8806" w:type="dxa"/>
          </w:tcPr>
          <w:p w14:paraId="3F314C25" w14:textId="77777777" w:rsidR="007B72D0" w:rsidRPr="004D119B" w:rsidRDefault="007B72D0" w:rsidP="0009209A">
            <w:pPr>
              <w:spacing w:line="360" w:lineRule="auto"/>
              <w:jc w:val="both"/>
              <w:rPr>
                <w:rFonts w:ascii="Arial" w:hAnsi="Arial" w:cs="Arial"/>
                <w:b/>
                <w:bCs/>
                <w:sz w:val="22"/>
                <w:szCs w:val="22"/>
              </w:rPr>
            </w:pPr>
            <w:r w:rsidRPr="004D119B">
              <w:rPr>
                <w:rFonts w:ascii="Arial" w:hAnsi="Arial" w:cs="Arial"/>
                <w:b/>
                <w:bCs/>
                <w:sz w:val="22"/>
                <w:szCs w:val="22"/>
              </w:rPr>
              <w:t>Collaborate effectively with clinical professionals to integrate expert insights into the design of strategic workforce and service development plans through data gathering and stakeholder consultations.</w:t>
            </w:r>
          </w:p>
          <w:p w14:paraId="6142EBC6" w14:textId="77777777" w:rsidR="007B72D0" w:rsidRPr="004C00FD" w:rsidRDefault="007B72D0" w:rsidP="0009209A">
            <w:pPr>
              <w:spacing w:line="360" w:lineRule="auto"/>
              <w:jc w:val="both"/>
              <w:rPr>
                <w:rFonts w:ascii="Arial" w:eastAsia="Arial" w:hAnsi="Arial" w:cs="Arial"/>
                <w:color w:val="00B0F0"/>
                <w:sz w:val="22"/>
                <w:szCs w:val="22"/>
              </w:rPr>
            </w:pPr>
          </w:p>
        </w:tc>
      </w:tr>
      <w:tr w:rsidR="007B72D0" w:rsidRPr="004B53D0" w14:paraId="225BE5C7" w14:textId="77777777" w:rsidTr="0009209A">
        <w:tc>
          <w:tcPr>
            <w:tcW w:w="1650" w:type="dxa"/>
          </w:tcPr>
          <w:p w14:paraId="6729FFC8"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1,000 – 2,000 max words per learning outcome</w:t>
            </w:r>
          </w:p>
          <w:p w14:paraId="514697D0" w14:textId="77777777" w:rsidR="007B72D0" w:rsidRDefault="007B72D0" w:rsidP="0009209A">
            <w:pPr>
              <w:jc w:val="both"/>
              <w:rPr>
                <w:rFonts w:ascii="Arial" w:eastAsia="Arial" w:hAnsi="Arial" w:cs="Arial"/>
                <w:sz w:val="22"/>
                <w:szCs w:val="22"/>
              </w:rPr>
            </w:pPr>
          </w:p>
        </w:tc>
        <w:tc>
          <w:tcPr>
            <w:tcW w:w="8806" w:type="dxa"/>
          </w:tcPr>
          <w:p w14:paraId="1C3ADF94" w14:textId="77777777" w:rsidR="007B72D0" w:rsidRPr="004C00FD" w:rsidRDefault="007B72D0" w:rsidP="0009209A">
            <w:pPr>
              <w:spacing w:line="360" w:lineRule="auto"/>
              <w:jc w:val="both"/>
              <w:rPr>
                <w:rFonts w:ascii="Arial" w:eastAsia="Arial" w:hAnsi="Arial" w:cs="Arial"/>
                <w:i/>
                <w:iCs/>
                <w:color w:val="4C94D8" w:themeColor="text2" w:themeTint="80"/>
                <w:sz w:val="22"/>
                <w:szCs w:val="22"/>
              </w:rPr>
            </w:pPr>
            <w:r w:rsidRPr="004C00FD">
              <w:rPr>
                <w:rFonts w:ascii="Arial" w:eastAsia="Calibri" w:hAnsi="Arial" w:cs="Arial"/>
                <w:b/>
                <w:bCs/>
                <w:sz w:val="22"/>
                <w:szCs w:val="22"/>
                <w:u w:val="single"/>
                <w:lang w:val="en-US"/>
              </w:rPr>
              <w:t>What? (Descriptive Phase)</w:t>
            </w:r>
          </w:p>
          <w:p w14:paraId="19A00284" w14:textId="77777777" w:rsidR="007B72D0" w:rsidRDefault="007B72D0" w:rsidP="0009209A">
            <w:pPr>
              <w:spacing w:line="360" w:lineRule="auto"/>
              <w:jc w:val="both"/>
              <w:rPr>
                <w:rFonts w:ascii="Arial" w:hAnsi="Arial" w:cs="Arial"/>
                <w:sz w:val="22"/>
                <w:szCs w:val="22"/>
              </w:rPr>
            </w:pPr>
          </w:p>
          <w:p w14:paraId="2A8D3BF3" w14:textId="77777777" w:rsidR="007B72D0" w:rsidRPr="00FA18BB" w:rsidRDefault="007B72D0" w:rsidP="0009209A">
            <w:pPr>
              <w:spacing w:line="360" w:lineRule="auto"/>
              <w:jc w:val="both"/>
              <w:rPr>
                <w:rFonts w:ascii="Arial" w:hAnsi="Arial" w:cs="Arial"/>
                <w:sz w:val="22"/>
                <w:szCs w:val="22"/>
              </w:rPr>
            </w:pPr>
            <w:r>
              <w:rPr>
                <w:rFonts w:ascii="Arial" w:hAnsi="Arial" w:cs="Arial"/>
                <w:sz w:val="22"/>
                <w:szCs w:val="22"/>
              </w:rPr>
              <w:t>During</w:t>
            </w:r>
            <w:r w:rsidRPr="00FA18BB">
              <w:rPr>
                <w:rFonts w:ascii="Arial" w:hAnsi="Arial" w:cs="Arial"/>
                <w:sz w:val="22"/>
                <w:szCs w:val="22"/>
              </w:rPr>
              <w:t xml:space="preserve"> phase 2 of the Clinical Services Plan, my role involved working with the transformation planning team and The Consultation Institute (TCI) to aid in facilitating workshops, developing service options and supporting service leads in creating the optimum workforce required to enable their options. The principles for Workforce planning in NHS Wales state that it will be ‘underpinned by strong engagement and collaboration with key stakeholders’  ensuring ‘plans are co-produced’ and underpinned by intelligence led ‘workforce information and analysis’ (HEIW, 2022). This reflection will explore the challenges and learning I have gathered from engaging with clinical professionals, collecting and analysing data, and navigating stakeholder dynamics.</w:t>
            </w:r>
          </w:p>
          <w:p w14:paraId="0741A363" w14:textId="77777777" w:rsidR="007B72D0" w:rsidRPr="00FA18BB" w:rsidRDefault="007B72D0" w:rsidP="0009209A">
            <w:pPr>
              <w:spacing w:line="360" w:lineRule="auto"/>
              <w:jc w:val="both"/>
              <w:rPr>
                <w:rFonts w:ascii="Arial" w:hAnsi="Arial" w:cs="Arial"/>
                <w:sz w:val="22"/>
                <w:szCs w:val="22"/>
              </w:rPr>
            </w:pPr>
            <w:r w:rsidRPr="00FA18BB">
              <w:rPr>
                <w:rFonts w:ascii="Arial" w:hAnsi="Arial" w:cs="Arial"/>
                <w:sz w:val="22"/>
                <w:szCs w:val="22"/>
              </w:rPr>
              <w:t>My responsibilities during phase 2 of the CSP included:</w:t>
            </w:r>
          </w:p>
          <w:p w14:paraId="7C25B2BA" w14:textId="77777777" w:rsidR="007B72D0" w:rsidRPr="00FA18BB" w:rsidRDefault="007B72D0" w:rsidP="0009209A">
            <w:pPr>
              <w:pStyle w:val="ListParagraph"/>
              <w:numPr>
                <w:ilvl w:val="0"/>
                <w:numId w:val="1"/>
              </w:numPr>
              <w:spacing w:line="360" w:lineRule="auto"/>
              <w:ind w:left="426"/>
              <w:jc w:val="both"/>
              <w:rPr>
                <w:rFonts w:ascii="Arial" w:hAnsi="Arial" w:cs="Arial"/>
                <w:sz w:val="22"/>
                <w:szCs w:val="22"/>
              </w:rPr>
            </w:pPr>
            <w:r w:rsidRPr="00FA18BB">
              <w:rPr>
                <w:rFonts w:ascii="Arial" w:hAnsi="Arial" w:cs="Arial"/>
                <w:sz w:val="22"/>
                <w:szCs w:val="22"/>
              </w:rPr>
              <w:t>Collaborating with the transformation planning team and TCI on options development workshops, focusing on the workforce requirement.</w:t>
            </w:r>
          </w:p>
          <w:p w14:paraId="4D467864" w14:textId="77777777" w:rsidR="007B72D0" w:rsidRPr="00FA18BB" w:rsidRDefault="007B72D0" w:rsidP="0009209A">
            <w:pPr>
              <w:pStyle w:val="ListParagraph"/>
              <w:numPr>
                <w:ilvl w:val="0"/>
                <w:numId w:val="1"/>
              </w:numPr>
              <w:spacing w:line="360" w:lineRule="auto"/>
              <w:ind w:left="426"/>
              <w:jc w:val="both"/>
              <w:rPr>
                <w:rFonts w:ascii="Arial" w:hAnsi="Arial" w:cs="Arial"/>
                <w:sz w:val="22"/>
                <w:szCs w:val="22"/>
              </w:rPr>
            </w:pPr>
            <w:r w:rsidRPr="00FA18BB">
              <w:rPr>
                <w:rFonts w:ascii="Arial" w:hAnsi="Arial" w:cs="Arial"/>
                <w:sz w:val="22"/>
                <w:szCs w:val="22"/>
              </w:rPr>
              <w:t>Leading stakeholder consultations within the Task &amp; Finish groups to explore and refine service options</w:t>
            </w:r>
          </w:p>
          <w:p w14:paraId="238560AF" w14:textId="77777777" w:rsidR="007B72D0" w:rsidRPr="00FA18BB" w:rsidRDefault="007B72D0" w:rsidP="0009209A">
            <w:pPr>
              <w:pStyle w:val="ListParagraph"/>
              <w:numPr>
                <w:ilvl w:val="0"/>
                <w:numId w:val="1"/>
              </w:numPr>
              <w:spacing w:line="360" w:lineRule="auto"/>
              <w:ind w:left="426"/>
              <w:jc w:val="both"/>
              <w:rPr>
                <w:rFonts w:ascii="Arial" w:hAnsi="Arial" w:cs="Arial"/>
                <w:sz w:val="22"/>
                <w:szCs w:val="22"/>
              </w:rPr>
            </w:pPr>
            <w:r w:rsidRPr="00FA18BB">
              <w:rPr>
                <w:rFonts w:ascii="Arial" w:hAnsi="Arial" w:cs="Arial"/>
                <w:sz w:val="22"/>
                <w:szCs w:val="22"/>
              </w:rPr>
              <w:t>Gathering and analysing workforce data to inform transformation decisions</w:t>
            </w:r>
          </w:p>
          <w:p w14:paraId="4EDAD092" w14:textId="77777777" w:rsidR="007B72D0" w:rsidRPr="00FA18BB" w:rsidRDefault="007B72D0" w:rsidP="0009209A">
            <w:pPr>
              <w:pStyle w:val="ListParagraph"/>
              <w:numPr>
                <w:ilvl w:val="0"/>
                <w:numId w:val="1"/>
              </w:numPr>
              <w:spacing w:line="360" w:lineRule="auto"/>
              <w:ind w:left="426"/>
              <w:jc w:val="both"/>
              <w:rPr>
                <w:rFonts w:ascii="Arial" w:hAnsi="Arial" w:cs="Arial"/>
                <w:sz w:val="22"/>
                <w:szCs w:val="22"/>
              </w:rPr>
            </w:pPr>
            <w:r w:rsidRPr="00FA18BB">
              <w:rPr>
                <w:rFonts w:ascii="Arial" w:hAnsi="Arial" w:cs="Arial"/>
                <w:sz w:val="22"/>
                <w:szCs w:val="22"/>
              </w:rPr>
              <w:t>Presenting workforce intelligence to senior leaders, ensuring alignment to changing strategic priorities</w:t>
            </w:r>
          </w:p>
          <w:p w14:paraId="3B805751" w14:textId="77777777" w:rsidR="007B72D0" w:rsidRPr="00FA18BB" w:rsidRDefault="007B72D0" w:rsidP="0009209A">
            <w:pPr>
              <w:pStyle w:val="ListParagraph"/>
              <w:numPr>
                <w:ilvl w:val="0"/>
                <w:numId w:val="1"/>
              </w:numPr>
              <w:spacing w:line="360" w:lineRule="auto"/>
              <w:ind w:left="426"/>
              <w:jc w:val="both"/>
              <w:rPr>
                <w:rFonts w:ascii="Arial" w:hAnsi="Arial" w:cs="Arial"/>
                <w:sz w:val="22"/>
                <w:szCs w:val="22"/>
              </w:rPr>
            </w:pPr>
            <w:r w:rsidRPr="00FA18BB">
              <w:rPr>
                <w:rFonts w:ascii="Arial" w:hAnsi="Arial" w:cs="Arial"/>
                <w:sz w:val="22"/>
                <w:szCs w:val="22"/>
              </w:rPr>
              <w:t>Balancing workforce planning perspectives with operational and clinical viewpoints.</w:t>
            </w:r>
          </w:p>
          <w:p w14:paraId="45A295F1" w14:textId="77777777" w:rsidR="007B72D0" w:rsidRPr="00FA18BB" w:rsidRDefault="007B72D0" w:rsidP="0009209A">
            <w:pPr>
              <w:spacing w:line="360" w:lineRule="auto"/>
              <w:jc w:val="both"/>
              <w:rPr>
                <w:rFonts w:ascii="Arial" w:hAnsi="Arial" w:cs="Arial"/>
                <w:sz w:val="22"/>
                <w:szCs w:val="22"/>
              </w:rPr>
            </w:pPr>
            <w:r w:rsidRPr="00FA18BB">
              <w:rPr>
                <w:rFonts w:ascii="Arial" w:hAnsi="Arial" w:cs="Arial"/>
                <w:sz w:val="22"/>
                <w:szCs w:val="22"/>
              </w:rPr>
              <w:t xml:space="preserve">One of the most challenging aspects was ensuring that workforce data was valued in decision-making while addressing resistance and concerns from different stakeholders. During the workshops Clinicians provided practical service insights but also expressed concerns about workforce feasibility, and their frustrations with the process. As the only workforce representative in the process, I found this a challenge at times however I learnt that I am quite a resilient person and can adapt and respond when in difficult situations. </w:t>
            </w:r>
          </w:p>
          <w:p w14:paraId="095F1E63" w14:textId="77777777" w:rsidR="007B72D0" w:rsidRPr="00FA18BB" w:rsidRDefault="007B72D0" w:rsidP="0009209A">
            <w:pPr>
              <w:spacing w:line="360" w:lineRule="auto"/>
              <w:jc w:val="both"/>
              <w:rPr>
                <w:rFonts w:ascii="Arial" w:hAnsi="Arial" w:cs="Arial"/>
                <w:sz w:val="22"/>
                <w:szCs w:val="22"/>
              </w:rPr>
            </w:pPr>
            <w:r w:rsidRPr="00FA18BB">
              <w:rPr>
                <w:rFonts w:ascii="Arial" w:hAnsi="Arial" w:cs="Arial"/>
                <w:sz w:val="22"/>
                <w:szCs w:val="22"/>
              </w:rPr>
              <w:t xml:space="preserve">For the first session attendees were given an overview of the task at hand and presented with the detail from the Phase 1 issues paper to check and challenge the findings and confirm that the information contained within was an accurate reflection of their services. During this session additional information was asked for to help inform the options development process. For workforce, an ask of updated workforce baselines was asked for, as the data within the issues paper was now more than 6 months old. As the data was also historic there was an ask of any projected data that was available to be brought to </w:t>
            </w:r>
            <w:r w:rsidRPr="00FA18BB">
              <w:rPr>
                <w:rFonts w:ascii="Arial" w:hAnsi="Arial" w:cs="Arial"/>
                <w:sz w:val="22"/>
                <w:szCs w:val="22"/>
              </w:rPr>
              <w:lastRenderedPageBreak/>
              <w:t xml:space="preserve">the future sessions. Therefore I reproduced the baseline data </w:t>
            </w:r>
            <w:r>
              <w:rPr>
                <w:rFonts w:ascii="Arial" w:hAnsi="Arial" w:cs="Arial"/>
                <w:sz w:val="22"/>
                <w:szCs w:val="22"/>
              </w:rPr>
              <w:t xml:space="preserve">for each service </w:t>
            </w:r>
            <w:r w:rsidRPr="00FA18BB">
              <w:rPr>
                <w:rFonts w:ascii="Arial" w:hAnsi="Arial" w:cs="Arial"/>
                <w:sz w:val="22"/>
                <w:szCs w:val="22"/>
              </w:rPr>
              <w:t>and created retirement projection data along with supplying education &amp; commissioning pipeline data for the attendee</w:t>
            </w:r>
            <w:r>
              <w:rPr>
                <w:rFonts w:ascii="Arial" w:hAnsi="Arial" w:cs="Arial"/>
                <w:sz w:val="22"/>
                <w:szCs w:val="22"/>
              </w:rPr>
              <w:t>s</w:t>
            </w:r>
            <w:r w:rsidRPr="00FA18BB">
              <w:rPr>
                <w:rFonts w:ascii="Arial" w:hAnsi="Arial" w:cs="Arial"/>
                <w:sz w:val="22"/>
                <w:szCs w:val="22"/>
              </w:rPr>
              <w:t xml:space="preserve"> (appendix </w:t>
            </w:r>
            <w:r>
              <w:rPr>
                <w:rFonts w:ascii="Arial" w:hAnsi="Arial" w:cs="Arial"/>
                <w:sz w:val="22"/>
                <w:szCs w:val="22"/>
              </w:rPr>
              <w:t>K1</w:t>
            </w:r>
            <w:r w:rsidRPr="00FA18BB">
              <w:rPr>
                <w:rFonts w:ascii="Arial" w:hAnsi="Arial" w:cs="Arial"/>
                <w:sz w:val="22"/>
                <w:szCs w:val="22"/>
              </w:rPr>
              <w:t>).</w:t>
            </w:r>
          </w:p>
          <w:p w14:paraId="211D7BA8" w14:textId="4A65B85F" w:rsidR="007B72D0" w:rsidRPr="00FA18BB" w:rsidRDefault="007B72D0" w:rsidP="0009209A">
            <w:pPr>
              <w:spacing w:line="360" w:lineRule="auto"/>
              <w:jc w:val="both"/>
              <w:rPr>
                <w:rFonts w:ascii="Arial" w:eastAsia="Times New Roman" w:hAnsi="Arial" w:cs="Arial"/>
                <w:sz w:val="22"/>
                <w:szCs w:val="22"/>
              </w:rPr>
            </w:pPr>
            <w:r w:rsidRPr="00FA18BB">
              <w:rPr>
                <w:rFonts w:ascii="Arial" w:hAnsi="Arial" w:cs="Arial"/>
                <w:sz w:val="22"/>
                <w:szCs w:val="22"/>
              </w:rPr>
              <w:t xml:space="preserve">During the following sessions I joined the different groups to offer advice and insights and respond to any workforce queries. At times I felt the pressure of representing the whole of the Workforce directorate being the only workforce representative and after each session I had a list of questions and queries to take back to colleagues. I met with my manager prior to each session to relay my feelings and recommend that other colleagues also attended. This ask was </w:t>
            </w:r>
            <w:r w:rsidRPr="22A168A1">
              <w:rPr>
                <w:rFonts w:ascii="Arial" w:hAnsi="Arial" w:cs="Arial"/>
                <w:sz w:val="22"/>
                <w:szCs w:val="22"/>
              </w:rPr>
              <w:t>fed-back</w:t>
            </w:r>
            <w:r w:rsidRPr="00FA18BB">
              <w:rPr>
                <w:rFonts w:ascii="Arial" w:hAnsi="Arial" w:cs="Arial"/>
                <w:sz w:val="22"/>
                <w:szCs w:val="22"/>
              </w:rPr>
              <w:t xml:space="preserve"> but on almost all occasions I remained the only workforce colleague in attendance. I have learnt that my workforce knowledge was greater than I thought as during the sessions I was able to respond to </w:t>
            </w:r>
            <w:r w:rsidR="00C93930" w:rsidRPr="00FA18BB">
              <w:rPr>
                <w:rFonts w:ascii="Arial" w:hAnsi="Arial" w:cs="Arial"/>
                <w:sz w:val="22"/>
                <w:szCs w:val="22"/>
              </w:rPr>
              <w:t>many</w:t>
            </w:r>
            <w:r w:rsidRPr="00FA18BB">
              <w:rPr>
                <w:rFonts w:ascii="Arial" w:hAnsi="Arial" w:cs="Arial"/>
                <w:sz w:val="22"/>
                <w:szCs w:val="22"/>
              </w:rPr>
              <w:t xml:space="preserve"> queries and seek advice on those I was unsure of. On reflection I have also learnt that I am capable of responding to a situation and am quite resilient. I have come to realise that as a </w:t>
            </w:r>
            <w:r w:rsidRPr="00FA18BB">
              <w:rPr>
                <w:rFonts w:ascii="Arial" w:eastAsia="Times New Roman" w:hAnsi="Arial" w:cs="Arial"/>
                <w:sz w:val="22"/>
                <w:szCs w:val="22"/>
              </w:rPr>
              <w:t xml:space="preserve">Workforce planner my colleagues and I often operate in high-pressure environments where stakeholder expectations, organisational constraints, and service needs must be balanced.  As Fletcher &amp; Sarkar (2013) noted </w:t>
            </w:r>
            <w:r w:rsidRPr="00FA18BB">
              <w:rPr>
                <w:rFonts w:ascii="Arial" w:eastAsia="Times New Roman" w:hAnsi="Arial" w:cs="Arial"/>
                <w:i/>
                <w:iCs/>
                <w:sz w:val="22"/>
                <w:szCs w:val="22"/>
              </w:rPr>
              <w:t xml:space="preserve">“Resilient individuals demonstrate cognitive flexibility, problem-solving abilities, and emotional regulation, </w:t>
            </w:r>
            <w:r w:rsidRPr="00FA18BB">
              <w:rPr>
                <w:rFonts w:ascii="Arial" w:eastAsia="Times New Roman" w:hAnsi="Arial" w:cs="Arial"/>
                <w:sz w:val="22"/>
                <w:szCs w:val="22"/>
              </w:rPr>
              <w:t xml:space="preserve">allowing them to navigate workplace adversity effectively."  I believe during these sessions I demonstrated my resilience on numerous occasions and addressed individual concerns by taking time to understand their frustrations through having 1to1 conversations and then feeding back to them on the information I had obtained either at the next session or via email. Many of the clinicians I spoke to were resistant in asking for help and support due to their previous engagements with workforce colleagues but through empathising and listening to their concerns I was able to break down the barriers and support them. </w:t>
            </w:r>
          </w:p>
          <w:p w14:paraId="031D9EA6" w14:textId="77777777" w:rsidR="007B72D0" w:rsidRPr="004C00FD" w:rsidRDefault="007B72D0" w:rsidP="0009209A">
            <w:pPr>
              <w:spacing w:line="360" w:lineRule="auto"/>
              <w:jc w:val="both"/>
              <w:rPr>
                <w:rFonts w:ascii="Arial" w:eastAsia="Arial" w:hAnsi="Arial" w:cs="Arial"/>
                <w:b/>
                <w:bCs/>
                <w:color w:val="00B0F0"/>
                <w:sz w:val="22"/>
                <w:szCs w:val="22"/>
                <w:u w:val="single"/>
              </w:rPr>
            </w:pPr>
          </w:p>
        </w:tc>
      </w:tr>
      <w:tr w:rsidR="007B72D0" w:rsidRPr="004B53D0" w14:paraId="487C27CB" w14:textId="77777777" w:rsidTr="0009209A">
        <w:tc>
          <w:tcPr>
            <w:tcW w:w="1650" w:type="dxa"/>
          </w:tcPr>
          <w:p w14:paraId="3A8AC1DC" w14:textId="77777777" w:rsidR="007B72D0" w:rsidRDefault="007B72D0" w:rsidP="0009209A">
            <w:pPr>
              <w:jc w:val="both"/>
              <w:rPr>
                <w:rFonts w:ascii="Arial" w:eastAsia="Arial" w:hAnsi="Arial" w:cs="Arial"/>
                <w:sz w:val="22"/>
                <w:szCs w:val="22"/>
              </w:rPr>
            </w:pPr>
          </w:p>
        </w:tc>
        <w:tc>
          <w:tcPr>
            <w:tcW w:w="8806" w:type="dxa"/>
            <w:shd w:val="clear" w:color="auto" w:fill="auto"/>
          </w:tcPr>
          <w:p w14:paraId="783BF919"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So What? (Analytical Phase)</w:t>
            </w:r>
          </w:p>
          <w:p w14:paraId="2FD02EAB" w14:textId="77777777" w:rsidR="007B72D0" w:rsidRPr="004C00FD" w:rsidRDefault="007B72D0" w:rsidP="0009209A">
            <w:pPr>
              <w:spacing w:line="360" w:lineRule="auto"/>
              <w:jc w:val="both"/>
              <w:rPr>
                <w:rFonts w:ascii="Arial" w:eastAsia="Calibri" w:hAnsi="Arial" w:cs="Arial"/>
                <w:b/>
                <w:bCs/>
                <w:sz w:val="22"/>
                <w:szCs w:val="22"/>
                <w:u w:val="single"/>
                <w:lang w:val="en-US"/>
              </w:rPr>
            </w:pPr>
          </w:p>
          <w:p w14:paraId="609B0FE4"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 xml:space="preserve">Being part of the options development process emphasised for me the importance of clinical engagement in workforce planning. Clinical engagement was critical to developing the options and ensuring they were creating sustainable plans. Through engaging the right stakeholders from the offset it allowed me to identify workforce challenges early in the process and address any concerns or confusion that had arisen. It also allowed me to validate the workforce data I had provided by aligning the qualitative information born out of the conversations with the data insights I had brought to the attendees. This meant that I was also improving the credibility of workforce intelligence which inevitably led to improved stakeholder buy-in. As Checkland &amp; Poulter (2006) noted, workforce data must </w:t>
            </w:r>
            <w:r w:rsidRPr="00FA18BB">
              <w:rPr>
                <w:rFonts w:ascii="Arial" w:eastAsia="Times New Roman" w:hAnsi="Arial" w:cs="Arial"/>
                <w:sz w:val="22"/>
                <w:szCs w:val="22"/>
              </w:rPr>
              <w:lastRenderedPageBreak/>
              <w:t>be complemented by clinical expertise to create realistic and sustainable workforce models.</w:t>
            </w:r>
          </w:p>
          <w:p w14:paraId="37BD7964" w14:textId="2DF8BB2E"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Gathering and presenting workforce data was crucial to aid in decision making for the options development process. However</w:t>
            </w:r>
            <w:r w:rsidRPr="22A168A1">
              <w:rPr>
                <w:rFonts w:ascii="Arial" w:eastAsia="Times New Roman" w:hAnsi="Arial" w:cs="Arial"/>
                <w:sz w:val="22"/>
                <w:szCs w:val="22"/>
              </w:rPr>
              <w:t>,</w:t>
            </w:r>
            <w:r w:rsidRPr="00FA18BB">
              <w:rPr>
                <w:rFonts w:ascii="Arial" w:eastAsia="Times New Roman" w:hAnsi="Arial" w:cs="Arial"/>
                <w:sz w:val="22"/>
                <w:szCs w:val="22"/>
              </w:rPr>
              <w:t xml:space="preserve"> I did find challenges in pooling </w:t>
            </w:r>
            <w:r w:rsidR="00A47397" w:rsidRPr="00FA18BB">
              <w:rPr>
                <w:rFonts w:ascii="Arial" w:eastAsia="Times New Roman" w:hAnsi="Arial" w:cs="Arial"/>
                <w:sz w:val="22"/>
                <w:szCs w:val="22"/>
              </w:rPr>
              <w:t>all</w:t>
            </w:r>
            <w:r w:rsidRPr="00FA18BB">
              <w:rPr>
                <w:rFonts w:ascii="Arial" w:eastAsia="Times New Roman" w:hAnsi="Arial" w:cs="Arial"/>
                <w:sz w:val="22"/>
                <w:szCs w:val="22"/>
              </w:rPr>
              <w:t xml:space="preserve"> the data I had gathered into an accessible format to suit everyone’s needs. Some individuals were adept with using excel and wanted more detail, whilst others wanted high level simple information to aid them in their decisions. I hoped the information I provided was a suitable mid</w:t>
            </w:r>
            <w:r w:rsidRPr="22A168A1">
              <w:rPr>
                <w:rFonts w:ascii="Arial" w:eastAsia="Times New Roman" w:hAnsi="Arial" w:cs="Arial"/>
                <w:sz w:val="22"/>
                <w:szCs w:val="22"/>
              </w:rPr>
              <w:t>-</w:t>
            </w:r>
            <w:r w:rsidRPr="00FA18BB">
              <w:rPr>
                <w:rFonts w:ascii="Arial" w:eastAsia="Times New Roman" w:hAnsi="Arial" w:cs="Arial"/>
                <w:sz w:val="22"/>
                <w:szCs w:val="22"/>
              </w:rPr>
              <w:t xml:space="preserve">point and at each opportunity I offered to explain or provide more detail if required. To help enhance people’s thinking at the first options development workshop I provided a list of key questions to think about whilst considering the options (appendix </w:t>
            </w:r>
            <w:r>
              <w:rPr>
                <w:rFonts w:ascii="Arial" w:eastAsia="Times New Roman" w:hAnsi="Arial" w:cs="Arial"/>
                <w:sz w:val="22"/>
                <w:szCs w:val="22"/>
              </w:rPr>
              <w:t>L1</w:t>
            </w:r>
            <w:r w:rsidRPr="00FA18BB">
              <w:rPr>
                <w:rFonts w:ascii="Arial" w:eastAsia="Times New Roman" w:hAnsi="Arial" w:cs="Arial"/>
                <w:sz w:val="22"/>
                <w:szCs w:val="22"/>
              </w:rPr>
              <w:t>). This offered attendees the opportunity to reflect on their options whilst considering key workforce metrics to ensure their plans were realistic and sustainable.</w:t>
            </w:r>
          </w:p>
          <w:p w14:paraId="7AE6C9D1" w14:textId="7FA07290"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I also had to overcome any scepticism from clinicians and service leads from the workforce projections I had provided. However</w:t>
            </w:r>
            <w:r w:rsidRPr="22A168A1">
              <w:rPr>
                <w:rFonts w:ascii="Arial" w:eastAsia="Times New Roman" w:hAnsi="Arial" w:cs="Arial"/>
                <w:sz w:val="22"/>
                <w:szCs w:val="22"/>
              </w:rPr>
              <w:t>,</w:t>
            </w:r>
            <w:r w:rsidRPr="00FA18BB">
              <w:rPr>
                <w:rFonts w:ascii="Arial" w:eastAsia="Times New Roman" w:hAnsi="Arial" w:cs="Arial"/>
                <w:sz w:val="22"/>
                <w:szCs w:val="22"/>
              </w:rPr>
              <w:t xml:space="preserve"> as I had spent time with many of those in attendance during phase 1, I had already built relationships and addressed concerns being honest in my assessment of the accuracy of the data and providing a methodology for the data collection (appendix </w:t>
            </w:r>
            <w:r>
              <w:rPr>
                <w:rFonts w:ascii="Arial" w:eastAsia="Times New Roman" w:hAnsi="Arial" w:cs="Arial"/>
                <w:sz w:val="22"/>
                <w:szCs w:val="22"/>
              </w:rPr>
              <w:t>M1</w:t>
            </w:r>
            <w:r w:rsidRPr="00FA18BB">
              <w:rPr>
                <w:rFonts w:ascii="Arial" w:eastAsia="Times New Roman" w:hAnsi="Arial" w:cs="Arial"/>
                <w:sz w:val="22"/>
                <w:szCs w:val="22"/>
              </w:rPr>
              <w:t xml:space="preserve">). I presented the data in the most visually appealing format that I could make the data more engaging and ensured the data was relevant to the tasks at hand. </w:t>
            </w:r>
            <w:r w:rsidR="006E5CCA">
              <w:rPr>
                <w:rFonts w:ascii="Arial" w:eastAsia="Times New Roman" w:hAnsi="Arial" w:cs="Arial"/>
                <w:sz w:val="22"/>
                <w:szCs w:val="22"/>
              </w:rPr>
              <w:t>As Wright</w:t>
            </w:r>
            <w:r w:rsidR="00A27B5E">
              <w:rPr>
                <w:rFonts w:ascii="Arial" w:eastAsia="Times New Roman" w:hAnsi="Arial" w:cs="Arial"/>
                <w:sz w:val="22"/>
                <w:szCs w:val="22"/>
              </w:rPr>
              <w:t xml:space="preserve"> &amp; McMahan (2011) noted, ‘</w:t>
            </w:r>
            <w:r w:rsidRPr="00FA18BB">
              <w:rPr>
                <w:rFonts w:ascii="Arial" w:eastAsia="Times New Roman" w:hAnsi="Arial" w:cs="Arial"/>
                <w:sz w:val="22"/>
                <w:szCs w:val="22"/>
              </w:rPr>
              <w:t>Workforce intelligence must be ‘clear, clinically relevant, and solution-focused’ to gain ‘executive and clinical buy-in’</w:t>
            </w:r>
            <w:r w:rsidR="00A27B5E">
              <w:rPr>
                <w:rFonts w:ascii="Arial" w:eastAsia="Times New Roman" w:hAnsi="Arial" w:cs="Arial"/>
                <w:sz w:val="22"/>
                <w:szCs w:val="22"/>
              </w:rPr>
              <w:t>.</w:t>
            </w:r>
          </w:p>
          <w:p w14:paraId="02D944A0"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 xml:space="preserve">My main struggle with phase 2 of the CSP was being the sole workforce representative during </w:t>
            </w:r>
            <w:r w:rsidRPr="004970CA">
              <w:rPr>
                <w:rFonts w:ascii="Arial" w:eastAsia="Times New Roman" w:hAnsi="Arial" w:cs="Arial"/>
                <w:sz w:val="22"/>
                <w:szCs w:val="22"/>
              </w:rPr>
              <w:t>the discussions across the options development process. At times it led to feelings of isolation and imposter syndrome (Cirillo, 2018) as I felt that</w:t>
            </w:r>
            <w:r w:rsidRPr="00FA18BB">
              <w:rPr>
                <w:rFonts w:ascii="Arial" w:eastAsia="Times New Roman" w:hAnsi="Arial" w:cs="Arial"/>
                <w:sz w:val="22"/>
                <w:szCs w:val="22"/>
              </w:rPr>
              <w:t xml:space="preserve"> I was expected to know the answer to all workforce queries from the 80 plus attendees in the room and the onus was on me to respond correctly. I was fortunate that in most instances there was an acceptance that I may need to take the query back to get an answer and an appreciation when I did return with a response, even if I wasn’t able to fully answer the question. To try and get additional support my manager suggested I update the WOD senior leadership team with the progress of the CSP and note my concerns and offer advice on what we as WOD colleagues could be doing to help alleviate some frustrations with current workforce concerns and the potential ‘consultation fatigue’ from service colleagues. In response I wrote a report to the team (appendix </w:t>
            </w:r>
            <w:r>
              <w:rPr>
                <w:rFonts w:ascii="Arial" w:eastAsia="Times New Roman" w:hAnsi="Arial" w:cs="Arial"/>
                <w:sz w:val="22"/>
                <w:szCs w:val="22"/>
              </w:rPr>
              <w:t>N1</w:t>
            </w:r>
            <w:r w:rsidRPr="00FA18BB">
              <w:rPr>
                <w:rFonts w:ascii="Arial" w:eastAsia="Times New Roman" w:hAnsi="Arial" w:cs="Arial"/>
                <w:sz w:val="22"/>
                <w:szCs w:val="22"/>
              </w:rPr>
              <w:t xml:space="preserve">) noting my concerns. Unfortunately this was not met with the response I anticipated which led to my own personal frustration with my WOD colleagues in responding to my concerns. I realised that I cannot control how others respond and although personally frustrated it has made me more resilient and even more empowered to help colleagues where I can. On reflection and to improve my own learning on different communication styles I have sought further learning on different methods of </w:t>
            </w:r>
            <w:r w:rsidRPr="00FA18BB">
              <w:rPr>
                <w:rFonts w:ascii="Arial" w:eastAsia="Times New Roman" w:hAnsi="Arial" w:cs="Arial"/>
                <w:sz w:val="22"/>
                <w:szCs w:val="22"/>
              </w:rPr>
              <w:lastRenderedPageBreak/>
              <w:t>communicating with varying personality types</w:t>
            </w:r>
            <w:r>
              <w:rPr>
                <w:rFonts w:ascii="Arial" w:eastAsia="Times New Roman" w:hAnsi="Arial" w:cs="Arial"/>
                <w:sz w:val="22"/>
                <w:szCs w:val="22"/>
              </w:rPr>
              <w:t xml:space="preserve"> (Erikson, 2019). </w:t>
            </w:r>
            <w:r w:rsidRPr="00FA18BB">
              <w:rPr>
                <w:rFonts w:ascii="Arial" w:eastAsia="Times New Roman" w:hAnsi="Arial" w:cs="Arial"/>
                <w:sz w:val="22"/>
                <w:szCs w:val="22"/>
              </w:rPr>
              <w:t xml:space="preserve"> I have also looked at how I could engage with colleagues sooner to bring them on the journey with me in future to avoid being the lone voice. As Saunders et al (2019) stated, ‘effective workforce planning requires early WOD involvement, ensuring workforce intelligence is embedded throughout service design discussions, not added as an afterthought.</w:t>
            </w:r>
          </w:p>
          <w:p w14:paraId="642A5E9A"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r w:rsidR="007B72D0" w:rsidRPr="004B53D0" w14:paraId="23115700" w14:textId="77777777" w:rsidTr="0009209A">
        <w:tc>
          <w:tcPr>
            <w:tcW w:w="1650" w:type="dxa"/>
          </w:tcPr>
          <w:p w14:paraId="5E0F6C2A" w14:textId="77777777" w:rsidR="007B72D0" w:rsidRDefault="007B72D0" w:rsidP="0009209A">
            <w:pPr>
              <w:jc w:val="both"/>
              <w:rPr>
                <w:rFonts w:ascii="Arial" w:eastAsia="Arial" w:hAnsi="Arial" w:cs="Arial"/>
                <w:sz w:val="22"/>
                <w:szCs w:val="22"/>
              </w:rPr>
            </w:pPr>
          </w:p>
        </w:tc>
        <w:tc>
          <w:tcPr>
            <w:tcW w:w="8806" w:type="dxa"/>
          </w:tcPr>
          <w:p w14:paraId="10B563CC"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Now What? (Transformative Phase)</w:t>
            </w:r>
          </w:p>
          <w:p w14:paraId="19C2491A" w14:textId="77777777" w:rsidR="007B72D0" w:rsidRPr="004C00FD" w:rsidRDefault="007B72D0" w:rsidP="0009209A">
            <w:pPr>
              <w:spacing w:line="360" w:lineRule="auto"/>
              <w:jc w:val="both"/>
              <w:rPr>
                <w:rFonts w:ascii="Arial" w:eastAsia="Calibri" w:hAnsi="Arial" w:cs="Arial"/>
                <w:b/>
                <w:bCs/>
                <w:sz w:val="22"/>
                <w:szCs w:val="22"/>
                <w:u w:val="single"/>
                <w:lang w:val="en-US"/>
              </w:rPr>
            </w:pPr>
          </w:p>
          <w:p w14:paraId="4D7B2291"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To ensure th</w:t>
            </w:r>
            <w:r>
              <w:rPr>
                <w:rFonts w:ascii="Arial" w:eastAsia="Times New Roman" w:hAnsi="Arial" w:cs="Arial"/>
                <w:sz w:val="22"/>
                <w:szCs w:val="22"/>
              </w:rPr>
              <w:t xml:space="preserve">at workforce planning fully reflects the diverse needs of the organisation, I will continue to advocate for stronger representation of WOD colleagues in planning discussions. Drawing on stakeholder theory (Freeman, 1984) and change leadership principles (Kotter, 1996), I believe that workforce planning must be regarded as a collective responsibility, requiring early and sustained involvement from representatives across WOD, service and finance. By applying established stakeholder engagement frameworks (Bourne, 2015), I aim to enhance communication and facilitate data triangulation from the outset of any planning process. This approach not only supports the integration of comprehensive workforce intelligence into service redesign discussions but also contributes to developing sustainable, adaptive planning strategies. </w:t>
            </w:r>
          </w:p>
          <w:p w14:paraId="07E9F064"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I will continue to develop and improve any engagement sessions I undertake through gathering feedback on their relevance and implementing improvements through following the PDSA (Plan, Do, Study, Act) cycle to co-design solutions.</w:t>
            </w:r>
          </w:p>
          <w:p w14:paraId="34B7EC65"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 xml:space="preserve">I aim to improve my own and colleagues personal resilience through discussing strategies with peer support networks such as the Workforce planning network and internally with my own colleagues. I </w:t>
            </w:r>
            <w:r>
              <w:rPr>
                <w:rFonts w:ascii="Arial" w:eastAsia="Times New Roman" w:hAnsi="Arial" w:cs="Arial"/>
                <w:sz w:val="22"/>
                <w:szCs w:val="22"/>
              </w:rPr>
              <w:t xml:space="preserve">have </w:t>
            </w:r>
            <w:r w:rsidRPr="00FA18BB">
              <w:rPr>
                <w:rFonts w:ascii="Arial" w:eastAsia="Times New Roman" w:hAnsi="Arial" w:cs="Arial"/>
                <w:sz w:val="22"/>
                <w:szCs w:val="22"/>
              </w:rPr>
              <w:t>also undertake</w:t>
            </w:r>
            <w:r>
              <w:rPr>
                <w:rFonts w:ascii="Arial" w:eastAsia="Times New Roman" w:hAnsi="Arial" w:cs="Arial"/>
                <w:sz w:val="22"/>
                <w:szCs w:val="22"/>
              </w:rPr>
              <w:t>n</w:t>
            </w:r>
            <w:r w:rsidRPr="00FA18BB">
              <w:rPr>
                <w:rFonts w:ascii="Arial" w:eastAsia="Times New Roman" w:hAnsi="Arial" w:cs="Arial"/>
                <w:sz w:val="22"/>
                <w:szCs w:val="22"/>
              </w:rPr>
              <w:t xml:space="preserve"> some additional training on managing difficult people and navigating complex stakeholder dynamics to improve my own resilience (appendix </w:t>
            </w:r>
            <w:r>
              <w:rPr>
                <w:rFonts w:ascii="Arial" w:eastAsia="Times New Roman" w:hAnsi="Arial" w:cs="Arial"/>
                <w:sz w:val="22"/>
                <w:szCs w:val="22"/>
              </w:rPr>
              <w:t>O1, S1</w:t>
            </w:r>
            <w:r w:rsidRPr="00FA18BB">
              <w:rPr>
                <w:rFonts w:ascii="Arial" w:eastAsia="Times New Roman" w:hAnsi="Arial" w:cs="Arial"/>
                <w:sz w:val="22"/>
                <w:szCs w:val="22"/>
              </w:rPr>
              <w:t>).</w:t>
            </w:r>
          </w:p>
          <w:p w14:paraId="0EF49DC9"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t>To help colleagues across the HB I would like to develop more interactive dashboards to enable workforce insights and projections to be seen. This would help facilitate workforce planning through enabling individuals to easily access workforce data to support their plans and would also aid in improving the capability of the HB in reaching its strategic direction. I’d like to develop these dashboards through working with service users to ensure they are fit for purpose, applying Pawson &amp; Tilley’s (1997) realist evaluation to ensure workforce interventions are tested and refined based on real-world application. I’d also be keen to develop a means of linking data with service narratives to make workforce data more relevant to decision makers. Whether this be through creating case studies or linking quantitative data currently available with the more qualitative information available within operational workforce plans.</w:t>
            </w:r>
          </w:p>
          <w:p w14:paraId="5955D93F" w14:textId="77777777" w:rsidR="007B72D0" w:rsidRPr="00FA18BB" w:rsidRDefault="007B72D0" w:rsidP="0009209A">
            <w:pPr>
              <w:spacing w:line="360" w:lineRule="auto"/>
              <w:jc w:val="both"/>
              <w:rPr>
                <w:rFonts w:ascii="Arial" w:eastAsia="Times New Roman" w:hAnsi="Arial" w:cs="Arial"/>
                <w:sz w:val="22"/>
                <w:szCs w:val="22"/>
              </w:rPr>
            </w:pPr>
            <w:r w:rsidRPr="00FA18BB">
              <w:rPr>
                <w:rFonts w:ascii="Arial" w:eastAsia="Times New Roman" w:hAnsi="Arial" w:cs="Arial"/>
                <w:sz w:val="22"/>
                <w:szCs w:val="22"/>
              </w:rPr>
              <w:lastRenderedPageBreak/>
              <w:t>Reflecting on my experience of phase 2 of the CSP programme I recognise the importance of collaborating from the beginning with clinical professionals and stakeholders. The earlier wider stakeholders are involved in developing any plans, the more likely they are to come to fruition. Cormac Russell (2020) emphasises the value of early and inclusive collaboration when beginning a project to lead to more effective and sustainable outcomes. While challenges such as WOD resistance and workforce feasibility concerns required resilience on my part, as Goleman, Boyatzis &amp; McKee (2013) stated “</w:t>
            </w:r>
            <w:r w:rsidRPr="00622A2A">
              <w:rPr>
                <w:rFonts w:ascii="Arial" w:eastAsia="Times New Roman" w:hAnsi="Arial" w:cs="Arial"/>
                <w:i/>
                <w:iCs/>
                <w:sz w:val="22"/>
                <w:szCs w:val="22"/>
              </w:rPr>
              <w:t>Leaders who foster resilience inspire confidence, provide clarity in uncertainty, and enable their teams to remain focused and solution oriented."</w:t>
            </w:r>
            <w:r w:rsidRPr="00FA18BB">
              <w:rPr>
                <w:rFonts w:ascii="Arial" w:eastAsia="Times New Roman" w:hAnsi="Arial" w:cs="Arial"/>
                <w:sz w:val="22"/>
                <w:szCs w:val="22"/>
              </w:rPr>
              <w:t>  </w:t>
            </w:r>
          </w:p>
          <w:p w14:paraId="4D7C2CB0" w14:textId="77777777" w:rsidR="007B72D0" w:rsidRPr="004C00FD" w:rsidRDefault="007B72D0" w:rsidP="0009209A">
            <w:pPr>
              <w:spacing w:line="360" w:lineRule="auto"/>
              <w:jc w:val="both"/>
              <w:rPr>
                <w:rFonts w:ascii="Arial" w:eastAsia="Calibri" w:hAnsi="Arial" w:cs="Arial"/>
                <w:b/>
                <w:bCs/>
                <w:color w:val="4C94D8" w:themeColor="text2" w:themeTint="80"/>
                <w:sz w:val="22"/>
                <w:szCs w:val="22"/>
                <w:u w:val="single"/>
                <w:lang w:val="en-US"/>
              </w:rPr>
            </w:pPr>
          </w:p>
          <w:p w14:paraId="2FCB3DDF"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bl>
    <w:p w14:paraId="6B435D4F" w14:textId="77777777" w:rsidR="007B72D0" w:rsidRDefault="007B72D0" w:rsidP="007B72D0">
      <w:pPr>
        <w:jc w:val="both"/>
        <w:rPr>
          <w:rFonts w:ascii="Arial" w:eastAsia="Arial" w:hAnsi="Arial" w:cs="Arial"/>
          <w:sz w:val="22"/>
          <w:szCs w:val="22"/>
        </w:rPr>
      </w:pPr>
    </w:p>
    <w:tbl>
      <w:tblPr>
        <w:tblStyle w:val="TableGrid"/>
        <w:tblW w:w="0" w:type="auto"/>
        <w:tblLook w:val="04A0" w:firstRow="1" w:lastRow="0" w:firstColumn="1" w:lastColumn="0" w:noHBand="0" w:noVBand="1"/>
      </w:tblPr>
      <w:tblGrid>
        <w:gridCol w:w="1686"/>
        <w:gridCol w:w="8652"/>
      </w:tblGrid>
      <w:tr w:rsidR="007B72D0" w14:paraId="63810982" w14:textId="77777777" w:rsidTr="0009209A">
        <w:tc>
          <w:tcPr>
            <w:tcW w:w="1696" w:type="dxa"/>
          </w:tcPr>
          <w:p w14:paraId="125F9664"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 xml:space="preserve">Learning Outcome </w:t>
            </w:r>
            <w:r>
              <w:rPr>
                <w:rFonts w:ascii="Arial" w:eastAsia="Arial" w:hAnsi="Arial" w:cs="Arial"/>
                <w:sz w:val="22"/>
                <w:szCs w:val="22"/>
              </w:rPr>
              <w:t>3</w:t>
            </w:r>
          </w:p>
          <w:p w14:paraId="78192303" w14:textId="77777777" w:rsidR="007B72D0" w:rsidRDefault="007B72D0" w:rsidP="0009209A">
            <w:pPr>
              <w:jc w:val="both"/>
              <w:rPr>
                <w:rFonts w:ascii="Arial" w:eastAsia="Arial" w:hAnsi="Arial" w:cs="Arial"/>
                <w:sz w:val="22"/>
                <w:szCs w:val="22"/>
              </w:rPr>
            </w:pPr>
          </w:p>
        </w:tc>
        <w:tc>
          <w:tcPr>
            <w:tcW w:w="8760" w:type="dxa"/>
          </w:tcPr>
          <w:p w14:paraId="77611C21" w14:textId="77777777" w:rsidR="007B72D0" w:rsidRPr="004D119B" w:rsidRDefault="007B72D0" w:rsidP="0009209A">
            <w:pPr>
              <w:spacing w:line="360" w:lineRule="auto"/>
              <w:jc w:val="both"/>
              <w:rPr>
                <w:rFonts w:ascii="Arial" w:eastAsia="Arial" w:hAnsi="Arial" w:cs="Arial"/>
                <w:b/>
                <w:bCs/>
                <w:color w:val="00B0F0"/>
                <w:sz w:val="22"/>
                <w:szCs w:val="22"/>
              </w:rPr>
            </w:pPr>
            <w:r w:rsidRPr="004D119B">
              <w:rPr>
                <w:rFonts w:ascii="Arial" w:hAnsi="Arial" w:cs="Arial"/>
                <w:b/>
                <w:bCs/>
                <w:sz w:val="22"/>
                <w:szCs w:val="22"/>
              </w:rPr>
              <w:t>Design and present a comprehensive workforce feasibility assessment to inform executive decision-making and support organisational strategic objectives.</w:t>
            </w:r>
          </w:p>
        </w:tc>
      </w:tr>
      <w:tr w:rsidR="007B72D0" w:rsidRPr="004B53D0" w14:paraId="606E0569" w14:textId="77777777" w:rsidTr="0009209A">
        <w:tc>
          <w:tcPr>
            <w:tcW w:w="1696" w:type="dxa"/>
          </w:tcPr>
          <w:p w14:paraId="6856B33D"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1,000 – 2,000 max words per learning outcome</w:t>
            </w:r>
          </w:p>
          <w:p w14:paraId="61272464" w14:textId="77777777" w:rsidR="007B72D0" w:rsidRDefault="007B72D0" w:rsidP="0009209A">
            <w:pPr>
              <w:jc w:val="both"/>
              <w:rPr>
                <w:rFonts w:ascii="Arial" w:eastAsia="Arial" w:hAnsi="Arial" w:cs="Arial"/>
                <w:sz w:val="22"/>
                <w:szCs w:val="22"/>
              </w:rPr>
            </w:pPr>
          </w:p>
        </w:tc>
        <w:tc>
          <w:tcPr>
            <w:tcW w:w="8760" w:type="dxa"/>
          </w:tcPr>
          <w:p w14:paraId="35AC0C7C"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What? (Descriptive Phase)</w:t>
            </w:r>
          </w:p>
          <w:p w14:paraId="2467CA10" w14:textId="77777777" w:rsidR="007B72D0" w:rsidRPr="004C00FD" w:rsidRDefault="007B72D0" w:rsidP="0009209A">
            <w:pPr>
              <w:spacing w:line="360" w:lineRule="auto"/>
              <w:jc w:val="both"/>
              <w:rPr>
                <w:rFonts w:ascii="Arial" w:eastAsia="Arial" w:hAnsi="Arial" w:cs="Arial"/>
                <w:i/>
                <w:iCs/>
                <w:color w:val="4C94D8" w:themeColor="text2" w:themeTint="80"/>
                <w:sz w:val="22"/>
                <w:szCs w:val="22"/>
              </w:rPr>
            </w:pPr>
          </w:p>
          <w:p w14:paraId="3CBF998F"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On completion of the options development process with service teams (reflected in learning outcome 2) I developed a workforce feasibility assessment to support executives in deciding on next steps for the CSP programme. The report integrated financial, operational and workforce data to relay the options developed for each service. The challenge I faced was how to present complex data in an accessible format for senior leaders.</w:t>
            </w:r>
          </w:p>
          <w:p w14:paraId="1D72E34F"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My initial assessment consisted of several Excel documents noting the detail of the options along with the expected workforce required to enable the option to be realised. On working through the data I and the Assistant Director of Finance soon realised that there was not enough detailed information to allow us to make a comprehensive assessment of the feasibility of the options. As the options had been developed by various groups who did not necessarily have the required specific detail of each service involved, I realised that I would need to undertake further engagement with the service to refine the options. Over several months during summer and autumn 2024 I attended each service task and finish group to clarify the workforce requirement for each option based on the configuration that had been noted. During this time I learnt a considerable amount about the detail of each service and its specific requirements which has expanded my knowledge of the HB and led to a deeper appreciation of the staff that work within HDUHB. </w:t>
            </w:r>
          </w:p>
          <w:p w14:paraId="5B8717CD"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During this time I also shared my concerns regarding the programme timelines to the transformation team noting that workforce planning is an iterative process, similar to </w:t>
            </w:r>
            <w:r>
              <w:rPr>
                <w:rFonts w:ascii="Arial" w:hAnsi="Arial" w:cs="Arial"/>
                <w:sz w:val="22"/>
                <w:szCs w:val="22"/>
              </w:rPr>
              <w:lastRenderedPageBreak/>
              <w:t xml:space="preserve">peeling an onion, the more questions I asked, the more detail was revealed of the shape of each service and its core requirements and interdependencies. I raised my concerns more formally at the Activity Modelling Programme meeting and noted a formal risk to the timeline. At this point in time, CSP programme papers were due to be presented at the September 2024 Board meeting. Following my concerns and having attended some of the task &amp; finish group meetings, the team raised a formal request to extend the timeline of the project (appendix P1) which was accepted and the CSP report was moved to November board for discussion. </w:t>
            </w:r>
          </w:p>
          <w:p w14:paraId="68A905F6"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During Autumn 2024 I continued to work with the services and finance colleagues to define the required workforce. In discussions with the Stroke service it became evident that a number of key workforce had not been included in the assessment which resulted in further discussions with the transformation team to ensure therapies workforce were included in the options as without this key workforce the service would not be able to provide the necessary support to patients. This further reinforced my initial concerns at the outset of the programme that it should have followed a patient pathway approach and not defined the service by specific staff groups. Throughout this programme I have developed greater confidence in my professional judgement and workforce planning expertise, enabling me to articulate my insights and perspectives with increased assurance in collaborative and strategic discussions. On reflection at the beginning of the programme I did not feel confident enough to voice my opinion on the CSP process and how it had been constructed. However</w:t>
            </w:r>
            <w:r w:rsidRPr="4EB67E24">
              <w:rPr>
                <w:rFonts w:ascii="Arial" w:hAnsi="Arial" w:cs="Arial"/>
                <w:sz w:val="22"/>
                <w:szCs w:val="22"/>
              </w:rPr>
              <w:t>,</w:t>
            </w:r>
            <w:r>
              <w:rPr>
                <w:rFonts w:ascii="Arial" w:hAnsi="Arial" w:cs="Arial"/>
                <w:sz w:val="22"/>
                <w:szCs w:val="22"/>
              </w:rPr>
              <w:t xml:space="preserve"> as I felt more comfortable in working with the transformation team and noticing where changes needed to be made, I can reflect on my increased confidence in my own abilities and expressing any concerns I had. As my opinions were noted and considered, with changes being realised I felt more confident in speaking up. As a result</w:t>
            </w:r>
            <w:r w:rsidRPr="4EB67E24">
              <w:rPr>
                <w:rFonts w:ascii="Arial" w:hAnsi="Arial" w:cs="Arial"/>
                <w:sz w:val="22"/>
                <w:szCs w:val="22"/>
              </w:rPr>
              <w:t>,</w:t>
            </w:r>
            <w:r>
              <w:rPr>
                <w:rFonts w:ascii="Arial" w:hAnsi="Arial" w:cs="Arial"/>
                <w:sz w:val="22"/>
                <w:szCs w:val="22"/>
              </w:rPr>
              <w:t xml:space="preserve"> therapies workforce was included within 3 areas of the CSP programme, notably Stroke, Orthopaedics and Critical Care. This led to additional working groups with therapies representatives to discuss the options and provide the workforce data to support the requirements. </w:t>
            </w:r>
          </w:p>
          <w:p w14:paraId="37569D30"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Following on from these meetings I provided a numerical assessment of the required workforce for each option to note the entirety of the workforce requirement. I then created a feasibility assessment considering the availability of the workforce and likelihood of recruiting to posts and considering supporting workforce insights from colleagues in operational, recruitment and education roles as well as the knowledge of my workforce planning colleagues. I had never previously undertaken a feasibility assessment of this magnitude and at first was unsure if it was something that I could complete. Having created data driven insights previously I was comfortable in creating the numerical assessment however the feasibility required me to research into how this </w:t>
            </w:r>
            <w:r>
              <w:rPr>
                <w:rFonts w:ascii="Arial" w:hAnsi="Arial" w:cs="Arial"/>
                <w:sz w:val="22"/>
                <w:szCs w:val="22"/>
              </w:rPr>
              <w:lastRenderedPageBreak/>
              <w:t>could be undertaken. I explored workforce planning references however was unable to find anything comparable. Therefore</w:t>
            </w:r>
            <w:r w:rsidRPr="4EB67E24">
              <w:rPr>
                <w:rFonts w:ascii="Arial" w:hAnsi="Arial" w:cs="Arial"/>
                <w:sz w:val="22"/>
                <w:szCs w:val="22"/>
              </w:rPr>
              <w:t>,</w:t>
            </w:r>
            <w:r>
              <w:rPr>
                <w:rFonts w:ascii="Arial" w:hAnsi="Arial" w:cs="Arial"/>
                <w:sz w:val="22"/>
                <w:szCs w:val="22"/>
              </w:rPr>
              <w:t xml:space="preserve"> I turned to my own and </w:t>
            </w:r>
            <w:r w:rsidRPr="4EB67E24">
              <w:rPr>
                <w:rFonts w:ascii="Arial" w:hAnsi="Arial" w:cs="Arial"/>
                <w:sz w:val="22"/>
                <w:szCs w:val="22"/>
              </w:rPr>
              <w:t>colleagues'</w:t>
            </w:r>
            <w:r>
              <w:rPr>
                <w:rFonts w:ascii="Arial" w:hAnsi="Arial" w:cs="Arial"/>
                <w:sz w:val="22"/>
                <w:szCs w:val="22"/>
              </w:rPr>
              <w:t xml:space="preserve"> knowledge to discuss and support me through its creation. It was a learning curve for me but having looked back on the regeneration framework (appendix Y) I knew the key components that I needed to include recruitment options; learning &amp; educational requirements; operational or contractual barriers; technological advancements; and the impact of cultural changes. In discussing my ideas with my colleagues and manager I derived a set of assumptions to work from and contacted key workforce colleagues who could support me in undertaking the assessment. I approached colleagues with expertise in Nurse Staffing Levels Act, Medical recruitment and Operational workforce advice and met with them to go through the options and gather their thoughts and concerns for each service and option. Once I had this information, I compiled a feasibility assessment and produced a Red, Amber, Green (RAG) rated assessment. (appendix Q1). This was then presented as part of the board papers in November 2024. </w:t>
            </w:r>
          </w:p>
          <w:p w14:paraId="10D906B8"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The main challenge for me in undertaking this assessment was balancing realistic workforce constraints with some ambitious service changes, requiring me to negotiate, draw on my resilience skills whilst also providing data driven justification. </w:t>
            </w:r>
          </w:p>
          <w:p w14:paraId="70E370DF" w14:textId="77777777" w:rsidR="007B72D0" w:rsidRPr="004C00FD" w:rsidRDefault="007B72D0" w:rsidP="0009209A">
            <w:pPr>
              <w:spacing w:line="360" w:lineRule="auto"/>
              <w:jc w:val="both"/>
              <w:rPr>
                <w:rFonts w:ascii="Arial" w:eastAsia="Arial" w:hAnsi="Arial" w:cs="Arial"/>
                <w:b/>
                <w:bCs/>
                <w:color w:val="00B0F0"/>
                <w:sz w:val="22"/>
                <w:szCs w:val="22"/>
                <w:u w:val="single"/>
              </w:rPr>
            </w:pPr>
          </w:p>
        </w:tc>
      </w:tr>
      <w:tr w:rsidR="007B72D0" w:rsidRPr="004B53D0" w14:paraId="24337F6E" w14:textId="77777777" w:rsidTr="0009209A">
        <w:tc>
          <w:tcPr>
            <w:tcW w:w="1696" w:type="dxa"/>
          </w:tcPr>
          <w:p w14:paraId="77D26448" w14:textId="77777777" w:rsidR="007B72D0" w:rsidRDefault="007B72D0" w:rsidP="0009209A">
            <w:pPr>
              <w:jc w:val="both"/>
              <w:rPr>
                <w:rFonts w:ascii="Arial" w:eastAsia="Arial" w:hAnsi="Arial" w:cs="Arial"/>
                <w:sz w:val="22"/>
                <w:szCs w:val="22"/>
              </w:rPr>
            </w:pPr>
          </w:p>
        </w:tc>
        <w:tc>
          <w:tcPr>
            <w:tcW w:w="8760" w:type="dxa"/>
          </w:tcPr>
          <w:p w14:paraId="5D5E27DF"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So What? (Analytical Phase)</w:t>
            </w:r>
          </w:p>
          <w:p w14:paraId="002C90D3" w14:textId="77777777" w:rsidR="007B72D0" w:rsidRPr="004C00FD" w:rsidRDefault="007B72D0" w:rsidP="0009209A">
            <w:pPr>
              <w:spacing w:line="360" w:lineRule="auto"/>
              <w:jc w:val="both"/>
              <w:rPr>
                <w:rFonts w:ascii="Arial" w:eastAsia="Calibri" w:hAnsi="Arial" w:cs="Arial"/>
                <w:b/>
                <w:bCs/>
                <w:sz w:val="22"/>
                <w:szCs w:val="22"/>
                <w:u w:val="single"/>
                <w:lang w:val="en-US"/>
              </w:rPr>
            </w:pPr>
          </w:p>
          <w:p w14:paraId="48BC96F7" w14:textId="77777777" w:rsidR="007B72D0" w:rsidRDefault="007B72D0" w:rsidP="0009209A">
            <w:pPr>
              <w:spacing w:line="360" w:lineRule="auto"/>
              <w:jc w:val="both"/>
              <w:rPr>
                <w:rFonts w:ascii="Arial" w:eastAsia="Times New Roman" w:hAnsi="Arial" w:cs="Arial"/>
                <w:sz w:val="22"/>
                <w:szCs w:val="22"/>
              </w:rPr>
            </w:pPr>
            <w:r w:rsidRPr="0054323E">
              <w:rPr>
                <w:rFonts w:ascii="Arial" w:hAnsi="Arial" w:cs="Arial"/>
                <w:sz w:val="22"/>
                <w:szCs w:val="22"/>
              </w:rPr>
              <w:t>In undertaking th</w:t>
            </w:r>
            <w:r>
              <w:rPr>
                <w:rFonts w:ascii="Arial" w:hAnsi="Arial" w:cs="Arial"/>
                <w:sz w:val="22"/>
                <w:szCs w:val="22"/>
              </w:rPr>
              <w:t>e feasibility assessment of the options</w:t>
            </w:r>
            <w:r w:rsidRPr="4EB67E24">
              <w:rPr>
                <w:rFonts w:ascii="Arial" w:hAnsi="Arial" w:cs="Arial"/>
                <w:sz w:val="22"/>
                <w:szCs w:val="22"/>
              </w:rPr>
              <w:t>,</w:t>
            </w:r>
            <w:r>
              <w:rPr>
                <w:rFonts w:ascii="Arial" w:hAnsi="Arial" w:cs="Arial"/>
                <w:sz w:val="22"/>
                <w:szCs w:val="22"/>
              </w:rPr>
              <w:t xml:space="preserve"> I learned that effective workforce assessments must align with strategic goals and be clearly communicated to decision makers. To ensure my credibility I noted all assumptions made and provided robust quantitative and qualitative data. </w:t>
            </w:r>
            <w:r w:rsidRPr="007A5D00">
              <w:rPr>
                <w:rFonts w:ascii="Arial" w:hAnsi="Arial" w:cs="Arial"/>
                <w:sz w:val="22"/>
                <w:szCs w:val="22"/>
              </w:rPr>
              <w:t xml:space="preserve">Armstrong &amp; Taylor (2023) </w:t>
            </w:r>
            <w:r w:rsidRPr="007A5D00">
              <w:rPr>
                <w:rFonts w:ascii="Arial" w:eastAsia="Times New Roman" w:hAnsi="Arial" w:cs="Arial"/>
                <w:sz w:val="22"/>
                <w:szCs w:val="22"/>
              </w:rPr>
              <w:t xml:space="preserve">emphasise the need for structured HR planning frameworks, which helped me refine my feasibility assessment whilst </w:t>
            </w:r>
            <w:r>
              <w:rPr>
                <w:rFonts w:ascii="Arial" w:eastAsia="Times New Roman" w:hAnsi="Arial" w:cs="Arial"/>
                <w:sz w:val="22"/>
                <w:szCs w:val="22"/>
              </w:rPr>
              <w:t>the Six Steps Methodology (Skills for Health, 2014) provided me with a structured approach to assessing workforce needs.</w:t>
            </w:r>
          </w:p>
          <w:p w14:paraId="05F850EF" w14:textId="77777777" w:rsidR="007B72D0" w:rsidRDefault="007B72D0" w:rsidP="0009209A">
            <w:pPr>
              <w:spacing w:line="360" w:lineRule="auto"/>
              <w:jc w:val="both"/>
              <w:rPr>
                <w:rFonts w:ascii="Arial" w:eastAsia="Times New Roman" w:hAnsi="Arial" w:cs="Arial"/>
                <w:sz w:val="22"/>
                <w:szCs w:val="22"/>
              </w:rPr>
            </w:pPr>
            <w:r>
              <w:rPr>
                <w:rFonts w:ascii="Arial" w:eastAsia="Times New Roman" w:hAnsi="Arial" w:cs="Arial"/>
                <w:sz w:val="22"/>
                <w:szCs w:val="22"/>
              </w:rPr>
              <w:t>I recognised the need for clearer data visualisation and strategic communication to engage executives as presenting my feasibility assessment effectively was critical to help influence executive decisions. It was a challenge to pull together the raft of complex data into meaningful and actionable insights but where possible I added data visualisation tools such as graphs dashboard data to enhance clarity (Few, 2009). Through incorporating the service narrative in the assessment</w:t>
            </w:r>
            <w:r w:rsidRPr="4EB67E24">
              <w:rPr>
                <w:rFonts w:ascii="Arial" w:eastAsia="Times New Roman" w:hAnsi="Arial" w:cs="Arial"/>
                <w:sz w:val="22"/>
                <w:szCs w:val="22"/>
              </w:rPr>
              <w:t>,</w:t>
            </w:r>
            <w:r>
              <w:rPr>
                <w:rFonts w:ascii="Arial" w:eastAsia="Times New Roman" w:hAnsi="Arial" w:cs="Arial"/>
                <w:sz w:val="22"/>
                <w:szCs w:val="22"/>
              </w:rPr>
              <w:t xml:space="preserve"> I aimed to make the workforce challenges more relatable to executive priorities (Denning, 2007). </w:t>
            </w:r>
          </w:p>
          <w:p w14:paraId="2245A277" w14:textId="77777777" w:rsidR="007B72D0" w:rsidRDefault="007B72D0" w:rsidP="0009209A">
            <w:pPr>
              <w:spacing w:line="360" w:lineRule="auto"/>
              <w:jc w:val="both"/>
              <w:rPr>
                <w:rFonts w:ascii="Arial" w:eastAsia="Times New Roman" w:hAnsi="Arial" w:cs="Arial"/>
                <w:sz w:val="22"/>
                <w:szCs w:val="22"/>
              </w:rPr>
            </w:pPr>
            <w:r>
              <w:rPr>
                <w:rFonts w:ascii="Arial" w:eastAsia="Times New Roman" w:hAnsi="Arial" w:cs="Arial"/>
                <w:sz w:val="22"/>
                <w:szCs w:val="22"/>
              </w:rPr>
              <w:t xml:space="preserve">Receiving input from a range of stakeholders was essential in ensuring the workforce plans were feasible and aligned to strategy. Helping to produce and utilise the CSP Interdependency stakeholder map (appendix R1) I was able to keep a note of the key </w:t>
            </w:r>
            <w:r>
              <w:rPr>
                <w:rFonts w:ascii="Arial" w:eastAsia="Times New Roman" w:hAnsi="Arial" w:cs="Arial"/>
                <w:sz w:val="22"/>
                <w:szCs w:val="22"/>
              </w:rPr>
              <w:lastRenderedPageBreak/>
              <w:t>influencers and tailor the recommendations to address different stakeholder priorities. My aim was to ensure that there was collaboration throughout my assessment to ensure that no one was surprised by the final outcome. I sought to maintain an honest and open communication with everyone I worked with to create the assessment. As Bryson (2004) noted, collaborative workforce planning reduces implementation resistance and enhances workforce sustainability, which is the ultimate aim of the CSP.</w:t>
            </w:r>
          </w:p>
          <w:p w14:paraId="64766733" w14:textId="77777777" w:rsidR="007B72D0" w:rsidRPr="004C00FD" w:rsidRDefault="007B72D0" w:rsidP="0009209A">
            <w:pPr>
              <w:spacing w:line="360" w:lineRule="auto"/>
              <w:jc w:val="both"/>
              <w:rPr>
                <w:rFonts w:ascii="Arial" w:eastAsia="Calibri" w:hAnsi="Arial" w:cs="Arial"/>
                <w:b/>
                <w:bCs/>
                <w:color w:val="4C94D8" w:themeColor="text2" w:themeTint="80"/>
                <w:sz w:val="22"/>
                <w:szCs w:val="22"/>
                <w:u w:val="single"/>
                <w:lang w:val="en-US"/>
              </w:rPr>
            </w:pPr>
          </w:p>
          <w:p w14:paraId="2D6203AB"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r w:rsidR="007B72D0" w:rsidRPr="004B53D0" w14:paraId="2CA6212F" w14:textId="77777777" w:rsidTr="0009209A">
        <w:tc>
          <w:tcPr>
            <w:tcW w:w="1696" w:type="dxa"/>
          </w:tcPr>
          <w:p w14:paraId="66AC5D4D" w14:textId="77777777" w:rsidR="007B72D0" w:rsidRDefault="007B72D0" w:rsidP="0009209A">
            <w:pPr>
              <w:jc w:val="both"/>
              <w:rPr>
                <w:rFonts w:ascii="Arial" w:eastAsia="Arial" w:hAnsi="Arial" w:cs="Arial"/>
                <w:sz w:val="22"/>
                <w:szCs w:val="22"/>
              </w:rPr>
            </w:pPr>
          </w:p>
        </w:tc>
        <w:tc>
          <w:tcPr>
            <w:tcW w:w="8760" w:type="dxa"/>
          </w:tcPr>
          <w:p w14:paraId="7D84319B"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Now What? (Transformative Phase)</w:t>
            </w:r>
          </w:p>
          <w:p w14:paraId="536FF0F5" w14:textId="77777777" w:rsidR="007B72D0" w:rsidRPr="004C00FD" w:rsidRDefault="007B72D0" w:rsidP="0009209A">
            <w:pPr>
              <w:spacing w:line="360" w:lineRule="auto"/>
              <w:jc w:val="both"/>
              <w:rPr>
                <w:rFonts w:ascii="Arial" w:eastAsia="Calibri" w:hAnsi="Arial" w:cs="Arial"/>
                <w:b/>
                <w:bCs/>
                <w:sz w:val="22"/>
                <w:szCs w:val="22"/>
                <w:u w:val="single"/>
                <w:lang w:val="en-US"/>
              </w:rPr>
            </w:pPr>
          </w:p>
          <w:p w14:paraId="087BC558" w14:textId="77777777" w:rsidR="007B72D0" w:rsidRDefault="007B72D0" w:rsidP="0009209A">
            <w:pPr>
              <w:spacing w:line="360" w:lineRule="auto"/>
              <w:jc w:val="both"/>
              <w:rPr>
                <w:rFonts w:ascii="Arial" w:eastAsia="Times New Roman" w:hAnsi="Arial" w:cs="Arial"/>
                <w:sz w:val="22"/>
                <w:szCs w:val="22"/>
              </w:rPr>
            </w:pPr>
            <w:r>
              <w:rPr>
                <w:rFonts w:ascii="Arial" w:eastAsia="Times New Roman" w:hAnsi="Arial" w:cs="Arial"/>
                <w:sz w:val="22"/>
                <w:szCs w:val="22"/>
              </w:rPr>
              <w:t>In creating the workforce feasibility assessment</w:t>
            </w:r>
            <w:r w:rsidRPr="4EB67E24">
              <w:rPr>
                <w:rFonts w:ascii="Arial" w:eastAsia="Times New Roman" w:hAnsi="Arial" w:cs="Arial"/>
                <w:sz w:val="22"/>
                <w:szCs w:val="22"/>
              </w:rPr>
              <w:t>,</w:t>
            </w:r>
            <w:r>
              <w:rPr>
                <w:rFonts w:ascii="Arial" w:eastAsia="Times New Roman" w:hAnsi="Arial" w:cs="Arial"/>
                <w:sz w:val="22"/>
                <w:szCs w:val="22"/>
              </w:rPr>
              <w:t xml:space="preserve"> I enhanced my own understanding of the requirements whilst also improving my relationship with workforce colleagues. This has led to a deeper understanding of their roles within WOD as well as improving their understanding of my role within the directorate. I have also helped develop the workforce planning capability of the service teams, finance and transformation planning colleagues through my interaction and sharing of data. I am keen to work further with the therapies teams to explore their wider workforce requirements that currently sit outside of the scope of the programme but are integral to improving the patient pathway. </w:t>
            </w:r>
          </w:p>
          <w:p w14:paraId="13F849CF" w14:textId="77777777" w:rsidR="00F91C74" w:rsidRDefault="007B72D0" w:rsidP="0009209A">
            <w:pPr>
              <w:spacing w:line="360" w:lineRule="auto"/>
              <w:jc w:val="both"/>
              <w:rPr>
                <w:rFonts w:ascii="Arial" w:eastAsia="Times New Roman" w:hAnsi="Arial" w:cs="Arial"/>
                <w:sz w:val="22"/>
                <w:szCs w:val="22"/>
              </w:rPr>
            </w:pPr>
            <w:r>
              <w:rPr>
                <w:rFonts w:ascii="Arial" w:eastAsia="Times New Roman" w:hAnsi="Arial" w:cs="Arial"/>
                <w:sz w:val="22"/>
                <w:szCs w:val="22"/>
              </w:rPr>
              <w:t>As a result of undertaking this work</w:t>
            </w:r>
            <w:r w:rsidRPr="4EB67E24">
              <w:rPr>
                <w:rFonts w:ascii="Arial" w:eastAsia="Times New Roman" w:hAnsi="Arial" w:cs="Arial"/>
                <w:sz w:val="22"/>
                <w:szCs w:val="22"/>
              </w:rPr>
              <w:t>,</w:t>
            </w:r>
            <w:r>
              <w:rPr>
                <w:rFonts w:ascii="Arial" w:eastAsia="Times New Roman" w:hAnsi="Arial" w:cs="Arial"/>
                <w:sz w:val="22"/>
                <w:szCs w:val="22"/>
              </w:rPr>
              <w:t xml:space="preserve"> I hope to explore Davenport’s (2010) analytics framework to enhance data storytelling in workforce reports. In recent months I have attended a HEIW Data storytelling masterclass  (appendix S1) and have signed up for a course on Effective Data visualisation as I’m interested in learning more about how I can display data in a more meaningful way.</w:t>
            </w:r>
          </w:p>
          <w:p w14:paraId="0F4E6862" w14:textId="69A20DDB" w:rsidR="007B72D0" w:rsidRPr="001044AF" w:rsidRDefault="007B72D0" w:rsidP="0009209A">
            <w:pPr>
              <w:spacing w:line="360" w:lineRule="auto"/>
              <w:jc w:val="both"/>
              <w:rPr>
                <w:rFonts w:ascii="Arial" w:hAnsi="Arial" w:cs="Arial"/>
                <w:color w:val="77206D" w:themeColor="accent5" w:themeShade="BF"/>
                <w:sz w:val="22"/>
                <w:szCs w:val="22"/>
              </w:rPr>
            </w:pPr>
            <w:r w:rsidRPr="00567B8D">
              <w:rPr>
                <w:rFonts w:ascii="Arial" w:hAnsi="Arial" w:cs="Arial"/>
                <w:sz w:val="22"/>
                <w:szCs w:val="22"/>
              </w:rPr>
              <w:t>Along with enhancing the visual ability of any data I produce I’m also keen to ensure there is a consistent standardised approach across the HB to allow myself and others to compare data sets and progress made when implementing workforce plans</w:t>
            </w:r>
            <w:r>
              <w:rPr>
                <w:rFonts w:ascii="Arial" w:hAnsi="Arial" w:cs="Arial"/>
                <w:sz w:val="22"/>
                <w:szCs w:val="22"/>
              </w:rPr>
              <w:t>. In creating this standardised approach</w:t>
            </w:r>
            <w:r w:rsidRPr="4EB67E24">
              <w:rPr>
                <w:rFonts w:ascii="Arial" w:hAnsi="Arial" w:cs="Arial"/>
                <w:sz w:val="22"/>
                <w:szCs w:val="22"/>
              </w:rPr>
              <w:t>,</w:t>
            </w:r>
            <w:r>
              <w:rPr>
                <w:rFonts w:ascii="Arial" w:hAnsi="Arial" w:cs="Arial"/>
                <w:sz w:val="22"/>
                <w:szCs w:val="22"/>
              </w:rPr>
              <w:t xml:space="preserve"> it would also be beneficial to create a training package on how to interpret workforce analytics to aid in decision making.</w:t>
            </w:r>
          </w:p>
          <w:p w14:paraId="4E073FE8" w14:textId="77777777" w:rsidR="007B72D0" w:rsidRPr="004C00FD" w:rsidRDefault="007B72D0" w:rsidP="0009209A">
            <w:pPr>
              <w:spacing w:line="360" w:lineRule="auto"/>
              <w:jc w:val="both"/>
              <w:rPr>
                <w:rFonts w:ascii="Arial" w:eastAsia="Calibri" w:hAnsi="Arial" w:cs="Arial"/>
                <w:b/>
                <w:bCs/>
                <w:color w:val="4C94D8" w:themeColor="text2" w:themeTint="80"/>
                <w:sz w:val="22"/>
                <w:szCs w:val="22"/>
                <w:u w:val="single"/>
                <w:lang w:val="en-US"/>
              </w:rPr>
            </w:pPr>
            <w:r w:rsidRPr="005B2149">
              <w:rPr>
                <w:rFonts w:ascii="Arial" w:eastAsia="Times New Roman" w:hAnsi="Arial" w:cs="Arial"/>
                <w:sz w:val="22"/>
                <w:szCs w:val="22"/>
              </w:rPr>
              <w:t>Therefore</w:t>
            </w:r>
            <w:r w:rsidRPr="4EB67E24">
              <w:rPr>
                <w:rFonts w:ascii="Arial" w:eastAsia="Times New Roman" w:hAnsi="Arial" w:cs="Arial"/>
                <w:sz w:val="22"/>
                <w:szCs w:val="22"/>
              </w:rPr>
              <w:t>,</w:t>
            </w:r>
            <w:r w:rsidRPr="005B2149">
              <w:rPr>
                <w:rFonts w:ascii="Arial" w:eastAsia="Times New Roman" w:hAnsi="Arial" w:cs="Arial"/>
                <w:sz w:val="22"/>
                <w:szCs w:val="22"/>
              </w:rPr>
              <w:t xml:space="preserve"> my key learning from the creation of this assessment is that data driven workforce planning can enhance credibility and decision making through effective presentation of data. Key to ensuring that workforce plans remain feasible and strategically aligned is the inclusion of a robust stakeholder engagement from the outset. If I continue to embed structured workforce methodologies, enhance stakeholder engagement and continue to refine my presentation skills workforce planning can aid and improve strategic workforce sustainability and service transformation</w:t>
            </w:r>
            <w:r>
              <w:rPr>
                <w:rFonts w:ascii="Arial" w:eastAsia="Times New Roman" w:hAnsi="Arial" w:cs="Arial"/>
                <w:sz w:val="22"/>
                <w:szCs w:val="22"/>
              </w:rPr>
              <w:t>.</w:t>
            </w:r>
            <w:r>
              <w:br/>
            </w:r>
          </w:p>
          <w:p w14:paraId="072B8BFD"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bl>
    <w:p w14:paraId="7C53CB5B" w14:textId="77777777" w:rsidR="007B72D0" w:rsidRDefault="007B72D0" w:rsidP="007B72D0">
      <w:pPr>
        <w:jc w:val="both"/>
        <w:rPr>
          <w:rFonts w:ascii="Arial" w:eastAsia="Arial" w:hAnsi="Arial" w:cs="Arial"/>
          <w:sz w:val="22"/>
          <w:szCs w:val="22"/>
        </w:rPr>
      </w:pPr>
    </w:p>
    <w:tbl>
      <w:tblPr>
        <w:tblStyle w:val="TableGrid"/>
        <w:tblW w:w="0" w:type="auto"/>
        <w:tblLook w:val="04A0" w:firstRow="1" w:lastRow="0" w:firstColumn="1" w:lastColumn="0" w:noHBand="0" w:noVBand="1"/>
      </w:tblPr>
      <w:tblGrid>
        <w:gridCol w:w="1686"/>
        <w:gridCol w:w="8652"/>
      </w:tblGrid>
      <w:tr w:rsidR="007B72D0" w14:paraId="261E1490" w14:textId="77777777" w:rsidTr="0009209A">
        <w:tc>
          <w:tcPr>
            <w:tcW w:w="1696" w:type="dxa"/>
          </w:tcPr>
          <w:p w14:paraId="35AD669C"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lastRenderedPageBreak/>
              <w:t xml:space="preserve">Learning Outcome 4 </w:t>
            </w:r>
          </w:p>
          <w:p w14:paraId="58462E96" w14:textId="77777777" w:rsidR="007B72D0" w:rsidRDefault="007B72D0" w:rsidP="0009209A">
            <w:pPr>
              <w:jc w:val="both"/>
              <w:rPr>
                <w:rFonts w:ascii="Arial" w:eastAsia="Arial" w:hAnsi="Arial" w:cs="Arial"/>
                <w:sz w:val="22"/>
                <w:szCs w:val="22"/>
              </w:rPr>
            </w:pPr>
          </w:p>
        </w:tc>
        <w:tc>
          <w:tcPr>
            <w:tcW w:w="8760" w:type="dxa"/>
          </w:tcPr>
          <w:p w14:paraId="17760803" w14:textId="77777777" w:rsidR="007B72D0" w:rsidRPr="004D119B" w:rsidRDefault="007B72D0" w:rsidP="0009209A">
            <w:pPr>
              <w:spacing w:line="360" w:lineRule="auto"/>
              <w:jc w:val="both"/>
              <w:rPr>
                <w:rFonts w:ascii="Arial" w:eastAsia="Arial" w:hAnsi="Arial" w:cs="Arial"/>
                <w:b/>
                <w:bCs/>
                <w:sz w:val="22"/>
                <w:szCs w:val="22"/>
              </w:rPr>
            </w:pPr>
            <w:r w:rsidRPr="004D119B">
              <w:rPr>
                <w:rFonts w:ascii="Arial" w:hAnsi="Arial" w:cs="Arial"/>
                <w:b/>
                <w:bCs/>
                <w:sz w:val="22"/>
                <w:szCs w:val="22"/>
              </w:rPr>
              <w:t>Critically appraise and refine workforce plans, incorporating phased implementation approaches to align with organisational timelines, resource availability, and evolving healthcare needs.</w:t>
            </w:r>
          </w:p>
        </w:tc>
      </w:tr>
      <w:tr w:rsidR="007B72D0" w:rsidRPr="004B53D0" w14:paraId="65970521" w14:textId="77777777" w:rsidTr="0009209A">
        <w:tc>
          <w:tcPr>
            <w:tcW w:w="1696" w:type="dxa"/>
          </w:tcPr>
          <w:p w14:paraId="6B079800" w14:textId="77777777" w:rsidR="007B72D0" w:rsidRDefault="007B72D0" w:rsidP="0009209A">
            <w:pPr>
              <w:jc w:val="both"/>
              <w:rPr>
                <w:rFonts w:ascii="Arial" w:eastAsia="Arial" w:hAnsi="Arial" w:cs="Arial"/>
                <w:sz w:val="22"/>
                <w:szCs w:val="22"/>
              </w:rPr>
            </w:pPr>
            <w:r w:rsidRPr="3C527882">
              <w:rPr>
                <w:rFonts w:ascii="Arial" w:eastAsia="Arial" w:hAnsi="Arial" w:cs="Arial"/>
                <w:sz w:val="22"/>
                <w:szCs w:val="22"/>
              </w:rPr>
              <w:t>1,000 – 2,000 max words per learning outcome</w:t>
            </w:r>
          </w:p>
          <w:p w14:paraId="1D5F20FA" w14:textId="77777777" w:rsidR="007B72D0" w:rsidRDefault="007B72D0" w:rsidP="0009209A">
            <w:pPr>
              <w:jc w:val="both"/>
              <w:rPr>
                <w:rFonts w:ascii="Arial" w:eastAsia="Arial" w:hAnsi="Arial" w:cs="Arial"/>
                <w:sz w:val="22"/>
                <w:szCs w:val="22"/>
              </w:rPr>
            </w:pPr>
          </w:p>
        </w:tc>
        <w:tc>
          <w:tcPr>
            <w:tcW w:w="8760" w:type="dxa"/>
          </w:tcPr>
          <w:p w14:paraId="6580DCBA"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What? (Descriptive Phase)</w:t>
            </w:r>
          </w:p>
          <w:p w14:paraId="1BA0B778" w14:textId="77777777" w:rsidR="007B72D0" w:rsidRPr="004C00FD" w:rsidRDefault="007B72D0" w:rsidP="0009209A">
            <w:pPr>
              <w:spacing w:line="360" w:lineRule="auto"/>
              <w:jc w:val="both"/>
              <w:rPr>
                <w:rFonts w:ascii="Arial" w:eastAsia="Arial" w:hAnsi="Arial" w:cs="Arial"/>
                <w:i/>
                <w:iCs/>
                <w:color w:val="4C94D8" w:themeColor="text2" w:themeTint="80"/>
                <w:sz w:val="22"/>
                <w:szCs w:val="22"/>
              </w:rPr>
            </w:pPr>
          </w:p>
          <w:p w14:paraId="7FAB3FA5" w14:textId="60A92DCA" w:rsidR="007B72D0" w:rsidRDefault="007B72D0" w:rsidP="0009209A">
            <w:pPr>
              <w:spacing w:line="360" w:lineRule="auto"/>
              <w:jc w:val="both"/>
              <w:rPr>
                <w:rFonts w:ascii="Arial" w:hAnsi="Arial" w:cs="Arial"/>
                <w:sz w:val="22"/>
                <w:szCs w:val="22"/>
              </w:rPr>
            </w:pPr>
            <w:r>
              <w:rPr>
                <w:rFonts w:ascii="Arial" w:hAnsi="Arial" w:cs="Arial"/>
                <w:sz w:val="22"/>
                <w:szCs w:val="22"/>
              </w:rPr>
              <w:t>In this final stage of the CSP I will review my contribution to the phased implementation of the workforce assessment which required complex negotiations with multiple stakeholders including planning, finance and service teams. During the options development process, the financial climate of the HB came under intense scrutiny as the H</w:t>
            </w:r>
            <w:r w:rsidR="00052C57">
              <w:rPr>
                <w:rFonts w:ascii="Arial" w:hAnsi="Arial" w:cs="Arial"/>
                <w:sz w:val="22"/>
                <w:szCs w:val="22"/>
              </w:rPr>
              <w:t>B</w:t>
            </w:r>
            <w:r>
              <w:rPr>
                <w:rFonts w:ascii="Arial" w:hAnsi="Arial" w:cs="Arial"/>
                <w:sz w:val="22"/>
                <w:szCs w:val="22"/>
              </w:rPr>
              <w:t xml:space="preserve"> were placed in Targeted Intervention measures by WG. As a result of this all financial matters came under intense scrutiny and as a result the options for the CSP needed to be reviewed in line with the new financial deficit. Therefore</w:t>
            </w:r>
            <w:r w:rsidRPr="4EB67E24">
              <w:rPr>
                <w:rFonts w:ascii="Arial" w:hAnsi="Arial" w:cs="Arial"/>
                <w:sz w:val="22"/>
                <w:szCs w:val="22"/>
              </w:rPr>
              <w:t>,</w:t>
            </w:r>
            <w:r>
              <w:rPr>
                <w:rFonts w:ascii="Arial" w:hAnsi="Arial" w:cs="Arial"/>
                <w:sz w:val="22"/>
                <w:szCs w:val="22"/>
              </w:rPr>
              <w:t xml:space="preserve"> I had to refine the</w:t>
            </w:r>
            <w:r w:rsidRPr="00DC29A2">
              <w:rPr>
                <w:rFonts w:ascii="Arial" w:hAnsi="Arial" w:cs="Arial"/>
                <w:sz w:val="22"/>
                <w:szCs w:val="22"/>
              </w:rPr>
              <w:t xml:space="preserve"> workforce plans to align with </w:t>
            </w:r>
            <w:r>
              <w:rPr>
                <w:rFonts w:ascii="Arial" w:hAnsi="Arial" w:cs="Arial"/>
                <w:sz w:val="22"/>
                <w:szCs w:val="22"/>
              </w:rPr>
              <w:t xml:space="preserve">the new </w:t>
            </w:r>
            <w:r w:rsidRPr="00DC29A2">
              <w:rPr>
                <w:rFonts w:ascii="Arial" w:hAnsi="Arial" w:cs="Arial"/>
                <w:sz w:val="22"/>
                <w:szCs w:val="22"/>
              </w:rPr>
              <w:t>organisational timelines, resource availability,</w:t>
            </w:r>
            <w:r w:rsidRPr="00C852D1">
              <w:rPr>
                <w:rFonts w:ascii="Arial" w:hAnsi="Arial" w:cs="Arial"/>
                <w:sz w:val="22"/>
                <w:szCs w:val="22"/>
              </w:rPr>
              <w:t xml:space="preserve"> both </w:t>
            </w:r>
            <w:r>
              <w:rPr>
                <w:rFonts w:ascii="Arial" w:hAnsi="Arial" w:cs="Arial"/>
                <w:sz w:val="22"/>
                <w:szCs w:val="22"/>
              </w:rPr>
              <w:t xml:space="preserve">in terms of people and </w:t>
            </w:r>
            <w:r w:rsidRPr="00C852D1">
              <w:rPr>
                <w:rFonts w:ascii="Arial" w:hAnsi="Arial" w:cs="Arial"/>
                <w:sz w:val="22"/>
                <w:szCs w:val="22"/>
              </w:rPr>
              <w:t>financial</w:t>
            </w:r>
            <w:r>
              <w:rPr>
                <w:rFonts w:ascii="Arial" w:hAnsi="Arial" w:cs="Arial"/>
                <w:sz w:val="22"/>
                <w:szCs w:val="22"/>
              </w:rPr>
              <w:t xml:space="preserve"> whilst balancing the fragility of the services. This</w:t>
            </w:r>
            <w:r w:rsidRPr="00DC29A2">
              <w:rPr>
                <w:rFonts w:ascii="Arial" w:hAnsi="Arial" w:cs="Arial"/>
                <w:sz w:val="22"/>
                <w:szCs w:val="22"/>
              </w:rPr>
              <w:t> require</w:t>
            </w:r>
            <w:r>
              <w:rPr>
                <w:rFonts w:ascii="Arial" w:hAnsi="Arial" w:cs="Arial"/>
                <w:sz w:val="22"/>
                <w:szCs w:val="22"/>
              </w:rPr>
              <w:t>d</w:t>
            </w:r>
            <w:r w:rsidRPr="00DC29A2">
              <w:rPr>
                <w:rFonts w:ascii="Arial" w:hAnsi="Arial" w:cs="Arial"/>
                <w:sz w:val="22"/>
                <w:szCs w:val="22"/>
              </w:rPr>
              <w:t xml:space="preserve"> effective negotiation and influencing skills</w:t>
            </w:r>
            <w:r>
              <w:rPr>
                <w:rFonts w:ascii="Arial" w:hAnsi="Arial" w:cs="Arial"/>
                <w:sz w:val="22"/>
                <w:szCs w:val="22"/>
              </w:rPr>
              <w:t xml:space="preserve"> on my part to manage conflicts, influence stakeholders and </w:t>
            </w:r>
            <w:r w:rsidRPr="00DC29A2">
              <w:rPr>
                <w:rFonts w:ascii="Arial" w:hAnsi="Arial" w:cs="Arial"/>
                <w:sz w:val="22"/>
                <w:szCs w:val="22"/>
              </w:rPr>
              <w:t>secure buy-in for a phased workforce implementation approach.</w:t>
            </w:r>
          </w:p>
          <w:p w14:paraId="67B5A0F7"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Between November 2024 and March 2025 I negotiated workforce timelines </w:t>
            </w:r>
            <w:r w:rsidRPr="00DC29A2">
              <w:rPr>
                <w:rFonts w:ascii="Arial" w:hAnsi="Arial" w:cs="Arial"/>
                <w:sz w:val="22"/>
                <w:szCs w:val="22"/>
              </w:rPr>
              <w:t xml:space="preserve">to accommodate </w:t>
            </w:r>
            <w:r>
              <w:rPr>
                <w:rFonts w:ascii="Arial" w:hAnsi="Arial" w:cs="Arial"/>
                <w:sz w:val="22"/>
                <w:szCs w:val="22"/>
              </w:rPr>
              <w:t xml:space="preserve">the new </w:t>
            </w:r>
            <w:r w:rsidRPr="00DC29A2">
              <w:rPr>
                <w:rFonts w:ascii="Arial" w:hAnsi="Arial" w:cs="Arial"/>
                <w:sz w:val="22"/>
                <w:szCs w:val="22"/>
              </w:rPr>
              <w:t>financial and operational constraints.</w:t>
            </w:r>
            <w:r>
              <w:rPr>
                <w:rFonts w:ascii="Arial" w:hAnsi="Arial" w:cs="Arial"/>
                <w:sz w:val="22"/>
                <w:szCs w:val="22"/>
              </w:rPr>
              <w:t xml:space="preserve"> I undertook this by supporting the planning team to influence Executive leaders to approve a phased workforce implementation. It became apparent as board papers were due to be submitted that the finance submission was not viable in the current financial climate and my feasibility assessment alluded to the need for investment, training and recruitment to enable plans to be realised which would take time (appendix Q1). As a result of discussions and negotiations the planning team wrote an update position paper for November board setting out a plan for a phased approach to the options to be developed and timeline for a consultation with the public. I contributed to the paper outlining the workforce assessment and a decision was taken at board to accept the new plan. </w:t>
            </w:r>
          </w:p>
          <w:p w14:paraId="3DECFFAB" w14:textId="72F61030" w:rsidR="007B72D0" w:rsidRDefault="007B72D0" w:rsidP="0009209A">
            <w:pPr>
              <w:spacing w:line="360" w:lineRule="auto"/>
              <w:jc w:val="both"/>
              <w:rPr>
                <w:rFonts w:ascii="Arial" w:hAnsi="Arial" w:cs="Arial"/>
                <w:sz w:val="22"/>
                <w:szCs w:val="22"/>
              </w:rPr>
            </w:pPr>
            <w:r>
              <w:rPr>
                <w:rFonts w:ascii="Arial" w:hAnsi="Arial" w:cs="Arial"/>
                <w:sz w:val="22"/>
                <w:szCs w:val="22"/>
              </w:rPr>
              <w:t>As a result</w:t>
            </w:r>
            <w:r w:rsidRPr="4EB67E24">
              <w:rPr>
                <w:rFonts w:ascii="Arial" w:hAnsi="Arial" w:cs="Arial"/>
                <w:sz w:val="22"/>
                <w:szCs w:val="22"/>
              </w:rPr>
              <w:t>,</w:t>
            </w:r>
            <w:r>
              <w:rPr>
                <w:rFonts w:ascii="Arial" w:hAnsi="Arial" w:cs="Arial"/>
                <w:sz w:val="22"/>
                <w:szCs w:val="22"/>
              </w:rPr>
              <w:t xml:space="preserve"> I had to re-engage with service stakeholders to go through each option and discuss which elements of the options should be undertaken immediately, in a mid-term space of 2 years and what would need to wait for longer term investment. Having worked with many of these teams for over a year, I had built strong professional relationships and viewed several individuals as trusted colleagues. It was therefore disheartening to request additional information, particularly under tight deadlines, as I feared it might affect my credibility and rapport. I found it particularly challenging to influence decision makers while maintaining trust with operational teams who were already experiencing significant pressures. However, I drew upon influencing strategies underpinned by </w:t>
            </w:r>
            <w:r>
              <w:rPr>
                <w:rFonts w:ascii="Arial" w:hAnsi="Arial" w:cs="Arial"/>
                <w:sz w:val="22"/>
                <w:szCs w:val="22"/>
              </w:rPr>
              <w:lastRenderedPageBreak/>
              <w:t xml:space="preserve">Yuki’s (2013) research on effective leadership behaviour, which highlights the importance of rational persuasion, consultation, and collaboration as ethical and effective tactics for influencing others. </w:t>
            </w:r>
            <w:r w:rsidR="0057092C">
              <w:rPr>
                <w:rFonts w:ascii="Arial" w:hAnsi="Arial" w:cs="Arial"/>
                <w:sz w:val="22"/>
                <w:szCs w:val="22"/>
              </w:rPr>
              <w:t>I</w:t>
            </w:r>
            <w:r>
              <w:rPr>
                <w:rFonts w:ascii="Arial" w:hAnsi="Arial" w:cs="Arial"/>
                <w:sz w:val="22"/>
                <w:szCs w:val="22"/>
              </w:rPr>
              <w:t xml:space="preserve"> consciously adopted a consultative approach, providing clear rationale and data to justify the need for further engagement while acknowledging the pressures colleagues were under. </w:t>
            </w:r>
          </w:p>
          <w:p w14:paraId="48191817"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To maintain alignment and avoid duplication of effort, I established closer working relationships with the Transformation Team and the Annual Planning Team. This collaborative approach allowed me to share intelligence across programmes, ensuring that options under development in the CSP did not conflict with emerging proposals in the Annual Plan. I applied Cialdini’s (2001) principles of influence, particularly reciprocity and commitment and consistency, by offering support to planning colleagues and demonstrating alignment between shared goals. This helped foster goodwill and ensure my contributions were seen as enabling rather than burdensome, helping me to navigate the competing priorities and maintain credibility across stakeholder groups. I received confirmation and validation of my contribution to the programmes of work from a testimonial from the Principal Project Manager on the CSP (appendix V1).</w:t>
            </w:r>
          </w:p>
          <w:p w14:paraId="05BE0373" w14:textId="77777777" w:rsidR="007B72D0" w:rsidRPr="004C00FD" w:rsidRDefault="007B72D0" w:rsidP="0009209A">
            <w:pPr>
              <w:spacing w:line="360" w:lineRule="auto"/>
              <w:jc w:val="both"/>
              <w:rPr>
                <w:rFonts w:ascii="Arial" w:eastAsia="Arial" w:hAnsi="Arial" w:cs="Arial"/>
                <w:i/>
                <w:iCs/>
                <w:color w:val="4C94D8" w:themeColor="text2" w:themeTint="80"/>
                <w:sz w:val="22"/>
                <w:szCs w:val="22"/>
              </w:rPr>
            </w:pPr>
          </w:p>
        </w:tc>
      </w:tr>
      <w:tr w:rsidR="007B72D0" w:rsidRPr="004B53D0" w14:paraId="28FE7261" w14:textId="77777777" w:rsidTr="0009209A">
        <w:tc>
          <w:tcPr>
            <w:tcW w:w="1696" w:type="dxa"/>
          </w:tcPr>
          <w:p w14:paraId="6DAC9F39" w14:textId="77777777" w:rsidR="007B72D0" w:rsidRDefault="007B72D0" w:rsidP="0009209A">
            <w:pPr>
              <w:jc w:val="both"/>
              <w:rPr>
                <w:rFonts w:ascii="Arial" w:eastAsia="Arial" w:hAnsi="Arial" w:cs="Arial"/>
                <w:sz w:val="22"/>
                <w:szCs w:val="22"/>
              </w:rPr>
            </w:pPr>
          </w:p>
        </w:tc>
        <w:tc>
          <w:tcPr>
            <w:tcW w:w="8760" w:type="dxa"/>
          </w:tcPr>
          <w:p w14:paraId="12653E8D"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So What? (Analytical Phase)</w:t>
            </w:r>
          </w:p>
          <w:p w14:paraId="511D6FFA" w14:textId="77777777" w:rsidR="007B72D0" w:rsidRPr="00160328" w:rsidRDefault="007B72D0" w:rsidP="0009209A">
            <w:pPr>
              <w:spacing w:line="360" w:lineRule="auto"/>
              <w:jc w:val="both"/>
              <w:rPr>
                <w:rFonts w:ascii="Arial" w:eastAsia="Calibri" w:hAnsi="Arial" w:cs="Arial"/>
                <w:b/>
                <w:bCs/>
                <w:sz w:val="22"/>
                <w:szCs w:val="22"/>
                <w:u w:val="single"/>
                <w:lang w:val="en-US"/>
              </w:rPr>
            </w:pPr>
          </w:p>
          <w:p w14:paraId="715DB1F8" w14:textId="237C6931" w:rsidR="007B72D0" w:rsidRDefault="007B72D0" w:rsidP="0009209A">
            <w:pPr>
              <w:spacing w:line="360" w:lineRule="auto"/>
              <w:jc w:val="both"/>
              <w:rPr>
                <w:rFonts w:ascii="Arial" w:hAnsi="Arial" w:cs="Arial"/>
                <w:sz w:val="22"/>
                <w:szCs w:val="22"/>
              </w:rPr>
            </w:pPr>
            <w:r w:rsidRPr="00053B4A">
              <w:rPr>
                <w:rFonts w:ascii="Arial" w:hAnsi="Arial" w:cs="Arial"/>
                <w:sz w:val="22"/>
                <w:szCs w:val="22"/>
              </w:rPr>
              <w:t>Negotiation and</w:t>
            </w:r>
            <w:r>
              <w:rPr>
                <w:rFonts w:ascii="Arial" w:hAnsi="Arial" w:cs="Arial"/>
                <w:sz w:val="22"/>
                <w:szCs w:val="22"/>
              </w:rPr>
              <w:t xml:space="preserve"> influencing were some of the key learning I found at this stage of the CSP phased approach. To gain agreement from services on their workforce priorities was key to establishing what the phased approach should be. On reflecting on my learning</w:t>
            </w:r>
            <w:r w:rsidRPr="4EB67E24">
              <w:rPr>
                <w:rFonts w:ascii="Arial" w:hAnsi="Arial" w:cs="Arial"/>
                <w:sz w:val="22"/>
                <w:szCs w:val="22"/>
              </w:rPr>
              <w:t>,</w:t>
            </w:r>
            <w:r>
              <w:rPr>
                <w:rFonts w:ascii="Arial" w:hAnsi="Arial" w:cs="Arial"/>
                <w:sz w:val="22"/>
                <w:szCs w:val="22"/>
              </w:rPr>
              <w:t xml:space="preserve"> I had unknowingly used Interest-Based Negotiation (Fisher &amp; Ury, 1981) to get services focusing on their shared goals rather than positional bargaining. During the CSP process teams had forged new relationships and had an insight into each other’s shared issues. Although they were from different services, their problems with fragility around a stretched workforce, loss of key skills and difficulty recruiting were common concerns. Through creating options to realign and improve their services as a collective they had gained a common goal one which I unknowingly was bartering with to ensure they were still engaged in the process. As Fisher &amp; Ury (1981) went on to note </w:t>
            </w:r>
            <w:r w:rsidRPr="00DC29A2">
              <w:rPr>
                <w:rFonts w:ascii="Arial" w:hAnsi="Arial" w:cs="Arial"/>
                <w:i/>
                <w:iCs/>
                <w:sz w:val="22"/>
                <w:szCs w:val="22"/>
              </w:rPr>
              <w:t>"The essence of negotiation is not compromise but creative problem-solving that satisfies all parties' interests.</w:t>
            </w:r>
            <w:r w:rsidR="006703E0">
              <w:rPr>
                <w:rFonts w:ascii="Arial" w:hAnsi="Arial" w:cs="Arial"/>
                <w:i/>
                <w:iCs/>
                <w:sz w:val="22"/>
                <w:szCs w:val="22"/>
              </w:rPr>
              <w:t>”</w:t>
            </w:r>
          </w:p>
          <w:p w14:paraId="3281635E" w14:textId="77777777" w:rsidR="007B72D0" w:rsidRDefault="007B72D0" w:rsidP="0009209A">
            <w:pPr>
              <w:spacing w:line="360" w:lineRule="auto"/>
              <w:jc w:val="both"/>
              <w:rPr>
                <w:rFonts w:ascii="Arial" w:hAnsi="Arial" w:cs="Arial"/>
                <w:sz w:val="22"/>
                <w:szCs w:val="22"/>
              </w:rPr>
            </w:pPr>
            <w:r>
              <w:rPr>
                <w:rFonts w:ascii="Arial" w:hAnsi="Arial" w:cs="Arial"/>
                <w:sz w:val="22"/>
                <w:szCs w:val="22"/>
              </w:rPr>
              <w:t xml:space="preserve">Building alliances with my colleagues who were also on this path with me was key. I spent many hours with the Assistant Director of Finance going through each service in detail for her have the correct information to calculate the financial cost of each option. Tailoring the assessment to address the current financial priorities to show the cost effectiveness of the option if undertaken in a phased approach was essential for the </w:t>
            </w:r>
            <w:r>
              <w:rPr>
                <w:rFonts w:ascii="Arial" w:hAnsi="Arial" w:cs="Arial"/>
                <w:sz w:val="22"/>
                <w:szCs w:val="22"/>
              </w:rPr>
              <w:lastRenderedPageBreak/>
              <w:t>financial outcome required. This meant that I had to ensure I was providing the detail required from a figurative assessment but also being able to explain the person-centred reasoning behind many of the decisions. By sharing my insights</w:t>
            </w:r>
            <w:r w:rsidRPr="4EB67E24">
              <w:rPr>
                <w:rFonts w:ascii="Arial" w:hAnsi="Arial" w:cs="Arial"/>
                <w:sz w:val="22"/>
                <w:szCs w:val="22"/>
              </w:rPr>
              <w:t>,</w:t>
            </w:r>
            <w:r>
              <w:rPr>
                <w:rFonts w:ascii="Arial" w:hAnsi="Arial" w:cs="Arial"/>
                <w:sz w:val="22"/>
                <w:szCs w:val="22"/>
              </w:rPr>
              <w:t xml:space="preserve"> I can reflect that I was able to demonstrate the return on investment that could be achieved by undertaking a thorough workforce planning approach. </w:t>
            </w:r>
            <w:r w:rsidRPr="00DC29A2">
              <w:rPr>
                <w:rFonts w:ascii="Arial" w:hAnsi="Arial" w:cs="Arial"/>
                <w:i/>
                <w:iCs/>
                <w:sz w:val="22"/>
                <w:szCs w:val="22"/>
              </w:rPr>
              <w:t>"Influence is about understanding what matters to others and positioning your argument in a way that resonates with their priorities."</w:t>
            </w:r>
            <w:r w:rsidRPr="00DC29A2">
              <w:rPr>
                <w:rFonts w:ascii="Arial" w:hAnsi="Arial" w:cs="Arial"/>
                <w:sz w:val="22"/>
                <w:szCs w:val="22"/>
              </w:rPr>
              <w:t> (Cialdini, 2001)</w:t>
            </w:r>
            <w:r>
              <w:rPr>
                <w:rFonts w:ascii="Arial" w:hAnsi="Arial" w:cs="Arial"/>
                <w:sz w:val="22"/>
                <w:szCs w:val="22"/>
              </w:rPr>
              <w:t xml:space="preserve">. </w:t>
            </w:r>
          </w:p>
          <w:p w14:paraId="28CDD2C2" w14:textId="77777777" w:rsidR="007B72D0" w:rsidRPr="00DC29A2" w:rsidRDefault="007B72D0" w:rsidP="0009209A">
            <w:pPr>
              <w:spacing w:after="160" w:line="360" w:lineRule="auto"/>
              <w:jc w:val="both"/>
              <w:rPr>
                <w:rFonts w:ascii="Arial" w:hAnsi="Arial" w:cs="Arial"/>
                <w:sz w:val="22"/>
                <w:szCs w:val="22"/>
              </w:rPr>
            </w:pPr>
            <w:r>
              <w:rPr>
                <w:rFonts w:ascii="Arial" w:hAnsi="Arial" w:cs="Arial"/>
                <w:sz w:val="22"/>
                <w:szCs w:val="22"/>
              </w:rPr>
              <w:t>During this phase I learned the importance of having evidence-based workforce planning in place that is aligned to mutual interests and that to truly be able to influence financial stakeholders workforce plans require framing as strategic investments with phased deliverables. However</w:t>
            </w:r>
            <w:r w:rsidRPr="4EB67E24">
              <w:rPr>
                <w:rFonts w:ascii="Arial" w:hAnsi="Arial" w:cs="Arial"/>
                <w:sz w:val="22"/>
                <w:szCs w:val="22"/>
              </w:rPr>
              <w:t>,</w:t>
            </w:r>
            <w:r>
              <w:rPr>
                <w:rFonts w:ascii="Arial" w:hAnsi="Arial" w:cs="Arial"/>
                <w:sz w:val="22"/>
                <w:szCs w:val="22"/>
              </w:rPr>
              <w:t xml:space="preserve"> I also learnt that it also doesn’t matter how clearly you can define the savings and improved performance that could be achieved, if there is political pressure to do something different then that will take precedence. This has been a bitter pill to swallow at times, however, I have conceded that I have undertaken my role in the process effectively and when the political landscape changes the plans will still remain and be viable.</w:t>
            </w:r>
          </w:p>
          <w:p w14:paraId="7B1B2C7F" w14:textId="344DAA17" w:rsidR="007B72D0" w:rsidRDefault="007B72D0" w:rsidP="0009209A">
            <w:pPr>
              <w:spacing w:line="360" w:lineRule="auto"/>
              <w:jc w:val="both"/>
              <w:rPr>
                <w:rFonts w:ascii="Arial" w:hAnsi="Arial" w:cs="Arial"/>
                <w:sz w:val="22"/>
                <w:szCs w:val="22"/>
              </w:rPr>
            </w:pPr>
            <w:r w:rsidRPr="00DC29A2">
              <w:rPr>
                <w:rFonts w:ascii="Arial" w:hAnsi="Arial" w:cs="Arial"/>
                <w:sz w:val="22"/>
                <w:szCs w:val="22"/>
              </w:rPr>
              <w:t>Freeman, Harrison &amp; Zyglidopoulos</w:t>
            </w:r>
            <w:r>
              <w:rPr>
                <w:rFonts w:ascii="Arial" w:hAnsi="Arial" w:cs="Arial"/>
                <w:sz w:val="22"/>
                <w:szCs w:val="22"/>
              </w:rPr>
              <w:t xml:space="preserve"> (</w:t>
            </w:r>
            <w:r w:rsidRPr="00DC29A2">
              <w:rPr>
                <w:rFonts w:ascii="Arial" w:hAnsi="Arial" w:cs="Arial"/>
                <w:sz w:val="22"/>
                <w:szCs w:val="22"/>
              </w:rPr>
              <w:t>2018)</w:t>
            </w:r>
            <w:r>
              <w:rPr>
                <w:rFonts w:ascii="Arial" w:hAnsi="Arial" w:cs="Arial"/>
                <w:sz w:val="22"/>
                <w:szCs w:val="22"/>
              </w:rPr>
              <w:t xml:space="preserve"> noted that </w:t>
            </w:r>
            <w:r w:rsidRPr="00DC29A2">
              <w:rPr>
                <w:rFonts w:ascii="Arial" w:hAnsi="Arial" w:cs="Arial"/>
                <w:i/>
                <w:iCs/>
                <w:sz w:val="22"/>
                <w:szCs w:val="22"/>
              </w:rPr>
              <w:t>"Sustainable workforce change is achieved through continuous engagement and the ability to address stakeholders' evolving concerns."</w:t>
            </w:r>
            <w:r w:rsidRPr="00DC29A2">
              <w:rPr>
                <w:rFonts w:ascii="Arial" w:hAnsi="Arial" w:cs="Arial"/>
                <w:sz w:val="22"/>
                <w:szCs w:val="22"/>
              </w:rPr>
              <w:t> </w:t>
            </w:r>
            <w:r>
              <w:rPr>
                <w:rFonts w:ascii="Arial" w:hAnsi="Arial" w:cs="Arial"/>
                <w:sz w:val="22"/>
                <w:szCs w:val="22"/>
              </w:rPr>
              <w:t>During this period</w:t>
            </w:r>
            <w:r w:rsidRPr="4EB67E24">
              <w:rPr>
                <w:rFonts w:ascii="Arial" w:hAnsi="Arial" w:cs="Arial"/>
                <w:sz w:val="22"/>
                <w:szCs w:val="22"/>
              </w:rPr>
              <w:t>,</w:t>
            </w:r>
            <w:r>
              <w:rPr>
                <w:rFonts w:ascii="Arial" w:hAnsi="Arial" w:cs="Arial"/>
                <w:sz w:val="22"/>
                <w:szCs w:val="22"/>
              </w:rPr>
              <w:t xml:space="preserve"> I felt I reflected a lot on the way that I engaged with colleagues, at times I almost avoided contacting certain services as I knew they were under extreme pressures within their services and were also getting additional demands to focus on their savings in the here and now. I knew that I had to get in touch with the teams to ensure that their views were heard and their options designed effectively, therefore, to combat my reticence in contacting them I took it upon myself to ensure that I had all the information required prior to meeting so that I took the least amount of their time as needed. I tried to manage expectations by maintaining transparency about their current and potential future challenges. Providing the relevant information that I could on the Annual planning process and what was expected of them and how it differed from the CSP approach. Where possible I tried to explain the differences and offered myself and my colleagues support if needed.  Through creating a sense of shared ownership</w:t>
            </w:r>
            <w:r w:rsidRPr="4EB67E24">
              <w:rPr>
                <w:rFonts w:ascii="Arial" w:hAnsi="Arial" w:cs="Arial"/>
                <w:sz w:val="22"/>
                <w:szCs w:val="22"/>
              </w:rPr>
              <w:t>,</w:t>
            </w:r>
            <w:r>
              <w:rPr>
                <w:rFonts w:ascii="Arial" w:hAnsi="Arial" w:cs="Arial"/>
                <w:sz w:val="22"/>
                <w:szCs w:val="22"/>
              </w:rPr>
              <w:t xml:space="preserve"> I was able to curtail the time and support them in their wider actions. I learnt to provide empathetic communication and where possible address their concerns proactively. I was able to provide additional data for their annual plans and signpost to relevant colleagues. I was also able to raise concerns from these conversations within the annual planning meetings so that voices were being heard (appendix T1). As part of the Annual Planning process, my colleague and I offered to give a Workforce specific workshop to try and address the interdependencies and </w:t>
            </w:r>
            <w:r>
              <w:rPr>
                <w:rFonts w:ascii="Arial" w:hAnsi="Arial" w:cs="Arial"/>
                <w:sz w:val="22"/>
                <w:szCs w:val="22"/>
              </w:rPr>
              <w:lastRenderedPageBreak/>
              <w:t>complexities of having two programmes of work running in tandem. Although we did not get the length of time, we were hoping for on the day</w:t>
            </w:r>
            <w:r w:rsidR="001721FE">
              <w:rPr>
                <w:rFonts w:ascii="Arial" w:hAnsi="Arial" w:cs="Arial"/>
                <w:sz w:val="22"/>
                <w:szCs w:val="22"/>
              </w:rPr>
              <w:t>,</w:t>
            </w:r>
            <w:r>
              <w:rPr>
                <w:rFonts w:ascii="Arial" w:hAnsi="Arial" w:cs="Arial"/>
                <w:sz w:val="22"/>
                <w:szCs w:val="22"/>
              </w:rPr>
              <w:t xml:space="preserve"> we were able to focus </w:t>
            </w:r>
            <w:r w:rsidRPr="5CCE5587">
              <w:rPr>
                <w:rFonts w:ascii="Arial" w:hAnsi="Arial" w:cs="Arial"/>
                <w:sz w:val="22"/>
                <w:szCs w:val="22"/>
              </w:rPr>
              <w:t>colleagues'</w:t>
            </w:r>
            <w:r>
              <w:rPr>
                <w:rFonts w:ascii="Arial" w:hAnsi="Arial" w:cs="Arial"/>
                <w:sz w:val="22"/>
                <w:szCs w:val="22"/>
              </w:rPr>
              <w:t xml:space="preserve"> attention on ensuring they were cognisant of any interdependencies when writing their plans (appendix U1). </w:t>
            </w:r>
          </w:p>
          <w:p w14:paraId="5C87040A" w14:textId="0F18EBA9" w:rsidR="007B72D0" w:rsidRPr="00DC29A2" w:rsidRDefault="007B72D0" w:rsidP="0009209A">
            <w:pPr>
              <w:spacing w:after="160" w:line="360" w:lineRule="auto"/>
              <w:jc w:val="both"/>
              <w:rPr>
                <w:rFonts w:ascii="Arial" w:hAnsi="Arial" w:cs="Arial"/>
                <w:sz w:val="22"/>
                <w:szCs w:val="22"/>
              </w:rPr>
            </w:pPr>
            <w:r w:rsidRPr="00C30E7C">
              <w:rPr>
                <w:rFonts w:ascii="Arial" w:hAnsi="Arial" w:cs="Arial"/>
                <w:sz w:val="22"/>
                <w:szCs w:val="22"/>
              </w:rPr>
              <w:t>Through undertaking the phased approach</w:t>
            </w:r>
            <w:r w:rsidRPr="5CCE5587">
              <w:rPr>
                <w:rFonts w:ascii="Arial" w:hAnsi="Arial" w:cs="Arial"/>
                <w:sz w:val="22"/>
                <w:szCs w:val="22"/>
              </w:rPr>
              <w:t>,</w:t>
            </w:r>
            <w:r w:rsidRPr="00C30E7C">
              <w:rPr>
                <w:rFonts w:ascii="Arial" w:hAnsi="Arial" w:cs="Arial"/>
                <w:sz w:val="22"/>
                <w:szCs w:val="22"/>
              </w:rPr>
              <w:t xml:space="preserve"> I was able to understand in more detail the complexities of each service which allowed me to share these views with wider planning colleagues. As a result</w:t>
            </w:r>
            <w:r w:rsidRPr="5CCE5587">
              <w:rPr>
                <w:rFonts w:ascii="Arial" w:hAnsi="Arial" w:cs="Arial"/>
                <w:sz w:val="22"/>
                <w:szCs w:val="22"/>
              </w:rPr>
              <w:t>,</w:t>
            </w:r>
            <w:r w:rsidRPr="00C30E7C">
              <w:rPr>
                <w:rFonts w:ascii="Arial" w:hAnsi="Arial" w:cs="Arial"/>
                <w:sz w:val="22"/>
                <w:szCs w:val="22"/>
              </w:rPr>
              <w:t xml:space="preserve"> the Annual plan this year has become a far more triangulated plan showing the interdependencies between workforce, finance and services. Through sharing information and being in the right places I feel I have helped shape a more informed plan for the HB. </w:t>
            </w:r>
            <w:r>
              <w:rPr>
                <w:rFonts w:ascii="Arial" w:hAnsi="Arial" w:cs="Arial"/>
                <w:sz w:val="22"/>
                <w:szCs w:val="22"/>
              </w:rPr>
              <w:t xml:space="preserve">I have been able to frame the narrative better this year to tell </w:t>
            </w:r>
            <w:r w:rsidRPr="00DC29A2">
              <w:rPr>
                <w:rFonts w:ascii="Arial" w:hAnsi="Arial" w:cs="Arial"/>
                <w:sz w:val="22"/>
                <w:szCs w:val="22"/>
              </w:rPr>
              <w:t>a compelling story about workforce sustainability</w:t>
            </w:r>
            <w:r>
              <w:rPr>
                <w:rFonts w:ascii="Arial" w:hAnsi="Arial" w:cs="Arial"/>
                <w:sz w:val="22"/>
                <w:szCs w:val="22"/>
              </w:rPr>
              <w:t xml:space="preserve"> and interdependencies</w:t>
            </w:r>
            <w:r w:rsidRPr="00DC29A2">
              <w:rPr>
                <w:rFonts w:ascii="Arial" w:hAnsi="Arial" w:cs="Arial"/>
                <w:sz w:val="22"/>
                <w:szCs w:val="22"/>
              </w:rPr>
              <w:t>.</w:t>
            </w:r>
            <w:r>
              <w:rPr>
                <w:rFonts w:ascii="Arial" w:hAnsi="Arial" w:cs="Arial"/>
                <w:sz w:val="22"/>
                <w:szCs w:val="22"/>
              </w:rPr>
              <w:t xml:space="preserve"> On reflecting across the 2 years I’ve been involved in the CSP programme</w:t>
            </w:r>
            <w:r w:rsidR="0026450E">
              <w:rPr>
                <w:rFonts w:ascii="Arial" w:hAnsi="Arial" w:cs="Arial"/>
                <w:sz w:val="22"/>
                <w:szCs w:val="22"/>
              </w:rPr>
              <w:t>,</w:t>
            </w:r>
            <w:r>
              <w:rPr>
                <w:rFonts w:ascii="Arial" w:hAnsi="Arial" w:cs="Arial"/>
                <w:sz w:val="22"/>
                <w:szCs w:val="22"/>
              </w:rPr>
              <w:t xml:space="preserve"> I feel my own knowledge of the HB, workforce planning, services and financial constraints </w:t>
            </w:r>
            <w:r w:rsidR="000623B5">
              <w:rPr>
                <w:rFonts w:ascii="Arial" w:hAnsi="Arial" w:cs="Arial"/>
                <w:sz w:val="22"/>
                <w:szCs w:val="22"/>
              </w:rPr>
              <w:t>h</w:t>
            </w:r>
            <w:r>
              <w:rPr>
                <w:rFonts w:ascii="Arial" w:hAnsi="Arial" w:cs="Arial"/>
                <w:sz w:val="22"/>
                <w:szCs w:val="22"/>
              </w:rPr>
              <w:t>as aided me in being able to provide improved workforce insights. Through appealing to the strategic priorities</w:t>
            </w:r>
            <w:r w:rsidRPr="5CCE5587">
              <w:rPr>
                <w:rFonts w:ascii="Arial" w:hAnsi="Arial" w:cs="Arial"/>
                <w:sz w:val="22"/>
                <w:szCs w:val="22"/>
              </w:rPr>
              <w:t>,</w:t>
            </w:r>
            <w:r>
              <w:rPr>
                <w:rFonts w:ascii="Arial" w:hAnsi="Arial" w:cs="Arial"/>
                <w:sz w:val="22"/>
                <w:szCs w:val="22"/>
              </w:rPr>
              <w:t xml:space="preserve"> I’ve been able to link in the workforce feasibility and align this to a sustainable workforce plan whilst also highlighting the risks of not putting certain plans in place. Kahneman (2011) stated that </w:t>
            </w:r>
            <w:r w:rsidR="000623B5">
              <w:rPr>
                <w:rFonts w:ascii="Arial" w:hAnsi="Arial" w:cs="Arial"/>
                <w:sz w:val="22"/>
                <w:szCs w:val="22"/>
              </w:rPr>
              <w:t>‘</w:t>
            </w:r>
            <w:r w:rsidRPr="00DC29A2">
              <w:rPr>
                <w:rFonts w:ascii="Arial" w:hAnsi="Arial" w:cs="Arial"/>
                <w:i/>
                <w:iCs/>
                <w:sz w:val="22"/>
                <w:szCs w:val="22"/>
              </w:rPr>
              <w:t>Data alone does not change minds; how the data is communicated determines its impact</w:t>
            </w:r>
            <w:r w:rsidR="000623B5">
              <w:rPr>
                <w:rFonts w:ascii="Arial" w:hAnsi="Arial" w:cs="Arial"/>
                <w:i/>
                <w:iCs/>
                <w:sz w:val="22"/>
                <w:szCs w:val="22"/>
              </w:rPr>
              <w:t>’</w:t>
            </w:r>
            <w:r w:rsidRPr="00DC29A2">
              <w:rPr>
                <w:rFonts w:ascii="Arial" w:hAnsi="Arial" w:cs="Arial"/>
                <w:i/>
                <w:iCs/>
                <w:sz w:val="22"/>
                <w:szCs w:val="22"/>
              </w:rPr>
              <w:t>.</w:t>
            </w:r>
            <w:r>
              <w:rPr>
                <w:rFonts w:ascii="Arial" w:hAnsi="Arial" w:cs="Arial"/>
                <w:i/>
                <w:iCs/>
                <w:sz w:val="22"/>
                <w:szCs w:val="22"/>
              </w:rPr>
              <w:t xml:space="preserve"> </w:t>
            </w:r>
            <w:r w:rsidRPr="003A21FC">
              <w:rPr>
                <w:rFonts w:ascii="Arial" w:hAnsi="Arial" w:cs="Arial"/>
                <w:sz w:val="22"/>
                <w:szCs w:val="22"/>
              </w:rPr>
              <w:t>This for me is the culmination of my learning across this 2-year programme</w:t>
            </w:r>
            <w:r>
              <w:rPr>
                <w:rFonts w:ascii="Arial" w:hAnsi="Arial" w:cs="Arial"/>
                <w:sz w:val="22"/>
                <w:szCs w:val="22"/>
              </w:rPr>
              <w:t xml:space="preserve">. As a result of my own development and increased knowledge in data analytics, ministerial priorities, service fragilities and workforce intelligence I have managed to recognise that executives are more likely to approve workforce plans when data is presented in a compelling and strategic manner. Previously,  I believed that the data I presented was sufficient to construct a compelling case for change; however, </w:t>
            </w:r>
            <w:r w:rsidRPr="00B95F48">
              <w:rPr>
                <w:rFonts w:ascii="Arial" w:hAnsi="Arial" w:cs="Arial"/>
                <w:sz w:val="22"/>
                <w:szCs w:val="22"/>
              </w:rPr>
              <w:t>upon reflection I recognise that further development of my own knowledge was necessary.  Engaging with key influencers through the CSP programme has significantly enhanced both the depth and strategic relevance of my work.</w:t>
            </w:r>
            <w:r>
              <w:rPr>
                <w:rFonts w:ascii="Arial" w:hAnsi="Arial" w:cs="Arial"/>
                <w:sz w:val="22"/>
                <w:szCs w:val="22"/>
              </w:rPr>
              <w:t xml:space="preserve"> </w:t>
            </w:r>
          </w:p>
          <w:p w14:paraId="42B2CFDF" w14:textId="77777777" w:rsidR="007B72D0" w:rsidRPr="004C00FD" w:rsidRDefault="007B72D0" w:rsidP="0009209A">
            <w:pPr>
              <w:spacing w:line="360" w:lineRule="auto"/>
              <w:jc w:val="both"/>
              <w:rPr>
                <w:rFonts w:ascii="Arial" w:eastAsia="Calibri" w:hAnsi="Arial" w:cs="Arial"/>
                <w:b/>
                <w:bCs/>
                <w:color w:val="4C94D8" w:themeColor="text2" w:themeTint="80"/>
                <w:sz w:val="22"/>
                <w:szCs w:val="22"/>
                <w:u w:val="single"/>
                <w:lang w:val="en-US"/>
              </w:rPr>
            </w:pPr>
          </w:p>
          <w:p w14:paraId="60DD687D"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r w:rsidR="007B72D0" w:rsidRPr="004B53D0" w14:paraId="59D584E2" w14:textId="77777777" w:rsidTr="0009209A">
        <w:tc>
          <w:tcPr>
            <w:tcW w:w="1696" w:type="dxa"/>
          </w:tcPr>
          <w:p w14:paraId="4476CD74" w14:textId="77777777" w:rsidR="007B72D0" w:rsidRDefault="007B72D0" w:rsidP="0009209A">
            <w:pPr>
              <w:jc w:val="both"/>
              <w:rPr>
                <w:rFonts w:ascii="Arial" w:eastAsia="Arial" w:hAnsi="Arial" w:cs="Arial"/>
                <w:sz w:val="22"/>
                <w:szCs w:val="22"/>
              </w:rPr>
            </w:pPr>
          </w:p>
        </w:tc>
        <w:tc>
          <w:tcPr>
            <w:tcW w:w="8760" w:type="dxa"/>
          </w:tcPr>
          <w:p w14:paraId="1CB4A94B" w14:textId="77777777" w:rsidR="007B72D0" w:rsidRDefault="007B72D0" w:rsidP="0009209A">
            <w:pPr>
              <w:spacing w:line="360" w:lineRule="auto"/>
              <w:jc w:val="both"/>
              <w:rPr>
                <w:rFonts w:ascii="Arial" w:eastAsia="Calibri" w:hAnsi="Arial" w:cs="Arial"/>
                <w:b/>
                <w:bCs/>
                <w:sz w:val="22"/>
                <w:szCs w:val="22"/>
                <w:u w:val="single"/>
                <w:lang w:val="en-US"/>
              </w:rPr>
            </w:pPr>
            <w:r w:rsidRPr="004C00FD">
              <w:rPr>
                <w:rFonts w:ascii="Arial" w:eastAsia="Calibri" w:hAnsi="Arial" w:cs="Arial"/>
                <w:b/>
                <w:bCs/>
                <w:sz w:val="22"/>
                <w:szCs w:val="22"/>
                <w:u w:val="single"/>
                <w:lang w:val="en-US"/>
              </w:rPr>
              <w:t>Now What? (Transformative Phase)</w:t>
            </w:r>
          </w:p>
          <w:p w14:paraId="59CF6707" w14:textId="77777777" w:rsidR="007B72D0" w:rsidRPr="00160328" w:rsidRDefault="007B72D0" w:rsidP="0009209A">
            <w:pPr>
              <w:spacing w:line="360" w:lineRule="auto"/>
              <w:jc w:val="both"/>
              <w:rPr>
                <w:rFonts w:ascii="Arial" w:eastAsia="Calibri" w:hAnsi="Arial" w:cs="Arial"/>
                <w:b/>
                <w:bCs/>
                <w:sz w:val="22"/>
                <w:szCs w:val="22"/>
                <w:u w:val="single"/>
                <w:lang w:val="en-US"/>
              </w:rPr>
            </w:pPr>
          </w:p>
          <w:p w14:paraId="04B06E02" w14:textId="77777777" w:rsidR="007B72D0" w:rsidRDefault="007B72D0" w:rsidP="0009209A">
            <w:pPr>
              <w:spacing w:line="360" w:lineRule="auto"/>
              <w:jc w:val="both"/>
              <w:rPr>
                <w:rFonts w:ascii="Arial" w:hAnsi="Arial" w:cs="Arial"/>
                <w:sz w:val="22"/>
                <w:szCs w:val="22"/>
              </w:rPr>
            </w:pPr>
            <w:r w:rsidRPr="004207E5">
              <w:rPr>
                <w:rFonts w:ascii="Arial" w:hAnsi="Arial" w:cs="Arial"/>
                <w:sz w:val="22"/>
                <w:szCs w:val="22"/>
              </w:rPr>
              <w:t>To en</w:t>
            </w:r>
            <w:r>
              <w:rPr>
                <w:rFonts w:ascii="Arial" w:hAnsi="Arial" w:cs="Arial"/>
                <w:sz w:val="22"/>
                <w:szCs w:val="22"/>
              </w:rPr>
              <w:t>hance both my individual and team Workforce planning capability and capacity, it is necessary to develop more adaptive and responsive approaches to emergent demands.</w:t>
            </w:r>
            <w:r w:rsidRPr="004B6973">
              <w:rPr>
                <w:rFonts w:ascii="Arial" w:hAnsi="Arial" w:cs="Arial"/>
                <w:sz w:val="22"/>
                <w:szCs w:val="22"/>
              </w:rPr>
              <w:t> </w:t>
            </w:r>
            <w:r>
              <w:rPr>
                <w:rFonts w:ascii="Arial" w:hAnsi="Arial" w:cs="Arial"/>
                <w:sz w:val="22"/>
                <w:szCs w:val="22"/>
              </w:rPr>
              <w:t xml:space="preserve">As a team we are very good at reacting and stepping in to help when called upon, however, this hampers our capacity and has led to some burn out. I would like to develop alternative workforce strategies to allow for a quicker response and for services to undertake workforce planning for themselves particularly when there are unexpected </w:t>
            </w:r>
            <w:r>
              <w:rPr>
                <w:rFonts w:ascii="Arial" w:hAnsi="Arial" w:cs="Arial"/>
                <w:sz w:val="22"/>
                <w:szCs w:val="22"/>
              </w:rPr>
              <w:lastRenderedPageBreak/>
              <w:t xml:space="preserve">policy or financial changes which has happened many times over the last 18 months. If we could create bitesize training or resources to allow services to respond quickly without our need to undertake most of the work, we would be able to improve our own resilience and that of the wider teams. I have undertaken some scenario planning through the Regeneration framework, however, it would be exciting to share this with wider services and teams to allow others to plan and explore their future workforce options themselves. Embedding scenario planning methodologies would allow for alternative workforce projections </w:t>
            </w:r>
            <w:r w:rsidRPr="004B6973">
              <w:rPr>
                <w:rFonts w:ascii="Arial" w:hAnsi="Arial" w:cs="Arial"/>
                <w:sz w:val="22"/>
                <w:szCs w:val="22"/>
              </w:rPr>
              <w:t>(Wright &amp; McMahan, 2011).  </w:t>
            </w:r>
            <w:r>
              <w:rPr>
                <w:rFonts w:ascii="Arial" w:hAnsi="Arial" w:cs="Arial"/>
                <w:sz w:val="22"/>
                <w:szCs w:val="22"/>
              </w:rPr>
              <w:t>This would allow for more flexibility in decision making as it would offer negotiable workforce options to be explored.</w:t>
            </w:r>
          </w:p>
          <w:p w14:paraId="7F78FCDE" w14:textId="77777777" w:rsidR="007B72D0" w:rsidRDefault="007B72D0" w:rsidP="0009209A">
            <w:pPr>
              <w:spacing w:after="160" w:line="360" w:lineRule="auto"/>
              <w:jc w:val="both"/>
              <w:rPr>
                <w:rFonts w:ascii="Arial" w:hAnsi="Arial" w:cs="Arial"/>
                <w:sz w:val="22"/>
                <w:szCs w:val="22"/>
              </w:rPr>
            </w:pPr>
            <w:r>
              <w:rPr>
                <w:rFonts w:ascii="Arial" w:hAnsi="Arial" w:cs="Arial"/>
                <w:sz w:val="22"/>
                <w:szCs w:val="22"/>
              </w:rPr>
              <w:t xml:space="preserve">For my personal development I would like to enhance my influencing techniques by developing pre-engagement strategies to help gain informal stakeholder support before it gets to formal negotiations. This would aid in presenting workforce plans as solutions to broader organisational challenges that can appear through interdependencies that aren’t noted. I hope to be able to take this development forward as I embark on my new roles as Strategic Workforce Planning Manager at HEIW. Reflecting on where I have come and the learning, I have undertaken over the last 4 years in post has made me realise how much I have grown as an individual and within the workforce planning profession. </w:t>
            </w:r>
            <w:r w:rsidRPr="00DC29A2">
              <w:rPr>
                <w:rFonts w:ascii="Arial" w:hAnsi="Arial" w:cs="Arial"/>
                <w:sz w:val="22"/>
                <w:szCs w:val="22"/>
              </w:rPr>
              <w:t>By embedding structured negotiation techniques, strategic influencing, and conflict resolution strategies, workforce planning can drive sustainable workforce transformation.</w:t>
            </w:r>
            <w:r>
              <w:rPr>
                <w:rFonts w:ascii="Arial" w:hAnsi="Arial" w:cs="Arial"/>
                <w:sz w:val="22"/>
                <w:szCs w:val="22"/>
              </w:rPr>
              <w:t xml:space="preserve"> </w:t>
            </w:r>
          </w:p>
          <w:p w14:paraId="5F89CF0D" w14:textId="7F71032E" w:rsidR="007B72D0" w:rsidRPr="004B6973" w:rsidRDefault="007B72D0" w:rsidP="0009209A">
            <w:pPr>
              <w:spacing w:after="160" w:line="360" w:lineRule="auto"/>
              <w:jc w:val="both"/>
              <w:rPr>
                <w:rFonts w:ascii="Arial" w:hAnsi="Arial" w:cs="Arial"/>
                <w:sz w:val="22"/>
                <w:szCs w:val="22"/>
              </w:rPr>
            </w:pPr>
            <w:r>
              <w:rPr>
                <w:rFonts w:ascii="Arial" w:hAnsi="Arial" w:cs="Arial"/>
                <w:sz w:val="22"/>
                <w:szCs w:val="22"/>
              </w:rPr>
              <w:t>In a recent 360-degree feedback process I undertook through the NHS Leadership Academy (appendix W1) I was heartened by colleagues and peers perception of my leadership abilities and received positive and constructive feedback on how I can continue to develop, which aligned to my own thoughts through this reflective process. I would not have dreamed of applying for a post in HEIW over a year ago</w:t>
            </w:r>
            <w:r w:rsidR="00473C51">
              <w:rPr>
                <w:rFonts w:ascii="Arial" w:hAnsi="Arial" w:cs="Arial"/>
                <w:sz w:val="22"/>
                <w:szCs w:val="22"/>
              </w:rPr>
              <w:t>,</w:t>
            </w:r>
            <w:r>
              <w:rPr>
                <w:rFonts w:ascii="Arial" w:hAnsi="Arial" w:cs="Arial"/>
                <w:sz w:val="22"/>
                <w:szCs w:val="22"/>
              </w:rPr>
              <w:t xml:space="preserve"> however</w:t>
            </w:r>
            <w:r w:rsidR="00473C51">
              <w:rPr>
                <w:rFonts w:ascii="Arial" w:hAnsi="Arial" w:cs="Arial"/>
                <w:sz w:val="22"/>
                <w:szCs w:val="22"/>
              </w:rPr>
              <w:t>,</w:t>
            </w:r>
            <w:r>
              <w:rPr>
                <w:rFonts w:ascii="Arial" w:hAnsi="Arial" w:cs="Arial"/>
                <w:sz w:val="22"/>
                <w:szCs w:val="22"/>
              </w:rPr>
              <w:t xml:space="preserve"> the work I have undertaken and the skills I have gained in influencing, negotiating and providing data insights has allowed me the confidence to apply and be successful in gaining the secondment. I hope to continue my learning journey and persist in establishing myself as a Strategic Workforce Planning Manager across Wales within my new role.</w:t>
            </w:r>
          </w:p>
          <w:p w14:paraId="44D9100C" w14:textId="77777777" w:rsidR="007B72D0" w:rsidRPr="004C00FD" w:rsidRDefault="007B72D0" w:rsidP="0009209A">
            <w:pPr>
              <w:spacing w:line="360" w:lineRule="auto"/>
              <w:jc w:val="both"/>
              <w:rPr>
                <w:rFonts w:ascii="Arial" w:eastAsia="Calibri" w:hAnsi="Arial" w:cs="Arial"/>
                <w:b/>
                <w:bCs/>
                <w:color w:val="4C94D8" w:themeColor="text2" w:themeTint="80"/>
                <w:sz w:val="22"/>
                <w:szCs w:val="22"/>
                <w:u w:val="single"/>
                <w:lang w:val="en-US"/>
              </w:rPr>
            </w:pPr>
          </w:p>
          <w:p w14:paraId="56496C88" w14:textId="77777777" w:rsidR="007B72D0" w:rsidRPr="004C00FD" w:rsidRDefault="007B72D0" w:rsidP="0009209A">
            <w:pPr>
              <w:spacing w:line="360" w:lineRule="auto"/>
              <w:jc w:val="both"/>
              <w:rPr>
                <w:rFonts w:ascii="Arial" w:eastAsia="Arial" w:hAnsi="Arial" w:cs="Arial"/>
                <w:b/>
                <w:bCs/>
                <w:color w:val="4C94D8" w:themeColor="text2" w:themeTint="80"/>
                <w:sz w:val="22"/>
                <w:szCs w:val="22"/>
                <w:u w:val="single"/>
              </w:rPr>
            </w:pPr>
          </w:p>
        </w:tc>
      </w:tr>
    </w:tbl>
    <w:p w14:paraId="0B2988BB" w14:textId="77777777" w:rsidR="007B72D0" w:rsidRDefault="007B72D0" w:rsidP="007B72D0">
      <w:pPr>
        <w:tabs>
          <w:tab w:val="left" w:pos="0"/>
        </w:tabs>
        <w:ind w:left="-142" w:firstLine="142"/>
      </w:pPr>
    </w:p>
    <w:p w14:paraId="6606E650" w14:textId="77777777" w:rsidR="000972DB" w:rsidRDefault="000972DB" w:rsidP="007B72D0">
      <w:pPr>
        <w:tabs>
          <w:tab w:val="left" w:pos="0"/>
        </w:tabs>
        <w:ind w:left="-142" w:firstLine="142"/>
      </w:pPr>
    </w:p>
    <w:p w14:paraId="456EF9C8" w14:textId="77777777" w:rsidR="000972DB" w:rsidRDefault="000972DB" w:rsidP="000972DB">
      <w:pPr>
        <w:tabs>
          <w:tab w:val="left" w:pos="0"/>
        </w:tabs>
      </w:pPr>
    </w:p>
    <w:p w14:paraId="7644EB5D" w14:textId="2242452A" w:rsidR="000972DB" w:rsidRDefault="000972DB" w:rsidP="000972DB">
      <w:pPr>
        <w:tabs>
          <w:tab w:val="left" w:pos="0"/>
        </w:tabs>
        <w:rPr>
          <w:b/>
          <w:bCs/>
          <w:sz w:val="28"/>
          <w:szCs w:val="28"/>
        </w:rPr>
      </w:pPr>
      <w:r w:rsidRPr="000972DB">
        <w:rPr>
          <w:b/>
          <w:bCs/>
          <w:sz w:val="28"/>
          <w:szCs w:val="28"/>
        </w:rPr>
        <w:lastRenderedPageBreak/>
        <w:t xml:space="preserve">Appendices: </w:t>
      </w:r>
      <w:r w:rsidR="002729B1">
        <w:rPr>
          <w:b/>
          <w:bCs/>
          <w:sz w:val="28"/>
          <w:szCs w:val="28"/>
        </w:rPr>
        <w:t>E</w:t>
      </w:r>
      <w:r w:rsidRPr="000972DB">
        <w:rPr>
          <w:b/>
          <w:bCs/>
          <w:sz w:val="28"/>
          <w:szCs w:val="28"/>
        </w:rPr>
        <w:t>vidence</w:t>
      </w:r>
    </w:p>
    <w:p w14:paraId="2CB46AED" w14:textId="5D7614A2" w:rsidR="00867632" w:rsidRPr="00CD0D8C" w:rsidRDefault="00867632" w:rsidP="000972DB">
      <w:pPr>
        <w:tabs>
          <w:tab w:val="left" w:pos="0"/>
        </w:tabs>
      </w:pPr>
      <w:r w:rsidRPr="00CD0D8C">
        <w:t xml:space="preserve">As per guidance </w:t>
      </w:r>
      <w:r w:rsidR="00DA692A" w:rsidRPr="00CD0D8C">
        <w:t>each item of evidence noted below will be submitted via email</w:t>
      </w:r>
      <w:r w:rsidR="00CD0D8C">
        <w:t>.</w:t>
      </w:r>
    </w:p>
    <w:tbl>
      <w:tblPr>
        <w:tblW w:w="10065" w:type="dxa"/>
        <w:tblLook w:val="04A0" w:firstRow="1" w:lastRow="0" w:firstColumn="1" w:lastColumn="0" w:noHBand="0" w:noVBand="1"/>
      </w:tblPr>
      <w:tblGrid>
        <w:gridCol w:w="816"/>
        <w:gridCol w:w="7520"/>
        <w:gridCol w:w="1729"/>
      </w:tblGrid>
      <w:tr w:rsidR="000972DB" w:rsidRPr="000972DB" w14:paraId="75B45743" w14:textId="77777777" w:rsidTr="00CD0D8C">
        <w:trPr>
          <w:trHeight w:val="670"/>
        </w:trPr>
        <w:tc>
          <w:tcPr>
            <w:tcW w:w="816" w:type="dxa"/>
            <w:tcBorders>
              <w:top w:val="nil"/>
              <w:left w:val="nil"/>
              <w:bottom w:val="nil"/>
              <w:right w:val="nil"/>
            </w:tcBorders>
            <w:shd w:val="clear" w:color="000000" w:fill="A6C9EC"/>
            <w:noWrap/>
            <w:vAlign w:val="center"/>
            <w:hideMark/>
          </w:tcPr>
          <w:p w14:paraId="21C1DD08" w14:textId="77777777" w:rsidR="000972DB" w:rsidRPr="000972DB" w:rsidRDefault="000972DB" w:rsidP="000972DB">
            <w:pPr>
              <w:spacing w:after="0" w:line="360" w:lineRule="auto"/>
              <w:jc w:val="center"/>
              <w:rPr>
                <w:rFonts w:ascii="Arial" w:eastAsia="Times New Roman" w:hAnsi="Arial" w:cs="Arial"/>
                <w:b/>
                <w:bCs/>
                <w:color w:val="000000"/>
                <w:kern w:val="0"/>
                <w:lang w:eastAsia="en-GB"/>
                <w14:ligatures w14:val="none"/>
              </w:rPr>
            </w:pPr>
            <w:r w:rsidRPr="000972DB">
              <w:rPr>
                <w:rFonts w:ascii="Arial" w:eastAsia="Times New Roman" w:hAnsi="Arial" w:cs="Arial"/>
                <w:b/>
                <w:bCs/>
                <w:color w:val="000000"/>
                <w:kern w:val="0"/>
                <w:lang w:eastAsia="en-GB"/>
                <w14:ligatures w14:val="none"/>
              </w:rPr>
              <w:t>Code</w:t>
            </w:r>
          </w:p>
        </w:tc>
        <w:tc>
          <w:tcPr>
            <w:tcW w:w="7520" w:type="dxa"/>
            <w:tcBorders>
              <w:top w:val="nil"/>
              <w:left w:val="nil"/>
              <w:bottom w:val="nil"/>
              <w:right w:val="nil"/>
            </w:tcBorders>
            <w:shd w:val="clear" w:color="000000" w:fill="A6C9EC"/>
            <w:noWrap/>
            <w:vAlign w:val="center"/>
            <w:hideMark/>
          </w:tcPr>
          <w:p w14:paraId="25494244" w14:textId="77777777" w:rsidR="000972DB" w:rsidRPr="000972DB" w:rsidRDefault="000972DB" w:rsidP="000972DB">
            <w:pPr>
              <w:spacing w:after="0" w:line="360" w:lineRule="auto"/>
              <w:rPr>
                <w:rFonts w:ascii="Arial" w:eastAsia="Times New Roman" w:hAnsi="Arial" w:cs="Arial"/>
                <w:b/>
                <w:bCs/>
                <w:color w:val="000000"/>
                <w:kern w:val="0"/>
                <w:lang w:eastAsia="en-GB"/>
                <w14:ligatures w14:val="none"/>
              </w:rPr>
            </w:pPr>
            <w:r w:rsidRPr="000972DB">
              <w:rPr>
                <w:rFonts w:ascii="Arial" w:eastAsia="Times New Roman" w:hAnsi="Arial" w:cs="Arial"/>
                <w:b/>
                <w:bCs/>
                <w:color w:val="000000"/>
                <w:kern w:val="0"/>
                <w:lang w:eastAsia="en-GB"/>
                <w14:ligatures w14:val="none"/>
              </w:rPr>
              <w:t>Appendix Title</w:t>
            </w:r>
          </w:p>
        </w:tc>
        <w:tc>
          <w:tcPr>
            <w:tcW w:w="1729" w:type="dxa"/>
            <w:tcBorders>
              <w:top w:val="nil"/>
              <w:left w:val="nil"/>
              <w:bottom w:val="nil"/>
              <w:right w:val="nil"/>
            </w:tcBorders>
            <w:shd w:val="clear" w:color="000000" w:fill="A6C9EC"/>
            <w:vAlign w:val="center"/>
            <w:hideMark/>
          </w:tcPr>
          <w:p w14:paraId="067FF3B0" w14:textId="77777777" w:rsidR="000972DB" w:rsidRPr="000972DB" w:rsidRDefault="000972DB" w:rsidP="000972DB">
            <w:pPr>
              <w:spacing w:after="0" w:line="360" w:lineRule="auto"/>
              <w:jc w:val="center"/>
              <w:rPr>
                <w:rFonts w:ascii="Arial" w:eastAsia="Times New Roman" w:hAnsi="Arial" w:cs="Arial"/>
                <w:b/>
                <w:bCs/>
                <w:color w:val="000000"/>
                <w:kern w:val="0"/>
                <w:lang w:eastAsia="en-GB"/>
                <w14:ligatures w14:val="none"/>
              </w:rPr>
            </w:pPr>
            <w:r w:rsidRPr="000972DB">
              <w:rPr>
                <w:rFonts w:ascii="Arial" w:eastAsia="Times New Roman" w:hAnsi="Arial" w:cs="Arial"/>
                <w:b/>
                <w:bCs/>
                <w:color w:val="000000"/>
                <w:kern w:val="0"/>
                <w:lang w:eastAsia="en-GB"/>
                <w14:ligatures w14:val="none"/>
              </w:rPr>
              <w:t>Document Type</w:t>
            </w:r>
          </w:p>
        </w:tc>
      </w:tr>
      <w:tr w:rsidR="000972DB" w:rsidRPr="000972DB" w14:paraId="24CF6FBE" w14:textId="77777777" w:rsidTr="00CD0D8C">
        <w:trPr>
          <w:trHeight w:val="310"/>
        </w:trPr>
        <w:tc>
          <w:tcPr>
            <w:tcW w:w="816" w:type="dxa"/>
            <w:tcBorders>
              <w:top w:val="nil"/>
              <w:left w:val="nil"/>
              <w:bottom w:val="nil"/>
              <w:right w:val="nil"/>
            </w:tcBorders>
            <w:shd w:val="clear" w:color="auto" w:fill="auto"/>
            <w:noWrap/>
            <w:vAlign w:val="bottom"/>
            <w:hideMark/>
          </w:tcPr>
          <w:p w14:paraId="2284AB9D"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A</w:t>
            </w:r>
          </w:p>
        </w:tc>
        <w:tc>
          <w:tcPr>
            <w:tcW w:w="7520" w:type="dxa"/>
            <w:tcBorders>
              <w:top w:val="nil"/>
              <w:left w:val="nil"/>
              <w:bottom w:val="nil"/>
              <w:right w:val="nil"/>
            </w:tcBorders>
            <w:shd w:val="clear" w:color="auto" w:fill="auto"/>
            <w:noWrap/>
            <w:vAlign w:val="center"/>
            <w:hideMark/>
          </w:tcPr>
          <w:p w14:paraId="56B86CB1"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Annotated CV</w:t>
            </w:r>
          </w:p>
        </w:tc>
        <w:tc>
          <w:tcPr>
            <w:tcW w:w="1729" w:type="dxa"/>
            <w:tcBorders>
              <w:top w:val="nil"/>
              <w:left w:val="nil"/>
              <w:bottom w:val="nil"/>
              <w:right w:val="nil"/>
            </w:tcBorders>
            <w:shd w:val="clear" w:color="auto" w:fill="auto"/>
            <w:noWrap/>
            <w:vAlign w:val="bottom"/>
            <w:hideMark/>
          </w:tcPr>
          <w:p w14:paraId="7C2EA727"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69A9ADDB" w14:textId="77777777" w:rsidTr="00CD0D8C">
        <w:trPr>
          <w:trHeight w:val="310"/>
        </w:trPr>
        <w:tc>
          <w:tcPr>
            <w:tcW w:w="816" w:type="dxa"/>
            <w:tcBorders>
              <w:top w:val="nil"/>
              <w:left w:val="nil"/>
              <w:bottom w:val="nil"/>
              <w:right w:val="nil"/>
            </w:tcBorders>
            <w:shd w:val="clear" w:color="auto" w:fill="auto"/>
            <w:noWrap/>
            <w:vAlign w:val="bottom"/>
            <w:hideMark/>
          </w:tcPr>
          <w:p w14:paraId="44FE8724"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B</w:t>
            </w:r>
          </w:p>
        </w:tc>
        <w:tc>
          <w:tcPr>
            <w:tcW w:w="7520" w:type="dxa"/>
            <w:tcBorders>
              <w:top w:val="nil"/>
              <w:left w:val="nil"/>
              <w:bottom w:val="nil"/>
              <w:right w:val="nil"/>
            </w:tcBorders>
            <w:shd w:val="clear" w:color="auto" w:fill="auto"/>
            <w:noWrap/>
            <w:vAlign w:val="center"/>
            <w:hideMark/>
          </w:tcPr>
          <w:p w14:paraId="739355FA" w14:textId="5323EB7F"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Workforce Planning Project Manager Inte</w:t>
            </w:r>
            <w:r w:rsidR="0054622B">
              <w:rPr>
                <w:rFonts w:ascii="Arial" w:eastAsia="Times New Roman" w:hAnsi="Arial" w:cs="Arial"/>
                <w:color w:val="000000"/>
                <w:kern w:val="0"/>
                <w:lang w:eastAsia="en-GB"/>
                <w14:ligatures w14:val="none"/>
              </w:rPr>
              <w:t>r</w:t>
            </w:r>
            <w:r w:rsidRPr="000972DB">
              <w:rPr>
                <w:rFonts w:ascii="Arial" w:eastAsia="Times New Roman" w:hAnsi="Arial" w:cs="Arial"/>
                <w:color w:val="000000"/>
                <w:kern w:val="0"/>
                <w:lang w:eastAsia="en-GB"/>
                <w14:ligatures w14:val="none"/>
              </w:rPr>
              <w:t>view - Report on Key Issues</w:t>
            </w:r>
          </w:p>
        </w:tc>
        <w:tc>
          <w:tcPr>
            <w:tcW w:w="1729" w:type="dxa"/>
            <w:tcBorders>
              <w:top w:val="nil"/>
              <w:left w:val="nil"/>
              <w:bottom w:val="nil"/>
              <w:right w:val="nil"/>
            </w:tcBorders>
            <w:shd w:val="clear" w:color="auto" w:fill="auto"/>
            <w:noWrap/>
            <w:vAlign w:val="bottom"/>
            <w:hideMark/>
          </w:tcPr>
          <w:p w14:paraId="7656593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3E5530A2" w14:textId="77777777" w:rsidTr="00CD0D8C">
        <w:trPr>
          <w:trHeight w:val="310"/>
        </w:trPr>
        <w:tc>
          <w:tcPr>
            <w:tcW w:w="816" w:type="dxa"/>
            <w:tcBorders>
              <w:top w:val="nil"/>
              <w:left w:val="nil"/>
              <w:bottom w:val="nil"/>
              <w:right w:val="nil"/>
            </w:tcBorders>
            <w:shd w:val="clear" w:color="auto" w:fill="auto"/>
            <w:noWrap/>
            <w:vAlign w:val="bottom"/>
            <w:hideMark/>
          </w:tcPr>
          <w:p w14:paraId="2D7F95C8"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w:t>
            </w:r>
          </w:p>
        </w:tc>
        <w:tc>
          <w:tcPr>
            <w:tcW w:w="7520" w:type="dxa"/>
            <w:tcBorders>
              <w:top w:val="nil"/>
              <w:left w:val="nil"/>
              <w:bottom w:val="nil"/>
              <w:right w:val="nil"/>
            </w:tcBorders>
            <w:shd w:val="clear" w:color="auto" w:fill="auto"/>
            <w:noWrap/>
            <w:vAlign w:val="center"/>
            <w:hideMark/>
          </w:tcPr>
          <w:p w14:paraId="12A1F0BA" w14:textId="5283611F"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Six Steps Skills for Health Methodology for Workfo</w:t>
            </w:r>
            <w:r w:rsidR="0054622B">
              <w:rPr>
                <w:rFonts w:ascii="Arial" w:eastAsia="Times New Roman" w:hAnsi="Arial" w:cs="Arial"/>
                <w:color w:val="000000"/>
                <w:kern w:val="0"/>
                <w:lang w:eastAsia="en-GB"/>
                <w14:ligatures w14:val="none"/>
              </w:rPr>
              <w:t>r</w:t>
            </w:r>
            <w:r w:rsidRPr="000972DB">
              <w:rPr>
                <w:rFonts w:ascii="Arial" w:eastAsia="Times New Roman" w:hAnsi="Arial" w:cs="Arial"/>
                <w:color w:val="000000"/>
                <w:kern w:val="0"/>
                <w:lang w:eastAsia="en-GB"/>
                <w14:ligatures w14:val="none"/>
              </w:rPr>
              <w:t>ce Presentation 22.10.20</w:t>
            </w:r>
          </w:p>
        </w:tc>
        <w:tc>
          <w:tcPr>
            <w:tcW w:w="1729" w:type="dxa"/>
            <w:tcBorders>
              <w:top w:val="nil"/>
              <w:left w:val="nil"/>
              <w:bottom w:val="nil"/>
              <w:right w:val="nil"/>
            </w:tcBorders>
            <w:shd w:val="clear" w:color="auto" w:fill="auto"/>
            <w:noWrap/>
            <w:vAlign w:val="bottom"/>
            <w:hideMark/>
          </w:tcPr>
          <w:p w14:paraId="699CC597"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7E7639EE" w14:textId="77777777" w:rsidTr="00CD0D8C">
        <w:trPr>
          <w:trHeight w:val="310"/>
        </w:trPr>
        <w:tc>
          <w:tcPr>
            <w:tcW w:w="816" w:type="dxa"/>
            <w:tcBorders>
              <w:top w:val="nil"/>
              <w:left w:val="nil"/>
              <w:bottom w:val="nil"/>
              <w:right w:val="nil"/>
            </w:tcBorders>
            <w:shd w:val="clear" w:color="auto" w:fill="auto"/>
            <w:noWrap/>
            <w:vAlign w:val="bottom"/>
            <w:hideMark/>
          </w:tcPr>
          <w:p w14:paraId="65379D94"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D</w:t>
            </w:r>
          </w:p>
        </w:tc>
        <w:tc>
          <w:tcPr>
            <w:tcW w:w="7520" w:type="dxa"/>
            <w:tcBorders>
              <w:top w:val="nil"/>
              <w:left w:val="nil"/>
              <w:bottom w:val="nil"/>
              <w:right w:val="nil"/>
            </w:tcBorders>
            <w:shd w:val="clear" w:color="auto" w:fill="auto"/>
            <w:noWrap/>
            <w:vAlign w:val="center"/>
            <w:hideMark/>
          </w:tcPr>
          <w:p w14:paraId="21A511B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Capability Assessment 2021</w:t>
            </w:r>
          </w:p>
        </w:tc>
        <w:tc>
          <w:tcPr>
            <w:tcW w:w="1729" w:type="dxa"/>
            <w:tcBorders>
              <w:top w:val="nil"/>
              <w:left w:val="nil"/>
              <w:bottom w:val="nil"/>
              <w:right w:val="nil"/>
            </w:tcBorders>
            <w:shd w:val="clear" w:color="auto" w:fill="auto"/>
            <w:noWrap/>
            <w:vAlign w:val="bottom"/>
            <w:hideMark/>
          </w:tcPr>
          <w:p w14:paraId="54A5FA0A"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5B744397" w14:textId="77777777" w:rsidTr="00CD0D8C">
        <w:trPr>
          <w:trHeight w:val="310"/>
        </w:trPr>
        <w:tc>
          <w:tcPr>
            <w:tcW w:w="816" w:type="dxa"/>
            <w:tcBorders>
              <w:top w:val="nil"/>
              <w:left w:val="nil"/>
              <w:bottom w:val="nil"/>
              <w:right w:val="nil"/>
            </w:tcBorders>
            <w:shd w:val="clear" w:color="auto" w:fill="auto"/>
            <w:noWrap/>
            <w:vAlign w:val="bottom"/>
            <w:hideMark/>
          </w:tcPr>
          <w:p w14:paraId="189959AC"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w:t>
            </w:r>
          </w:p>
        </w:tc>
        <w:tc>
          <w:tcPr>
            <w:tcW w:w="7520" w:type="dxa"/>
            <w:tcBorders>
              <w:top w:val="nil"/>
              <w:left w:val="nil"/>
              <w:bottom w:val="nil"/>
              <w:right w:val="nil"/>
            </w:tcBorders>
            <w:shd w:val="clear" w:color="auto" w:fill="auto"/>
            <w:noWrap/>
            <w:vAlign w:val="center"/>
            <w:hideMark/>
          </w:tcPr>
          <w:p w14:paraId="4E11D8DA"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IMTP Workforce Technical document from 2021</w:t>
            </w:r>
          </w:p>
        </w:tc>
        <w:tc>
          <w:tcPr>
            <w:tcW w:w="1729" w:type="dxa"/>
            <w:tcBorders>
              <w:top w:val="nil"/>
              <w:left w:val="nil"/>
              <w:bottom w:val="nil"/>
              <w:right w:val="nil"/>
            </w:tcBorders>
            <w:shd w:val="clear" w:color="auto" w:fill="auto"/>
            <w:noWrap/>
            <w:vAlign w:val="bottom"/>
            <w:hideMark/>
          </w:tcPr>
          <w:p w14:paraId="1DB8F3F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483932A8" w14:textId="77777777" w:rsidTr="00CD0D8C">
        <w:trPr>
          <w:trHeight w:val="310"/>
        </w:trPr>
        <w:tc>
          <w:tcPr>
            <w:tcW w:w="816" w:type="dxa"/>
            <w:tcBorders>
              <w:top w:val="nil"/>
              <w:left w:val="nil"/>
              <w:bottom w:val="nil"/>
              <w:right w:val="nil"/>
            </w:tcBorders>
            <w:shd w:val="clear" w:color="auto" w:fill="auto"/>
            <w:noWrap/>
            <w:vAlign w:val="bottom"/>
            <w:hideMark/>
          </w:tcPr>
          <w:p w14:paraId="1651D12C"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F</w:t>
            </w:r>
          </w:p>
        </w:tc>
        <w:tc>
          <w:tcPr>
            <w:tcW w:w="7520" w:type="dxa"/>
            <w:tcBorders>
              <w:top w:val="nil"/>
              <w:left w:val="nil"/>
              <w:bottom w:val="nil"/>
              <w:right w:val="nil"/>
            </w:tcBorders>
            <w:shd w:val="clear" w:color="auto" w:fill="auto"/>
            <w:noWrap/>
            <w:vAlign w:val="center"/>
            <w:hideMark/>
          </w:tcPr>
          <w:p w14:paraId="5BD24C3D"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MDS All Data - Final submission April 21</w:t>
            </w:r>
          </w:p>
        </w:tc>
        <w:tc>
          <w:tcPr>
            <w:tcW w:w="1729" w:type="dxa"/>
            <w:tcBorders>
              <w:top w:val="nil"/>
              <w:left w:val="nil"/>
              <w:bottom w:val="nil"/>
              <w:right w:val="nil"/>
            </w:tcBorders>
            <w:shd w:val="clear" w:color="auto" w:fill="auto"/>
            <w:noWrap/>
            <w:vAlign w:val="bottom"/>
            <w:hideMark/>
          </w:tcPr>
          <w:p w14:paraId="2DC3B66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3BEE948C" w14:textId="77777777" w:rsidTr="00CD0D8C">
        <w:trPr>
          <w:trHeight w:val="310"/>
        </w:trPr>
        <w:tc>
          <w:tcPr>
            <w:tcW w:w="816" w:type="dxa"/>
            <w:tcBorders>
              <w:top w:val="nil"/>
              <w:left w:val="nil"/>
              <w:bottom w:val="nil"/>
              <w:right w:val="nil"/>
            </w:tcBorders>
            <w:shd w:val="clear" w:color="auto" w:fill="auto"/>
            <w:noWrap/>
            <w:vAlign w:val="bottom"/>
            <w:hideMark/>
          </w:tcPr>
          <w:p w14:paraId="55593B6F"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G</w:t>
            </w:r>
          </w:p>
        </w:tc>
        <w:tc>
          <w:tcPr>
            <w:tcW w:w="7520" w:type="dxa"/>
            <w:tcBorders>
              <w:top w:val="nil"/>
              <w:left w:val="nil"/>
              <w:bottom w:val="nil"/>
              <w:right w:val="nil"/>
            </w:tcBorders>
            <w:shd w:val="clear" w:color="auto" w:fill="auto"/>
            <w:noWrap/>
            <w:vAlign w:val="center"/>
            <w:hideMark/>
          </w:tcPr>
          <w:p w14:paraId="5B49FA73"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MDS All Data - New submissions June 21</w:t>
            </w:r>
          </w:p>
        </w:tc>
        <w:tc>
          <w:tcPr>
            <w:tcW w:w="1729" w:type="dxa"/>
            <w:tcBorders>
              <w:top w:val="nil"/>
              <w:left w:val="nil"/>
              <w:bottom w:val="nil"/>
              <w:right w:val="nil"/>
            </w:tcBorders>
            <w:shd w:val="clear" w:color="auto" w:fill="auto"/>
            <w:noWrap/>
            <w:vAlign w:val="bottom"/>
            <w:hideMark/>
          </w:tcPr>
          <w:p w14:paraId="4019E18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5E783EDB" w14:textId="77777777" w:rsidTr="00CD0D8C">
        <w:trPr>
          <w:trHeight w:val="310"/>
        </w:trPr>
        <w:tc>
          <w:tcPr>
            <w:tcW w:w="816" w:type="dxa"/>
            <w:tcBorders>
              <w:top w:val="nil"/>
              <w:left w:val="nil"/>
              <w:bottom w:val="nil"/>
              <w:right w:val="nil"/>
            </w:tcBorders>
            <w:shd w:val="clear" w:color="auto" w:fill="auto"/>
            <w:noWrap/>
            <w:vAlign w:val="bottom"/>
            <w:hideMark/>
          </w:tcPr>
          <w:p w14:paraId="4AC58CC9"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H</w:t>
            </w:r>
          </w:p>
        </w:tc>
        <w:tc>
          <w:tcPr>
            <w:tcW w:w="7520" w:type="dxa"/>
            <w:tcBorders>
              <w:top w:val="nil"/>
              <w:left w:val="nil"/>
              <w:bottom w:val="nil"/>
              <w:right w:val="nil"/>
            </w:tcBorders>
            <w:shd w:val="clear" w:color="auto" w:fill="auto"/>
            <w:noWrap/>
            <w:vAlign w:val="center"/>
            <w:hideMark/>
          </w:tcPr>
          <w:p w14:paraId="17B6D144"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Workforce Planning 3 month Anniversary 31st March 2021</w:t>
            </w:r>
          </w:p>
        </w:tc>
        <w:tc>
          <w:tcPr>
            <w:tcW w:w="1729" w:type="dxa"/>
            <w:tcBorders>
              <w:top w:val="nil"/>
              <w:left w:val="nil"/>
              <w:bottom w:val="nil"/>
              <w:right w:val="nil"/>
            </w:tcBorders>
            <w:shd w:val="clear" w:color="auto" w:fill="auto"/>
            <w:noWrap/>
            <w:vAlign w:val="bottom"/>
            <w:hideMark/>
          </w:tcPr>
          <w:p w14:paraId="5B86D3CD" w14:textId="0CE4C3A6"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Power</w:t>
            </w:r>
            <w:r w:rsidR="00CD0D8C">
              <w:rPr>
                <w:rFonts w:ascii="Arial" w:eastAsia="Times New Roman" w:hAnsi="Arial" w:cs="Arial"/>
                <w:color w:val="000000"/>
                <w:kern w:val="0"/>
                <w:lang w:eastAsia="en-GB"/>
                <w14:ligatures w14:val="none"/>
              </w:rPr>
              <w:t xml:space="preserve"> </w:t>
            </w:r>
            <w:r w:rsidRPr="000972DB">
              <w:rPr>
                <w:rFonts w:ascii="Arial" w:eastAsia="Times New Roman" w:hAnsi="Arial" w:cs="Arial"/>
                <w:color w:val="000000"/>
                <w:kern w:val="0"/>
                <w:lang w:eastAsia="en-GB"/>
                <w14:ligatures w14:val="none"/>
              </w:rPr>
              <w:t>point</w:t>
            </w:r>
          </w:p>
        </w:tc>
      </w:tr>
      <w:tr w:rsidR="000972DB" w:rsidRPr="000972DB" w14:paraId="5C088A77" w14:textId="77777777" w:rsidTr="00CD0D8C">
        <w:trPr>
          <w:trHeight w:val="310"/>
        </w:trPr>
        <w:tc>
          <w:tcPr>
            <w:tcW w:w="816" w:type="dxa"/>
            <w:tcBorders>
              <w:top w:val="nil"/>
              <w:left w:val="nil"/>
              <w:bottom w:val="nil"/>
              <w:right w:val="nil"/>
            </w:tcBorders>
            <w:shd w:val="clear" w:color="auto" w:fill="auto"/>
            <w:noWrap/>
            <w:vAlign w:val="bottom"/>
            <w:hideMark/>
          </w:tcPr>
          <w:p w14:paraId="46103A2A"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I</w:t>
            </w:r>
          </w:p>
        </w:tc>
        <w:tc>
          <w:tcPr>
            <w:tcW w:w="7520" w:type="dxa"/>
            <w:tcBorders>
              <w:top w:val="nil"/>
              <w:left w:val="nil"/>
              <w:bottom w:val="nil"/>
              <w:right w:val="nil"/>
            </w:tcBorders>
            <w:shd w:val="clear" w:color="auto" w:fill="auto"/>
            <w:noWrap/>
            <w:vAlign w:val="center"/>
            <w:hideMark/>
          </w:tcPr>
          <w:p w14:paraId="7794389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Team Audit June 2023</w:t>
            </w:r>
          </w:p>
        </w:tc>
        <w:tc>
          <w:tcPr>
            <w:tcW w:w="1729" w:type="dxa"/>
            <w:tcBorders>
              <w:top w:val="nil"/>
              <w:left w:val="nil"/>
              <w:bottom w:val="nil"/>
              <w:right w:val="nil"/>
            </w:tcBorders>
            <w:shd w:val="clear" w:color="auto" w:fill="auto"/>
            <w:noWrap/>
            <w:vAlign w:val="bottom"/>
            <w:hideMark/>
          </w:tcPr>
          <w:p w14:paraId="0C4C092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7CEE6B83" w14:textId="77777777" w:rsidTr="00CD0D8C">
        <w:trPr>
          <w:trHeight w:val="310"/>
        </w:trPr>
        <w:tc>
          <w:tcPr>
            <w:tcW w:w="816" w:type="dxa"/>
            <w:tcBorders>
              <w:top w:val="nil"/>
              <w:left w:val="nil"/>
              <w:bottom w:val="nil"/>
              <w:right w:val="nil"/>
            </w:tcBorders>
            <w:shd w:val="clear" w:color="auto" w:fill="auto"/>
            <w:noWrap/>
            <w:vAlign w:val="bottom"/>
            <w:hideMark/>
          </w:tcPr>
          <w:p w14:paraId="4EB4DAE2"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J</w:t>
            </w:r>
          </w:p>
        </w:tc>
        <w:tc>
          <w:tcPr>
            <w:tcW w:w="7520" w:type="dxa"/>
            <w:tcBorders>
              <w:top w:val="nil"/>
              <w:left w:val="nil"/>
              <w:bottom w:val="nil"/>
              <w:right w:val="nil"/>
            </w:tcBorders>
            <w:shd w:val="clear" w:color="auto" w:fill="auto"/>
            <w:noWrap/>
            <w:vAlign w:val="center"/>
            <w:hideMark/>
          </w:tcPr>
          <w:p w14:paraId="0B3E004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Skills for health Six Steps Training</w:t>
            </w:r>
          </w:p>
        </w:tc>
        <w:tc>
          <w:tcPr>
            <w:tcW w:w="1729" w:type="dxa"/>
            <w:tcBorders>
              <w:top w:val="nil"/>
              <w:left w:val="nil"/>
              <w:bottom w:val="nil"/>
              <w:right w:val="nil"/>
            </w:tcBorders>
            <w:shd w:val="clear" w:color="auto" w:fill="auto"/>
            <w:noWrap/>
            <w:vAlign w:val="bottom"/>
            <w:hideMark/>
          </w:tcPr>
          <w:p w14:paraId="649D2DAE"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4BDC3297" w14:textId="77777777" w:rsidTr="00CD0D8C">
        <w:trPr>
          <w:trHeight w:val="310"/>
        </w:trPr>
        <w:tc>
          <w:tcPr>
            <w:tcW w:w="816" w:type="dxa"/>
            <w:tcBorders>
              <w:top w:val="nil"/>
              <w:left w:val="nil"/>
              <w:bottom w:val="nil"/>
              <w:right w:val="nil"/>
            </w:tcBorders>
            <w:shd w:val="clear" w:color="auto" w:fill="auto"/>
            <w:noWrap/>
            <w:vAlign w:val="bottom"/>
            <w:hideMark/>
          </w:tcPr>
          <w:p w14:paraId="619F71BB"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K</w:t>
            </w:r>
          </w:p>
        </w:tc>
        <w:tc>
          <w:tcPr>
            <w:tcW w:w="7520" w:type="dxa"/>
            <w:tcBorders>
              <w:top w:val="nil"/>
              <w:left w:val="nil"/>
              <w:bottom w:val="nil"/>
              <w:right w:val="nil"/>
            </w:tcBorders>
            <w:shd w:val="clear" w:color="auto" w:fill="auto"/>
            <w:noWrap/>
            <w:vAlign w:val="center"/>
            <w:hideMark/>
          </w:tcPr>
          <w:p w14:paraId="3CDAF79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Skills for health Competence based planning Training</w:t>
            </w:r>
          </w:p>
        </w:tc>
        <w:tc>
          <w:tcPr>
            <w:tcW w:w="1729" w:type="dxa"/>
            <w:tcBorders>
              <w:top w:val="nil"/>
              <w:left w:val="nil"/>
              <w:bottom w:val="nil"/>
              <w:right w:val="nil"/>
            </w:tcBorders>
            <w:shd w:val="clear" w:color="auto" w:fill="auto"/>
            <w:noWrap/>
            <w:vAlign w:val="bottom"/>
            <w:hideMark/>
          </w:tcPr>
          <w:p w14:paraId="375826F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041F1DD4" w14:textId="77777777" w:rsidTr="00CD0D8C">
        <w:trPr>
          <w:trHeight w:val="310"/>
        </w:trPr>
        <w:tc>
          <w:tcPr>
            <w:tcW w:w="816" w:type="dxa"/>
            <w:tcBorders>
              <w:top w:val="nil"/>
              <w:left w:val="nil"/>
              <w:bottom w:val="nil"/>
              <w:right w:val="nil"/>
            </w:tcBorders>
            <w:shd w:val="clear" w:color="auto" w:fill="auto"/>
            <w:noWrap/>
            <w:vAlign w:val="bottom"/>
            <w:hideMark/>
          </w:tcPr>
          <w:p w14:paraId="598DA8AA"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L</w:t>
            </w:r>
          </w:p>
        </w:tc>
        <w:tc>
          <w:tcPr>
            <w:tcW w:w="7520" w:type="dxa"/>
            <w:tcBorders>
              <w:top w:val="nil"/>
              <w:left w:val="nil"/>
              <w:bottom w:val="nil"/>
              <w:right w:val="nil"/>
            </w:tcBorders>
            <w:shd w:val="clear" w:color="auto" w:fill="auto"/>
            <w:noWrap/>
            <w:vAlign w:val="center"/>
            <w:hideMark/>
          </w:tcPr>
          <w:p w14:paraId="2A8C6B7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Covid Revised Cleaning Plan Nov 20</w:t>
            </w:r>
          </w:p>
        </w:tc>
        <w:tc>
          <w:tcPr>
            <w:tcW w:w="1729" w:type="dxa"/>
            <w:tcBorders>
              <w:top w:val="nil"/>
              <w:left w:val="nil"/>
              <w:bottom w:val="nil"/>
              <w:right w:val="nil"/>
            </w:tcBorders>
            <w:shd w:val="clear" w:color="auto" w:fill="auto"/>
            <w:noWrap/>
            <w:vAlign w:val="bottom"/>
            <w:hideMark/>
          </w:tcPr>
          <w:p w14:paraId="680432D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4DA06AEE" w14:textId="77777777" w:rsidTr="00CD0D8C">
        <w:trPr>
          <w:trHeight w:val="310"/>
        </w:trPr>
        <w:tc>
          <w:tcPr>
            <w:tcW w:w="816" w:type="dxa"/>
            <w:tcBorders>
              <w:top w:val="nil"/>
              <w:left w:val="nil"/>
              <w:bottom w:val="nil"/>
              <w:right w:val="nil"/>
            </w:tcBorders>
            <w:shd w:val="clear" w:color="auto" w:fill="auto"/>
            <w:noWrap/>
            <w:vAlign w:val="bottom"/>
            <w:hideMark/>
          </w:tcPr>
          <w:p w14:paraId="38C7F893"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M</w:t>
            </w:r>
          </w:p>
        </w:tc>
        <w:tc>
          <w:tcPr>
            <w:tcW w:w="7520" w:type="dxa"/>
            <w:tcBorders>
              <w:top w:val="nil"/>
              <w:left w:val="nil"/>
              <w:bottom w:val="nil"/>
              <w:right w:val="nil"/>
            </w:tcBorders>
            <w:shd w:val="clear" w:color="auto" w:fill="auto"/>
            <w:noWrap/>
            <w:vAlign w:val="center"/>
            <w:hideMark/>
          </w:tcPr>
          <w:p w14:paraId="6A97FFD5"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Enhanced Cleaning Recruitment Meeting notes 14 Jan 2021</w:t>
            </w:r>
          </w:p>
        </w:tc>
        <w:tc>
          <w:tcPr>
            <w:tcW w:w="1729" w:type="dxa"/>
            <w:tcBorders>
              <w:top w:val="nil"/>
              <w:left w:val="nil"/>
              <w:bottom w:val="nil"/>
              <w:right w:val="nil"/>
            </w:tcBorders>
            <w:shd w:val="clear" w:color="auto" w:fill="auto"/>
            <w:noWrap/>
            <w:vAlign w:val="bottom"/>
            <w:hideMark/>
          </w:tcPr>
          <w:p w14:paraId="643E85D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4384CCE5" w14:textId="77777777" w:rsidTr="00CD0D8C">
        <w:trPr>
          <w:trHeight w:val="310"/>
        </w:trPr>
        <w:tc>
          <w:tcPr>
            <w:tcW w:w="816" w:type="dxa"/>
            <w:tcBorders>
              <w:top w:val="nil"/>
              <w:left w:val="nil"/>
              <w:bottom w:val="nil"/>
              <w:right w:val="nil"/>
            </w:tcBorders>
            <w:shd w:val="clear" w:color="auto" w:fill="auto"/>
            <w:noWrap/>
            <w:vAlign w:val="bottom"/>
            <w:hideMark/>
          </w:tcPr>
          <w:p w14:paraId="1E331BA8"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N</w:t>
            </w:r>
          </w:p>
        </w:tc>
        <w:tc>
          <w:tcPr>
            <w:tcW w:w="7520" w:type="dxa"/>
            <w:tcBorders>
              <w:top w:val="nil"/>
              <w:left w:val="nil"/>
              <w:bottom w:val="nil"/>
              <w:right w:val="nil"/>
            </w:tcBorders>
            <w:shd w:val="clear" w:color="auto" w:fill="auto"/>
            <w:noWrap/>
            <w:vAlign w:val="center"/>
            <w:hideMark/>
          </w:tcPr>
          <w:p w14:paraId="29B8C4CA"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Facilities additional funding recruitment - Proposed timeline</w:t>
            </w:r>
          </w:p>
        </w:tc>
        <w:tc>
          <w:tcPr>
            <w:tcW w:w="1729" w:type="dxa"/>
            <w:tcBorders>
              <w:top w:val="nil"/>
              <w:left w:val="nil"/>
              <w:bottom w:val="nil"/>
              <w:right w:val="nil"/>
            </w:tcBorders>
            <w:shd w:val="clear" w:color="auto" w:fill="auto"/>
            <w:noWrap/>
            <w:vAlign w:val="bottom"/>
            <w:hideMark/>
          </w:tcPr>
          <w:p w14:paraId="30623B2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Excel</w:t>
            </w:r>
          </w:p>
        </w:tc>
      </w:tr>
      <w:tr w:rsidR="000972DB" w:rsidRPr="000972DB" w14:paraId="1F04F7CF" w14:textId="77777777" w:rsidTr="00CD0D8C">
        <w:trPr>
          <w:trHeight w:val="310"/>
        </w:trPr>
        <w:tc>
          <w:tcPr>
            <w:tcW w:w="816" w:type="dxa"/>
            <w:tcBorders>
              <w:top w:val="nil"/>
              <w:left w:val="nil"/>
              <w:bottom w:val="nil"/>
              <w:right w:val="nil"/>
            </w:tcBorders>
            <w:shd w:val="clear" w:color="auto" w:fill="auto"/>
            <w:noWrap/>
            <w:vAlign w:val="bottom"/>
            <w:hideMark/>
          </w:tcPr>
          <w:p w14:paraId="58B532B9"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O</w:t>
            </w:r>
          </w:p>
        </w:tc>
        <w:tc>
          <w:tcPr>
            <w:tcW w:w="7520" w:type="dxa"/>
            <w:tcBorders>
              <w:top w:val="nil"/>
              <w:left w:val="nil"/>
              <w:bottom w:val="nil"/>
              <w:right w:val="nil"/>
            </w:tcBorders>
            <w:shd w:val="clear" w:color="auto" w:fill="auto"/>
            <w:noWrap/>
            <w:vAlign w:val="center"/>
            <w:hideMark/>
          </w:tcPr>
          <w:p w14:paraId="3A67D2A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Facilities Workforce Plan introduction</w:t>
            </w:r>
          </w:p>
        </w:tc>
        <w:tc>
          <w:tcPr>
            <w:tcW w:w="1729" w:type="dxa"/>
            <w:tcBorders>
              <w:top w:val="nil"/>
              <w:left w:val="nil"/>
              <w:bottom w:val="nil"/>
              <w:right w:val="nil"/>
            </w:tcBorders>
            <w:shd w:val="clear" w:color="auto" w:fill="auto"/>
            <w:noWrap/>
            <w:vAlign w:val="bottom"/>
            <w:hideMark/>
          </w:tcPr>
          <w:p w14:paraId="3C0821C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68226AE6" w14:textId="77777777" w:rsidTr="00CD0D8C">
        <w:trPr>
          <w:trHeight w:val="310"/>
        </w:trPr>
        <w:tc>
          <w:tcPr>
            <w:tcW w:w="816" w:type="dxa"/>
            <w:tcBorders>
              <w:top w:val="nil"/>
              <w:left w:val="nil"/>
              <w:bottom w:val="nil"/>
              <w:right w:val="nil"/>
            </w:tcBorders>
            <w:shd w:val="clear" w:color="auto" w:fill="auto"/>
            <w:noWrap/>
            <w:vAlign w:val="bottom"/>
            <w:hideMark/>
          </w:tcPr>
          <w:p w14:paraId="1CA3873C"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w:t>
            </w:r>
          </w:p>
        </w:tc>
        <w:tc>
          <w:tcPr>
            <w:tcW w:w="7520" w:type="dxa"/>
            <w:tcBorders>
              <w:top w:val="nil"/>
              <w:left w:val="nil"/>
              <w:bottom w:val="nil"/>
              <w:right w:val="nil"/>
            </w:tcBorders>
            <w:shd w:val="clear" w:color="auto" w:fill="auto"/>
            <w:noWrap/>
            <w:vAlign w:val="center"/>
            <w:hideMark/>
          </w:tcPr>
          <w:p w14:paraId="4887C3C4"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Workforce Plan - 6 steps guidance coaching</w:t>
            </w:r>
          </w:p>
        </w:tc>
        <w:tc>
          <w:tcPr>
            <w:tcW w:w="1729" w:type="dxa"/>
            <w:tcBorders>
              <w:top w:val="nil"/>
              <w:left w:val="nil"/>
              <w:bottom w:val="nil"/>
              <w:right w:val="nil"/>
            </w:tcBorders>
            <w:shd w:val="clear" w:color="auto" w:fill="auto"/>
            <w:noWrap/>
            <w:vAlign w:val="bottom"/>
            <w:hideMark/>
          </w:tcPr>
          <w:p w14:paraId="1B6E0E2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36865A87" w14:textId="77777777" w:rsidTr="00CD0D8C">
        <w:trPr>
          <w:trHeight w:val="310"/>
        </w:trPr>
        <w:tc>
          <w:tcPr>
            <w:tcW w:w="816" w:type="dxa"/>
            <w:tcBorders>
              <w:top w:val="nil"/>
              <w:left w:val="nil"/>
              <w:bottom w:val="nil"/>
              <w:right w:val="nil"/>
            </w:tcBorders>
            <w:shd w:val="clear" w:color="auto" w:fill="auto"/>
            <w:noWrap/>
            <w:vAlign w:val="bottom"/>
            <w:hideMark/>
          </w:tcPr>
          <w:p w14:paraId="0B6BED3F"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Q</w:t>
            </w:r>
          </w:p>
        </w:tc>
        <w:tc>
          <w:tcPr>
            <w:tcW w:w="7520" w:type="dxa"/>
            <w:tcBorders>
              <w:top w:val="nil"/>
              <w:left w:val="nil"/>
              <w:bottom w:val="nil"/>
              <w:right w:val="nil"/>
            </w:tcBorders>
            <w:shd w:val="clear" w:color="auto" w:fill="auto"/>
            <w:noWrap/>
            <w:vAlign w:val="center"/>
            <w:hideMark/>
          </w:tcPr>
          <w:p w14:paraId="46794EBF"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Six Steps Overview template</w:t>
            </w:r>
          </w:p>
        </w:tc>
        <w:tc>
          <w:tcPr>
            <w:tcW w:w="1729" w:type="dxa"/>
            <w:tcBorders>
              <w:top w:val="nil"/>
              <w:left w:val="nil"/>
              <w:bottom w:val="nil"/>
              <w:right w:val="nil"/>
            </w:tcBorders>
            <w:shd w:val="clear" w:color="auto" w:fill="auto"/>
            <w:noWrap/>
            <w:vAlign w:val="bottom"/>
            <w:hideMark/>
          </w:tcPr>
          <w:p w14:paraId="36CECC74"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17A4BA2A" w14:textId="77777777" w:rsidTr="00CD0D8C">
        <w:trPr>
          <w:trHeight w:val="310"/>
        </w:trPr>
        <w:tc>
          <w:tcPr>
            <w:tcW w:w="816" w:type="dxa"/>
            <w:tcBorders>
              <w:top w:val="nil"/>
              <w:left w:val="nil"/>
              <w:bottom w:val="nil"/>
              <w:right w:val="nil"/>
            </w:tcBorders>
            <w:shd w:val="clear" w:color="auto" w:fill="auto"/>
            <w:noWrap/>
            <w:vAlign w:val="bottom"/>
            <w:hideMark/>
          </w:tcPr>
          <w:p w14:paraId="5B4BC575"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R</w:t>
            </w:r>
          </w:p>
        </w:tc>
        <w:tc>
          <w:tcPr>
            <w:tcW w:w="7520" w:type="dxa"/>
            <w:tcBorders>
              <w:top w:val="nil"/>
              <w:left w:val="nil"/>
              <w:bottom w:val="nil"/>
              <w:right w:val="nil"/>
            </w:tcBorders>
            <w:shd w:val="clear" w:color="auto" w:fill="auto"/>
            <w:noWrap/>
            <w:vAlign w:val="center"/>
            <w:hideMark/>
          </w:tcPr>
          <w:p w14:paraId="04E3003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Facilities Baseline Data August 2021</w:t>
            </w:r>
          </w:p>
        </w:tc>
        <w:tc>
          <w:tcPr>
            <w:tcW w:w="1729" w:type="dxa"/>
            <w:tcBorders>
              <w:top w:val="nil"/>
              <w:left w:val="nil"/>
              <w:bottom w:val="nil"/>
              <w:right w:val="nil"/>
            </w:tcBorders>
            <w:shd w:val="clear" w:color="auto" w:fill="auto"/>
            <w:noWrap/>
            <w:vAlign w:val="bottom"/>
            <w:hideMark/>
          </w:tcPr>
          <w:p w14:paraId="138CB26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4A5D6668" w14:textId="77777777" w:rsidTr="00CD0D8C">
        <w:trPr>
          <w:trHeight w:val="310"/>
        </w:trPr>
        <w:tc>
          <w:tcPr>
            <w:tcW w:w="816" w:type="dxa"/>
            <w:tcBorders>
              <w:top w:val="nil"/>
              <w:left w:val="nil"/>
              <w:bottom w:val="nil"/>
              <w:right w:val="nil"/>
            </w:tcBorders>
            <w:shd w:val="clear" w:color="auto" w:fill="auto"/>
            <w:noWrap/>
            <w:vAlign w:val="bottom"/>
            <w:hideMark/>
          </w:tcPr>
          <w:p w14:paraId="25869F32"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w:t>
            </w:r>
          </w:p>
        </w:tc>
        <w:tc>
          <w:tcPr>
            <w:tcW w:w="7520" w:type="dxa"/>
            <w:tcBorders>
              <w:top w:val="nil"/>
              <w:left w:val="nil"/>
              <w:bottom w:val="nil"/>
              <w:right w:val="nil"/>
            </w:tcBorders>
            <w:shd w:val="clear" w:color="auto" w:fill="auto"/>
            <w:noWrap/>
            <w:vAlign w:val="center"/>
            <w:hideMark/>
          </w:tcPr>
          <w:p w14:paraId="3896150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Enhanced Cleaning Workforce Plan - GGH &amp; PPH</w:t>
            </w:r>
          </w:p>
        </w:tc>
        <w:tc>
          <w:tcPr>
            <w:tcW w:w="1729" w:type="dxa"/>
            <w:tcBorders>
              <w:top w:val="nil"/>
              <w:left w:val="nil"/>
              <w:bottom w:val="nil"/>
              <w:right w:val="nil"/>
            </w:tcBorders>
            <w:shd w:val="clear" w:color="auto" w:fill="auto"/>
            <w:noWrap/>
            <w:vAlign w:val="bottom"/>
            <w:hideMark/>
          </w:tcPr>
          <w:p w14:paraId="70B0D161"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08C1BF31" w14:textId="77777777" w:rsidTr="00CD0D8C">
        <w:trPr>
          <w:trHeight w:val="310"/>
        </w:trPr>
        <w:tc>
          <w:tcPr>
            <w:tcW w:w="816" w:type="dxa"/>
            <w:tcBorders>
              <w:top w:val="nil"/>
              <w:left w:val="nil"/>
              <w:bottom w:val="nil"/>
              <w:right w:val="nil"/>
            </w:tcBorders>
            <w:shd w:val="clear" w:color="auto" w:fill="auto"/>
            <w:noWrap/>
            <w:vAlign w:val="bottom"/>
            <w:hideMark/>
          </w:tcPr>
          <w:p w14:paraId="7C2E7A78"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T</w:t>
            </w:r>
          </w:p>
        </w:tc>
        <w:tc>
          <w:tcPr>
            <w:tcW w:w="7520" w:type="dxa"/>
            <w:tcBorders>
              <w:top w:val="nil"/>
              <w:left w:val="nil"/>
              <w:bottom w:val="nil"/>
              <w:right w:val="nil"/>
            </w:tcBorders>
            <w:shd w:val="clear" w:color="auto" w:fill="auto"/>
            <w:noWrap/>
            <w:vAlign w:val="center"/>
            <w:hideMark/>
          </w:tcPr>
          <w:p w14:paraId="1E1D53DE"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Reflective Document - Six Steps</w:t>
            </w:r>
          </w:p>
        </w:tc>
        <w:tc>
          <w:tcPr>
            <w:tcW w:w="1729" w:type="dxa"/>
            <w:tcBorders>
              <w:top w:val="nil"/>
              <w:left w:val="nil"/>
              <w:bottom w:val="nil"/>
              <w:right w:val="nil"/>
            </w:tcBorders>
            <w:shd w:val="clear" w:color="auto" w:fill="auto"/>
            <w:noWrap/>
            <w:vAlign w:val="bottom"/>
            <w:hideMark/>
          </w:tcPr>
          <w:p w14:paraId="6627324E"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58722DAD" w14:textId="77777777" w:rsidTr="00CD0D8C">
        <w:trPr>
          <w:trHeight w:val="310"/>
        </w:trPr>
        <w:tc>
          <w:tcPr>
            <w:tcW w:w="816" w:type="dxa"/>
            <w:tcBorders>
              <w:top w:val="nil"/>
              <w:left w:val="nil"/>
              <w:bottom w:val="nil"/>
              <w:right w:val="nil"/>
            </w:tcBorders>
            <w:shd w:val="clear" w:color="auto" w:fill="auto"/>
            <w:noWrap/>
            <w:vAlign w:val="bottom"/>
            <w:hideMark/>
          </w:tcPr>
          <w:p w14:paraId="0BD08103"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U</w:t>
            </w:r>
          </w:p>
        </w:tc>
        <w:tc>
          <w:tcPr>
            <w:tcW w:w="7520" w:type="dxa"/>
            <w:tcBorders>
              <w:top w:val="nil"/>
              <w:left w:val="nil"/>
              <w:bottom w:val="nil"/>
              <w:right w:val="nil"/>
            </w:tcBorders>
            <w:shd w:val="clear" w:color="auto" w:fill="auto"/>
            <w:noWrap/>
            <w:vAlign w:val="center"/>
            <w:hideMark/>
          </w:tcPr>
          <w:p w14:paraId="58F20B2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Agenda - Operational Vaccination Bronze group 26.1.21</w:t>
            </w:r>
          </w:p>
        </w:tc>
        <w:tc>
          <w:tcPr>
            <w:tcW w:w="1729" w:type="dxa"/>
            <w:tcBorders>
              <w:top w:val="nil"/>
              <w:left w:val="nil"/>
              <w:bottom w:val="nil"/>
              <w:right w:val="nil"/>
            </w:tcBorders>
            <w:shd w:val="clear" w:color="auto" w:fill="auto"/>
            <w:noWrap/>
            <w:vAlign w:val="bottom"/>
            <w:hideMark/>
          </w:tcPr>
          <w:p w14:paraId="58A1F64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73E00101" w14:textId="77777777" w:rsidTr="00CD0D8C">
        <w:trPr>
          <w:trHeight w:val="310"/>
        </w:trPr>
        <w:tc>
          <w:tcPr>
            <w:tcW w:w="816" w:type="dxa"/>
            <w:tcBorders>
              <w:top w:val="nil"/>
              <w:left w:val="nil"/>
              <w:bottom w:val="nil"/>
              <w:right w:val="nil"/>
            </w:tcBorders>
            <w:shd w:val="clear" w:color="auto" w:fill="auto"/>
            <w:noWrap/>
            <w:vAlign w:val="bottom"/>
            <w:hideMark/>
          </w:tcPr>
          <w:p w14:paraId="2F4F39EA"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V</w:t>
            </w:r>
          </w:p>
        </w:tc>
        <w:tc>
          <w:tcPr>
            <w:tcW w:w="7520" w:type="dxa"/>
            <w:tcBorders>
              <w:top w:val="nil"/>
              <w:left w:val="nil"/>
              <w:bottom w:val="nil"/>
              <w:right w:val="nil"/>
            </w:tcBorders>
            <w:shd w:val="clear" w:color="auto" w:fill="auto"/>
            <w:noWrap/>
            <w:vAlign w:val="center"/>
            <w:hideMark/>
          </w:tcPr>
          <w:p w14:paraId="0D6D875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Training recommendations for Covid-19 vaccinators</w:t>
            </w:r>
          </w:p>
        </w:tc>
        <w:tc>
          <w:tcPr>
            <w:tcW w:w="1729" w:type="dxa"/>
            <w:tcBorders>
              <w:top w:val="nil"/>
              <w:left w:val="nil"/>
              <w:bottom w:val="nil"/>
              <w:right w:val="nil"/>
            </w:tcBorders>
            <w:shd w:val="clear" w:color="auto" w:fill="auto"/>
            <w:noWrap/>
            <w:vAlign w:val="bottom"/>
            <w:hideMark/>
          </w:tcPr>
          <w:p w14:paraId="3DEE23C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3BECCBC4" w14:textId="77777777" w:rsidTr="00CD0D8C">
        <w:trPr>
          <w:trHeight w:val="310"/>
        </w:trPr>
        <w:tc>
          <w:tcPr>
            <w:tcW w:w="816" w:type="dxa"/>
            <w:tcBorders>
              <w:top w:val="nil"/>
              <w:left w:val="nil"/>
              <w:bottom w:val="nil"/>
              <w:right w:val="nil"/>
            </w:tcBorders>
            <w:shd w:val="clear" w:color="auto" w:fill="auto"/>
            <w:noWrap/>
            <w:vAlign w:val="bottom"/>
            <w:hideMark/>
          </w:tcPr>
          <w:p w14:paraId="73937088"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w:t>
            </w:r>
          </w:p>
        </w:tc>
        <w:tc>
          <w:tcPr>
            <w:tcW w:w="7520" w:type="dxa"/>
            <w:tcBorders>
              <w:top w:val="nil"/>
              <w:left w:val="nil"/>
              <w:bottom w:val="nil"/>
              <w:right w:val="nil"/>
            </w:tcBorders>
            <w:shd w:val="clear" w:color="auto" w:fill="auto"/>
            <w:noWrap/>
            <w:vAlign w:val="center"/>
            <w:hideMark/>
          </w:tcPr>
          <w:p w14:paraId="7A510445"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 xml:space="preserve">MVC HCSW Model Demand &amp; Supply 23.03.21 </w:t>
            </w:r>
          </w:p>
        </w:tc>
        <w:tc>
          <w:tcPr>
            <w:tcW w:w="1729" w:type="dxa"/>
            <w:tcBorders>
              <w:top w:val="nil"/>
              <w:left w:val="nil"/>
              <w:bottom w:val="nil"/>
              <w:right w:val="nil"/>
            </w:tcBorders>
            <w:shd w:val="clear" w:color="auto" w:fill="auto"/>
            <w:noWrap/>
            <w:vAlign w:val="bottom"/>
            <w:hideMark/>
          </w:tcPr>
          <w:p w14:paraId="111DB671"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2CB1FF43" w14:textId="77777777" w:rsidTr="00CD0D8C">
        <w:trPr>
          <w:trHeight w:val="290"/>
        </w:trPr>
        <w:tc>
          <w:tcPr>
            <w:tcW w:w="816" w:type="dxa"/>
            <w:tcBorders>
              <w:top w:val="nil"/>
              <w:left w:val="nil"/>
              <w:bottom w:val="nil"/>
              <w:right w:val="nil"/>
            </w:tcBorders>
            <w:shd w:val="clear" w:color="auto" w:fill="auto"/>
            <w:noWrap/>
            <w:vAlign w:val="bottom"/>
            <w:hideMark/>
          </w:tcPr>
          <w:p w14:paraId="0651F952"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X</w:t>
            </w:r>
          </w:p>
        </w:tc>
        <w:tc>
          <w:tcPr>
            <w:tcW w:w="7520" w:type="dxa"/>
            <w:tcBorders>
              <w:top w:val="nil"/>
              <w:left w:val="nil"/>
              <w:bottom w:val="nil"/>
              <w:right w:val="nil"/>
            </w:tcBorders>
            <w:shd w:val="clear" w:color="auto" w:fill="auto"/>
            <w:noWrap/>
            <w:vAlign w:val="bottom"/>
            <w:hideMark/>
          </w:tcPr>
          <w:p w14:paraId="11D66D7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Workforce Analysis - Age Profile as of Sept 2020</w:t>
            </w:r>
          </w:p>
        </w:tc>
        <w:tc>
          <w:tcPr>
            <w:tcW w:w="1729" w:type="dxa"/>
            <w:tcBorders>
              <w:top w:val="nil"/>
              <w:left w:val="nil"/>
              <w:bottom w:val="nil"/>
              <w:right w:val="nil"/>
            </w:tcBorders>
            <w:shd w:val="clear" w:color="auto" w:fill="auto"/>
            <w:noWrap/>
            <w:vAlign w:val="bottom"/>
            <w:hideMark/>
          </w:tcPr>
          <w:p w14:paraId="6A3274A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Excel</w:t>
            </w:r>
          </w:p>
        </w:tc>
      </w:tr>
      <w:tr w:rsidR="000972DB" w:rsidRPr="000972DB" w14:paraId="6EBF6700" w14:textId="77777777" w:rsidTr="00CD0D8C">
        <w:trPr>
          <w:trHeight w:val="290"/>
        </w:trPr>
        <w:tc>
          <w:tcPr>
            <w:tcW w:w="816" w:type="dxa"/>
            <w:tcBorders>
              <w:top w:val="nil"/>
              <w:left w:val="nil"/>
              <w:bottom w:val="nil"/>
              <w:right w:val="nil"/>
            </w:tcBorders>
            <w:shd w:val="clear" w:color="auto" w:fill="auto"/>
            <w:noWrap/>
            <w:vAlign w:val="bottom"/>
            <w:hideMark/>
          </w:tcPr>
          <w:p w14:paraId="439A89F4"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Y</w:t>
            </w:r>
          </w:p>
        </w:tc>
        <w:tc>
          <w:tcPr>
            <w:tcW w:w="7520" w:type="dxa"/>
            <w:tcBorders>
              <w:top w:val="nil"/>
              <w:left w:val="nil"/>
              <w:bottom w:val="nil"/>
              <w:right w:val="nil"/>
            </w:tcBorders>
            <w:shd w:val="clear" w:color="auto" w:fill="auto"/>
            <w:noWrap/>
            <w:vAlign w:val="bottom"/>
            <w:hideMark/>
          </w:tcPr>
          <w:p w14:paraId="1AAB1C9A"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Regeneration Framework</w:t>
            </w:r>
          </w:p>
        </w:tc>
        <w:tc>
          <w:tcPr>
            <w:tcW w:w="1729" w:type="dxa"/>
            <w:tcBorders>
              <w:top w:val="nil"/>
              <w:left w:val="nil"/>
              <w:bottom w:val="nil"/>
              <w:right w:val="nil"/>
            </w:tcBorders>
            <w:shd w:val="clear" w:color="auto" w:fill="auto"/>
            <w:noWrap/>
            <w:vAlign w:val="bottom"/>
            <w:hideMark/>
          </w:tcPr>
          <w:p w14:paraId="3174F3F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6398747B" w14:textId="77777777" w:rsidTr="00CD0D8C">
        <w:trPr>
          <w:trHeight w:val="290"/>
        </w:trPr>
        <w:tc>
          <w:tcPr>
            <w:tcW w:w="816" w:type="dxa"/>
            <w:tcBorders>
              <w:top w:val="nil"/>
              <w:left w:val="nil"/>
              <w:bottom w:val="nil"/>
              <w:right w:val="nil"/>
            </w:tcBorders>
            <w:shd w:val="clear" w:color="auto" w:fill="auto"/>
            <w:noWrap/>
            <w:vAlign w:val="bottom"/>
            <w:hideMark/>
          </w:tcPr>
          <w:p w14:paraId="3FDF4DE8"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Z</w:t>
            </w:r>
          </w:p>
        </w:tc>
        <w:tc>
          <w:tcPr>
            <w:tcW w:w="7520" w:type="dxa"/>
            <w:tcBorders>
              <w:top w:val="nil"/>
              <w:left w:val="nil"/>
              <w:bottom w:val="nil"/>
              <w:right w:val="nil"/>
            </w:tcBorders>
            <w:shd w:val="clear" w:color="auto" w:fill="auto"/>
            <w:noWrap/>
            <w:vAlign w:val="bottom"/>
            <w:hideMark/>
          </w:tcPr>
          <w:p w14:paraId="74BC8E2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PBC Workforce Projections 2021-2031</w:t>
            </w:r>
          </w:p>
        </w:tc>
        <w:tc>
          <w:tcPr>
            <w:tcW w:w="1729" w:type="dxa"/>
            <w:tcBorders>
              <w:top w:val="nil"/>
              <w:left w:val="nil"/>
              <w:bottom w:val="nil"/>
              <w:right w:val="nil"/>
            </w:tcBorders>
            <w:shd w:val="clear" w:color="auto" w:fill="auto"/>
            <w:noWrap/>
            <w:vAlign w:val="bottom"/>
            <w:hideMark/>
          </w:tcPr>
          <w:p w14:paraId="00A56175"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47BEDFD3" w14:textId="77777777" w:rsidTr="00CD0D8C">
        <w:trPr>
          <w:trHeight w:val="290"/>
        </w:trPr>
        <w:tc>
          <w:tcPr>
            <w:tcW w:w="816" w:type="dxa"/>
            <w:tcBorders>
              <w:top w:val="nil"/>
              <w:left w:val="nil"/>
              <w:bottom w:val="nil"/>
              <w:right w:val="nil"/>
            </w:tcBorders>
            <w:shd w:val="clear" w:color="auto" w:fill="auto"/>
            <w:noWrap/>
            <w:vAlign w:val="bottom"/>
            <w:hideMark/>
          </w:tcPr>
          <w:p w14:paraId="6AB98E9D"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A1</w:t>
            </w:r>
          </w:p>
        </w:tc>
        <w:tc>
          <w:tcPr>
            <w:tcW w:w="7520" w:type="dxa"/>
            <w:tcBorders>
              <w:top w:val="nil"/>
              <w:left w:val="nil"/>
              <w:bottom w:val="nil"/>
              <w:right w:val="nil"/>
            </w:tcBorders>
            <w:shd w:val="clear" w:color="auto" w:fill="auto"/>
            <w:noWrap/>
            <w:vAlign w:val="bottom"/>
            <w:hideMark/>
          </w:tcPr>
          <w:p w14:paraId="6BA112F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Step 2 - Baseline Template</w:t>
            </w:r>
          </w:p>
        </w:tc>
        <w:tc>
          <w:tcPr>
            <w:tcW w:w="1729" w:type="dxa"/>
            <w:tcBorders>
              <w:top w:val="nil"/>
              <w:left w:val="nil"/>
              <w:bottom w:val="nil"/>
              <w:right w:val="nil"/>
            </w:tcBorders>
            <w:shd w:val="clear" w:color="auto" w:fill="auto"/>
            <w:noWrap/>
            <w:vAlign w:val="bottom"/>
            <w:hideMark/>
          </w:tcPr>
          <w:p w14:paraId="1D61B08D"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Excel</w:t>
            </w:r>
          </w:p>
        </w:tc>
      </w:tr>
      <w:tr w:rsidR="000972DB" w:rsidRPr="000972DB" w14:paraId="0B8780EA" w14:textId="77777777" w:rsidTr="00CD0D8C">
        <w:trPr>
          <w:trHeight w:val="290"/>
        </w:trPr>
        <w:tc>
          <w:tcPr>
            <w:tcW w:w="816" w:type="dxa"/>
            <w:tcBorders>
              <w:top w:val="nil"/>
              <w:left w:val="nil"/>
              <w:bottom w:val="nil"/>
              <w:right w:val="nil"/>
            </w:tcBorders>
            <w:shd w:val="clear" w:color="auto" w:fill="auto"/>
            <w:noWrap/>
            <w:vAlign w:val="bottom"/>
            <w:hideMark/>
          </w:tcPr>
          <w:p w14:paraId="009D69E3"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B1</w:t>
            </w:r>
          </w:p>
        </w:tc>
        <w:tc>
          <w:tcPr>
            <w:tcW w:w="7520" w:type="dxa"/>
            <w:tcBorders>
              <w:top w:val="nil"/>
              <w:left w:val="nil"/>
              <w:bottom w:val="nil"/>
              <w:right w:val="nil"/>
            </w:tcBorders>
            <w:shd w:val="clear" w:color="auto" w:fill="auto"/>
            <w:noWrap/>
            <w:vAlign w:val="bottom"/>
            <w:hideMark/>
          </w:tcPr>
          <w:p w14:paraId="31F3E0D7"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A Workforce Plan for Cinderella</w:t>
            </w:r>
          </w:p>
        </w:tc>
        <w:tc>
          <w:tcPr>
            <w:tcW w:w="1729" w:type="dxa"/>
            <w:tcBorders>
              <w:top w:val="nil"/>
              <w:left w:val="nil"/>
              <w:bottom w:val="nil"/>
              <w:right w:val="nil"/>
            </w:tcBorders>
            <w:shd w:val="clear" w:color="auto" w:fill="auto"/>
            <w:noWrap/>
            <w:vAlign w:val="bottom"/>
            <w:hideMark/>
          </w:tcPr>
          <w:p w14:paraId="7405547F" w14:textId="3F326862"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Power</w:t>
            </w:r>
            <w:r w:rsidR="00CD0D8C">
              <w:rPr>
                <w:rFonts w:ascii="Arial" w:eastAsia="Times New Roman" w:hAnsi="Arial" w:cs="Arial"/>
                <w:color w:val="000000"/>
                <w:kern w:val="0"/>
                <w:lang w:eastAsia="en-GB"/>
                <w14:ligatures w14:val="none"/>
              </w:rPr>
              <w:t xml:space="preserve"> </w:t>
            </w:r>
            <w:r w:rsidRPr="000972DB">
              <w:rPr>
                <w:rFonts w:ascii="Arial" w:eastAsia="Times New Roman" w:hAnsi="Arial" w:cs="Arial"/>
                <w:color w:val="000000"/>
                <w:kern w:val="0"/>
                <w:lang w:eastAsia="en-GB"/>
                <w14:ligatures w14:val="none"/>
              </w:rPr>
              <w:t>point</w:t>
            </w:r>
          </w:p>
        </w:tc>
      </w:tr>
      <w:tr w:rsidR="000972DB" w:rsidRPr="000972DB" w14:paraId="43F70F42" w14:textId="77777777" w:rsidTr="00CD0D8C">
        <w:trPr>
          <w:trHeight w:val="290"/>
        </w:trPr>
        <w:tc>
          <w:tcPr>
            <w:tcW w:w="816" w:type="dxa"/>
            <w:tcBorders>
              <w:top w:val="nil"/>
              <w:left w:val="nil"/>
              <w:bottom w:val="nil"/>
              <w:right w:val="nil"/>
            </w:tcBorders>
            <w:shd w:val="clear" w:color="auto" w:fill="auto"/>
            <w:noWrap/>
            <w:vAlign w:val="bottom"/>
            <w:hideMark/>
          </w:tcPr>
          <w:p w14:paraId="68695B1C"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lastRenderedPageBreak/>
              <w:t>C1</w:t>
            </w:r>
          </w:p>
        </w:tc>
        <w:tc>
          <w:tcPr>
            <w:tcW w:w="7520" w:type="dxa"/>
            <w:tcBorders>
              <w:top w:val="nil"/>
              <w:left w:val="nil"/>
              <w:bottom w:val="nil"/>
              <w:right w:val="nil"/>
            </w:tcBorders>
            <w:shd w:val="clear" w:color="auto" w:fill="auto"/>
            <w:noWrap/>
            <w:vAlign w:val="bottom"/>
            <w:hideMark/>
          </w:tcPr>
          <w:p w14:paraId="2CD933AA"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People Planning - Regeneration Framework</w:t>
            </w:r>
          </w:p>
        </w:tc>
        <w:tc>
          <w:tcPr>
            <w:tcW w:w="1729" w:type="dxa"/>
            <w:tcBorders>
              <w:top w:val="nil"/>
              <w:left w:val="nil"/>
              <w:bottom w:val="nil"/>
              <w:right w:val="nil"/>
            </w:tcBorders>
            <w:shd w:val="clear" w:color="auto" w:fill="auto"/>
            <w:noWrap/>
            <w:vAlign w:val="bottom"/>
            <w:hideMark/>
          </w:tcPr>
          <w:p w14:paraId="239FC937"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0D330E5C" w14:textId="77777777" w:rsidTr="00CD0D8C">
        <w:trPr>
          <w:trHeight w:val="290"/>
        </w:trPr>
        <w:tc>
          <w:tcPr>
            <w:tcW w:w="816" w:type="dxa"/>
            <w:tcBorders>
              <w:top w:val="nil"/>
              <w:left w:val="nil"/>
              <w:bottom w:val="nil"/>
              <w:right w:val="nil"/>
            </w:tcBorders>
            <w:shd w:val="clear" w:color="auto" w:fill="auto"/>
            <w:noWrap/>
            <w:vAlign w:val="bottom"/>
            <w:hideMark/>
          </w:tcPr>
          <w:p w14:paraId="78112D5E"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D1</w:t>
            </w:r>
          </w:p>
        </w:tc>
        <w:tc>
          <w:tcPr>
            <w:tcW w:w="7520" w:type="dxa"/>
            <w:tcBorders>
              <w:top w:val="nil"/>
              <w:left w:val="nil"/>
              <w:bottom w:val="nil"/>
              <w:right w:val="nil"/>
            </w:tcBorders>
            <w:shd w:val="clear" w:color="auto" w:fill="auto"/>
            <w:noWrap/>
            <w:vAlign w:val="bottom"/>
            <w:hideMark/>
          </w:tcPr>
          <w:p w14:paraId="4606598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Vark Questionnaire</w:t>
            </w:r>
          </w:p>
        </w:tc>
        <w:tc>
          <w:tcPr>
            <w:tcW w:w="1729" w:type="dxa"/>
            <w:tcBorders>
              <w:top w:val="nil"/>
              <w:left w:val="nil"/>
              <w:bottom w:val="nil"/>
              <w:right w:val="nil"/>
            </w:tcBorders>
            <w:shd w:val="clear" w:color="auto" w:fill="auto"/>
            <w:noWrap/>
            <w:vAlign w:val="bottom"/>
            <w:hideMark/>
          </w:tcPr>
          <w:p w14:paraId="7CA626FF"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6CB6FB3B" w14:textId="77777777" w:rsidTr="00CD0D8C">
        <w:trPr>
          <w:trHeight w:val="290"/>
        </w:trPr>
        <w:tc>
          <w:tcPr>
            <w:tcW w:w="816" w:type="dxa"/>
            <w:tcBorders>
              <w:top w:val="nil"/>
              <w:left w:val="nil"/>
              <w:bottom w:val="nil"/>
              <w:right w:val="nil"/>
            </w:tcBorders>
            <w:shd w:val="clear" w:color="auto" w:fill="auto"/>
            <w:noWrap/>
            <w:vAlign w:val="bottom"/>
            <w:hideMark/>
          </w:tcPr>
          <w:p w14:paraId="7ABA8D80"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E1</w:t>
            </w:r>
          </w:p>
        </w:tc>
        <w:tc>
          <w:tcPr>
            <w:tcW w:w="7520" w:type="dxa"/>
            <w:tcBorders>
              <w:top w:val="nil"/>
              <w:left w:val="nil"/>
              <w:bottom w:val="nil"/>
              <w:right w:val="nil"/>
            </w:tcBorders>
            <w:shd w:val="clear" w:color="auto" w:fill="auto"/>
            <w:noWrap/>
            <w:vAlign w:val="bottom"/>
            <w:hideMark/>
          </w:tcPr>
          <w:p w14:paraId="61D35C8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Clinical Services plan SBAR March 2023</w:t>
            </w:r>
          </w:p>
        </w:tc>
        <w:tc>
          <w:tcPr>
            <w:tcW w:w="1729" w:type="dxa"/>
            <w:tcBorders>
              <w:top w:val="nil"/>
              <w:left w:val="nil"/>
              <w:bottom w:val="nil"/>
              <w:right w:val="nil"/>
            </w:tcBorders>
            <w:shd w:val="clear" w:color="auto" w:fill="auto"/>
            <w:noWrap/>
            <w:vAlign w:val="bottom"/>
            <w:hideMark/>
          </w:tcPr>
          <w:p w14:paraId="0491E97C"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2A3D8184" w14:textId="77777777" w:rsidTr="00CD0D8C">
        <w:trPr>
          <w:trHeight w:val="290"/>
        </w:trPr>
        <w:tc>
          <w:tcPr>
            <w:tcW w:w="816" w:type="dxa"/>
            <w:tcBorders>
              <w:top w:val="nil"/>
              <w:left w:val="nil"/>
              <w:bottom w:val="nil"/>
              <w:right w:val="nil"/>
            </w:tcBorders>
            <w:shd w:val="clear" w:color="auto" w:fill="auto"/>
            <w:noWrap/>
            <w:vAlign w:val="bottom"/>
            <w:hideMark/>
          </w:tcPr>
          <w:p w14:paraId="42D107AF"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F1</w:t>
            </w:r>
          </w:p>
        </w:tc>
        <w:tc>
          <w:tcPr>
            <w:tcW w:w="7520" w:type="dxa"/>
            <w:tcBorders>
              <w:top w:val="nil"/>
              <w:left w:val="nil"/>
              <w:bottom w:val="nil"/>
              <w:right w:val="nil"/>
            </w:tcBorders>
            <w:shd w:val="clear" w:color="auto" w:fill="auto"/>
            <w:noWrap/>
            <w:vAlign w:val="bottom"/>
            <w:hideMark/>
          </w:tcPr>
          <w:p w14:paraId="6820AB2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PBC Activity Modelling Workstream TOR  DRAFT V0.2 15JUN23 - ME notes</w:t>
            </w:r>
          </w:p>
        </w:tc>
        <w:tc>
          <w:tcPr>
            <w:tcW w:w="1729" w:type="dxa"/>
            <w:tcBorders>
              <w:top w:val="nil"/>
              <w:left w:val="nil"/>
              <w:bottom w:val="nil"/>
              <w:right w:val="nil"/>
            </w:tcBorders>
            <w:shd w:val="clear" w:color="auto" w:fill="auto"/>
            <w:noWrap/>
            <w:vAlign w:val="bottom"/>
            <w:hideMark/>
          </w:tcPr>
          <w:p w14:paraId="4852C43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58923ADB" w14:textId="77777777" w:rsidTr="00CD0D8C">
        <w:trPr>
          <w:trHeight w:val="290"/>
        </w:trPr>
        <w:tc>
          <w:tcPr>
            <w:tcW w:w="816" w:type="dxa"/>
            <w:tcBorders>
              <w:top w:val="nil"/>
              <w:left w:val="nil"/>
              <w:bottom w:val="nil"/>
              <w:right w:val="nil"/>
            </w:tcBorders>
            <w:shd w:val="clear" w:color="auto" w:fill="auto"/>
            <w:noWrap/>
            <w:vAlign w:val="bottom"/>
            <w:hideMark/>
          </w:tcPr>
          <w:p w14:paraId="149E6625"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G1</w:t>
            </w:r>
          </w:p>
        </w:tc>
        <w:tc>
          <w:tcPr>
            <w:tcW w:w="7520" w:type="dxa"/>
            <w:tcBorders>
              <w:top w:val="nil"/>
              <w:left w:val="nil"/>
              <w:bottom w:val="nil"/>
              <w:right w:val="nil"/>
            </w:tcBorders>
            <w:shd w:val="clear" w:color="auto" w:fill="auto"/>
            <w:noWrap/>
            <w:vAlign w:val="bottom"/>
            <w:hideMark/>
          </w:tcPr>
          <w:p w14:paraId="1BC14DF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Clinical Services Plan Issues paper</w:t>
            </w:r>
          </w:p>
        </w:tc>
        <w:tc>
          <w:tcPr>
            <w:tcW w:w="1729" w:type="dxa"/>
            <w:tcBorders>
              <w:top w:val="nil"/>
              <w:left w:val="nil"/>
              <w:bottom w:val="nil"/>
              <w:right w:val="nil"/>
            </w:tcBorders>
            <w:shd w:val="clear" w:color="auto" w:fill="auto"/>
            <w:noWrap/>
            <w:vAlign w:val="bottom"/>
            <w:hideMark/>
          </w:tcPr>
          <w:p w14:paraId="61D8E33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656EDD3A" w14:textId="77777777" w:rsidTr="00CD0D8C">
        <w:trPr>
          <w:trHeight w:val="290"/>
        </w:trPr>
        <w:tc>
          <w:tcPr>
            <w:tcW w:w="816" w:type="dxa"/>
            <w:tcBorders>
              <w:top w:val="nil"/>
              <w:left w:val="nil"/>
              <w:bottom w:val="nil"/>
              <w:right w:val="nil"/>
            </w:tcBorders>
            <w:shd w:val="clear" w:color="auto" w:fill="auto"/>
            <w:noWrap/>
            <w:vAlign w:val="bottom"/>
            <w:hideMark/>
          </w:tcPr>
          <w:p w14:paraId="7CE8B706"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H1</w:t>
            </w:r>
          </w:p>
        </w:tc>
        <w:tc>
          <w:tcPr>
            <w:tcW w:w="7520" w:type="dxa"/>
            <w:tcBorders>
              <w:top w:val="nil"/>
              <w:left w:val="nil"/>
              <w:bottom w:val="nil"/>
              <w:right w:val="nil"/>
            </w:tcBorders>
            <w:shd w:val="clear" w:color="auto" w:fill="auto"/>
            <w:noWrap/>
            <w:vAlign w:val="bottom"/>
            <w:hideMark/>
          </w:tcPr>
          <w:p w14:paraId="06C26EB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 xml:space="preserve">Clinical Services Plan - Workforce Data Methodology </w:t>
            </w:r>
          </w:p>
        </w:tc>
        <w:tc>
          <w:tcPr>
            <w:tcW w:w="1729" w:type="dxa"/>
            <w:tcBorders>
              <w:top w:val="nil"/>
              <w:left w:val="nil"/>
              <w:bottom w:val="nil"/>
              <w:right w:val="nil"/>
            </w:tcBorders>
            <w:shd w:val="clear" w:color="auto" w:fill="auto"/>
            <w:noWrap/>
            <w:vAlign w:val="bottom"/>
            <w:hideMark/>
          </w:tcPr>
          <w:p w14:paraId="6C1E6753"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50AC0937" w14:textId="77777777" w:rsidTr="00CD0D8C">
        <w:trPr>
          <w:trHeight w:val="290"/>
        </w:trPr>
        <w:tc>
          <w:tcPr>
            <w:tcW w:w="816" w:type="dxa"/>
            <w:tcBorders>
              <w:top w:val="nil"/>
              <w:left w:val="nil"/>
              <w:bottom w:val="nil"/>
              <w:right w:val="nil"/>
            </w:tcBorders>
            <w:shd w:val="clear" w:color="auto" w:fill="auto"/>
            <w:noWrap/>
            <w:vAlign w:val="bottom"/>
            <w:hideMark/>
          </w:tcPr>
          <w:p w14:paraId="6929E07F"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I1</w:t>
            </w:r>
          </w:p>
        </w:tc>
        <w:tc>
          <w:tcPr>
            <w:tcW w:w="7520" w:type="dxa"/>
            <w:tcBorders>
              <w:top w:val="nil"/>
              <w:left w:val="nil"/>
              <w:bottom w:val="nil"/>
              <w:right w:val="nil"/>
            </w:tcBorders>
            <w:shd w:val="clear" w:color="auto" w:fill="auto"/>
            <w:noWrap/>
            <w:vAlign w:val="bottom"/>
            <w:hideMark/>
          </w:tcPr>
          <w:p w14:paraId="06964D9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 xml:space="preserve">Operational WFP feedback </w:t>
            </w:r>
          </w:p>
        </w:tc>
        <w:tc>
          <w:tcPr>
            <w:tcW w:w="1729" w:type="dxa"/>
            <w:tcBorders>
              <w:top w:val="nil"/>
              <w:left w:val="nil"/>
              <w:bottom w:val="nil"/>
              <w:right w:val="nil"/>
            </w:tcBorders>
            <w:shd w:val="clear" w:color="auto" w:fill="auto"/>
            <w:noWrap/>
            <w:vAlign w:val="bottom"/>
            <w:hideMark/>
          </w:tcPr>
          <w:p w14:paraId="4F2B717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6A92B157" w14:textId="77777777" w:rsidTr="00CD0D8C">
        <w:trPr>
          <w:trHeight w:val="290"/>
        </w:trPr>
        <w:tc>
          <w:tcPr>
            <w:tcW w:w="816" w:type="dxa"/>
            <w:tcBorders>
              <w:top w:val="nil"/>
              <w:left w:val="nil"/>
              <w:bottom w:val="nil"/>
              <w:right w:val="nil"/>
            </w:tcBorders>
            <w:shd w:val="clear" w:color="auto" w:fill="auto"/>
            <w:noWrap/>
            <w:vAlign w:val="bottom"/>
            <w:hideMark/>
          </w:tcPr>
          <w:p w14:paraId="72EA64E9"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J1</w:t>
            </w:r>
          </w:p>
        </w:tc>
        <w:tc>
          <w:tcPr>
            <w:tcW w:w="7520" w:type="dxa"/>
            <w:tcBorders>
              <w:top w:val="nil"/>
              <w:left w:val="nil"/>
              <w:bottom w:val="nil"/>
              <w:right w:val="nil"/>
            </w:tcBorders>
            <w:shd w:val="clear" w:color="auto" w:fill="auto"/>
            <w:noWrap/>
            <w:vAlign w:val="bottom"/>
            <w:hideMark/>
          </w:tcPr>
          <w:p w14:paraId="252E27FF"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Retirement Projections</w:t>
            </w:r>
          </w:p>
        </w:tc>
        <w:tc>
          <w:tcPr>
            <w:tcW w:w="1729" w:type="dxa"/>
            <w:tcBorders>
              <w:top w:val="nil"/>
              <w:left w:val="nil"/>
              <w:bottom w:val="nil"/>
              <w:right w:val="nil"/>
            </w:tcBorders>
            <w:shd w:val="clear" w:color="auto" w:fill="auto"/>
            <w:noWrap/>
            <w:vAlign w:val="bottom"/>
            <w:hideMark/>
          </w:tcPr>
          <w:p w14:paraId="76C1241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66D0B28B" w14:textId="77777777" w:rsidTr="00CD0D8C">
        <w:trPr>
          <w:trHeight w:val="290"/>
        </w:trPr>
        <w:tc>
          <w:tcPr>
            <w:tcW w:w="816" w:type="dxa"/>
            <w:tcBorders>
              <w:top w:val="nil"/>
              <w:left w:val="nil"/>
              <w:bottom w:val="nil"/>
              <w:right w:val="nil"/>
            </w:tcBorders>
            <w:shd w:val="clear" w:color="auto" w:fill="auto"/>
            <w:noWrap/>
            <w:vAlign w:val="bottom"/>
            <w:hideMark/>
          </w:tcPr>
          <w:p w14:paraId="18AA43EE"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K1</w:t>
            </w:r>
          </w:p>
        </w:tc>
        <w:tc>
          <w:tcPr>
            <w:tcW w:w="7520" w:type="dxa"/>
            <w:tcBorders>
              <w:top w:val="nil"/>
              <w:left w:val="nil"/>
              <w:bottom w:val="nil"/>
              <w:right w:val="nil"/>
            </w:tcBorders>
            <w:shd w:val="clear" w:color="auto" w:fill="auto"/>
            <w:noWrap/>
            <w:vAlign w:val="bottom"/>
            <w:hideMark/>
          </w:tcPr>
          <w:p w14:paraId="56FCB576" w14:textId="7F4BC2D1" w:rsidR="000972DB" w:rsidRPr="000972DB" w:rsidRDefault="001335E9" w:rsidP="000972DB">
            <w:pPr>
              <w:spacing w:after="0" w:line="360" w:lineRule="auto"/>
              <w:rPr>
                <w:rFonts w:ascii="Arial" w:eastAsia="Times New Roman" w:hAnsi="Arial" w:cs="Arial"/>
                <w:color w:val="000000"/>
                <w:kern w:val="0"/>
                <w:lang w:eastAsia="en-GB"/>
                <w14:ligatures w14:val="none"/>
              </w:rPr>
            </w:pPr>
            <w:r w:rsidRPr="001335E9">
              <w:rPr>
                <w:rFonts w:ascii="Arial" w:eastAsia="Times New Roman" w:hAnsi="Arial" w:cs="Arial"/>
                <w:color w:val="000000"/>
                <w:kern w:val="0"/>
                <w:lang w:eastAsia="en-GB"/>
                <w14:ligatures w14:val="none"/>
              </w:rPr>
              <w:t>CSP Workforce Data Example 31st March 2024</w:t>
            </w:r>
          </w:p>
        </w:tc>
        <w:tc>
          <w:tcPr>
            <w:tcW w:w="1729" w:type="dxa"/>
            <w:tcBorders>
              <w:top w:val="nil"/>
              <w:left w:val="nil"/>
              <w:bottom w:val="nil"/>
              <w:right w:val="nil"/>
            </w:tcBorders>
            <w:shd w:val="clear" w:color="auto" w:fill="auto"/>
            <w:noWrap/>
            <w:vAlign w:val="bottom"/>
            <w:hideMark/>
          </w:tcPr>
          <w:p w14:paraId="37CA4BF4"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Excel</w:t>
            </w:r>
          </w:p>
        </w:tc>
      </w:tr>
      <w:tr w:rsidR="000972DB" w:rsidRPr="000972DB" w14:paraId="1BCAB482" w14:textId="77777777" w:rsidTr="00CD0D8C">
        <w:trPr>
          <w:trHeight w:val="290"/>
        </w:trPr>
        <w:tc>
          <w:tcPr>
            <w:tcW w:w="816" w:type="dxa"/>
            <w:tcBorders>
              <w:top w:val="nil"/>
              <w:left w:val="nil"/>
              <w:bottom w:val="nil"/>
              <w:right w:val="nil"/>
            </w:tcBorders>
            <w:shd w:val="clear" w:color="auto" w:fill="auto"/>
            <w:noWrap/>
            <w:vAlign w:val="bottom"/>
            <w:hideMark/>
          </w:tcPr>
          <w:p w14:paraId="6F5E75B4"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L1</w:t>
            </w:r>
          </w:p>
        </w:tc>
        <w:tc>
          <w:tcPr>
            <w:tcW w:w="7520" w:type="dxa"/>
            <w:tcBorders>
              <w:top w:val="nil"/>
              <w:left w:val="nil"/>
              <w:bottom w:val="nil"/>
              <w:right w:val="nil"/>
            </w:tcBorders>
            <w:shd w:val="clear" w:color="auto" w:fill="auto"/>
            <w:noWrap/>
            <w:vAlign w:val="bottom"/>
            <w:hideMark/>
          </w:tcPr>
          <w:p w14:paraId="15D67A39"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Workforce questions to consider</w:t>
            </w:r>
          </w:p>
        </w:tc>
        <w:tc>
          <w:tcPr>
            <w:tcW w:w="1729" w:type="dxa"/>
            <w:tcBorders>
              <w:top w:val="nil"/>
              <w:left w:val="nil"/>
              <w:bottom w:val="nil"/>
              <w:right w:val="nil"/>
            </w:tcBorders>
            <w:shd w:val="clear" w:color="auto" w:fill="auto"/>
            <w:noWrap/>
            <w:vAlign w:val="bottom"/>
            <w:hideMark/>
          </w:tcPr>
          <w:p w14:paraId="601B8BAF"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0BBD4622" w14:textId="77777777" w:rsidTr="00CD0D8C">
        <w:trPr>
          <w:trHeight w:val="290"/>
        </w:trPr>
        <w:tc>
          <w:tcPr>
            <w:tcW w:w="816" w:type="dxa"/>
            <w:tcBorders>
              <w:top w:val="nil"/>
              <w:left w:val="nil"/>
              <w:bottom w:val="nil"/>
              <w:right w:val="nil"/>
            </w:tcBorders>
            <w:shd w:val="clear" w:color="auto" w:fill="auto"/>
            <w:noWrap/>
            <w:vAlign w:val="bottom"/>
            <w:hideMark/>
          </w:tcPr>
          <w:p w14:paraId="4A7BA356"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M1</w:t>
            </w:r>
          </w:p>
        </w:tc>
        <w:tc>
          <w:tcPr>
            <w:tcW w:w="7520" w:type="dxa"/>
            <w:tcBorders>
              <w:top w:val="nil"/>
              <w:left w:val="nil"/>
              <w:bottom w:val="nil"/>
              <w:right w:val="nil"/>
            </w:tcBorders>
            <w:shd w:val="clear" w:color="auto" w:fill="auto"/>
            <w:noWrap/>
            <w:vAlign w:val="bottom"/>
            <w:hideMark/>
          </w:tcPr>
          <w:p w14:paraId="0435F85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CSP Workforce Data Methodology - Phase 2 Initial Data</w:t>
            </w:r>
          </w:p>
        </w:tc>
        <w:tc>
          <w:tcPr>
            <w:tcW w:w="1729" w:type="dxa"/>
            <w:tcBorders>
              <w:top w:val="nil"/>
              <w:left w:val="nil"/>
              <w:bottom w:val="nil"/>
              <w:right w:val="nil"/>
            </w:tcBorders>
            <w:shd w:val="clear" w:color="auto" w:fill="auto"/>
            <w:noWrap/>
            <w:vAlign w:val="bottom"/>
            <w:hideMark/>
          </w:tcPr>
          <w:p w14:paraId="258573EE"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5DF0B719" w14:textId="77777777" w:rsidTr="00CD0D8C">
        <w:trPr>
          <w:trHeight w:val="290"/>
        </w:trPr>
        <w:tc>
          <w:tcPr>
            <w:tcW w:w="816" w:type="dxa"/>
            <w:tcBorders>
              <w:top w:val="nil"/>
              <w:left w:val="nil"/>
              <w:bottom w:val="nil"/>
              <w:right w:val="nil"/>
            </w:tcBorders>
            <w:shd w:val="clear" w:color="auto" w:fill="auto"/>
            <w:noWrap/>
            <w:vAlign w:val="bottom"/>
            <w:hideMark/>
          </w:tcPr>
          <w:p w14:paraId="77384391"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N1</w:t>
            </w:r>
          </w:p>
        </w:tc>
        <w:tc>
          <w:tcPr>
            <w:tcW w:w="7520" w:type="dxa"/>
            <w:tcBorders>
              <w:top w:val="nil"/>
              <w:left w:val="nil"/>
              <w:bottom w:val="nil"/>
              <w:right w:val="nil"/>
            </w:tcBorders>
            <w:shd w:val="clear" w:color="auto" w:fill="auto"/>
            <w:noWrap/>
            <w:vAlign w:val="bottom"/>
            <w:hideMark/>
          </w:tcPr>
          <w:p w14:paraId="4484FAE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Clinical Services Plan Update to WOD July 2024</w:t>
            </w:r>
          </w:p>
        </w:tc>
        <w:tc>
          <w:tcPr>
            <w:tcW w:w="1729" w:type="dxa"/>
            <w:tcBorders>
              <w:top w:val="nil"/>
              <w:left w:val="nil"/>
              <w:bottom w:val="nil"/>
              <w:right w:val="nil"/>
            </w:tcBorders>
            <w:shd w:val="clear" w:color="auto" w:fill="auto"/>
            <w:noWrap/>
            <w:vAlign w:val="bottom"/>
            <w:hideMark/>
          </w:tcPr>
          <w:p w14:paraId="3C993E1D"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775B27DF" w14:textId="77777777" w:rsidTr="00CD0D8C">
        <w:trPr>
          <w:trHeight w:val="290"/>
        </w:trPr>
        <w:tc>
          <w:tcPr>
            <w:tcW w:w="816" w:type="dxa"/>
            <w:tcBorders>
              <w:top w:val="nil"/>
              <w:left w:val="nil"/>
              <w:bottom w:val="nil"/>
              <w:right w:val="nil"/>
            </w:tcBorders>
            <w:shd w:val="clear" w:color="auto" w:fill="auto"/>
            <w:noWrap/>
            <w:vAlign w:val="bottom"/>
            <w:hideMark/>
          </w:tcPr>
          <w:p w14:paraId="76AD2EBE"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O1</w:t>
            </w:r>
          </w:p>
        </w:tc>
        <w:tc>
          <w:tcPr>
            <w:tcW w:w="7520" w:type="dxa"/>
            <w:tcBorders>
              <w:top w:val="nil"/>
              <w:left w:val="nil"/>
              <w:bottom w:val="nil"/>
              <w:right w:val="nil"/>
            </w:tcBorders>
            <w:shd w:val="clear" w:color="auto" w:fill="auto"/>
            <w:noWrap/>
            <w:vAlign w:val="bottom"/>
            <w:hideMark/>
          </w:tcPr>
          <w:p w14:paraId="6CE7281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HEIW Enabling Change Masterclass Attendance Certificate</w:t>
            </w:r>
          </w:p>
        </w:tc>
        <w:tc>
          <w:tcPr>
            <w:tcW w:w="1729" w:type="dxa"/>
            <w:tcBorders>
              <w:top w:val="nil"/>
              <w:left w:val="nil"/>
              <w:bottom w:val="nil"/>
              <w:right w:val="nil"/>
            </w:tcBorders>
            <w:shd w:val="clear" w:color="auto" w:fill="auto"/>
            <w:noWrap/>
            <w:vAlign w:val="bottom"/>
            <w:hideMark/>
          </w:tcPr>
          <w:p w14:paraId="7AFA820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316AE7A5" w14:textId="77777777" w:rsidTr="00CD0D8C">
        <w:trPr>
          <w:trHeight w:val="290"/>
        </w:trPr>
        <w:tc>
          <w:tcPr>
            <w:tcW w:w="816" w:type="dxa"/>
            <w:tcBorders>
              <w:top w:val="nil"/>
              <w:left w:val="nil"/>
              <w:bottom w:val="nil"/>
              <w:right w:val="nil"/>
            </w:tcBorders>
            <w:shd w:val="clear" w:color="auto" w:fill="auto"/>
            <w:noWrap/>
            <w:vAlign w:val="bottom"/>
            <w:hideMark/>
          </w:tcPr>
          <w:p w14:paraId="7F15946A"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P1</w:t>
            </w:r>
          </w:p>
        </w:tc>
        <w:tc>
          <w:tcPr>
            <w:tcW w:w="7520" w:type="dxa"/>
            <w:tcBorders>
              <w:top w:val="nil"/>
              <w:left w:val="nil"/>
              <w:bottom w:val="nil"/>
              <w:right w:val="nil"/>
            </w:tcBorders>
            <w:shd w:val="clear" w:color="auto" w:fill="auto"/>
            <w:noWrap/>
            <w:vAlign w:val="bottom"/>
            <w:hideMark/>
          </w:tcPr>
          <w:p w14:paraId="79EB90D4"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Clinical Services Plan Update September 2023</w:t>
            </w:r>
          </w:p>
        </w:tc>
        <w:tc>
          <w:tcPr>
            <w:tcW w:w="1729" w:type="dxa"/>
            <w:tcBorders>
              <w:top w:val="nil"/>
              <w:left w:val="nil"/>
              <w:bottom w:val="nil"/>
              <w:right w:val="nil"/>
            </w:tcBorders>
            <w:shd w:val="clear" w:color="auto" w:fill="auto"/>
            <w:noWrap/>
            <w:vAlign w:val="bottom"/>
            <w:hideMark/>
          </w:tcPr>
          <w:p w14:paraId="5D200BA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1B36FD11" w14:textId="77777777" w:rsidTr="00CD0D8C">
        <w:trPr>
          <w:trHeight w:val="290"/>
        </w:trPr>
        <w:tc>
          <w:tcPr>
            <w:tcW w:w="816" w:type="dxa"/>
            <w:tcBorders>
              <w:top w:val="nil"/>
              <w:left w:val="nil"/>
              <w:bottom w:val="nil"/>
              <w:right w:val="nil"/>
            </w:tcBorders>
            <w:shd w:val="clear" w:color="auto" w:fill="auto"/>
            <w:noWrap/>
            <w:vAlign w:val="bottom"/>
            <w:hideMark/>
          </w:tcPr>
          <w:p w14:paraId="6D457BB5"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Q1</w:t>
            </w:r>
          </w:p>
        </w:tc>
        <w:tc>
          <w:tcPr>
            <w:tcW w:w="7520" w:type="dxa"/>
            <w:tcBorders>
              <w:top w:val="nil"/>
              <w:left w:val="nil"/>
              <w:bottom w:val="nil"/>
              <w:right w:val="nil"/>
            </w:tcBorders>
            <w:shd w:val="clear" w:color="auto" w:fill="auto"/>
            <w:noWrap/>
            <w:vAlign w:val="bottom"/>
            <w:hideMark/>
          </w:tcPr>
          <w:p w14:paraId="1DA7B5A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CSP - Workforce Assessment for Board submission</w:t>
            </w:r>
          </w:p>
        </w:tc>
        <w:tc>
          <w:tcPr>
            <w:tcW w:w="1729" w:type="dxa"/>
            <w:tcBorders>
              <w:top w:val="nil"/>
              <w:left w:val="nil"/>
              <w:bottom w:val="nil"/>
              <w:right w:val="nil"/>
            </w:tcBorders>
            <w:shd w:val="clear" w:color="auto" w:fill="auto"/>
            <w:noWrap/>
            <w:vAlign w:val="bottom"/>
            <w:hideMark/>
          </w:tcPr>
          <w:p w14:paraId="45EFCA76"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71A6DCF2" w14:textId="77777777" w:rsidTr="00CD0D8C">
        <w:trPr>
          <w:trHeight w:val="290"/>
        </w:trPr>
        <w:tc>
          <w:tcPr>
            <w:tcW w:w="816" w:type="dxa"/>
            <w:tcBorders>
              <w:top w:val="nil"/>
              <w:left w:val="nil"/>
              <w:bottom w:val="nil"/>
              <w:right w:val="nil"/>
            </w:tcBorders>
            <w:shd w:val="clear" w:color="auto" w:fill="auto"/>
            <w:noWrap/>
            <w:vAlign w:val="bottom"/>
            <w:hideMark/>
          </w:tcPr>
          <w:p w14:paraId="279733BE"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R1</w:t>
            </w:r>
          </w:p>
        </w:tc>
        <w:tc>
          <w:tcPr>
            <w:tcW w:w="7520" w:type="dxa"/>
            <w:tcBorders>
              <w:top w:val="nil"/>
              <w:left w:val="nil"/>
              <w:bottom w:val="nil"/>
              <w:right w:val="nil"/>
            </w:tcBorders>
            <w:shd w:val="clear" w:color="auto" w:fill="auto"/>
            <w:noWrap/>
            <w:vAlign w:val="bottom"/>
            <w:hideMark/>
          </w:tcPr>
          <w:p w14:paraId="6EA8CD3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Key Interdependencies for Phase 2 CSP</w:t>
            </w:r>
          </w:p>
        </w:tc>
        <w:tc>
          <w:tcPr>
            <w:tcW w:w="1729" w:type="dxa"/>
            <w:tcBorders>
              <w:top w:val="nil"/>
              <w:left w:val="nil"/>
              <w:bottom w:val="nil"/>
              <w:right w:val="nil"/>
            </w:tcBorders>
            <w:shd w:val="clear" w:color="auto" w:fill="auto"/>
            <w:noWrap/>
            <w:vAlign w:val="bottom"/>
            <w:hideMark/>
          </w:tcPr>
          <w:p w14:paraId="5CD4FAD0"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Excel</w:t>
            </w:r>
          </w:p>
        </w:tc>
      </w:tr>
      <w:tr w:rsidR="000972DB" w:rsidRPr="000972DB" w14:paraId="3D12DC18" w14:textId="77777777" w:rsidTr="00CD0D8C">
        <w:trPr>
          <w:trHeight w:val="290"/>
        </w:trPr>
        <w:tc>
          <w:tcPr>
            <w:tcW w:w="816" w:type="dxa"/>
            <w:tcBorders>
              <w:top w:val="nil"/>
              <w:left w:val="nil"/>
              <w:bottom w:val="nil"/>
              <w:right w:val="nil"/>
            </w:tcBorders>
            <w:shd w:val="clear" w:color="auto" w:fill="auto"/>
            <w:noWrap/>
            <w:vAlign w:val="bottom"/>
            <w:hideMark/>
          </w:tcPr>
          <w:p w14:paraId="29771285"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S1</w:t>
            </w:r>
          </w:p>
        </w:tc>
        <w:tc>
          <w:tcPr>
            <w:tcW w:w="7520" w:type="dxa"/>
            <w:tcBorders>
              <w:top w:val="nil"/>
              <w:left w:val="nil"/>
              <w:bottom w:val="nil"/>
              <w:right w:val="nil"/>
            </w:tcBorders>
            <w:shd w:val="clear" w:color="auto" w:fill="auto"/>
            <w:noWrap/>
            <w:vAlign w:val="bottom"/>
            <w:hideMark/>
          </w:tcPr>
          <w:p w14:paraId="580E53A7"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HEIW Masterclass series attendance</w:t>
            </w:r>
          </w:p>
        </w:tc>
        <w:tc>
          <w:tcPr>
            <w:tcW w:w="1729" w:type="dxa"/>
            <w:tcBorders>
              <w:top w:val="nil"/>
              <w:left w:val="nil"/>
              <w:bottom w:val="nil"/>
              <w:right w:val="nil"/>
            </w:tcBorders>
            <w:shd w:val="clear" w:color="auto" w:fill="auto"/>
            <w:noWrap/>
            <w:vAlign w:val="bottom"/>
            <w:hideMark/>
          </w:tcPr>
          <w:p w14:paraId="38AC179E"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1460913E" w14:textId="77777777" w:rsidTr="00CD0D8C">
        <w:trPr>
          <w:trHeight w:val="290"/>
        </w:trPr>
        <w:tc>
          <w:tcPr>
            <w:tcW w:w="816" w:type="dxa"/>
            <w:tcBorders>
              <w:top w:val="nil"/>
              <w:left w:val="nil"/>
              <w:bottom w:val="nil"/>
              <w:right w:val="nil"/>
            </w:tcBorders>
            <w:shd w:val="clear" w:color="auto" w:fill="auto"/>
            <w:noWrap/>
            <w:vAlign w:val="bottom"/>
            <w:hideMark/>
          </w:tcPr>
          <w:p w14:paraId="17925A71"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T1</w:t>
            </w:r>
          </w:p>
        </w:tc>
        <w:tc>
          <w:tcPr>
            <w:tcW w:w="7520" w:type="dxa"/>
            <w:tcBorders>
              <w:top w:val="nil"/>
              <w:left w:val="nil"/>
              <w:bottom w:val="nil"/>
              <w:right w:val="nil"/>
            </w:tcBorders>
            <w:shd w:val="clear" w:color="auto" w:fill="auto"/>
            <w:noWrap/>
            <w:vAlign w:val="bottom"/>
            <w:hideMark/>
          </w:tcPr>
          <w:p w14:paraId="64A44CB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 xml:space="preserve">Excerpt from Planning Co-ordination Group Teams meeting chat </w:t>
            </w:r>
          </w:p>
        </w:tc>
        <w:tc>
          <w:tcPr>
            <w:tcW w:w="1729" w:type="dxa"/>
            <w:tcBorders>
              <w:top w:val="nil"/>
              <w:left w:val="nil"/>
              <w:bottom w:val="nil"/>
              <w:right w:val="nil"/>
            </w:tcBorders>
            <w:shd w:val="clear" w:color="auto" w:fill="auto"/>
            <w:noWrap/>
            <w:vAlign w:val="bottom"/>
            <w:hideMark/>
          </w:tcPr>
          <w:p w14:paraId="0E209E2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0241E95F" w14:textId="77777777" w:rsidTr="00CD0D8C">
        <w:trPr>
          <w:trHeight w:val="290"/>
        </w:trPr>
        <w:tc>
          <w:tcPr>
            <w:tcW w:w="816" w:type="dxa"/>
            <w:tcBorders>
              <w:top w:val="nil"/>
              <w:left w:val="nil"/>
              <w:bottom w:val="nil"/>
              <w:right w:val="nil"/>
            </w:tcBorders>
            <w:shd w:val="clear" w:color="auto" w:fill="auto"/>
            <w:noWrap/>
            <w:vAlign w:val="bottom"/>
            <w:hideMark/>
          </w:tcPr>
          <w:p w14:paraId="57B0C526"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U1</w:t>
            </w:r>
          </w:p>
        </w:tc>
        <w:tc>
          <w:tcPr>
            <w:tcW w:w="7520" w:type="dxa"/>
            <w:tcBorders>
              <w:top w:val="nil"/>
              <w:left w:val="nil"/>
              <w:bottom w:val="nil"/>
              <w:right w:val="nil"/>
            </w:tcBorders>
            <w:shd w:val="clear" w:color="auto" w:fill="auto"/>
            <w:noWrap/>
            <w:vAlign w:val="bottom"/>
            <w:hideMark/>
          </w:tcPr>
          <w:p w14:paraId="3388238A"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Annual Plan Workshop 9.1.25 - Workforce</w:t>
            </w:r>
          </w:p>
        </w:tc>
        <w:tc>
          <w:tcPr>
            <w:tcW w:w="1729" w:type="dxa"/>
            <w:tcBorders>
              <w:top w:val="nil"/>
              <w:left w:val="nil"/>
              <w:bottom w:val="nil"/>
              <w:right w:val="nil"/>
            </w:tcBorders>
            <w:shd w:val="clear" w:color="auto" w:fill="auto"/>
            <w:noWrap/>
            <w:vAlign w:val="bottom"/>
            <w:hideMark/>
          </w:tcPr>
          <w:p w14:paraId="08C82BB8"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r w:rsidR="000972DB" w:rsidRPr="000972DB" w14:paraId="68046ADD" w14:textId="77777777" w:rsidTr="00CD0D8C">
        <w:trPr>
          <w:trHeight w:val="290"/>
        </w:trPr>
        <w:tc>
          <w:tcPr>
            <w:tcW w:w="816" w:type="dxa"/>
            <w:tcBorders>
              <w:top w:val="nil"/>
              <w:left w:val="nil"/>
              <w:bottom w:val="nil"/>
              <w:right w:val="nil"/>
            </w:tcBorders>
            <w:shd w:val="clear" w:color="auto" w:fill="auto"/>
            <w:noWrap/>
            <w:vAlign w:val="bottom"/>
            <w:hideMark/>
          </w:tcPr>
          <w:p w14:paraId="35A2857A"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V1</w:t>
            </w:r>
          </w:p>
        </w:tc>
        <w:tc>
          <w:tcPr>
            <w:tcW w:w="7520" w:type="dxa"/>
            <w:tcBorders>
              <w:top w:val="nil"/>
              <w:left w:val="nil"/>
              <w:bottom w:val="nil"/>
              <w:right w:val="nil"/>
            </w:tcBorders>
            <w:shd w:val="clear" w:color="auto" w:fill="auto"/>
            <w:noWrap/>
            <w:vAlign w:val="bottom"/>
            <w:hideMark/>
          </w:tcPr>
          <w:p w14:paraId="36E77A5B"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 xml:space="preserve">CSP Testimonial </w:t>
            </w:r>
          </w:p>
        </w:tc>
        <w:tc>
          <w:tcPr>
            <w:tcW w:w="1729" w:type="dxa"/>
            <w:tcBorders>
              <w:top w:val="nil"/>
              <w:left w:val="nil"/>
              <w:bottom w:val="nil"/>
              <w:right w:val="nil"/>
            </w:tcBorders>
            <w:shd w:val="clear" w:color="auto" w:fill="auto"/>
            <w:noWrap/>
            <w:vAlign w:val="bottom"/>
            <w:hideMark/>
          </w:tcPr>
          <w:p w14:paraId="694DC827"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PDF</w:t>
            </w:r>
          </w:p>
        </w:tc>
      </w:tr>
      <w:tr w:rsidR="000972DB" w:rsidRPr="000972DB" w14:paraId="10B5E25C" w14:textId="77777777" w:rsidTr="00CD0D8C">
        <w:trPr>
          <w:trHeight w:val="290"/>
        </w:trPr>
        <w:tc>
          <w:tcPr>
            <w:tcW w:w="816" w:type="dxa"/>
            <w:tcBorders>
              <w:top w:val="nil"/>
              <w:left w:val="nil"/>
              <w:bottom w:val="nil"/>
              <w:right w:val="nil"/>
            </w:tcBorders>
            <w:shd w:val="clear" w:color="auto" w:fill="auto"/>
            <w:noWrap/>
            <w:vAlign w:val="bottom"/>
            <w:hideMark/>
          </w:tcPr>
          <w:p w14:paraId="0C84934E" w14:textId="77777777" w:rsidR="000972DB" w:rsidRPr="000972DB" w:rsidRDefault="000972DB" w:rsidP="000972DB">
            <w:pPr>
              <w:spacing w:after="0" w:line="360" w:lineRule="auto"/>
              <w:jc w:val="center"/>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W1</w:t>
            </w:r>
          </w:p>
        </w:tc>
        <w:tc>
          <w:tcPr>
            <w:tcW w:w="7520" w:type="dxa"/>
            <w:tcBorders>
              <w:top w:val="nil"/>
              <w:left w:val="nil"/>
              <w:bottom w:val="nil"/>
              <w:right w:val="nil"/>
            </w:tcBorders>
            <w:shd w:val="clear" w:color="auto" w:fill="auto"/>
            <w:noWrap/>
            <w:vAlign w:val="bottom"/>
            <w:hideMark/>
          </w:tcPr>
          <w:p w14:paraId="5513C3D8" w14:textId="78F69A1D"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 xml:space="preserve">NHS Leadership Academy </w:t>
            </w:r>
            <w:r w:rsidR="0054622B" w:rsidRPr="000972DB">
              <w:rPr>
                <w:rFonts w:ascii="Arial" w:eastAsia="Times New Roman" w:hAnsi="Arial" w:cs="Arial"/>
                <w:color w:val="000000"/>
                <w:kern w:val="0"/>
                <w:lang w:eastAsia="en-GB"/>
                <w14:ligatures w14:val="none"/>
              </w:rPr>
              <w:t>360-degree</w:t>
            </w:r>
            <w:r w:rsidRPr="000972DB">
              <w:rPr>
                <w:rFonts w:ascii="Arial" w:eastAsia="Times New Roman" w:hAnsi="Arial" w:cs="Arial"/>
                <w:color w:val="000000"/>
                <w:kern w:val="0"/>
                <w:lang w:eastAsia="en-GB"/>
                <w14:ligatures w14:val="none"/>
              </w:rPr>
              <w:t xml:space="preserve"> feedback </w:t>
            </w:r>
          </w:p>
        </w:tc>
        <w:tc>
          <w:tcPr>
            <w:tcW w:w="1729" w:type="dxa"/>
            <w:tcBorders>
              <w:top w:val="nil"/>
              <w:left w:val="nil"/>
              <w:bottom w:val="nil"/>
              <w:right w:val="nil"/>
            </w:tcBorders>
            <w:shd w:val="clear" w:color="auto" w:fill="auto"/>
            <w:noWrap/>
            <w:vAlign w:val="bottom"/>
            <w:hideMark/>
          </w:tcPr>
          <w:p w14:paraId="724D0B42" w14:textId="77777777" w:rsidR="000972DB" w:rsidRPr="000972DB" w:rsidRDefault="000972DB" w:rsidP="000972DB">
            <w:pPr>
              <w:spacing w:after="0" w:line="360" w:lineRule="auto"/>
              <w:rPr>
                <w:rFonts w:ascii="Arial" w:eastAsia="Times New Roman" w:hAnsi="Arial" w:cs="Arial"/>
                <w:color w:val="000000"/>
                <w:kern w:val="0"/>
                <w:lang w:eastAsia="en-GB"/>
                <w14:ligatures w14:val="none"/>
              </w:rPr>
            </w:pPr>
            <w:r w:rsidRPr="000972DB">
              <w:rPr>
                <w:rFonts w:ascii="Arial" w:eastAsia="Times New Roman" w:hAnsi="Arial" w:cs="Arial"/>
                <w:color w:val="000000"/>
                <w:kern w:val="0"/>
                <w:lang w:eastAsia="en-GB"/>
                <w14:ligatures w14:val="none"/>
              </w:rPr>
              <w:t>Word</w:t>
            </w:r>
          </w:p>
        </w:tc>
      </w:tr>
    </w:tbl>
    <w:p w14:paraId="5BDE9F9D" w14:textId="77777777" w:rsidR="000972DB" w:rsidRPr="000972DB" w:rsidRDefault="000972DB" w:rsidP="000972DB">
      <w:pPr>
        <w:tabs>
          <w:tab w:val="left" w:pos="0"/>
        </w:tabs>
        <w:rPr>
          <w:b/>
          <w:bCs/>
          <w:sz w:val="28"/>
          <w:szCs w:val="28"/>
        </w:rPr>
      </w:pPr>
    </w:p>
    <w:p w14:paraId="6B659E25" w14:textId="77777777" w:rsidR="000972DB" w:rsidRDefault="000972DB" w:rsidP="007B72D0">
      <w:pPr>
        <w:tabs>
          <w:tab w:val="left" w:pos="0"/>
        </w:tabs>
        <w:ind w:left="-142" w:firstLine="142"/>
      </w:pPr>
    </w:p>
    <w:p w14:paraId="6BEA7900" w14:textId="77777777" w:rsidR="000972DB" w:rsidRDefault="000972DB" w:rsidP="007B72D0">
      <w:pPr>
        <w:tabs>
          <w:tab w:val="left" w:pos="0"/>
        </w:tabs>
        <w:ind w:left="-142" w:firstLine="142"/>
      </w:pPr>
    </w:p>
    <w:p w14:paraId="53927481" w14:textId="77777777" w:rsidR="000972DB" w:rsidRDefault="000972DB" w:rsidP="007B72D0">
      <w:pPr>
        <w:tabs>
          <w:tab w:val="left" w:pos="0"/>
        </w:tabs>
        <w:ind w:left="-142" w:firstLine="142"/>
      </w:pPr>
    </w:p>
    <w:p w14:paraId="09361392" w14:textId="77777777" w:rsidR="000972DB" w:rsidRDefault="000972DB" w:rsidP="007B72D0">
      <w:pPr>
        <w:tabs>
          <w:tab w:val="left" w:pos="0"/>
        </w:tabs>
        <w:ind w:left="-142" w:firstLine="142"/>
      </w:pPr>
    </w:p>
    <w:p w14:paraId="6E189DA1" w14:textId="77777777" w:rsidR="000972DB" w:rsidRDefault="000972DB" w:rsidP="007B72D0">
      <w:pPr>
        <w:tabs>
          <w:tab w:val="left" w:pos="0"/>
        </w:tabs>
        <w:ind w:left="-142" w:firstLine="142"/>
      </w:pPr>
    </w:p>
    <w:p w14:paraId="39D1465C" w14:textId="77777777" w:rsidR="000972DB" w:rsidRDefault="000972DB" w:rsidP="007B72D0">
      <w:pPr>
        <w:tabs>
          <w:tab w:val="left" w:pos="0"/>
        </w:tabs>
        <w:ind w:left="-142" w:firstLine="142"/>
      </w:pPr>
    </w:p>
    <w:p w14:paraId="07672F5A" w14:textId="77777777" w:rsidR="000972DB" w:rsidRDefault="000972DB" w:rsidP="007B72D0">
      <w:pPr>
        <w:tabs>
          <w:tab w:val="left" w:pos="0"/>
        </w:tabs>
        <w:ind w:left="-142" w:firstLine="142"/>
      </w:pPr>
    </w:p>
    <w:p w14:paraId="66E08FF9" w14:textId="77777777" w:rsidR="000972DB" w:rsidRDefault="000972DB" w:rsidP="007B72D0">
      <w:pPr>
        <w:tabs>
          <w:tab w:val="left" w:pos="0"/>
        </w:tabs>
        <w:ind w:left="-142" w:firstLine="142"/>
      </w:pPr>
    </w:p>
    <w:p w14:paraId="3031559E" w14:textId="77777777" w:rsidR="000972DB" w:rsidRDefault="000972DB" w:rsidP="007B72D0">
      <w:pPr>
        <w:tabs>
          <w:tab w:val="left" w:pos="0"/>
        </w:tabs>
        <w:ind w:left="-142" w:firstLine="142"/>
      </w:pPr>
    </w:p>
    <w:p w14:paraId="0FAE2BAC" w14:textId="77777777" w:rsidR="000972DB" w:rsidRDefault="000972DB" w:rsidP="00895B50">
      <w:pPr>
        <w:tabs>
          <w:tab w:val="left" w:pos="0"/>
        </w:tabs>
      </w:pPr>
    </w:p>
    <w:p w14:paraId="72C81CFD" w14:textId="67EF5291" w:rsidR="00FA6106" w:rsidRPr="00FA6106" w:rsidRDefault="00334D95" w:rsidP="00FA6106">
      <w:pPr>
        <w:rPr>
          <w:rFonts w:ascii="Arial" w:hAnsi="Arial" w:cs="Arial"/>
          <w:b/>
          <w:bCs/>
          <w:sz w:val="28"/>
          <w:szCs w:val="28"/>
        </w:rPr>
      </w:pPr>
      <w:r>
        <w:rPr>
          <w:rFonts w:ascii="Arial" w:hAnsi="Arial" w:cs="Arial"/>
          <w:b/>
          <w:bCs/>
          <w:sz w:val="28"/>
          <w:szCs w:val="28"/>
        </w:rPr>
        <w:t>Abbreviations &amp; Acronyms</w:t>
      </w:r>
    </w:p>
    <w:p w14:paraId="020D00FD" w14:textId="77777777" w:rsidR="00FA6106" w:rsidRPr="00E85AE0" w:rsidRDefault="00FA6106" w:rsidP="00FA6106"/>
    <w:tbl>
      <w:tblPr>
        <w:tblW w:w="7940" w:type="dxa"/>
        <w:tblLook w:val="04A0" w:firstRow="1" w:lastRow="0" w:firstColumn="1" w:lastColumn="0" w:noHBand="0" w:noVBand="1"/>
      </w:tblPr>
      <w:tblGrid>
        <w:gridCol w:w="1240"/>
        <w:gridCol w:w="6700"/>
      </w:tblGrid>
      <w:tr w:rsidR="00062970" w:rsidRPr="00062970" w14:paraId="6546D537" w14:textId="77777777" w:rsidTr="00062970">
        <w:trPr>
          <w:trHeight w:val="310"/>
        </w:trPr>
        <w:tc>
          <w:tcPr>
            <w:tcW w:w="1240" w:type="dxa"/>
            <w:tcBorders>
              <w:top w:val="nil"/>
              <w:left w:val="nil"/>
              <w:bottom w:val="nil"/>
              <w:right w:val="nil"/>
            </w:tcBorders>
            <w:shd w:val="clear" w:color="auto" w:fill="auto"/>
            <w:noWrap/>
            <w:vAlign w:val="bottom"/>
            <w:hideMark/>
          </w:tcPr>
          <w:p w14:paraId="417B9F91"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A&amp;C</w:t>
            </w:r>
          </w:p>
        </w:tc>
        <w:tc>
          <w:tcPr>
            <w:tcW w:w="6700" w:type="dxa"/>
            <w:tcBorders>
              <w:top w:val="nil"/>
              <w:left w:val="nil"/>
              <w:bottom w:val="nil"/>
              <w:right w:val="nil"/>
            </w:tcBorders>
            <w:shd w:val="clear" w:color="auto" w:fill="auto"/>
            <w:noWrap/>
            <w:vAlign w:val="center"/>
            <w:hideMark/>
          </w:tcPr>
          <w:p w14:paraId="3EA544A2"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Administration &amp; Clerical</w:t>
            </w:r>
          </w:p>
        </w:tc>
      </w:tr>
      <w:tr w:rsidR="00062970" w:rsidRPr="00062970" w14:paraId="57B2DC7A" w14:textId="77777777" w:rsidTr="00062970">
        <w:trPr>
          <w:trHeight w:val="310"/>
        </w:trPr>
        <w:tc>
          <w:tcPr>
            <w:tcW w:w="1240" w:type="dxa"/>
            <w:tcBorders>
              <w:top w:val="nil"/>
              <w:left w:val="nil"/>
              <w:bottom w:val="nil"/>
              <w:right w:val="nil"/>
            </w:tcBorders>
            <w:shd w:val="clear" w:color="auto" w:fill="auto"/>
            <w:noWrap/>
            <w:vAlign w:val="bottom"/>
            <w:hideMark/>
          </w:tcPr>
          <w:p w14:paraId="696E7B11"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ACS</w:t>
            </w:r>
          </w:p>
        </w:tc>
        <w:tc>
          <w:tcPr>
            <w:tcW w:w="6700" w:type="dxa"/>
            <w:tcBorders>
              <w:top w:val="nil"/>
              <w:left w:val="nil"/>
              <w:bottom w:val="nil"/>
              <w:right w:val="nil"/>
            </w:tcBorders>
            <w:shd w:val="clear" w:color="auto" w:fill="auto"/>
            <w:noWrap/>
            <w:vAlign w:val="center"/>
            <w:hideMark/>
          </w:tcPr>
          <w:p w14:paraId="4E741E15"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Additional Clinical Services</w:t>
            </w:r>
          </w:p>
        </w:tc>
      </w:tr>
      <w:tr w:rsidR="00062970" w:rsidRPr="00062970" w14:paraId="0613DE9E" w14:textId="77777777" w:rsidTr="00062970">
        <w:trPr>
          <w:trHeight w:val="310"/>
        </w:trPr>
        <w:tc>
          <w:tcPr>
            <w:tcW w:w="1240" w:type="dxa"/>
            <w:tcBorders>
              <w:top w:val="nil"/>
              <w:left w:val="nil"/>
              <w:bottom w:val="nil"/>
              <w:right w:val="nil"/>
            </w:tcBorders>
            <w:shd w:val="clear" w:color="auto" w:fill="auto"/>
            <w:noWrap/>
            <w:vAlign w:val="bottom"/>
            <w:hideMark/>
          </w:tcPr>
          <w:p w14:paraId="03C10DCA"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AHP</w:t>
            </w:r>
          </w:p>
        </w:tc>
        <w:tc>
          <w:tcPr>
            <w:tcW w:w="6700" w:type="dxa"/>
            <w:tcBorders>
              <w:top w:val="nil"/>
              <w:left w:val="nil"/>
              <w:bottom w:val="nil"/>
              <w:right w:val="nil"/>
            </w:tcBorders>
            <w:shd w:val="clear" w:color="auto" w:fill="auto"/>
            <w:noWrap/>
            <w:vAlign w:val="center"/>
            <w:hideMark/>
          </w:tcPr>
          <w:p w14:paraId="203AAD37"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Allied Health Professionals</w:t>
            </w:r>
          </w:p>
        </w:tc>
      </w:tr>
      <w:tr w:rsidR="00062970" w:rsidRPr="00062970" w14:paraId="3C5ADE6E" w14:textId="77777777" w:rsidTr="00062970">
        <w:trPr>
          <w:trHeight w:val="310"/>
        </w:trPr>
        <w:tc>
          <w:tcPr>
            <w:tcW w:w="1240" w:type="dxa"/>
            <w:tcBorders>
              <w:top w:val="nil"/>
              <w:left w:val="nil"/>
              <w:bottom w:val="nil"/>
              <w:right w:val="nil"/>
            </w:tcBorders>
            <w:shd w:val="clear" w:color="auto" w:fill="auto"/>
            <w:noWrap/>
            <w:vAlign w:val="bottom"/>
            <w:hideMark/>
          </w:tcPr>
          <w:p w14:paraId="434FF963"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APST</w:t>
            </w:r>
          </w:p>
        </w:tc>
        <w:tc>
          <w:tcPr>
            <w:tcW w:w="6700" w:type="dxa"/>
            <w:tcBorders>
              <w:top w:val="nil"/>
              <w:left w:val="nil"/>
              <w:bottom w:val="nil"/>
              <w:right w:val="nil"/>
            </w:tcBorders>
            <w:shd w:val="clear" w:color="auto" w:fill="auto"/>
            <w:noWrap/>
            <w:vAlign w:val="center"/>
            <w:hideMark/>
          </w:tcPr>
          <w:p w14:paraId="6E1F2853"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 xml:space="preserve">Additional Professional Scientific &amp; Technical </w:t>
            </w:r>
          </w:p>
        </w:tc>
      </w:tr>
      <w:tr w:rsidR="00062970" w:rsidRPr="00062970" w14:paraId="061E311D" w14:textId="77777777" w:rsidTr="00062970">
        <w:trPr>
          <w:trHeight w:val="310"/>
        </w:trPr>
        <w:tc>
          <w:tcPr>
            <w:tcW w:w="1240" w:type="dxa"/>
            <w:tcBorders>
              <w:top w:val="nil"/>
              <w:left w:val="nil"/>
              <w:bottom w:val="nil"/>
              <w:right w:val="nil"/>
            </w:tcBorders>
            <w:shd w:val="clear" w:color="auto" w:fill="auto"/>
            <w:noWrap/>
            <w:vAlign w:val="bottom"/>
            <w:hideMark/>
          </w:tcPr>
          <w:p w14:paraId="0513F98E"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CIPD</w:t>
            </w:r>
          </w:p>
        </w:tc>
        <w:tc>
          <w:tcPr>
            <w:tcW w:w="6700" w:type="dxa"/>
            <w:tcBorders>
              <w:top w:val="nil"/>
              <w:left w:val="nil"/>
              <w:bottom w:val="nil"/>
              <w:right w:val="nil"/>
            </w:tcBorders>
            <w:shd w:val="clear" w:color="auto" w:fill="auto"/>
            <w:noWrap/>
            <w:vAlign w:val="center"/>
            <w:hideMark/>
          </w:tcPr>
          <w:p w14:paraId="6A597D06"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Chartered Institute of Personnel and Development</w:t>
            </w:r>
          </w:p>
        </w:tc>
      </w:tr>
      <w:tr w:rsidR="00062970" w:rsidRPr="00062970" w14:paraId="7420C698" w14:textId="77777777" w:rsidTr="00062970">
        <w:trPr>
          <w:trHeight w:val="310"/>
        </w:trPr>
        <w:tc>
          <w:tcPr>
            <w:tcW w:w="1240" w:type="dxa"/>
            <w:tcBorders>
              <w:top w:val="nil"/>
              <w:left w:val="nil"/>
              <w:bottom w:val="nil"/>
              <w:right w:val="nil"/>
            </w:tcBorders>
            <w:shd w:val="clear" w:color="auto" w:fill="auto"/>
            <w:noWrap/>
            <w:vAlign w:val="bottom"/>
            <w:hideMark/>
          </w:tcPr>
          <w:p w14:paraId="4F4EE885"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CSP</w:t>
            </w:r>
          </w:p>
        </w:tc>
        <w:tc>
          <w:tcPr>
            <w:tcW w:w="6700" w:type="dxa"/>
            <w:tcBorders>
              <w:top w:val="nil"/>
              <w:left w:val="nil"/>
              <w:bottom w:val="nil"/>
              <w:right w:val="nil"/>
            </w:tcBorders>
            <w:shd w:val="clear" w:color="auto" w:fill="auto"/>
            <w:noWrap/>
            <w:vAlign w:val="center"/>
            <w:hideMark/>
          </w:tcPr>
          <w:p w14:paraId="213B1EFE"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Clinical Services Plan Programme</w:t>
            </w:r>
          </w:p>
        </w:tc>
      </w:tr>
      <w:tr w:rsidR="00062970" w:rsidRPr="00062970" w14:paraId="7E760A48" w14:textId="77777777" w:rsidTr="00062970">
        <w:trPr>
          <w:trHeight w:val="310"/>
        </w:trPr>
        <w:tc>
          <w:tcPr>
            <w:tcW w:w="1240" w:type="dxa"/>
            <w:tcBorders>
              <w:top w:val="nil"/>
              <w:left w:val="nil"/>
              <w:bottom w:val="nil"/>
              <w:right w:val="nil"/>
            </w:tcBorders>
            <w:shd w:val="clear" w:color="auto" w:fill="auto"/>
            <w:noWrap/>
            <w:vAlign w:val="bottom"/>
            <w:hideMark/>
          </w:tcPr>
          <w:p w14:paraId="286FAAA2"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DPP</w:t>
            </w:r>
          </w:p>
        </w:tc>
        <w:tc>
          <w:tcPr>
            <w:tcW w:w="6700" w:type="dxa"/>
            <w:tcBorders>
              <w:top w:val="nil"/>
              <w:left w:val="nil"/>
              <w:bottom w:val="nil"/>
              <w:right w:val="nil"/>
            </w:tcBorders>
            <w:shd w:val="clear" w:color="auto" w:fill="auto"/>
            <w:noWrap/>
            <w:vAlign w:val="center"/>
            <w:hideMark/>
          </w:tcPr>
          <w:p w14:paraId="5EF1D49A"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Dyfed-Powys Police</w:t>
            </w:r>
          </w:p>
        </w:tc>
      </w:tr>
      <w:tr w:rsidR="00062970" w:rsidRPr="00062970" w14:paraId="5E884EB3" w14:textId="77777777" w:rsidTr="00062970">
        <w:trPr>
          <w:trHeight w:val="310"/>
        </w:trPr>
        <w:tc>
          <w:tcPr>
            <w:tcW w:w="1240" w:type="dxa"/>
            <w:tcBorders>
              <w:top w:val="nil"/>
              <w:left w:val="nil"/>
              <w:bottom w:val="nil"/>
              <w:right w:val="nil"/>
            </w:tcBorders>
            <w:shd w:val="clear" w:color="auto" w:fill="auto"/>
            <w:noWrap/>
            <w:vAlign w:val="bottom"/>
            <w:hideMark/>
          </w:tcPr>
          <w:p w14:paraId="11757368"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EC</w:t>
            </w:r>
          </w:p>
        </w:tc>
        <w:tc>
          <w:tcPr>
            <w:tcW w:w="6700" w:type="dxa"/>
            <w:tcBorders>
              <w:top w:val="nil"/>
              <w:left w:val="nil"/>
              <w:bottom w:val="nil"/>
              <w:right w:val="nil"/>
            </w:tcBorders>
            <w:shd w:val="clear" w:color="auto" w:fill="auto"/>
            <w:noWrap/>
            <w:vAlign w:val="center"/>
            <w:hideMark/>
          </w:tcPr>
          <w:p w14:paraId="61D90B03"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Education &amp; Commissioning</w:t>
            </w:r>
          </w:p>
        </w:tc>
      </w:tr>
      <w:tr w:rsidR="00062970" w:rsidRPr="00062970" w14:paraId="615A3EC0" w14:textId="77777777" w:rsidTr="00062970">
        <w:trPr>
          <w:trHeight w:val="310"/>
        </w:trPr>
        <w:tc>
          <w:tcPr>
            <w:tcW w:w="1240" w:type="dxa"/>
            <w:tcBorders>
              <w:top w:val="nil"/>
              <w:left w:val="nil"/>
              <w:bottom w:val="nil"/>
              <w:right w:val="nil"/>
            </w:tcBorders>
            <w:shd w:val="clear" w:color="auto" w:fill="auto"/>
            <w:noWrap/>
            <w:vAlign w:val="bottom"/>
            <w:hideMark/>
          </w:tcPr>
          <w:p w14:paraId="2E401659"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EI</w:t>
            </w:r>
          </w:p>
        </w:tc>
        <w:tc>
          <w:tcPr>
            <w:tcW w:w="6700" w:type="dxa"/>
            <w:tcBorders>
              <w:top w:val="nil"/>
              <w:left w:val="nil"/>
              <w:bottom w:val="nil"/>
              <w:right w:val="nil"/>
            </w:tcBorders>
            <w:shd w:val="clear" w:color="auto" w:fill="auto"/>
            <w:noWrap/>
            <w:vAlign w:val="center"/>
            <w:hideMark/>
          </w:tcPr>
          <w:p w14:paraId="6BA62EB1"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Emotional Intelligence</w:t>
            </w:r>
          </w:p>
        </w:tc>
      </w:tr>
      <w:tr w:rsidR="00062970" w:rsidRPr="00062970" w14:paraId="77C00217" w14:textId="77777777" w:rsidTr="00062970">
        <w:trPr>
          <w:trHeight w:val="310"/>
        </w:trPr>
        <w:tc>
          <w:tcPr>
            <w:tcW w:w="1240" w:type="dxa"/>
            <w:tcBorders>
              <w:top w:val="nil"/>
              <w:left w:val="nil"/>
              <w:bottom w:val="nil"/>
              <w:right w:val="nil"/>
            </w:tcBorders>
            <w:shd w:val="clear" w:color="auto" w:fill="auto"/>
            <w:noWrap/>
            <w:vAlign w:val="bottom"/>
            <w:hideMark/>
          </w:tcPr>
          <w:p w14:paraId="5E262EBB"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ESR</w:t>
            </w:r>
          </w:p>
        </w:tc>
        <w:tc>
          <w:tcPr>
            <w:tcW w:w="6700" w:type="dxa"/>
            <w:tcBorders>
              <w:top w:val="nil"/>
              <w:left w:val="nil"/>
              <w:bottom w:val="nil"/>
              <w:right w:val="nil"/>
            </w:tcBorders>
            <w:shd w:val="clear" w:color="auto" w:fill="auto"/>
            <w:noWrap/>
            <w:vAlign w:val="center"/>
            <w:hideMark/>
          </w:tcPr>
          <w:p w14:paraId="79DB93BF"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Electronic Staff Record</w:t>
            </w:r>
          </w:p>
        </w:tc>
      </w:tr>
      <w:tr w:rsidR="00062970" w:rsidRPr="00062970" w14:paraId="5CEED225" w14:textId="77777777" w:rsidTr="00062970">
        <w:trPr>
          <w:trHeight w:val="310"/>
        </w:trPr>
        <w:tc>
          <w:tcPr>
            <w:tcW w:w="1240" w:type="dxa"/>
            <w:tcBorders>
              <w:top w:val="nil"/>
              <w:left w:val="nil"/>
              <w:bottom w:val="nil"/>
              <w:right w:val="nil"/>
            </w:tcBorders>
            <w:shd w:val="clear" w:color="auto" w:fill="auto"/>
            <w:noWrap/>
            <w:vAlign w:val="bottom"/>
            <w:hideMark/>
          </w:tcPr>
          <w:p w14:paraId="1C1D285D"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FVB</w:t>
            </w:r>
          </w:p>
        </w:tc>
        <w:tc>
          <w:tcPr>
            <w:tcW w:w="6700" w:type="dxa"/>
            <w:tcBorders>
              <w:top w:val="nil"/>
              <w:left w:val="nil"/>
              <w:bottom w:val="nil"/>
              <w:right w:val="nil"/>
            </w:tcBorders>
            <w:shd w:val="clear" w:color="auto" w:fill="auto"/>
            <w:noWrap/>
            <w:vAlign w:val="bottom"/>
            <w:hideMark/>
          </w:tcPr>
          <w:p w14:paraId="25A242F1"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Finance Value Business TEAM</w:t>
            </w:r>
          </w:p>
        </w:tc>
      </w:tr>
      <w:tr w:rsidR="00062970" w:rsidRPr="00062970" w14:paraId="198B6E01" w14:textId="77777777" w:rsidTr="00062970">
        <w:trPr>
          <w:trHeight w:val="310"/>
        </w:trPr>
        <w:tc>
          <w:tcPr>
            <w:tcW w:w="1240" w:type="dxa"/>
            <w:tcBorders>
              <w:top w:val="nil"/>
              <w:left w:val="nil"/>
              <w:bottom w:val="nil"/>
              <w:right w:val="nil"/>
            </w:tcBorders>
            <w:shd w:val="clear" w:color="auto" w:fill="auto"/>
            <w:noWrap/>
            <w:vAlign w:val="bottom"/>
            <w:hideMark/>
          </w:tcPr>
          <w:p w14:paraId="5100B0EE"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GGH</w:t>
            </w:r>
          </w:p>
        </w:tc>
        <w:tc>
          <w:tcPr>
            <w:tcW w:w="6700" w:type="dxa"/>
            <w:tcBorders>
              <w:top w:val="nil"/>
              <w:left w:val="nil"/>
              <w:bottom w:val="nil"/>
              <w:right w:val="nil"/>
            </w:tcBorders>
            <w:shd w:val="clear" w:color="auto" w:fill="auto"/>
            <w:noWrap/>
            <w:vAlign w:val="center"/>
            <w:hideMark/>
          </w:tcPr>
          <w:p w14:paraId="22906BFC"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Glangwili General Hospital</w:t>
            </w:r>
          </w:p>
        </w:tc>
      </w:tr>
      <w:tr w:rsidR="00062970" w:rsidRPr="00062970" w14:paraId="7F70DA99" w14:textId="77777777" w:rsidTr="00062970">
        <w:trPr>
          <w:trHeight w:val="310"/>
        </w:trPr>
        <w:tc>
          <w:tcPr>
            <w:tcW w:w="1240" w:type="dxa"/>
            <w:tcBorders>
              <w:top w:val="nil"/>
              <w:left w:val="nil"/>
              <w:bottom w:val="nil"/>
              <w:right w:val="nil"/>
            </w:tcBorders>
            <w:shd w:val="clear" w:color="auto" w:fill="auto"/>
            <w:noWrap/>
            <w:vAlign w:val="bottom"/>
            <w:hideMark/>
          </w:tcPr>
          <w:p w14:paraId="1507CC78"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HB</w:t>
            </w:r>
          </w:p>
        </w:tc>
        <w:tc>
          <w:tcPr>
            <w:tcW w:w="6700" w:type="dxa"/>
            <w:tcBorders>
              <w:top w:val="nil"/>
              <w:left w:val="nil"/>
              <w:bottom w:val="nil"/>
              <w:right w:val="nil"/>
            </w:tcBorders>
            <w:shd w:val="clear" w:color="auto" w:fill="auto"/>
            <w:noWrap/>
            <w:vAlign w:val="center"/>
            <w:hideMark/>
          </w:tcPr>
          <w:p w14:paraId="673BE298"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Health Board</w:t>
            </w:r>
          </w:p>
        </w:tc>
      </w:tr>
      <w:tr w:rsidR="00062970" w:rsidRPr="00062970" w14:paraId="33646021" w14:textId="77777777" w:rsidTr="00062970">
        <w:trPr>
          <w:trHeight w:val="310"/>
        </w:trPr>
        <w:tc>
          <w:tcPr>
            <w:tcW w:w="1240" w:type="dxa"/>
            <w:tcBorders>
              <w:top w:val="nil"/>
              <w:left w:val="nil"/>
              <w:bottom w:val="nil"/>
              <w:right w:val="nil"/>
            </w:tcBorders>
            <w:shd w:val="clear" w:color="auto" w:fill="auto"/>
            <w:noWrap/>
            <w:vAlign w:val="bottom"/>
            <w:hideMark/>
          </w:tcPr>
          <w:p w14:paraId="277F29AD"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HCSW</w:t>
            </w:r>
          </w:p>
        </w:tc>
        <w:tc>
          <w:tcPr>
            <w:tcW w:w="6700" w:type="dxa"/>
            <w:tcBorders>
              <w:top w:val="nil"/>
              <w:left w:val="nil"/>
              <w:bottom w:val="nil"/>
              <w:right w:val="nil"/>
            </w:tcBorders>
            <w:shd w:val="clear" w:color="auto" w:fill="auto"/>
            <w:noWrap/>
            <w:vAlign w:val="center"/>
            <w:hideMark/>
          </w:tcPr>
          <w:p w14:paraId="546EA2B2"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Health Care Support Worker</w:t>
            </w:r>
          </w:p>
        </w:tc>
      </w:tr>
      <w:tr w:rsidR="00062970" w:rsidRPr="00062970" w14:paraId="485D551B" w14:textId="77777777" w:rsidTr="00062970">
        <w:trPr>
          <w:trHeight w:val="310"/>
        </w:trPr>
        <w:tc>
          <w:tcPr>
            <w:tcW w:w="1240" w:type="dxa"/>
            <w:tcBorders>
              <w:top w:val="nil"/>
              <w:left w:val="nil"/>
              <w:bottom w:val="nil"/>
              <w:right w:val="nil"/>
            </w:tcBorders>
            <w:shd w:val="clear" w:color="auto" w:fill="auto"/>
            <w:noWrap/>
            <w:vAlign w:val="bottom"/>
            <w:hideMark/>
          </w:tcPr>
          <w:p w14:paraId="2CC8A72F"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HDUHB</w:t>
            </w:r>
          </w:p>
        </w:tc>
        <w:tc>
          <w:tcPr>
            <w:tcW w:w="6700" w:type="dxa"/>
            <w:tcBorders>
              <w:top w:val="nil"/>
              <w:left w:val="nil"/>
              <w:bottom w:val="nil"/>
              <w:right w:val="nil"/>
            </w:tcBorders>
            <w:shd w:val="clear" w:color="auto" w:fill="auto"/>
            <w:noWrap/>
            <w:vAlign w:val="center"/>
            <w:hideMark/>
          </w:tcPr>
          <w:p w14:paraId="28C27DB5"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Hywel Dda University Health Board</w:t>
            </w:r>
          </w:p>
        </w:tc>
      </w:tr>
      <w:tr w:rsidR="00062970" w:rsidRPr="00062970" w14:paraId="46A68412" w14:textId="77777777" w:rsidTr="00062970">
        <w:trPr>
          <w:trHeight w:val="310"/>
        </w:trPr>
        <w:tc>
          <w:tcPr>
            <w:tcW w:w="1240" w:type="dxa"/>
            <w:tcBorders>
              <w:top w:val="nil"/>
              <w:left w:val="nil"/>
              <w:bottom w:val="nil"/>
              <w:right w:val="nil"/>
            </w:tcBorders>
            <w:shd w:val="clear" w:color="auto" w:fill="auto"/>
            <w:noWrap/>
            <w:vAlign w:val="bottom"/>
            <w:hideMark/>
          </w:tcPr>
          <w:p w14:paraId="3F96CA2B"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HEIW</w:t>
            </w:r>
          </w:p>
        </w:tc>
        <w:tc>
          <w:tcPr>
            <w:tcW w:w="6700" w:type="dxa"/>
            <w:tcBorders>
              <w:top w:val="nil"/>
              <w:left w:val="nil"/>
              <w:bottom w:val="nil"/>
              <w:right w:val="nil"/>
            </w:tcBorders>
            <w:shd w:val="clear" w:color="auto" w:fill="auto"/>
            <w:noWrap/>
            <w:vAlign w:val="center"/>
            <w:hideMark/>
          </w:tcPr>
          <w:p w14:paraId="16D6B9E7"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Health Education &amp; Improvement Wales</w:t>
            </w:r>
          </w:p>
        </w:tc>
      </w:tr>
      <w:tr w:rsidR="00062970" w:rsidRPr="00062970" w14:paraId="6B6E0D6F" w14:textId="77777777" w:rsidTr="00062970">
        <w:trPr>
          <w:trHeight w:val="310"/>
        </w:trPr>
        <w:tc>
          <w:tcPr>
            <w:tcW w:w="1240" w:type="dxa"/>
            <w:tcBorders>
              <w:top w:val="nil"/>
              <w:left w:val="nil"/>
              <w:bottom w:val="nil"/>
              <w:right w:val="nil"/>
            </w:tcBorders>
            <w:shd w:val="clear" w:color="auto" w:fill="auto"/>
            <w:noWrap/>
            <w:vAlign w:val="bottom"/>
            <w:hideMark/>
          </w:tcPr>
          <w:p w14:paraId="7D25865E"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IMTP</w:t>
            </w:r>
          </w:p>
        </w:tc>
        <w:tc>
          <w:tcPr>
            <w:tcW w:w="6700" w:type="dxa"/>
            <w:tcBorders>
              <w:top w:val="nil"/>
              <w:left w:val="nil"/>
              <w:bottom w:val="nil"/>
              <w:right w:val="nil"/>
            </w:tcBorders>
            <w:shd w:val="clear" w:color="auto" w:fill="auto"/>
            <w:noWrap/>
            <w:vAlign w:val="center"/>
            <w:hideMark/>
          </w:tcPr>
          <w:p w14:paraId="23A0D091"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Integrated Medium Term Plan</w:t>
            </w:r>
          </w:p>
        </w:tc>
      </w:tr>
      <w:tr w:rsidR="00062970" w:rsidRPr="00062970" w14:paraId="4CDC538B" w14:textId="77777777" w:rsidTr="00062970">
        <w:trPr>
          <w:trHeight w:val="310"/>
        </w:trPr>
        <w:tc>
          <w:tcPr>
            <w:tcW w:w="1240" w:type="dxa"/>
            <w:tcBorders>
              <w:top w:val="nil"/>
              <w:left w:val="nil"/>
              <w:bottom w:val="nil"/>
              <w:right w:val="nil"/>
            </w:tcBorders>
            <w:shd w:val="clear" w:color="auto" w:fill="auto"/>
            <w:noWrap/>
            <w:vAlign w:val="bottom"/>
            <w:hideMark/>
          </w:tcPr>
          <w:p w14:paraId="78065574"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JCVI</w:t>
            </w:r>
          </w:p>
        </w:tc>
        <w:tc>
          <w:tcPr>
            <w:tcW w:w="6700" w:type="dxa"/>
            <w:tcBorders>
              <w:top w:val="nil"/>
              <w:left w:val="nil"/>
              <w:bottom w:val="nil"/>
              <w:right w:val="nil"/>
            </w:tcBorders>
            <w:shd w:val="clear" w:color="auto" w:fill="auto"/>
            <w:noWrap/>
            <w:vAlign w:val="bottom"/>
            <w:hideMark/>
          </w:tcPr>
          <w:p w14:paraId="26094658"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 xml:space="preserve">Joint Committee on Vaccination &amp; Immunisation </w:t>
            </w:r>
          </w:p>
        </w:tc>
      </w:tr>
      <w:tr w:rsidR="00062970" w:rsidRPr="00062970" w14:paraId="4B6AA881" w14:textId="77777777" w:rsidTr="00062970">
        <w:trPr>
          <w:trHeight w:val="290"/>
        </w:trPr>
        <w:tc>
          <w:tcPr>
            <w:tcW w:w="1240" w:type="dxa"/>
            <w:tcBorders>
              <w:top w:val="nil"/>
              <w:left w:val="nil"/>
              <w:bottom w:val="nil"/>
              <w:right w:val="nil"/>
            </w:tcBorders>
            <w:shd w:val="clear" w:color="auto" w:fill="auto"/>
            <w:noWrap/>
            <w:vAlign w:val="bottom"/>
            <w:hideMark/>
          </w:tcPr>
          <w:p w14:paraId="3B7DD077"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KPI</w:t>
            </w:r>
          </w:p>
        </w:tc>
        <w:tc>
          <w:tcPr>
            <w:tcW w:w="6700" w:type="dxa"/>
            <w:tcBorders>
              <w:top w:val="nil"/>
              <w:left w:val="nil"/>
              <w:bottom w:val="nil"/>
              <w:right w:val="nil"/>
            </w:tcBorders>
            <w:shd w:val="clear" w:color="auto" w:fill="auto"/>
            <w:noWrap/>
            <w:vAlign w:val="bottom"/>
            <w:hideMark/>
          </w:tcPr>
          <w:p w14:paraId="64B33E51"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Key Performance Indicators</w:t>
            </w:r>
          </w:p>
        </w:tc>
      </w:tr>
      <w:tr w:rsidR="00062970" w:rsidRPr="00062970" w14:paraId="4E02A0B4" w14:textId="77777777" w:rsidTr="00062970">
        <w:trPr>
          <w:trHeight w:val="310"/>
        </w:trPr>
        <w:tc>
          <w:tcPr>
            <w:tcW w:w="1240" w:type="dxa"/>
            <w:tcBorders>
              <w:top w:val="nil"/>
              <w:left w:val="nil"/>
              <w:bottom w:val="nil"/>
              <w:right w:val="nil"/>
            </w:tcBorders>
            <w:shd w:val="clear" w:color="auto" w:fill="auto"/>
            <w:noWrap/>
            <w:vAlign w:val="bottom"/>
            <w:hideMark/>
          </w:tcPr>
          <w:p w14:paraId="55CF3919"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MDS</w:t>
            </w:r>
          </w:p>
        </w:tc>
        <w:tc>
          <w:tcPr>
            <w:tcW w:w="6700" w:type="dxa"/>
            <w:tcBorders>
              <w:top w:val="nil"/>
              <w:left w:val="nil"/>
              <w:bottom w:val="nil"/>
              <w:right w:val="nil"/>
            </w:tcBorders>
            <w:shd w:val="clear" w:color="auto" w:fill="auto"/>
            <w:noWrap/>
            <w:vAlign w:val="center"/>
            <w:hideMark/>
          </w:tcPr>
          <w:p w14:paraId="09CE64ED"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Minimum Data Set</w:t>
            </w:r>
          </w:p>
        </w:tc>
      </w:tr>
      <w:tr w:rsidR="00062970" w:rsidRPr="00062970" w14:paraId="697E26A6" w14:textId="77777777" w:rsidTr="00062970">
        <w:trPr>
          <w:trHeight w:val="310"/>
        </w:trPr>
        <w:tc>
          <w:tcPr>
            <w:tcW w:w="1240" w:type="dxa"/>
            <w:tcBorders>
              <w:top w:val="nil"/>
              <w:left w:val="nil"/>
              <w:bottom w:val="nil"/>
              <w:right w:val="nil"/>
            </w:tcBorders>
            <w:shd w:val="clear" w:color="auto" w:fill="auto"/>
            <w:noWrap/>
            <w:vAlign w:val="bottom"/>
            <w:hideMark/>
          </w:tcPr>
          <w:p w14:paraId="55DBF39A"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MVC</w:t>
            </w:r>
          </w:p>
        </w:tc>
        <w:tc>
          <w:tcPr>
            <w:tcW w:w="6700" w:type="dxa"/>
            <w:tcBorders>
              <w:top w:val="nil"/>
              <w:left w:val="nil"/>
              <w:bottom w:val="nil"/>
              <w:right w:val="nil"/>
            </w:tcBorders>
            <w:shd w:val="clear" w:color="auto" w:fill="auto"/>
            <w:noWrap/>
            <w:vAlign w:val="center"/>
            <w:hideMark/>
          </w:tcPr>
          <w:p w14:paraId="721D4F75"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Mass Vaccination Centre</w:t>
            </w:r>
          </w:p>
        </w:tc>
      </w:tr>
      <w:tr w:rsidR="00062970" w:rsidRPr="00062970" w14:paraId="744198F0" w14:textId="77777777" w:rsidTr="00062970">
        <w:trPr>
          <w:trHeight w:val="310"/>
        </w:trPr>
        <w:tc>
          <w:tcPr>
            <w:tcW w:w="1240" w:type="dxa"/>
            <w:tcBorders>
              <w:top w:val="nil"/>
              <w:left w:val="nil"/>
              <w:bottom w:val="nil"/>
              <w:right w:val="nil"/>
            </w:tcBorders>
            <w:shd w:val="clear" w:color="auto" w:fill="auto"/>
            <w:noWrap/>
            <w:vAlign w:val="bottom"/>
            <w:hideMark/>
          </w:tcPr>
          <w:p w14:paraId="279DA4EB"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PPH</w:t>
            </w:r>
          </w:p>
        </w:tc>
        <w:tc>
          <w:tcPr>
            <w:tcW w:w="6700" w:type="dxa"/>
            <w:tcBorders>
              <w:top w:val="nil"/>
              <w:left w:val="nil"/>
              <w:bottom w:val="nil"/>
              <w:right w:val="nil"/>
            </w:tcBorders>
            <w:shd w:val="clear" w:color="auto" w:fill="auto"/>
            <w:noWrap/>
            <w:vAlign w:val="center"/>
            <w:hideMark/>
          </w:tcPr>
          <w:p w14:paraId="65CC9373"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Prince Philip Hospital</w:t>
            </w:r>
          </w:p>
        </w:tc>
      </w:tr>
      <w:tr w:rsidR="00062970" w:rsidRPr="00062970" w14:paraId="41B88755" w14:textId="77777777" w:rsidTr="00062970">
        <w:trPr>
          <w:trHeight w:val="290"/>
        </w:trPr>
        <w:tc>
          <w:tcPr>
            <w:tcW w:w="1240" w:type="dxa"/>
            <w:tcBorders>
              <w:top w:val="nil"/>
              <w:left w:val="nil"/>
              <w:bottom w:val="nil"/>
              <w:right w:val="nil"/>
            </w:tcBorders>
            <w:shd w:val="clear" w:color="auto" w:fill="auto"/>
            <w:noWrap/>
            <w:vAlign w:val="bottom"/>
            <w:hideMark/>
          </w:tcPr>
          <w:p w14:paraId="13951A30"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TCI</w:t>
            </w:r>
          </w:p>
        </w:tc>
        <w:tc>
          <w:tcPr>
            <w:tcW w:w="6700" w:type="dxa"/>
            <w:tcBorders>
              <w:top w:val="nil"/>
              <w:left w:val="nil"/>
              <w:bottom w:val="nil"/>
              <w:right w:val="nil"/>
            </w:tcBorders>
            <w:shd w:val="clear" w:color="auto" w:fill="auto"/>
            <w:noWrap/>
            <w:vAlign w:val="bottom"/>
            <w:hideMark/>
          </w:tcPr>
          <w:p w14:paraId="5A1A6599"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 xml:space="preserve">The Consultation Institute </w:t>
            </w:r>
          </w:p>
        </w:tc>
      </w:tr>
      <w:tr w:rsidR="00062970" w:rsidRPr="00062970" w14:paraId="1E324E10" w14:textId="77777777" w:rsidTr="00062970">
        <w:trPr>
          <w:trHeight w:val="310"/>
        </w:trPr>
        <w:tc>
          <w:tcPr>
            <w:tcW w:w="1240" w:type="dxa"/>
            <w:tcBorders>
              <w:top w:val="nil"/>
              <w:left w:val="nil"/>
              <w:bottom w:val="nil"/>
              <w:right w:val="nil"/>
            </w:tcBorders>
            <w:shd w:val="clear" w:color="auto" w:fill="auto"/>
            <w:noWrap/>
            <w:vAlign w:val="bottom"/>
            <w:hideMark/>
          </w:tcPr>
          <w:p w14:paraId="5F2C9F2B" w14:textId="6B11648F" w:rsidR="00062970" w:rsidRPr="00062970" w:rsidRDefault="006C4E72"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WFP</w:t>
            </w:r>
          </w:p>
        </w:tc>
        <w:tc>
          <w:tcPr>
            <w:tcW w:w="6700" w:type="dxa"/>
            <w:tcBorders>
              <w:top w:val="nil"/>
              <w:left w:val="nil"/>
              <w:bottom w:val="nil"/>
              <w:right w:val="nil"/>
            </w:tcBorders>
            <w:shd w:val="clear" w:color="auto" w:fill="auto"/>
            <w:noWrap/>
            <w:vAlign w:val="center"/>
            <w:hideMark/>
          </w:tcPr>
          <w:p w14:paraId="4DE325EA"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Workforce Planning</w:t>
            </w:r>
          </w:p>
        </w:tc>
      </w:tr>
      <w:tr w:rsidR="00062970" w:rsidRPr="00062970" w14:paraId="45EBE988" w14:textId="77777777" w:rsidTr="00062970">
        <w:trPr>
          <w:trHeight w:val="310"/>
        </w:trPr>
        <w:tc>
          <w:tcPr>
            <w:tcW w:w="1240" w:type="dxa"/>
            <w:tcBorders>
              <w:top w:val="nil"/>
              <w:left w:val="nil"/>
              <w:bottom w:val="nil"/>
              <w:right w:val="nil"/>
            </w:tcBorders>
            <w:shd w:val="clear" w:color="auto" w:fill="auto"/>
            <w:noWrap/>
            <w:vAlign w:val="bottom"/>
            <w:hideMark/>
          </w:tcPr>
          <w:p w14:paraId="0AE97D4E"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WG</w:t>
            </w:r>
          </w:p>
        </w:tc>
        <w:tc>
          <w:tcPr>
            <w:tcW w:w="6700" w:type="dxa"/>
            <w:tcBorders>
              <w:top w:val="nil"/>
              <w:left w:val="nil"/>
              <w:bottom w:val="nil"/>
              <w:right w:val="nil"/>
            </w:tcBorders>
            <w:shd w:val="clear" w:color="auto" w:fill="auto"/>
            <w:noWrap/>
            <w:vAlign w:val="center"/>
            <w:hideMark/>
          </w:tcPr>
          <w:p w14:paraId="3A78C35F"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Welsh Government</w:t>
            </w:r>
          </w:p>
        </w:tc>
      </w:tr>
      <w:tr w:rsidR="00062970" w:rsidRPr="00062970" w14:paraId="36313405" w14:textId="77777777" w:rsidTr="00062970">
        <w:trPr>
          <w:trHeight w:val="310"/>
        </w:trPr>
        <w:tc>
          <w:tcPr>
            <w:tcW w:w="1240" w:type="dxa"/>
            <w:tcBorders>
              <w:top w:val="nil"/>
              <w:left w:val="nil"/>
              <w:bottom w:val="nil"/>
              <w:right w:val="nil"/>
            </w:tcBorders>
            <w:shd w:val="clear" w:color="auto" w:fill="auto"/>
            <w:noWrap/>
            <w:vAlign w:val="bottom"/>
            <w:hideMark/>
          </w:tcPr>
          <w:p w14:paraId="066ACDF7" w14:textId="77777777" w:rsidR="00062970" w:rsidRPr="00062970" w:rsidRDefault="00062970" w:rsidP="00062970">
            <w:pPr>
              <w:spacing w:after="0" w:line="240" w:lineRule="auto"/>
              <w:rPr>
                <w:rFonts w:ascii="Arial" w:eastAsia="Times New Roman" w:hAnsi="Arial" w:cs="Arial"/>
                <w:color w:val="000000"/>
                <w:kern w:val="0"/>
                <w:sz w:val="22"/>
                <w:szCs w:val="22"/>
                <w:lang w:eastAsia="en-GB"/>
                <w14:ligatures w14:val="none"/>
              </w:rPr>
            </w:pPr>
            <w:r w:rsidRPr="00062970">
              <w:rPr>
                <w:rFonts w:ascii="Arial" w:eastAsia="Times New Roman" w:hAnsi="Arial" w:cs="Arial"/>
                <w:color w:val="000000"/>
                <w:kern w:val="0"/>
                <w:sz w:val="22"/>
                <w:szCs w:val="22"/>
                <w:lang w:eastAsia="en-GB"/>
                <w14:ligatures w14:val="none"/>
              </w:rPr>
              <w:t>WPCAM</w:t>
            </w:r>
          </w:p>
        </w:tc>
        <w:tc>
          <w:tcPr>
            <w:tcW w:w="6700" w:type="dxa"/>
            <w:tcBorders>
              <w:top w:val="nil"/>
              <w:left w:val="nil"/>
              <w:bottom w:val="nil"/>
              <w:right w:val="nil"/>
            </w:tcBorders>
            <w:shd w:val="clear" w:color="auto" w:fill="auto"/>
            <w:noWrap/>
            <w:vAlign w:val="center"/>
            <w:hideMark/>
          </w:tcPr>
          <w:p w14:paraId="4A6C421D" w14:textId="77777777" w:rsidR="00062970" w:rsidRPr="00062970" w:rsidRDefault="00062970" w:rsidP="00062970">
            <w:pPr>
              <w:spacing w:after="0" w:line="240" w:lineRule="auto"/>
              <w:rPr>
                <w:rFonts w:ascii="Arial" w:eastAsia="Times New Roman" w:hAnsi="Arial" w:cs="Arial"/>
                <w:color w:val="000000"/>
                <w:kern w:val="0"/>
                <w:lang w:eastAsia="en-GB"/>
                <w14:ligatures w14:val="none"/>
              </w:rPr>
            </w:pPr>
            <w:r w:rsidRPr="00062970">
              <w:rPr>
                <w:rFonts w:ascii="Arial" w:eastAsia="Times New Roman" w:hAnsi="Arial" w:cs="Arial"/>
                <w:color w:val="000000"/>
                <w:kern w:val="0"/>
                <w:lang w:eastAsia="en-GB"/>
                <w14:ligatures w14:val="none"/>
              </w:rPr>
              <w:t>Workforce Planning Capability Assessment Matrix</w:t>
            </w:r>
          </w:p>
        </w:tc>
      </w:tr>
    </w:tbl>
    <w:p w14:paraId="3022AA2F" w14:textId="77777777" w:rsidR="00FA6106" w:rsidRDefault="00FA6106" w:rsidP="007B72D0">
      <w:pPr>
        <w:tabs>
          <w:tab w:val="left" w:pos="0"/>
        </w:tabs>
        <w:ind w:left="-142" w:firstLine="142"/>
        <w:rPr>
          <w:rFonts w:ascii="Arial" w:hAnsi="Arial" w:cs="Arial"/>
          <w:b/>
          <w:bCs/>
          <w:sz w:val="28"/>
          <w:szCs w:val="28"/>
        </w:rPr>
      </w:pPr>
    </w:p>
    <w:p w14:paraId="1BE7689C" w14:textId="77777777" w:rsidR="00FA6106" w:rsidRDefault="00FA6106" w:rsidP="007B72D0">
      <w:pPr>
        <w:tabs>
          <w:tab w:val="left" w:pos="0"/>
        </w:tabs>
        <w:ind w:left="-142" w:firstLine="142"/>
        <w:rPr>
          <w:rFonts w:ascii="Arial" w:hAnsi="Arial" w:cs="Arial"/>
          <w:b/>
          <w:bCs/>
          <w:sz w:val="28"/>
          <w:szCs w:val="28"/>
        </w:rPr>
      </w:pPr>
    </w:p>
    <w:p w14:paraId="29D258A9" w14:textId="77777777" w:rsidR="00FA6106" w:rsidRDefault="00FA6106" w:rsidP="007B72D0">
      <w:pPr>
        <w:tabs>
          <w:tab w:val="left" w:pos="0"/>
        </w:tabs>
        <w:ind w:left="-142" w:firstLine="142"/>
        <w:rPr>
          <w:rFonts w:ascii="Arial" w:hAnsi="Arial" w:cs="Arial"/>
          <w:b/>
          <w:bCs/>
          <w:sz w:val="28"/>
          <w:szCs w:val="28"/>
        </w:rPr>
      </w:pPr>
    </w:p>
    <w:p w14:paraId="698AF9F2" w14:textId="77777777" w:rsidR="00FA6106" w:rsidRDefault="00FA6106" w:rsidP="007B72D0">
      <w:pPr>
        <w:tabs>
          <w:tab w:val="left" w:pos="0"/>
        </w:tabs>
        <w:ind w:left="-142" w:firstLine="142"/>
        <w:rPr>
          <w:rFonts w:ascii="Arial" w:hAnsi="Arial" w:cs="Arial"/>
          <w:b/>
          <w:bCs/>
          <w:sz w:val="28"/>
          <w:szCs w:val="28"/>
        </w:rPr>
      </w:pPr>
    </w:p>
    <w:p w14:paraId="061F1DD5" w14:textId="77777777" w:rsidR="00FA6106" w:rsidRDefault="00FA6106" w:rsidP="007B72D0">
      <w:pPr>
        <w:tabs>
          <w:tab w:val="left" w:pos="0"/>
        </w:tabs>
        <w:ind w:left="-142" w:firstLine="142"/>
        <w:rPr>
          <w:rFonts w:ascii="Arial" w:hAnsi="Arial" w:cs="Arial"/>
          <w:b/>
          <w:bCs/>
          <w:sz w:val="28"/>
          <w:szCs w:val="28"/>
        </w:rPr>
      </w:pPr>
    </w:p>
    <w:p w14:paraId="17CD8C9D" w14:textId="77777777" w:rsidR="003A7808" w:rsidRDefault="003A7808" w:rsidP="00062970">
      <w:pPr>
        <w:tabs>
          <w:tab w:val="left" w:pos="0"/>
        </w:tabs>
        <w:rPr>
          <w:rFonts w:ascii="Arial" w:hAnsi="Arial" w:cs="Arial"/>
          <w:b/>
          <w:bCs/>
          <w:sz w:val="28"/>
          <w:szCs w:val="28"/>
        </w:rPr>
      </w:pPr>
    </w:p>
    <w:p w14:paraId="650CFA83" w14:textId="77777777" w:rsidR="00062970" w:rsidRDefault="00062970" w:rsidP="00062970">
      <w:pPr>
        <w:tabs>
          <w:tab w:val="left" w:pos="0"/>
        </w:tabs>
        <w:rPr>
          <w:rFonts w:ascii="Arial" w:hAnsi="Arial" w:cs="Arial"/>
          <w:b/>
          <w:bCs/>
          <w:sz w:val="28"/>
          <w:szCs w:val="28"/>
        </w:rPr>
      </w:pPr>
    </w:p>
    <w:p w14:paraId="3C98F1C8" w14:textId="77777777" w:rsidR="003A7808" w:rsidRDefault="003A7808" w:rsidP="007B72D0">
      <w:pPr>
        <w:tabs>
          <w:tab w:val="left" w:pos="0"/>
        </w:tabs>
        <w:ind w:left="-142" w:firstLine="142"/>
        <w:rPr>
          <w:rFonts w:ascii="Arial" w:hAnsi="Arial" w:cs="Arial"/>
          <w:b/>
          <w:bCs/>
          <w:sz w:val="28"/>
          <w:szCs w:val="28"/>
        </w:rPr>
      </w:pPr>
    </w:p>
    <w:p w14:paraId="466C3B71" w14:textId="77777777" w:rsidR="003A7808" w:rsidRDefault="003A7808" w:rsidP="00895B50">
      <w:pPr>
        <w:tabs>
          <w:tab w:val="left" w:pos="0"/>
        </w:tabs>
        <w:rPr>
          <w:rFonts w:ascii="Arial" w:hAnsi="Arial" w:cs="Arial"/>
          <w:b/>
          <w:bCs/>
          <w:sz w:val="28"/>
          <w:szCs w:val="28"/>
        </w:rPr>
      </w:pPr>
    </w:p>
    <w:p w14:paraId="6D639AB0" w14:textId="5D169558" w:rsidR="000972DB" w:rsidRDefault="000972DB" w:rsidP="007B72D0">
      <w:pPr>
        <w:tabs>
          <w:tab w:val="left" w:pos="0"/>
        </w:tabs>
        <w:ind w:left="-142" w:firstLine="142"/>
        <w:rPr>
          <w:rFonts w:ascii="Arial" w:hAnsi="Arial" w:cs="Arial"/>
          <w:b/>
          <w:bCs/>
          <w:sz w:val="28"/>
          <w:szCs w:val="28"/>
        </w:rPr>
      </w:pPr>
      <w:r w:rsidRPr="00283EF0">
        <w:rPr>
          <w:rFonts w:ascii="Arial" w:hAnsi="Arial" w:cs="Arial"/>
          <w:b/>
          <w:bCs/>
          <w:sz w:val="28"/>
          <w:szCs w:val="28"/>
        </w:rPr>
        <w:lastRenderedPageBreak/>
        <w:t>References</w:t>
      </w:r>
    </w:p>
    <w:tbl>
      <w:tblPr>
        <w:tblStyle w:val="TableGrid"/>
        <w:tblW w:w="103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tblGrid>
      <w:tr w:rsidR="003A7808" w:rsidRPr="003A7808" w14:paraId="59089E01" w14:textId="77777777" w:rsidTr="0087672C">
        <w:trPr>
          <w:trHeight w:val="310"/>
        </w:trPr>
        <w:tc>
          <w:tcPr>
            <w:tcW w:w="10348" w:type="dxa"/>
            <w:noWrap/>
            <w:vAlign w:val="bottom"/>
            <w:hideMark/>
          </w:tcPr>
          <w:p w14:paraId="7190BF52" w14:textId="77777777" w:rsidR="003A7808" w:rsidRPr="003A7808" w:rsidRDefault="003A7808" w:rsidP="0087672C">
            <w:pPr>
              <w:tabs>
                <w:tab w:val="left" w:pos="0"/>
              </w:tabs>
              <w:spacing w:before="240"/>
              <w:rPr>
                <w:rFonts w:ascii="Arial" w:hAnsi="Arial" w:cs="Arial"/>
              </w:rPr>
            </w:pPr>
            <w:r w:rsidRPr="003A7808">
              <w:rPr>
                <w:rFonts w:ascii="Arial" w:hAnsi="Arial" w:cs="Arial"/>
              </w:rPr>
              <w:t>Anderson, L.W. and Krathwohl, D.R. (2001)</w:t>
            </w:r>
            <w:r w:rsidRPr="003A7808">
              <w:rPr>
                <w:rFonts w:ascii="Arial" w:hAnsi="Arial" w:cs="Arial"/>
                <w:i/>
                <w:iCs/>
              </w:rPr>
              <w:t xml:space="preserve"> A taxonomy for learning, teaching, and assessing: A revision of Bloom's taxonomy of educational objectives</w:t>
            </w:r>
            <w:r w:rsidRPr="003A7808">
              <w:rPr>
                <w:rFonts w:ascii="Arial" w:hAnsi="Arial" w:cs="Arial"/>
              </w:rPr>
              <w:t>. New York: Longman.  </w:t>
            </w:r>
          </w:p>
        </w:tc>
      </w:tr>
      <w:tr w:rsidR="003A7808" w:rsidRPr="003A7808" w14:paraId="05DE0C0C" w14:textId="77777777" w:rsidTr="0087672C">
        <w:trPr>
          <w:trHeight w:val="370"/>
        </w:trPr>
        <w:tc>
          <w:tcPr>
            <w:tcW w:w="10348" w:type="dxa"/>
            <w:noWrap/>
            <w:vAlign w:val="bottom"/>
            <w:hideMark/>
          </w:tcPr>
          <w:p w14:paraId="3AA277E3"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Armstrong, M &amp; Taylor, S. (2023). </w:t>
            </w:r>
            <w:r w:rsidRPr="003A7808">
              <w:rPr>
                <w:rFonts w:ascii="Arial" w:hAnsi="Arial" w:cs="Arial"/>
                <w:i/>
                <w:iCs/>
              </w:rPr>
              <w:t>Armstrong’s Handbook of Human Resources Management Practice 16</w:t>
            </w:r>
            <w:r w:rsidRPr="003A7808">
              <w:rPr>
                <w:rFonts w:ascii="Arial" w:hAnsi="Arial" w:cs="Arial"/>
                <w:i/>
                <w:iCs/>
                <w:vertAlign w:val="superscript"/>
              </w:rPr>
              <w:t>th</w:t>
            </w:r>
            <w:r w:rsidRPr="003A7808">
              <w:rPr>
                <w:rFonts w:ascii="Arial" w:hAnsi="Arial" w:cs="Arial"/>
                <w:i/>
                <w:iCs/>
              </w:rPr>
              <w:t xml:space="preserve"> Edition</w:t>
            </w:r>
            <w:r w:rsidRPr="003A7808">
              <w:rPr>
                <w:rFonts w:ascii="Arial" w:hAnsi="Arial" w:cs="Arial"/>
              </w:rPr>
              <w:t>. London: Kogan Page.</w:t>
            </w:r>
          </w:p>
        </w:tc>
      </w:tr>
      <w:tr w:rsidR="003A7808" w:rsidRPr="003A7808" w14:paraId="1267CA79" w14:textId="77777777" w:rsidTr="0087672C">
        <w:trPr>
          <w:trHeight w:val="310"/>
        </w:trPr>
        <w:tc>
          <w:tcPr>
            <w:tcW w:w="10348" w:type="dxa"/>
            <w:noWrap/>
            <w:vAlign w:val="bottom"/>
            <w:hideMark/>
          </w:tcPr>
          <w:p w14:paraId="3280CDE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Avant, R. C. (2012) ‘Instructional coaching and emotional intelligence’. </w:t>
            </w:r>
            <w:r w:rsidRPr="003A7808">
              <w:rPr>
                <w:rFonts w:ascii="Arial" w:hAnsi="Arial" w:cs="Arial"/>
                <w:i/>
                <w:iCs/>
              </w:rPr>
              <w:t>ProQuest Dissertations Publishing</w:t>
            </w:r>
            <w:r w:rsidRPr="003A7808">
              <w:rPr>
                <w:rFonts w:ascii="Arial" w:hAnsi="Arial" w:cs="Arial"/>
              </w:rPr>
              <w:t>.</w:t>
            </w:r>
          </w:p>
        </w:tc>
      </w:tr>
      <w:tr w:rsidR="003A7808" w:rsidRPr="003A7808" w14:paraId="52607111" w14:textId="77777777" w:rsidTr="0087672C">
        <w:trPr>
          <w:trHeight w:val="370"/>
        </w:trPr>
        <w:tc>
          <w:tcPr>
            <w:tcW w:w="10348" w:type="dxa"/>
            <w:noWrap/>
            <w:vAlign w:val="bottom"/>
            <w:hideMark/>
          </w:tcPr>
          <w:p w14:paraId="32CF363C"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Bager-Charleson, S (2020) </w:t>
            </w:r>
            <w:r w:rsidRPr="003A7808">
              <w:rPr>
                <w:rFonts w:ascii="Arial" w:hAnsi="Arial" w:cs="Arial"/>
                <w:i/>
                <w:iCs/>
              </w:rPr>
              <w:t>Reflective Practice and Personal Development in Counselling &amp; Psychotherapy 2</w:t>
            </w:r>
            <w:r w:rsidRPr="003A7808">
              <w:rPr>
                <w:rFonts w:ascii="Arial" w:hAnsi="Arial" w:cs="Arial"/>
                <w:i/>
                <w:iCs/>
                <w:vertAlign w:val="superscript"/>
              </w:rPr>
              <w:t>nd</w:t>
            </w:r>
            <w:r w:rsidRPr="003A7808">
              <w:rPr>
                <w:rFonts w:ascii="Arial" w:hAnsi="Arial" w:cs="Arial"/>
                <w:i/>
                <w:iCs/>
              </w:rPr>
              <w:t xml:space="preserve"> edition</w:t>
            </w:r>
            <w:r w:rsidRPr="003A7808">
              <w:rPr>
                <w:rFonts w:ascii="Arial" w:hAnsi="Arial" w:cs="Arial"/>
              </w:rPr>
              <w:t>. London: Sage Publications Ltd.</w:t>
            </w:r>
          </w:p>
        </w:tc>
      </w:tr>
      <w:tr w:rsidR="003A7808" w:rsidRPr="003A7808" w14:paraId="67400586" w14:textId="77777777" w:rsidTr="0087672C">
        <w:trPr>
          <w:trHeight w:val="310"/>
        </w:trPr>
        <w:tc>
          <w:tcPr>
            <w:tcW w:w="10348" w:type="dxa"/>
            <w:noWrap/>
            <w:vAlign w:val="bottom"/>
            <w:hideMark/>
          </w:tcPr>
          <w:p w14:paraId="58DE67C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Bamberry, L., &amp; Poolman, K. (2022). 'Strategic Workforce Planning in Healthcare: A Systematic Review.' </w:t>
            </w:r>
            <w:r w:rsidRPr="003A7808">
              <w:rPr>
                <w:rFonts w:ascii="Arial" w:hAnsi="Arial" w:cs="Arial"/>
                <w:i/>
                <w:iCs/>
              </w:rPr>
              <w:t>Human Resource Management Journal</w:t>
            </w:r>
            <w:r w:rsidRPr="003A7808">
              <w:rPr>
                <w:rFonts w:ascii="Arial" w:hAnsi="Arial" w:cs="Arial"/>
              </w:rPr>
              <w:t>.</w:t>
            </w:r>
          </w:p>
        </w:tc>
      </w:tr>
      <w:tr w:rsidR="003A7808" w:rsidRPr="003A7808" w14:paraId="69F59C43" w14:textId="77777777" w:rsidTr="0087672C">
        <w:trPr>
          <w:trHeight w:val="310"/>
        </w:trPr>
        <w:tc>
          <w:tcPr>
            <w:tcW w:w="10348" w:type="dxa"/>
            <w:noWrap/>
            <w:vAlign w:val="bottom"/>
            <w:hideMark/>
          </w:tcPr>
          <w:p w14:paraId="1E20C36B"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Bamberry, L., &amp; Poolman, K. (2022). Workforce Planning in Health and Social Care: Challenges and Best Practices. </w:t>
            </w:r>
            <w:r w:rsidRPr="003A7808">
              <w:rPr>
                <w:rFonts w:ascii="Arial" w:hAnsi="Arial" w:cs="Arial"/>
                <w:i/>
                <w:iCs/>
              </w:rPr>
              <w:t>Journal of Health Workforce Research</w:t>
            </w:r>
            <w:r w:rsidRPr="003A7808">
              <w:rPr>
                <w:rFonts w:ascii="Arial" w:hAnsi="Arial" w:cs="Arial"/>
              </w:rPr>
              <w:t>, 10(2), 75-89.</w:t>
            </w:r>
          </w:p>
        </w:tc>
      </w:tr>
      <w:tr w:rsidR="003A7808" w:rsidRPr="003A7808" w14:paraId="44902BBE" w14:textId="77777777" w:rsidTr="0087672C">
        <w:trPr>
          <w:trHeight w:val="310"/>
        </w:trPr>
        <w:tc>
          <w:tcPr>
            <w:tcW w:w="10348" w:type="dxa"/>
            <w:noWrap/>
            <w:vAlign w:val="bottom"/>
            <w:hideMark/>
          </w:tcPr>
          <w:p w14:paraId="0E789F9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Bar-On, R. (1997). </w:t>
            </w:r>
            <w:r w:rsidRPr="003A7808">
              <w:rPr>
                <w:rFonts w:ascii="Arial" w:hAnsi="Arial" w:cs="Arial"/>
                <w:i/>
                <w:iCs/>
              </w:rPr>
              <w:t>The Emotional Intelligence Inventory</w:t>
            </w:r>
            <w:r w:rsidRPr="003A7808">
              <w:rPr>
                <w:rFonts w:ascii="Arial" w:hAnsi="Arial" w:cs="Arial"/>
              </w:rPr>
              <w:t xml:space="preserve"> (EQ-i): Technical Manual. Toronto: Multi-Health Systems</w:t>
            </w:r>
          </w:p>
        </w:tc>
      </w:tr>
      <w:tr w:rsidR="003A7808" w:rsidRPr="003A7808" w14:paraId="747E8644" w14:textId="77777777" w:rsidTr="0087672C">
        <w:trPr>
          <w:trHeight w:val="370"/>
        </w:trPr>
        <w:tc>
          <w:tcPr>
            <w:tcW w:w="10348" w:type="dxa"/>
            <w:noWrap/>
            <w:vAlign w:val="bottom"/>
            <w:hideMark/>
          </w:tcPr>
          <w:p w14:paraId="69EAEC7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Beard, C &amp; Wilson, J.P. (2013) </w:t>
            </w:r>
            <w:r w:rsidRPr="003A7808">
              <w:rPr>
                <w:rFonts w:ascii="Arial" w:hAnsi="Arial" w:cs="Arial"/>
                <w:i/>
                <w:iCs/>
              </w:rPr>
              <w:t>Experiential Learning. A Handbook for education, training and coaching 3</w:t>
            </w:r>
            <w:r w:rsidRPr="003A7808">
              <w:rPr>
                <w:rFonts w:ascii="Arial" w:hAnsi="Arial" w:cs="Arial"/>
                <w:i/>
                <w:iCs/>
                <w:vertAlign w:val="superscript"/>
              </w:rPr>
              <w:t>rd</w:t>
            </w:r>
            <w:r w:rsidRPr="003A7808">
              <w:rPr>
                <w:rFonts w:ascii="Arial" w:hAnsi="Arial" w:cs="Arial"/>
                <w:i/>
                <w:iCs/>
              </w:rPr>
              <w:t xml:space="preserve"> Edition</w:t>
            </w:r>
            <w:r w:rsidRPr="003A7808">
              <w:rPr>
                <w:rFonts w:ascii="Arial" w:hAnsi="Arial" w:cs="Arial"/>
              </w:rPr>
              <w:t xml:space="preserve">. London: Kogan Page Ltd. </w:t>
            </w:r>
          </w:p>
        </w:tc>
      </w:tr>
      <w:tr w:rsidR="003A7808" w:rsidRPr="003A7808" w14:paraId="3C690E65" w14:textId="77777777" w:rsidTr="0087672C">
        <w:trPr>
          <w:trHeight w:val="310"/>
        </w:trPr>
        <w:tc>
          <w:tcPr>
            <w:tcW w:w="10348" w:type="dxa"/>
            <w:noWrap/>
            <w:vAlign w:val="bottom"/>
            <w:hideMark/>
          </w:tcPr>
          <w:p w14:paraId="34F1D444"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Bechet, T.P. (2010) </w:t>
            </w:r>
            <w:r w:rsidRPr="003A7808">
              <w:rPr>
                <w:rFonts w:ascii="Arial" w:hAnsi="Arial" w:cs="Arial"/>
                <w:i/>
                <w:iCs/>
              </w:rPr>
              <w:t>Strategic Staffing: A Comprehensive System for Effective Workforce Plannin</w:t>
            </w:r>
            <w:r w:rsidRPr="003A7808">
              <w:rPr>
                <w:rFonts w:ascii="Arial" w:hAnsi="Arial" w:cs="Arial"/>
              </w:rPr>
              <w:t>g. New York: AMACOM.  </w:t>
            </w:r>
          </w:p>
        </w:tc>
      </w:tr>
      <w:tr w:rsidR="003A7808" w:rsidRPr="003A7808" w14:paraId="0835C33C" w14:textId="77777777" w:rsidTr="0087672C">
        <w:trPr>
          <w:trHeight w:val="310"/>
        </w:trPr>
        <w:tc>
          <w:tcPr>
            <w:tcW w:w="10348" w:type="dxa"/>
            <w:noWrap/>
            <w:vAlign w:val="bottom"/>
            <w:hideMark/>
          </w:tcPr>
          <w:p w14:paraId="2559FC6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Boler, M (1999) </w:t>
            </w:r>
            <w:r w:rsidRPr="003A7808">
              <w:rPr>
                <w:rFonts w:ascii="Arial" w:hAnsi="Arial" w:cs="Arial"/>
                <w:i/>
                <w:iCs/>
              </w:rPr>
              <w:t>Feeling Power: Emotions and education</w:t>
            </w:r>
            <w:r w:rsidRPr="003A7808">
              <w:rPr>
                <w:rFonts w:ascii="Arial" w:hAnsi="Arial" w:cs="Arial"/>
              </w:rPr>
              <w:t>. Routledge: London.</w:t>
            </w:r>
          </w:p>
        </w:tc>
      </w:tr>
      <w:tr w:rsidR="003A7808" w:rsidRPr="003A7808" w14:paraId="48916C71" w14:textId="77777777" w:rsidTr="0087672C">
        <w:trPr>
          <w:trHeight w:val="370"/>
        </w:trPr>
        <w:tc>
          <w:tcPr>
            <w:tcW w:w="10348" w:type="dxa"/>
            <w:noWrap/>
            <w:vAlign w:val="bottom"/>
            <w:hideMark/>
          </w:tcPr>
          <w:p w14:paraId="118F7BEA" w14:textId="339D493E" w:rsidR="003A7808" w:rsidRPr="003A7808" w:rsidRDefault="003A7808" w:rsidP="0087672C">
            <w:pPr>
              <w:tabs>
                <w:tab w:val="left" w:pos="0"/>
              </w:tabs>
              <w:spacing w:before="240"/>
              <w:rPr>
                <w:rFonts w:ascii="Arial" w:hAnsi="Arial" w:cs="Arial"/>
              </w:rPr>
            </w:pPr>
            <w:r w:rsidRPr="003A7808">
              <w:rPr>
                <w:rFonts w:ascii="Arial" w:hAnsi="Arial" w:cs="Arial"/>
              </w:rPr>
              <w:t>Bolton, G. (2010)</w:t>
            </w:r>
            <w:r w:rsidRPr="003A7808">
              <w:rPr>
                <w:rFonts w:ascii="Arial" w:hAnsi="Arial" w:cs="Arial"/>
                <w:i/>
                <w:iCs/>
              </w:rPr>
              <w:t xml:space="preserve"> </w:t>
            </w:r>
            <w:r w:rsidR="00573590" w:rsidRPr="003A7808">
              <w:rPr>
                <w:rFonts w:ascii="Arial" w:hAnsi="Arial" w:cs="Arial"/>
                <w:i/>
                <w:iCs/>
              </w:rPr>
              <w:t>Reflective</w:t>
            </w:r>
            <w:r w:rsidRPr="003A7808">
              <w:rPr>
                <w:rFonts w:ascii="Arial" w:hAnsi="Arial" w:cs="Arial"/>
                <w:i/>
                <w:iCs/>
              </w:rPr>
              <w:t xml:space="preserve"> Practice: Writing &amp; Professional Development</w:t>
            </w:r>
            <w:r w:rsidRPr="003A7808">
              <w:rPr>
                <w:rFonts w:ascii="Arial" w:hAnsi="Arial" w:cs="Arial"/>
              </w:rPr>
              <w:t xml:space="preserve"> 3</w:t>
            </w:r>
            <w:r w:rsidRPr="003A7808">
              <w:rPr>
                <w:rFonts w:ascii="Arial" w:hAnsi="Arial" w:cs="Arial"/>
                <w:vertAlign w:val="superscript"/>
              </w:rPr>
              <w:t>rd</w:t>
            </w:r>
            <w:r w:rsidRPr="003A7808">
              <w:rPr>
                <w:rFonts w:ascii="Arial" w:hAnsi="Arial" w:cs="Arial"/>
              </w:rPr>
              <w:t xml:space="preserve"> Edition. London: Sage Publications Ltd. </w:t>
            </w:r>
          </w:p>
        </w:tc>
      </w:tr>
      <w:tr w:rsidR="003A7808" w:rsidRPr="003A7808" w14:paraId="49F3E383" w14:textId="77777777" w:rsidTr="0087672C">
        <w:trPr>
          <w:trHeight w:val="310"/>
        </w:trPr>
        <w:tc>
          <w:tcPr>
            <w:tcW w:w="10348" w:type="dxa"/>
            <w:noWrap/>
            <w:vAlign w:val="bottom"/>
            <w:hideMark/>
          </w:tcPr>
          <w:p w14:paraId="0DF9F9E1"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Borton, T. (1970) </w:t>
            </w:r>
            <w:r w:rsidRPr="003A7808">
              <w:rPr>
                <w:rFonts w:ascii="Arial" w:hAnsi="Arial" w:cs="Arial"/>
                <w:i/>
                <w:iCs/>
              </w:rPr>
              <w:t>Reach, Touch and Teach</w:t>
            </w:r>
            <w:r w:rsidRPr="003A7808">
              <w:rPr>
                <w:rFonts w:ascii="Arial" w:hAnsi="Arial" w:cs="Arial"/>
              </w:rPr>
              <w:t>. London: McGraw Hill.</w:t>
            </w:r>
          </w:p>
        </w:tc>
      </w:tr>
      <w:tr w:rsidR="003A7808" w:rsidRPr="003A7808" w14:paraId="42FB663F" w14:textId="77777777" w:rsidTr="0087672C">
        <w:trPr>
          <w:trHeight w:val="310"/>
        </w:trPr>
        <w:tc>
          <w:tcPr>
            <w:tcW w:w="10348" w:type="dxa"/>
            <w:noWrap/>
            <w:vAlign w:val="bottom"/>
            <w:hideMark/>
          </w:tcPr>
          <w:p w14:paraId="2C6BE9F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Boud, D., Keogh, R. and Walker, D. (1985) </w:t>
            </w:r>
            <w:r w:rsidRPr="003A7808">
              <w:rPr>
                <w:rFonts w:ascii="Arial" w:hAnsi="Arial" w:cs="Arial"/>
                <w:i/>
                <w:iCs/>
              </w:rPr>
              <w:t>Reflection: Turning experience into learning</w:t>
            </w:r>
            <w:r w:rsidRPr="003A7808">
              <w:rPr>
                <w:rFonts w:ascii="Arial" w:hAnsi="Arial" w:cs="Arial"/>
              </w:rPr>
              <w:t>. London: Routledge.  </w:t>
            </w:r>
          </w:p>
        </w:tc>
      </w:tr>
      <w:tr w:rsidR="003A7808" w:rsidRPr="003A7808" w14:paraId="0DA980D7" w14:textId="77777777" w:rsidTr="0087672C">
        <w:trPr>
          <w:trHeight w:val="310"/>
        </w:trPr>
        <w:tc>
          <w:tcPr>
            <w:tcW w:w="10348" w:type="dxa"/>
            <w:noWrap/>
            <w:vAlign w:val="bottom"/>
            <w:hideMark/>
          </w:tcPr>
          <w:p w14:paraId="418E5D99"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Bourne, L. (2015) </w:t>
            </w:r>
            <w:r w:rsidRPr="003A7808">
              <w:rPr>
                <w:rFonts w:ascii="Arial" w:hAnsi="Arial" w:cs="Arial"/>
                <w:i/>
                <w:iCs/>
              </w:rPr>
              <w:t>Stakeholder Relationship Management: A Maturity model for Organisational Implementation</w:t>
            </w:r>
            <w:r w:rsidRPr="003A7808">
              <w:rPr>
                <w:rFonts w:ascii="Arial" w:hAnsi="Arial" w:cs="Arial"/>
              </w:rPr>
              <w:t>. Boca Raton, FL: CRC Press.</w:t>
            </w:r>
          </w:p>
        </w:tc>
      </w:tr>
      <w:tr w:rsidR="003A7808" w:rsidRPr="003A7808" w14:paraId="02F4A46B" w14:textId="77777777" w:rsidTr="0087672C">
        <w:trPr>
          <w:trHeight w:val="310"/>
        </w:trPr>
        <w:tc>
          <w:tcPr>
            <w:tcW w:w="10348" w:type="dxa"/>
            <w:noWrap/>
            <w:vAlign w:val="bottom"/>
            <w:hideMark/>
          </w:tcPr>
          <w:p w14:paraId="3AC06BC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Britnell, M. (2019) </w:t>
            </w:r>
            <w:r w:rsidRPr="003A7808">
              <w:rPr>
                <w:rFonts w:ascii="Arial" w:hAnsi="Arial" w:cs="Arial"/>
                <w:i/>
                <w:iCs/>
              </w:rPr>
              <w:t>Human: Solving the global workforce crisis in Health care</w:t>
            </w:r>
            <w:r w:rsidRPr="003A7808">
              <w:rPr>
                <w:rFonts w:ascii="Arial" w:hAnsi="Arial" w:cs="Arial"/>
              </w:rPr>
              <w:t>. Oxford: Oxford University Press.</w:t>
            </w:r>
          </w:p>
        </w:tc>
      </w:tr>
      <w:tr w:rsidR="003A7808" w:rsidRPr="003A7808" w14:paraId="01AFAE20" w14:textId="77777777" w:rsidTr="0087672C">
        <w:trPr>
          <w:trHeight w:val="310"/>
        </w:trPr>
        <w:tc>
          <w:tcPr>
            <w:tcW w:w="10348" w:type="dxa"/>
            <w:noWrap/>
            <w:vAlign w:val="bottom"/>
            <w:hideMark/>
          </w:tcPr>
          <w:p w14:paraId="7E54438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Bryman, A. (2021). </w:t>
            </w:r>
            <w:r w:rsidRPr="003A7808">
              <w:rPr>
                <w:rFonts w:ascii="Arial" w:hAnsi="Arial" w:cs="Arial"/>
                <w:i/>
                <w:iCs/>
              </w:rPr>
              <w:t>Social Research Methods</w:t>
            </w:r>
            <w:r w:rsidRPr="003A7808">
              <w:rPr>
                <w:rFonts w:ascii="Arial" w:hAnsi="Arial" w:cs="Arial"/>
              </w:rPr>
              <w:t>. Oxford University Press.</w:t>
            </w:r>
          </w:p>
        </w:tc>
      </w:tr>
      <w:tr w:rsidR="003A7808" w:rsidRPr="003A7808" w14:paraId="616C3AF7" w14:textId="77777777" w:rsidTr="0087672C">
        <w:trPr>
          <w:trHeight w:val="310"/>
        </w:trPr>
        <w:tc>
          <w:tcPr>
            <w:tcW w:w="10348" w:type="dxa"/>
            <w:noWrap/>
            <w:vAlign w:val="bottom"/>
            <w:hideMark/>
          </w:tcPr>
          <w:p w14:paraId="4BB7B374" w14:textId="77777777" w:rsidR="003A7808" w:rsidRPr="003A7808" w:rsidRDefault="003A7808" w:rsidP="0087672C">
            <w:pPr>
              <w:tabs>
                <w:tab w:val="left" w:pos="0"/>
              </w:tabs>
              <w:spacing w:before="240"/>
              <w:rPr>
                <w:rFonts w:ascii="Arial" w:hAnsi="Arial" w:cs="Arial"/>
              </w:rPr>
            </w:pPr>
            <w:r w:rsidRPr="003A7808">
              <w:rPr>
                <w:rFonts w:ascii="Arial" w:hAnsi="Arial" w:cs="Arial"/>
              </w:rPr>
              <w:lastRenderedPageBreak/>
              <w:t xml:space="preserve">Bryson, J.M. (2004) What to do when stakeholders matter: Stakeholder identification and analysis techniques. </w:t>
            </w:r>
            <w:r w:rsidRPr="003A7808">
              <w:rPr>
                <w:rFonts w:ascii="Arial" w:hAnsi="Arial" w:cs="Arial"/>
                <w:i/>
                <w:iCs/>
              </w:rPr>
              <w:t>Public Management Review</w:t>
            </w:r>
            <w:r w:rsidRPr="003A7808">
              <w:rPr>
                <w:rFonts w:ascii="Arial" w:hAnsi="Arial" w:cs="Arial"/>
              </w:rPr>
              <w:t>, 6(1), pp 21-53.</w:t>
            </w:r>
          </w:p>
        </w:tc>
      </w:tr>
      <w:tr w:rsidR="003A7808" w:rsidRPr="003A7808" w14:paraId="0D91A8F3" w14:textId="77777777" w:rsidTr="0087672C">
        <w:trPr>
          <w:trHeight w:val="310"/>
        </w:trPr>
        <w:tc>
          <w:tcPr>
            <w:tcW w:w="10348" w:type="dxa"/>
            <w:noWrap/>
            <w:vAlign w:val="bottom"/>
            <w:hideMark/>
          </w:tcPr>
          <w:p w14:paraId="101EEDB3"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Buchan, J., Gershlick, B., Charlesworth, A &amp; Seccombe, I. (2019) </w:t>
            </w:r>
            <w:r w:rsidRPr="003A7808">
              <w:rPr>
                <w:rFonts w:ascii="Arial" w:hAnsi="Arial" w:cs="Arial"/>
                <w:i/>
                <w:iCs/>
              </w:rPr>
              <w:t>Falling Short: the NHS workforce challenge.</w:t>
            </w:r>
            <w:r w:rsidRPr="003A7808">
              <w:rPr>
                <w:rFonts w:ascii="Arial" w:hAnsi="Arial" w:cs="Arial"/>
              </w:rPr>
              <w:t xml:space="preserve"> London, The Health Foundation.</w:t>
            </w:r>
          </w:p>
        </w:tc>
      </w:tr>
      <w:tr w:rsidR="003A7808" w:rsidRPr="003A7808" w14:paraId="4CD42462" w14:textId="77777777" w:rsidTr="0087672C">
        <w:trPr>
          <w:trHeight w:val="310"/>
        </w:trPr>
        <w:tc>
          <w:tcPr>
            <w:tcW w:w="10348" w:type="dxa"/>
            <w:noWrap/>
            <w:vAlign w:val="bottom"/>
            <w:hideMark/>
          </w:tcPr>
          <w:p w14:paraId="280B193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Ceserani, J &amp; Greatwood, P. (1996) </w:t>
            </w:r>
            <w:r w:rsidRPr="003A7808">
              <w:rPr>
                <w:rFonts w:ascii="Arial" w:hAnsi="Arial" w:cs="Arial"/>
                <w:i/>
                <w:iCs/>
              </w:rPr>
              <w:t>Innovation &amp; Creativity</w:t>
            </w:r>
            <w:r w:rsidRPr="003A7808">
              <w:rPr>
                <w:rFonts w:ascii="Arial" w:hAnsi="Arial" w:cs="Arial"/>
              </w:rPr>
              <w:t>. London: Kogan Page Ltd.</w:t>
            </w:r>
          </w:p>
        </w:tc>
      </w:tr>
      <w:tr w:rsidR="003A7808" w:rsidRPr="003A7808" w14:paraId="572E6E82" w14:textId="77777777" w:rsidTr="0087672C">
        <w:trPr>
          <w:trHeight w:val="310"/>
        </w:trPr>
        <w:tc>
          <w:tcPr>
            <w:tcW w:w="10348" w:type="dxa"/>
            <w:noWrap/>
            <w:vAlign w:val="bottom"/>
            <w:hideMark/>
          </w:tcPr>
          <w:p w14:paraId="01849AAC"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Chan, J. T. and Mallett, C. J. (2011) ‘The Value of Emotional Intelligence for High Performance Coaching’, </w:t>
            </w:r>
            <w:r w:rsidRPr="003A7808">
              <w:rPr>
                <w:rFonts w:ascii="Arial" w:hAnsi="Arial" w:cs="Arial"/>
                <w:i/>
                <w:iCs/>
              </w:rPr>
              <w:t>International journal of sports science &amp; coaching</w:t>
            </w:r>
            <w:r w:rsidRPr="003A7808">
              <w:rPr>
                <w:rFonts w:ascii="Arial" w:hAnsi="Arial" w:cs="Arial"/>
              </w:rPr>
              <w:t>. London, England: SAGE Publications, 6(3), pp. 315–328. doi: 10.1260/1747-9541.6.3.315.</w:t>
            </w:r>
          </w:p>
        </w:tc>
      </w:tr>
      <w:tr w:rsidR="003A7808" w:rsidRPr="003A7808" w14:paraId="0EE00AC6" w14:textId="77777777" w:rsidTr="0087672C">
        <w:trPr>
          <w:trHeight w:val="310"/>
        </w:trPr>
        <w:tc>
          <w:tcPr>
            <w:tcW w:w="10348" w:type="dxa"/>
            <w:noWrap/>
            <w:vAlign w:val="bottom"/>
            <w:hideMark/>
          </w:tcPr>
          <w:p w14:paraId="2B5249A5"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Checkland, P. and Poulter, J.(2006) </w:t>
            </w:r>
            <w:r w:rsidRPr="003A7808">
              <w:rPr>
                <w:rFonts w:ascii="Arial" w:hAnsi="Arial" w:cs="Arial"/>
                <w:i/>
                <w:iCs/>
              </w:rPr>
              <w:t>Learning for Action: A Short Definitive Account of Soft Systems Methodology and Its Use for Practitioners, Teachers, and Students</w:t>
            </w:r>
            <w:r w:rsidRPr="003A7808">
              <w:rPr>
                <w:rFonts w:ascii="Arial" w:hAnsi="Arial" w:cs="Arial"/>
              </w:rPr>
              <w:t>. Chichester: Wiley.  </w:t>
            </w:r>
          </w:p>
        </w:tc>
      </w:tr>
      <w:tr w:rsidR="003A7808" w:rsidRPr="003A7808" w14:paraId="4DDC505A" w14:textId="77777777" w:rsidTr="0087672C">
        <w:trPr>
          <w:trHeight w:val="310"/>
        </w:trPr>
        <w:tc>
          <w:tcPr>
            <w:tcW w:w="10348" w:type="dxa"/>
            <w:noWrap/>
            <w:vAlign w:val="bottom"/>
            <w:hideMark/>
          </w:tcPr>
          <w:p w14:paraId="4409FA83"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Cialdini, R.B. (2001) </w:t>
            </w:r>
            <w:r w:rsidRPr="003A7808">
              <w:rPr>
                <w:rFonts w:ascii="Arial" w:hAnsi="Arial" w:cs="Arial"/>
                <w:i/>
                <w:iCs/>
              </w:rPr>
              <w:t>Influence: Science and practice</w:t>
            </w:r>
            <w:r w:rsidRPr="003A7808">
              <w:rPr>
                <w:rFonts w:ascii="Arial" w:hAnsi="Arial" w:cs="Arial"/>
              </w:rPr>
              <w:t>. 4th edition. Boston: Allyn &amp; Bacon.</w:t>
            </w:r>
          </w:p>
        </w:tc>
      </w:tr>
      <w:tr w:rsidR="003A7808" w:rsidRPr="003A7808" w14:paraId="54C3AFFA" w14:textId="77777777" w:rsidTr="0087672C">
        <w:trPr>
          <w:trHeight w:val="310"/>
        </w:trPr>
        <w:tc>
          <w:tcPr>
            <w:tcW w:w="10348" w:type="dxa"/>
            <w:noWrap/>
            <w:vAlign w:val="bottom"/>
            <w:hideMark/>
          </w:tcPr>
          <w:p w14:paraId="18036198" w14:textId="77777777" w:rsidR="003A7808" w:rsidRPr="003A7808" w:rsidRDefault="003A7808" w:rsidP="0087672C">
            <w:pPr>
              <w:tabs>
                <w:tab w:val="left" w:pos="0"/>
              </w:tabs>
              <w:spacing w:before="240"/>
              <w:rPr>
                <w:rFonts w:ascii="Arial" w:hAnsi="Arial" w:cs="Arial"/>
              </w:rPr>
            </w:pPr>
            <w:r w:rsidRPr="003A7808">
              <w:rPr>
                <w:rFonts w:ascii="Arial" w:hAnsi="Arial" w:cs="Arial"/>
              </w:rPr>
              <w:t>CIPD. (2023). </w:t>
            </w:r>
            <w:r w:rsidRPr="003A7808">
              <w:rPr>
                <w:rFonts w:ascii="Arial" w:hAnsi="Arial" w:cs="Arial"/>
                <w:i/>
                <w:iCs/>
              </w:rPr>
              <w:t>Strategic Workforce Planning: Integrating Financial Planning with Workforce and Service Strategies</w:t>
            </w:r>
            <w:r w:rsidRPr="003A7808">
              <w:rPr>
                <w:rFonts w:ascii="Arial" w:hAnsi="Arial" w:cs="Arial"/>
              </w:rPr>
              <w:t>. Available at: https://www.cipd.co.uk/strategic-workforce-planning-integrating-financial-planning/ [Accessed 9 Mar. 2025].</w:t>
            </w:r>
          </w:p>
        </w:tc>
      </w:tr>
      <w:tr w:rsidR="003A7808" w:rsidRPr="003A7808" w14:paraId="0B9796E6" w14:textId="77777777" w:rsidTr="0087672C">
        <w:trPr>
          <w:trHeight w:val="310"/>
        </w:trPr>
        <w:tc>
          <w:tcPr>
            <w:tcW w:w="10348" w:type="dxa"/>
            <w:noWrap/>
            <w:vAlign w:val="bottom"/>
            <w:hideMark/>
          </w:tcPr>
          <w:p w14:paraId="7242E6A7" w14:textId="77777777" w:rsidR="003A7808" w:rsidRPr="003A7808" w:rsidRDefault="003A7808" w:rsidP="0087672C">
            <w:pPr>
              <w:tabs>
                <w:tab w:val="left" w:pos="0"/>
              </w:tabs>
              <w:spacing w:before="240"/>
              <w:rPr>
                <w:rFonts w:ascii="Arial" w:hAnsi="Arial" w:cs="Arial"/>
              </w:rPr>
            </w:pPr>
            <w:r w:rsidRPr="003A7808">
              <w:rPr>
                <w:rFonts w:ascii="Arial" w:hAnsi="Arial" w:cs="Arial"/>
              </w:rPr>
              <w:t>CIPD (2023).</w:t>
            </w:r>
            <w:r w:rsidRPr="003A7808">
              <w:rPr>
                <w:rFonts w:ascii="Arial" w:hAnsi="Arial" w:cs="Arial"/>
                <w:i/>
                <w:iCs/>
              </w:rPr>
              <w:t xml:space="preserve"> Workforce Planning</w:t>
            </w:r>
            <w:r w:rsidRPr="003A7808">
              <w:rPr>
                <w:rFonts w:ascii="Arial" w:hAnsi="Arial" w:cs="Arial"/>
              </w:rPr>
              <w:t>. [Online] Available at: https://www.cipd.org/uk/knowledge/strategy/organisational-development/workforce-planning-factsheet/ [Accessed 5/10/23].</w:t>
            </w:r>
          </w:p>
        </w:tc>
      </w:tr>
      <w:tr w:rsidR="003A7808" w:rsidRPr="003A7808" w14:paraId="6794FDC0" w14:textId="77777777" w:rsidTr="0087672C">
        <w:trPr>
          <w:trHeight w:val="310"/>
        </w:trPr>
        <w:tc>
          <w:tcPr>
            <w:tcW w:w="10348" w:type="dxa"/>
            <w:noWrap/>
            <w:vAlign w:val="bottom"/>
            <w:hideMark/>
          </w:tcPr>
          <w:p w14:paraId="51849D5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Cirillo, F. (2018) </w:t>
            </w:r>
            <w:r w:rsidRPr="003A7808">
              <w:rPr>
                <w:rFonts w:ascii="Arial" w:hAnsi="Arial" w:cs="Arial"/>
                <w:i/>
                <w:iCs/>
              </w:rPr>
              <w:t>The Pomodoro Technique: The Acclaimed Time-Management System that has transformed how we work</w:t>
            </w:r>
            <w:r w:rsidRPr="003A7808">
              <w:rPr>
                <w:rFonts w:ascii="Arial" w:hAnsi="Arial" w:cs="Arial"/>
              </w:rPr>
              <w:t>. New York: Random House.  </w:t>
            </w:r>
          </w:p>
        </w:tc>
      </w:tr>
      <w:tr w:rsidR="003A7808" w:rsidRPr="003A7808" w14:paraId="40E9E920" w14:textId="77777777" w:rsidTr="0087672C">
        <w:trPr>
          <w:trHeight w:val="310"/>
        </w:trPr>
        <w:tc>
          <w:tcPr>
            <w:tcW w:w="10348" w:type="dxa"/>
            <w:noWrap/>
            <w:vAlign w:val="bottom"/>
            <w:hideMark/>
          </w:tcPr>
          <w:p w14:paraId="59D7A536" w14:textId="77777777" w:rsidR="003A7808" w:rsidRPr="003A7808" w:rsidRDefault="003A7808" w:rsidP="0087672C">
            <w:pPr>
              <w:tabs>
                <w:tab w:val="left" w:pos="0"/>
              </w:tabs>
              <w:spacing w:before="240"/>
              <w:rPr>
                <w:rFonts w:ascii="Arial" w:hAnsi="Arial" w:cs="Arial"/>
              </w:rPr>
            </w:pPr>
            <w:r w:rsidRPr="003A7808">
              <w:rPr>
                <w:rFonts w:ascii="Arial" w:hAnsi="Arial" w:cs="Arial"/>
              </w:rPr>
              <w:t>Criado Perez, C. (2019)</w:t>
            </w:r>
            <w:r w:rsidRPr="003A7808">
              <w:rPr>
                <w:rFonts w:ascii="Arial" w:hAnsi="Arial" w:cs="Arial"/>
                <w:i/>
                <w:iCs/>
              </w:rPr>
              <w:t xml:space="preserve"> Invisible Women: Exposing data bias in a world designed for men</w:t>
            </w:r>
            <w:r w:rsidRPr="003A7808">
              <w:rPr>
                <w:rFonts w:ascii="Arial" w:hAnsi="Arial" w:cs="Arial"/>
              </w:rPr>
              <w:t>. London: Chatto &amp; Windus (Penguin Random House).</w:t>
            </w:r>
          </w:p>
        </w:tc>
      </w:tr>
      <w:tr w:rsidR="003A7808" w:rsidRPr="003A7808" w14:paraId="0E6D8C02" w14:textId="77777777" w:rsidTr="0087672C">
        <w:trPr>
          <w:trHeight w:val="310"/>
        </w:trPr>
        <w:tc>
          <w:tcPr>
            <w:tcW w:w="10348" w:type="dxa"/>
            <w:noWrap/>
            <w:vAlign w:val="bottom"/>
            <w:hideMark/>
          </w:tcPr>
          <w:p w14:paraId="68A148AA"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Davenport, T.H. (2010) </w:t>
            </w:r>
            <w:r w:rsidRPr="003A7808">
              <w:rPr>
                <w:rFonts w:ascii="Arial" w:hAnsi="Arial" w:cs="Arial"/>
                <w:i/>
                <w:iCs/>
              </w:rPr>
              <w:t>Analytics at work: Smarter decisions, better results</w:t>
            </w:r>
            <w:r w:rsidRPr="003A7808">
              <w:rPr>
                <w:rFonts w:ascii="Arial" w:hAnsi="Arial" w:cs="Arial"/>
              </w:rPr>
              <w:t>. Boston, MA: Harvard Business Press.</w:t>
            </w:r>
          </w:p>
        </w:tc>
      </w:tr>
      <w:tr w:rsidR="003A7808" w:rsidRPr="003A7808" w14:paraId="086E2310" w14:textId="77777777" w:rsidTr="0087672C">
        <w:trPr>
          <w:trHeight w:val="310"/>
        </w:trPr>
        <w:tc>
          <w:tcPr>
            <w:tcW w:w="10348" w:type="dxa"/>
            <w:noWrap/>
            <w:vAlign w:val="bottom"/>
            <w:hideMark/>
          </w:tcPr>
          <w:p w14:paraId="1BA0F1EF"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Denning, S. (2007) 'In search of the secret language of business dashboards', </w:t>
            </w:r>
            <w:r w:rsidRPr="003A7808">
              <w:rPr>
                <w:rFonts w:ascii="Arial" w:hAnsi="Arial" w:cs="Arial"/>
                <w:i/>
                <w:iCs/>
              </w:rPr>
              <w:t>Information Week</w:t>
            </w:r>
            <w:r w:rsidRPr="003A7808">
              <w:rPr>
                <w:rFonts w:ascii="Arial" w:hAnsi="Arial" w:cs="Arial"/>
              </w:rPr>
              <w:t>, 10 January.</w:t>
            </w:r>
          </w:p>
        </w:tc>
      </w:tr>
      <w:tr w:rsidR="003A7808" w:rsidRPr="003A7808" w14:paraId="37A9036B" w14:textId="77777777" w:rsidTr="0087672C">
        <w:trPr>
          <w:trHeight w:val="310"/>
        </w:trPr>
        <w:tc>
          <w:tcPr>
            <w:tcW w:w="10348" w:type="dxa"/>
            <w:noWrap/>
            <w:vAlign w:val="bottom"/>
            <w:hideMark/>
          </w:tcPr>
          <w:p w14:paraId="0443CA00"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Dewey, J. (1916). </w:t>
            </w:r>
            <w:r w:rsidRPr="003A7808">
              <w:rPr>
                <w:rFonts w:ascii="Arial" w:hAnsi="Arial" w:cs="Arial"/>
                <w:i/>
                <w:iCs/>
              </w:rPr>
              <w:t>Democracy and Education</w:t>
            </w:r>
            <w:r w:rsidRPr="003A7808">
              <w:rPr>
                <w:rFonts w:ascii="Arial" w:hAnsi="Arial" w:cs="Arial"/>
              </w:rPr>
              <w:t>. New York: Macmillan.</w:t>
            </w:r>
          </w:p>
        </w:tc>
      </w:tr>
      <w:tr w:rsidR="003A7808" w:rsidRPr="003A7808" w14:paraId="762DCC03" w14:textId="77777777" w:rsidTr="0087672C">
        <w:trPr>
          <w:trHeight w:val="310"/>
        </w:trPr>
        <w:tc>
          <w:tcPr>
            <w:tcW w:w="10348" w:type="dxa"/>
            <w:noWrap/>
            <w:vAlign w:val="bottom"/>
            <w:hideMark/>
          </w:tcPr>
          <w:p w14:paraId="69F4FA2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Driscoll, J. (2007). </w:t>
            </w:r>
            <w:r w:rsidRPr="003A7808">
              <w:rPr>
                <w:rFonts w:ascii="Arial" w:hAnsi="Arial" w:cs="Arial"/>
                <w:i/>
                <w:iCs/>
              </w:rPr>
              <w:t>Practising Clinical Supervision: A Reflective Approach for Healthcare Professionals</w:t>
            </w:r>
            <w:r w:rsidRPr="003A7808">
              <w:rPr>
                <w:rFonts w:ascii="Arial" w:hAnsi="Arial" w:cs="Arial"/>
              </w:rPr>
              <w:t>. 2nd edition. Edinburgh: Elsevier.</w:t>
            </w:r>
          </w:p>
        </w:tc>
      </w:tr>
      <w:tr w:rsidR="003A7808" w:rsidRPr="003A7808" w14:paraId="37D82D72" w14:textId="77777777" w:rsidTr="0087672C">
        <w:trPr>
          <w:trHeight w:val="310"/>
        </w:trPr>
        <w:tc>
          <w:tcPr>
            <w:tcW w:w="10348" w:type="dxa"/>
            <w:noWrap/>
            <w:vAlign w:val="bottom"/>
            <w:hideMark/>
          </w:tcPr>
          <w:p w14:paraId="55F8761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Druskat, V.U. and Wolff, S.B. (2001). 'Building the Emotional Intelligence of Groups', </w:t>
            </w:r>
            <w:r w:rsidRPr="003A7808">
              <w:rPr>
                <w:rFonts w:ascii="Arial" w:hAnsi="Arial" w:cs="Arial"/>
                <w:i/>
                <w:iCs/>
              </w:rPr>
              <w:t>Harvard Business Review</w:t>
            </w:r>
            <w:r w:rsidRPr="003A7808">
              <w:rPr>
                <w:rFonts w:ascii="Arial" w:hAnsi="Arial" w:cs="Arial"/>
              </w:rPr>
              <w:t>, 79(3), pp. 80–90.</w:t>
            </w:r>
          </w:p>
        </w:tc>
      </w:tr>
      <w:tr w:rsidR="003A7808" w:rsidRPr="003A7808" w14:paraId="6CE8C5D3" w14:textId="77777777" w:rsidTr="0087672C">
        <w:trPr>
          <w:trHeight w:val="310"/>
        </w:trPr>
        <w:tc>
          <w:tcPr>
            <w:tcW w:w="10348" w:type="dxa"/>
            <w:noWrap/>
            <w:vAlign w:val="bottom"/>
            <w:hideMark/>
          </w:tcPr>
          <w:p w14:paraId="7B54525D"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Eraut, M. (2000) ‘Non-formal learning and tacit knowledge in professional work’, </w:t>
            </w:r>
            <w:r w:rsidRPr="003A7808">
              <w:rPr>
                <w:rFonts w:ascii="Arial" w:hAnsi="Arial" w:cs="Arial"/>
                <w:i/>
                <w:iCs/>
              </w:rPr>
              <w:t>British Journal of Educational Psychology</w:t>
            </w:r>
            <w:r w:rsidRPr="003A7808">
              <w:rPr>
                <w:rFonts w:ascii="Arial" w:hAnsi="Arial" w:cs="Arial"/>
              </w:rPr>
              <w:t>, 70(1), pp. 113-136.  </w:t>
            </w:r>
          </w:p>
        </w:tc>
      </w:tr>
      <w:tr w:rsidR="003A7808" w:rsidRPr="003A7808" w14:paraId="6E199830" w14:textId="77777777" w:rsidTr="0087672C">
        <w:trPr>
          <w:trHeight w:val="310"/>
        </w:trPr>
        <w:tc>
          <w:tcPr>
            <w:tcW w:w="10348" w:type="dxa"/>
            <w:noWrap/>
            <w:vAlign w:val="bottom"/>
            <w:hideMark/>
          </w:tcPr>
          <w:p w14:paraId="38FA1C39" w14:textId="77777777" w:rsidR="003A7808" w:rsidRPr="003A7808" w:rsidRDefault="003A7808" w:rsidP="0087672C">
            <w:pPr>
              <w:tabs>
                <w:tab w:val="left" w:pos="0"/>
              </w:tabs>
              <w:spacing w:before="240"/>
              <w:rPr>
                <w:rFonts w:ascii="Arial" w:hAnsi="Arial" w:cs="Arial"/>
              </w:rPr>
            </w:pPr>
            <w:r w:rsidRPr="003A7808">
              <w:rPr>
                <w:rFonts w:ascii="Arial" w:hAnsi="Arial" w:cs="Arial"/>
              </w:rPr>
              <w:lastRenderedPageBreak/>
              <w:t xml:space="preserve">Erikson, T. (2019) </w:t>
            </w:r>
            <w:r w:rsidRPr="003A7808">
              <w:rPr>
                <w:rFonts w:ascii="Arial" w:hAnsi="Arial" w:cs="Arial"/>
                <w:i/>
                <w:iCs/>
              </w:rPr>
              <w:t>Surrounded by idiots: The Four types of human behaviour</w:t>
            </w:r>
            <w:r w:rsidRPr="003A7808">
              <w:rPr>
                <w:rFonts w:ascii="Arial" w:hAnsi="Arial" w:cs="Arial"/>
              </w:rPr>
              <w:t>. London: Vermillion (Penguin Random House).</w:t>
            </w:r>
          </w:p>
        </w:tc>
      </w:tr>
      <w:tr w:rsidR="003A7808" w:rsidRPr="003A7808" w14:paraId="2C2097A5" w14:textId="77777777" w:rsidTr="0087672C">
        <w:trPr>
          <w:trHeight w:val="310"/>
        </w:trPr>
        <w:tc>
          <w:tcPr>
            <w:tcW w:w="10348" w:type="dxa"/>
            <w:noWrap/>
            <w:vAlign w:val="bottom"/>
            <w:hideMark/>
          </w:tcPr>
          <w:p w14:paraId="66F04F57" w14:textId="388B61BA" w:rsidR="003A7808" w:rsidRPr="003A7808" w:rsidRDefault="003A7808" w:rsidP="0087672C">
            <w:pPr>
              <w:tabs>
                <w:tab w:val="left" w:pos="0"/>
              </w:tabs>
              <w:spacing w:before="240"/>
              <w:rPr>
                <w:rFonts w:ascii="Arial" w:hAnsi="Arial" w:cs="Arial"/>
              </w:rPr>
            </w:pPr>
            <w:r w:rsidRPr="003A7808">
              <w:rPr>
                <w:rFonts w:ascii="Arial" w:hAnsi="Arial" w:cs="Arial"/>
              </w:rPr>
              <w:t xml:space="preserve">Lewicki, R.J., Barry, B. and Saunders, D.M. (2015) </w:t>
            </w:r>
            <w:r w:rsidRPr="003A7808">
              <w:rPr>
                <w:rFonts w:ascii="Arial" w:hAnsi="Arial" w:cs="Arial"/>
                <w:i/>
                <w:iCs/>
              </w:rPr>
              <w:t>Negotiation</w:t>
            </w:r>
            <w:r w:rsidRPr="003A7808">
              <w:rPr>
                <w:rFonts w:ascii="Arial" w:hAnsi="Arial" w:cs="Arial"/>
              </w:rPr>
              <w:t>. 7</w:t>
            </w:r>
            <w:r w:rsidR="00573590" w:rsidRPr="00573590">
              <w:rPr>
                <w:rFonts w:ascii="Arial" w:hAnsi="Arial" w:cs="Arial"/>
                <w:vertAlign w:val="superscript"/>
              </w:rPr>
              <w:t>th</w:t>
            </w:r>
            <w:r w:rsidR="00573590">
              <w:rPr>
                <w:rFonts w:ascii="Arial" w:hAnsi="Arial" w:cs="Arial"/>
              </w:rPr>
              <w:t xml:space="preserve"> </w:t>
            </w:r>
            <w:r w:rsidRPr="003A7808">
              <w:rPr>
                <w:rFonts w:ascii="Arial" w:hAnsi="Arial" w:cs="Arial"/>
              </w:rPr>
              <w:t>ed</w:t>
            </w:r>
            <w:r w:rsidR="00573590">
              <w:rPr>
                <w:rFonts w:ascii="Arial" w:hAnsi="Arial" w:cs="Arial"/>
              </w:rPr>
              <w:t>itio</w:t>
            </w:r>
            <w:r w:rsidRPr="003A7808">
              <w:rPr>
                <w:rFonts w:ascii="Arial" w:hAnsi="Arial" w:cs="Arial"/>
              </w:rPr>
              <w:t>n. New York: McGraw-Hill.</w:t>
            </w:r>
          </w:p>
        </w:tc>
      </w:tr>
      <w:tr w:rsidR="003A7808" w:rsidRPr="003A7808" w14:paraId="67F174A1" w14:textId="77777777" w:rsidTr="0087672C">
        <w:trPr>
          <w:trHeight w:val="310"/>
        </w:trPr>
        <w:tc>
          <w:tcPr>
            <w:tcW w:w="10348" w:type="dxa"/>
            <w:noWrap/>
            <w:vAlign w:val="bottom"/>
            <w:hideMark/>
          </w:tcPr>
          <w:p w14:paraId="79666303" w14:textId="68B63009" w:rsidR="003A7808" w:rsidRPr="003A7808" w:rsidRDefault="003A7808" w:rsidP="0087672C">
            <w:pPr>
              <w:tabs>
                <w:tab w:val="left" w:pos="0"/>
              </w:tabs>
              <w:spacing w:before="240"/>
              <w:rPr>
                <w:rFonts w:ascii="Arial" w:hAnsi="Arial" w:cs="Arial"/>
              </w:rPr>
            </w:pPr>
            <w:r w:rsidRPr="003A7808">
              <w:rPr>
                <w:rFonts w:ascii="Arial" w:hAnsi="Arial" w:cs="Arial"/>
              </w:rPr>
              <w:t xml:space="preserve">Few, S. (2009). </w:t>
            </w:r>
            <w:r w:rsidRPr="003A7808">
              <w:rPr>
                <w:rFonts w:ascii="Arial" w:hAnsi="Arial" w:cs="Arial"/>
                <w:i/>
                <w:iCs/>
              </w:rPr>
              <w:t xml:space="preserve">Now you see it: Simple visualization techniques for </w:t>
            </w:r>
            <w:r w:rsidR="00404775" w:rsidRPr="003A7808">
              <w:rPr>
                <w:rFonts w:ascii="Arial" w:hAnsi="Arial" w:cs="Arial"/>
                <w:i/>
                <w:iCs/>
              </w:rPr>
              <w:t>quantitative</w:t>
            </w:r>
            <w:r w:rsidRPr="003A7808">
              <w:rPr>
                <w:rFonts w:ascii="Arial" w:hAnsi="Arial" w:cs="Arial"/>
                <w:i/>
                <w:iCs/>
              </w:rPr>
              <w:t xml:space="preserve"> analysis</w:t>
            </w:r>
            <w:r w:rsidRPr="003A7808">
              <w:rPr>
                <w:rFonts w:ascii="Arial" w:hAnsi="Arial" w:cs="Arial"/>
              </w:rPr>
              <w:t>. Oakland, CA: Analytics Press.</w:t>
            </w:r>
          </w:p>
        </w:tc>
      </w:tr>
      <w:tr w:rsidR="003A7808" w:rsidRPr="003A7808" w14:paraId="64C7558A" w14:textId="77777777" w:rsidTr="0087672C">
        <w:trPr>
          <w:trHeight w:val="310"/>
        </w:trPr>
        <w:tc>
          <w:tcPr>
            <w:tcW w:w="10348" w:type="dxa"/>
            <w:noWrap/>
            <w:vAlign w:val="bottom"/>
            <w:hideMark/>
          </w:tcPr>
          <w:p w14:paraId="35143F2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Field, A. (2018). </w:t>
            </w:r>
            <w:r w:rsidRPr="003A7808">
              <w:rPr>
                <w:rFonts w:ascii="Arial" w:hAnsi="Arial" w:cs="Arial"/>
                <w:i/>
                <w:iCs/>
              </w:rPr>
              <w:t>Discovering Statistics Using Excel &amp; SPSS</w:t>
            </w:r>
            <w:r w:rsidRPr="003A7808">
              <w:rPr>
                <w:rFonts w:ascii="Arial" w:hAnsi="Arial" w:cs="Arial"/>
              </w:rPr>
              <w:t>. SAGE.</w:t>
            </w:r>
          </w:p>
        </w:tc>
      </w:tr>
      <w:tr w:rsidR="003A7808" w:rsidRPr="003A7808" w14:paraId="2B10AC0E" w14:textId="77777777" w:rsidTr="0087672C">
        <w:trPr>
          <w:trHeight w:val="310"/>
        </w:trPr>
        <w:tc>
          <w:tcPr>
            <w:tcW w:w="10348" w:type="dxa"/>
            <w:noWrap/>
            <w:vAlign w:val="bottom"/>
            <w:hideMark/>
          </w:tcPr>
          <w:p w14:paraId="4E298CF0" w14:textId="77777777" w:rsidR="003A7808" w:rsidRPr="003A7808" w:rsidRDefault="003A7808" w:rsidP="0087672C">
            <w:pPr>
              <w:tabs>
                <w:tab w:val="left" w:pos="0"/>
              </w:tabs>
              <w:spacing w:before="240"/>
              <w:rPr>
                <w:rFonts w:ascii="Arial" w:hAnsi="Arial" w:cs="Arial"/>
              </w:rPr>
            </w:pPr>
            <w:r w:rsidRPr="003A7808">
              <w:rPr>
                <w:rFonts w:ascii="Arial" w:hAnsi="Arial" w:cs="Arial"/>
              </w:rPr>
              <w:t>Financial Executives International. (2023). </w:t>
            </w:r>
            <w:r w:rsidRPr="003A7808">
              <w:rPr>
                <w:rFonts w:ascii="Arial" w:hAnsi="Arial" w:cs="Arial"/>
                <w:i/>
                <w:iCs/>
              </w:rPr>
              <w:t>Driver-Based Workforce Planning: Bridging the Gap Between Finance and HR</w:t>
            </w:r>
            <w:r w:rsidRPr="003A7808">
              <w:rPr>
                <w:rFonts w:ascii="Arial" w:hAnsi="Arial" w:cs="Arial"/>
              </w:rPr>
              <w:t>. Available at: https://www.financialexecutives.org/driver-based-workforce-planning-bridging-the-gap-between-finance-and-hr/ [Accessed 9 Mar. 2025].</w:t>
            </w:r>
          </w:p>
        </w:tc>
      </w:tr>
      <w:tr w:rsidR="003A7808" w:rsidRPr="003A7808" w14:paraId="175031CB" w14:textId="77777777" w:rsidTr="0087672C">
        <w:trPr>
          <w:trHeight w:val="310"/>
        </w:trPr>
        <w:tc>
          <w:tcPr>
            <w:tcW w:w="10348" w:type="dxa"/>
            <w:noWrap/>
            <w:vAlign w:val="bottom"/>
            <w:hideMark/>
          </w:tcPr>
          <w:p w14:paraId="39A558E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Finch, H. (2020) </w:t>
            </w:r>
            <w:r w:rsidRPr="003A7808">
              <w:rPr>
                <w:rFonts w:ascii="Arial" w:hAnsi="Arial" w:cs="Arial"/>
                <w:i/>
                <w:iCs/>
              </w:rPr>
              <w:t>The Psychology of Procrastination: Understand your habits, find motivation, and get things done</w:t>
            </w:r>
            <w:r w:rsidRPr="003A7808">
              <w:rPr>
                <w:rFonts w:ascii="Arial" w:hAnsi="Arial" w:cs="Arial"/>
              </w:rPr>
              <w:t xml:space="preserve">. California: Rockridge Press. </w:t>
            </w:r>
          </w:p>
        </w:tc>
      </w:tr>
      <w:tr w:rsidR="003A7808" w:rsidRPr="003A7808" w14:paraId="74C4729D" w14:textId="77777777" w:rsidTr="0087672C">
        <w:trPr>
          <w:trHeight w:val="310"/>
        </w:trPr>
        <w:tc>
          <w:tcPr>
            <w:tcW w:w="10348" w:type="dxa"/>
            <w:noWrap/>
            <w:vAlign w:val="bottom"/>
            <w:hideMark/>
          </w:tcPr>
          <w:p w14:paraId="7A930219"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Fisher, R. and Ury, W. (1981) </w:t>
            </w:r>
            <w:r w:rsidRPr="003A7808">
              <w:rPr>
                <w:rFonts w:ascii="Arial" w:hAnsi="Arial" w:cs="Arial"/>
                <w:i/>
                <w:iCs/>
              </w:rPr>
              <w:t>Getting to Yes: Negotiating Agreement Without Giving In</w:t>
            </w:r>
            <w:r w:rsidRPr="003A7808">
              <w:rPr>
                <w:rFonts w:ascii="Arial" w:hAnsi="Arial" w:cs="Arial"/>
              </w:rPr>
              <w:t>. New York: Penguin.</w:t>
            </w:r>
          </w:p>
        </w:tc>
      </w:tr>
      <w:tr w:rsidR="003A7808" w:rsidRPr="003A7808" w14:paraId="25A49BBD" w14:textId="77777777" w:rsidTr="0087672C">
        <w:trPr>
          <w:trHeight w:val="310"/>
        </w:trPr>
        <w:tc>
          <w:tcPr>
            <w:tcW w:w="10348" w:type="dxa"/>
            <w:noWrap/>
            <w:vAlign w:val="bottom"/>
            <w:hideMark/>
          </w:tcPr>
          <w:p w14:paraId="2F6DE2DA" w14:textId="19B20ACB" w:rsidR="003A7808" w:rsidRPr="003A7808" w:rsidRDefault="003A7808" w:rsidP="0087672C">
            <w:pPr>
              <w:tabs>
                <w:tab w:val="left" w:pos="0"/>
              </w:tabs>
              <w:spacing w:before="240"/>
              <w:rPr>
                <w:rFonts w:ascii="Arial" w:hAnsi="Arial" w:cs="Arial"/>
              </w:rPr>
            </w:pPr>
            <w:r w:rsidRPr="003A7808">
              <w:rPr>
                <w:rFonts w:ascii="Arial" w:hAnsi="Arial" w:cs="Arial"/>
              </w:rPr>
              <w:t xml:space="preserve">Fletcher, D. &amp; Sarkar, M. (2013) 'Psychological </w:t>
            </w:r>
            <w:r w:rsidR="00404775" w:rsidRPr="003A7808">
              <w:rPr>
                <w:rFonts w:ascii="Arial" w:hAnsi="Arial" w:cs="Arial"/>
              </w:rPr>
              <w:t>resilience</w:t>
            </w:r>
            <w:r w:rsidRPr="003A7808">
              <w:rPr>
                <w:rFonts w:ascii="Arial" w:hAnsi="Arial" w:cs="Arial"/>
              </w:rPr>
              <w:t xml:space="preserve">: A review and critique of definitions, concepts and </w:t>
            </w:r>
            <w:r w:rsidR="00404775" w:rsidRPr="003A7808">
              <w:rPr>
                <w:rFonts w:ascii="Arial" w:hAnsi="Arial" w:cs="Arial"/>
              </w:rPr>
              <w:t>theory</w:t>
            </w:r>
            <w:r w:rsidRPr="003A7808">
              <w:rPr>
                <w:rFonts w:ascii="Arial" w:hAnsi="Arial" w:cs="Arial"/>
              </w:rPr>
              <w:t xml:space="preserve">', </w:t>
            </w:r>
            <w:r w:rsidRPr="003A7808">
              <w:rPr>
                <w:rFonts w:ascii="Arial" w:hAnsi="Arial" w:cs="Arial"/>
                <w:i/>
                <w:iCs/>
              </w:rPr>
              <w:t>European Psychologist</w:t>
            </w:r>
            <w:r w:rsidRPr="003A7808">
              <w:rPr>
                <w:rFonts w:ascii="Arial" w:hAnsi="Arial" w:cs="Arial"/>
              </w:rPr>
              <w:t xml:space="preserve">, 18(1), pp 12-23. </w:t>
            </w:r>
          </w:p>
        </w:tc>
      </w:tr>
      <w:tr w:rsidR="003A7808" w:rsidRPr="003A7808" w14:paraId="4E1BDCC0" w14:textId="77777777" w:rsidTr="0087672C">
        <w:trPr>
          <w:trHeight w:val="310"/>
        </w:trPr>
        <w:tc>
          <w:tcPr>
            <w:tcW w:w="10348" w:type="dxa"/>
            <w:noWrap/>
            <w:vAlign w:val="bottom"/>
            <w:hideMark/>
          </w:tcPr>
          <w:p w14:paraId="36F773A2" w14:textId="77777777" w:rsidR="003A7808" w:rsidRPr="003A7808" w:rsidRDefault="003A7808" w:rsidP="0087672C">
            <w:pPr>
              <w:tabs>
                <w:tab w:val="left" w:pos="0"/>
              </w:tabs>
              <w:spacing w:before="240"/>
              <w:rPr>
                <w:rFonts w:ascii="Arial" w:hAnsi="Arial" w:cs="Arial"/>
              </w:rPr>
            </w:pPr>
            <w:r w:rsidRPr="003A7808">
              <w:rPr>
                <w:rFonts w:ascii="Arial" w:hAnsi="Arial" w:cs="Arial"/>
              </w:rPr>
              <w:t>Forbes Human Resources Council. (2023). </w:t>
            </w:r>
            <w:r w:rsidRPr="003A7808">
              <w:rPr>
                <w:rFonts w:ascii="Arial" w:hAnsi="Arial" w:cs="Arial"/>
                <w:i/>
                <w:iCs/>
              </w:rPr>
              <w:t>Aligning Workforce Planning with Organizational Strategy</w:t>
            </w:r>
            <w:r w:rsidRPr="003A7808">
              <w:rPr>
                <w:rFonts w:ascii="Arial" w:hAnsi="Arial" w:cs="Arial"/>
              </w:rPr>
              <w:t>. Available at: https://www.forbes.com/sites/forbeshumanresourcescouncil/2023/01/15/aligning-workforce-planning-with-organizational-strategy/ [Accessed 9 Mar. 2025].</w:t>
            </w:r>
          </w:p>
        </w:tc>
      </w:tr>
      <w:tr w:rsidR="003A7808" w:rsidRPr="003A7808" w14:paraId="31B1BFD0" w14:textId="77777777" w:rsidTr="0087672C">
        <w:trPr>
          <w:trHeight w:val="310"/>
        </w:trPr>
        <w:tc>
          <w:tcPr>
            <w:tcW w:w="10348" w:type="dxa"/>
            <w:noWrap/>
            <w:vAlign w:val="bottom"/>
            <w:hideMark/>
          </w:tcPr>
          <w:p w14:paraId="1DF095DB"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Freeman, R.E. (1984) </w:t>
            </w:r>
            <w:r w:rsidRPr="003A7808">
              <w:rPr>
                <w:rFonts w:ascii="Arial" w:hAnsi="Arial" w:cs="Arial"/>
                <w:i/>
                <w:iCs/>
              </w:rPr>
              <w:t>Strategic Management: A Stakeholder Approach</w:t>
            </w:r>
            <w:r w:rsidRPr="003A7808">
              <w:rPr>
                <w:rFonts w:ascii="Arial" w:hAnsi="Arial" w:cs="Arial"/>
              </w:rPr>
              <w:t>. Boston: Pitman.</w:t>
            </w:r>
          </w:p>
        </w:tc>
      </w:tr>
      <w:tr w:rsidR="003A7808" w:rsidRPr="003A7808" w14:paraId="3E39D954" w14:textId="77777777" w:rsidTr="0087672C">
        <w:trPr>
          <w:trHeight w:val="310"/>
        </w:trPr>
        <w:tc>
          <w:tcPr>
            <w:tcW w:w="10348" w:type="dxa"/>
            <w:noWrap/>
            <w:vAlign w:val="bottom"/>
            <w:hideMark/>
          </w:tcPr>
          <w:p w14:paraId="0B184C75"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Freeman, R.E., Harrison, J.S. and Zyglidopoulos, S.C. (2018) </w:t>
            </w:r>
            <w:r w:rsidRPr="003A7808">
              <w:rPr>
                <w:rFonts w:ascii="Arial" w:hAnsi="Arial" w:cs="Arial"/>
                <w:i/>
                <w:iCs/>
              </w:rPr>
              <w:t>Stakeholder Theory: Concepts and Strategies</w:t>
            </w:r>
            <w:r w:rsidRPr="003A7808">
              <w:rPr>
                <w:rFonts w:ascii="Arial" w:hAnsi="Arial" w:cs="Arial"/>
              </w:rPr>
              <w:t>. Cambridge: Cambridge University Press.</w:t>
            </w:r>
          </w:p>
        </w:tc>
      </w:tr>
      <w:tr w:rsidR="003A7808" w:rsidRPr="003A7808" w14:paraId="31EBE1FB" w14:textId="77777777" w:rsidTr="0087672C">
        <w:trPr>
          <w:trHeight w:val="310"/>
        </w:trPr>
        <w:tc>
          <w:tcPr>
            <w:tcW w:w="10348" w:type="dxa"/>
            <w:noWrap/>
            <w:vAlign w:val="bottom"/>
            <w:hideMark/>
          </w:tcPr>
          <w:p w14:paraId="4C53478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George, J. M. (2000) ‘Emotions and Leadership: The Role of Emotional Intelligence’, </w:t>
            </w:r>
            <w:r w:rsidRPr="003A7808">
              <w:rPr>
                <w:rFonts w:ascii="Arial" w:hAnsi="Arial" w:cs="Arial"/>
                <w:i/>
                <w:iCs/>
              </w:rPr>
              <w:t xml:space="preserve">Human relations (New York). </w:t>
            </w:r>
            <w:r w:rsidRPr="003A7808">
              <w:rPr>
                <w:rFonts w:ascii="Arial" w:hAnsi="Arial" w:cs="Arial"/>
              </w:rPr>
              <w:t>Thousand Oaks, CA: SAGE Publications, 53(8), pp. 1027–1055. doi: 10.1177/0018726700538001.</w:t>
            </w:r>
          </w:p>
        </w:tc>
      </w:tr>
      <w:tr w:rsidR="003A7808" w:rsidRPr="003A7808" w14:paraId="2FA2C442" w14:textId="77777777" w:rsidTr="0087672C">
        <w:trPr>
          <w:trHeight w:val="370"/>
        </w:trPr>
        <w:tc>
          <w:tcPr>
            <w:tcW w:w="10348" w:type="dxa"/>
            <w:noWrap/>
            <w:vAlign w:val="bottom"/>
            <w:hideMark/>
          </w:tcPr>
          <w:p w14:paraId="41492F2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Gibson, A. (2021) </w:t>
            </w:r>
            <w:r w:rsidRPr="003A7808">
              <w:rPr>
                <w:rFonts w:ascii="Arial" w:hAnsi="Arial" w:cs="Arial"/>
                <w:i/>
                <w:iCs/>
              </w:rPr>
              <w:t>Agile Workforce Planning : How to Align people with Organizational Strategy for Improved Performance</w:t>
            </w:r>
            <w:r w:rsidRPr="003A7808">
              <w:rPr>
                <w:rFonts w:ascii="Arial" w:hAnsi="Arial" w:cs="Arial"/>
              </w:rPr>
              <w:t>. London: Kogan Page Ltd. Available from: ProQuest Ebook Central [10</w:t>
            </w:r>
            <w:r w:rsidRPr="003A7808">
              <w:rPr>
                <w:rFonts w:ascii="Arial" w:hAnsi="Arial" w:cs="Arial"/>
                <w:vertAlign w:val="superscript"/>
              </w:rPr>
              <w:t>th</w:t>
            </w:r>
            <w:r w:rsidRPr="003A7808">
              <w:rPr>
                <w:rFonts w:ascii="Arial" w:hAnsi="Arial" w:cs="Arial"/>
              </w:rPr>
              <w:t xml:space="preserve"> May 2023].</w:t>
            </w:r>
          </w:p>
        </w:tc>
      </w:tr>
      <w:tr w:rsidR="003A7808" w:rsidRPr="003A7808" w14:paraId="1FD1928A" w14:textId="77777777" w:rsidTr="0087672C">
        <w:trPr>
          <w:trHeight w:val="310"/>
        </w:trPr>
        <w:tc>
          <w:tcPr>
            <w:tcW w:w="10348" w:type="dxa"/>
            <w:noWrap/>
            <w:vAlign w:val="bottom"/>
            <w:hideMark/>
          </w:tcPr>
          <w:p w14:paraId="124FF0B2" w14:textId="77777777" w:rsidR="003A7808" w:rsidRPr="003A7808" w:rsidRDefault="003A7808" w:rsidP="0087672C">
            <w:pPr>
              <w:tabs>
                <w:tab w:val="left" w:pos="0"/>
              </w:tabs>
              <w:spacing w:before="240"/>
              <w:rPr>
                <w:rFonts w:ascii="Arial" w:hAnsi="Arial" w:cs="Arial"/>
              </w:rPr>
            </w:pPr>
            <w:r w:rsidRPr="003A7808">
              <w:rPr>
                <w:rFonts w:ascii="Arial" w:hAnsi="Arial" w:cs="Arial"/>
              </w:rPr>
              <w:t>Goleman, D. (2020) </w:t>
            </w:r>
            <w:r w:rsidRPr="003A7808">
              <w:rPr>
                <w:rFonts w:ascii="Arial" w:hAnsi="Arial" w:cs="Arial"/>
                <w:i/>
                <w:iCs/>
              </w:rPr>
              <w:t>Emotional intelligence : why it can matter more than IQ</w:t>
            </w:r>
            <w:r w:rsidRPr="003A7808">
              <w:rPr>
                <w:rFonts w:ascii="Arial" w:hAnsi="Arial" w:cs="Arial"/>
              </w:rPr>
              <w:t>. 25th anniversary edition, with a new introduction [cover]. London: Bloomsbury Publishing.</w:t>
            </w:r>
          </w:p>
        </w:tc>
      </w:tr>
      <w:tr w:rsidR="003A7808" w:rsidRPr="003A7808" w14:paraId="107289A5" w14:textId="77777777" w:rsidTr="0087672C">
        <w:trPr>
          <w:trHeight w:val="310"/>
        </w:trPr>
        <w:tc>
          <w:tcPr>
            <w:tcW w:w="10348" w:type="dxa"/>
            <w:noWrap/>
            <w:vAlign w:val="bottom"/>
            <w:hideMark/>
          </w:tcPr>
          <w:p w14:paraId="45EF829D"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Goleman, D. (2006) </w:t>
            </w:r>
            <w:r w:rsidRPr="003A7808">
              <w:rPr>
                <w:rFonts w:ascii="Arial" w:hAnsi="Arial" w:cs="Arial"/>
                <w:i/>
                <w:iCs/>
              </w:rPr>
              <w:t>Working with Emotional Intelligence</w:t>
            </w:r>
            <w:r w:rsidRPr="003A7808">
              <w:rPr>
                <w:rFonts w:ascii="Arial" w:hAnsi="Arial" w:cs="Arial"/>
              </w:rPr>
              <w:t>. Bloomsbury Publishing Plc, London. Available from: ProQuest Ebook Central. [3 August 2022].</w:t>
            </w:r>
          </w:p>
        </w:tc>
      </w:tr>
      <w:tr w:rsidR="003A7808" w:rsidRPr="003A7808" w14:paraId="360463E6" w14:textId="77777777" w:rsidTr="0087672C">
        <w:trPr>
          <w:trHeight w:val="310"/>
        </w:trPr>
        <w:tc>
          <w:tcPr>
            <w:tcW w:w="10348" w:type="dxa"/>
            <w:noWrap/>
            <w:vAlign w:val="bottom"/>
            <w:hideMark/>
          </w:tcPr>
          <w:p w14:paraId="151732CB" w14:textId="77777777" w:rsidR="003A7808" w:rsidRPr="003A7808" w:rsidRDefault="003A7808" w:rsidP="0087672C">
            <w:pPr>
              <w:tabs>
                <w:tab w:val="left" w:pos="0"/>
              </w:tabs>
              <w:spacing w:before="240"/>
              <w:rPr>
                <w:rFonts w:ascii="Arial" w:hAnsi="Arial" w:cs="Arial"/>
              </w:rPr>
            </w:pPr>
            <w:r w:rsidRPr="003A7808">
              <w:rPr>
                <w:rFonts w:ascii="Arial" w:hAnsi="Arial" w:cs="Arial"/>
              </w:rPr>
              <w:lastRenderedPageBreak/>
              <w:t xml:space="preserve">Goleman, D., Boyatzis, R. and McKee, A. (2013) </w:t>
            </w:r>
            <w:r w:rsidRPr="003A7808">
              <w:rPr>
                <w:rFonts w:ascii="Arial" w:hAnsi="Arial" w:cs="Arial"/>
                <w:i/>
                <w:iCs/>
              </w:rPr>
              <w:t>Primal Leadership: Unleashing the Power of Emotional Intelligence</w:t>
            </w:r>
            <w:r w:rsidRPr="003A7808">
              <w:rPr>
                <w:rFonts w:ascii="Arial" w:hAnsi="Arial" w:cs="Arial"/>
              </w:rPr>
              <w:t>. Boston: Harvard Business Press.  </w:t>
            </w:r>
          </w:p>
        </w:tc>
      </w:tr>
      <w:tr w:rsidR="003A7808" w:rsidRPr="003A7808" w14:paraId="01B360B5" w14:textId="77777777" w:rsidTr="0087672C">
        <w:trPr>
          <w:trHeight w:val="310"/>
        </w:trPr>
        <w:tc>
          <w:tcPr>
            <w:tcW w:w="10348" w:type="dxa"/>
            <w:noWrap/>
            <w:vAlign w:val="bottom"/>
            <w:hideMark/>
          </w:tcPr>
          <w:p w14:paraId="6179335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Grover, S. and Furnham, A. (2022) ‘The Dark Triad, emotional intelligence, self-monitoring and executive coach effectiveness and satisfaction’, </w:t>
            </w:r>
            <w:r w:rsidRPr="003A7808">
              <w:rPr>
                <w:rFonts w:ascii="Arial" w:hAnsi="Arial" w:cs="Arial"/>
                <w:i/>
                <w:iCs/>
              </w:rPr>
              <w:t>Coaching : an international journal of theory, research &amp; practice</w:t>
            </w:r>
            <w:r w:rsidRPr="003A7808">
              <w:rPr>
                <w:rFonts w:ascii="Arial" w:hAnsi="Arial" w:cs="Arial"/>
              </w:rPr>
              <w:t>. London: Routledge, 15(1), pp. 22–42. doi: 10.1080/17521882.2021.1881575.</w:t>
            </w:r>
          </w:p>
        </w:tc>
      </w:tr>
      <w:tr w:rsidR="003A7808" w:rsidRPr="003A7808" w14:paraId="46958499" w14:textId="77777777" w:rsidTr="0087672C">
        <w:trPr>
          <w:trHeight w:val="310"/>
        </w:trPr>
        <w:tc>
          <w:tcPr>
            <w:tcW w:w="10348" w:type="dxa"/>
            <w:noWrap/>
            <w:vAlign w:val="bottom"/>
            <w:hideMark/>
          </w:tcPr>
          <w:p w14:paraId="5991B9E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Guest, D.E., 2017. Human Resource Management and Employee Well-Being: Towards a New Analytic Framework. </w:t>
            </w:r>
            <w:r w:rsidRPr="003A7808">
              <w:rPr>
                <w:rFonts w:ascii="Arial" w:hAnsi="Arial" w:cs="Arial"/>
                <w:i/>
                <w:iCs/>
              </w:rPr>
              <w:t>Human Resource Management Journal</w:t>
            </w:r>
            <w:r w:rsidRPr="003A7808">
              <w:rPr>
                <w:rFonts w:ascii="Arial" w:hAnsi="Arial" w:cs="Arial"/>
              </w:rPr>
              <w:t>, 27(1), pp.22-38.  </w:t>
            </w:r>
          </w:p>
        </w:tc>
      </w:tr>
      <w:tr w:rsidR="003A7808" w:rsidRPr="003A7808" w14:paraId="10A72E19" w14:textId="77777777" w:rsidTr="0087672C">
        <w:trPr>
          <w:trHeight w:val="310"/>
        </w:trPr>
        <w:tc>
          <w:tcPr>
            <w:tcW w:w="10348" w:type="dxa"/>
            <w:noWrap/>
            <w:vAlign w:val="bottom"/>
            <w:hideMark/>
          </w:tcPr>
          <w:p w14:paraId="710CBC7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Harvard Business Review et al. (2018) </w:t>
            </w:r>
            <w:r w:rsidRPr="003A7808">
              <w:rPr>
                <w:rFonts w:ascii="Arial" w:hAnsi="Arial" w:cs="Arial"/>
                <w:i/>
                <w:iCs/>
              </w:rPr>
              <w:t>Emotional Intelligence: Leadership Presence</w:t>
            </w:r>
            <w:r w:rsidRPr="003A7808">
              <w:rPr>
                <w:rFonts w:ascii="Arial" w:hAnsi="Arial" w:cs="Arial"/>
              </w:rPr>
              <w:t xml:space="preserve">. Boston: Harvard Business Review Press. </w:t>
            </w:r>
          </w:p>
        </w:tc>
      </w:tr>
      <w:tr w:rsidR="003A7808" w:rsidRPr="003A7808" w14:paraId="3609A78D" w14:textId="77777777" w:rsidTr="0087672C">
        <w:trPr>
          <w:trHeight w:val="310"/>
        </w:trPr>
        <w:tc>
          <w:tcPr>
            <w:tcW w:w="10348" w:type="dxa"/>
            <w:noWrap/>
            <w:vAlign w:val="bottom"/>
            <w:hideMark/>
          </w:tcPr>
          <w:p w14:paraId="78A03B23"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Harvard Business Review et al. (2018) </w:t>
            </w:r>
            <w:r w:rsidRPr="003A7808">
              <w:rPr>
                <w:rFonts w:ascii="Arial" w:hAnsi="Arial" w:cs="Arial"/>
                <w:i/>
                <w:iCs/>
              </w:rPr>
              <w:t>Emotional Intelligence: Dealing with Difficult People</w:t>
            </w:r>
            <w:r w:rsidRPr="003A7808">
              <w:rPr>
                <w:rFonts w:ascii="Arial" w:hAnsi="Arial" w:cs="Arial"/>
              </w:rPr>
              <w:t xml:space="preserve">. Boston: Harvard Business Review Press. </w:t>
            </w:r>
          </w:p>
        </w:tc>
      </w:tr>
      <w:tr w:rsidR="003A7808" w:rsidRPr="003A7808" w14:paraId="24CE306C" w14:textId="77777777" w:rsidTr="0087672C">
        <w:trPr>
          <w:trHeight w:val="310"/>
        </w:trPr>
        <w:tc>
          <w:tcPr>
            <w:tcW w:w="10348" w:type="dxa"/>
            <w:noWrap/>
            <w:vAlign w:val="bottom"/>
            <w:hideMark/>
          </w:tcPr>
          <w:p w14:paraId="2B6D8D30"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Harvard Business Review et al. (2017) </w:t>
            </w:r>
            <w:r w:rsidRPr="003A7808">
              <w:rPr>
                <w:rFonts w:ascii="Arial" w:hAnsi="Arial" w:cs="Arial"/>
                <w:i/>
                <w:iCs/>
              </w:rPr>
              <w:t>Emotional Intelligence: Resilience</w:t>
            </w:r>
            <w:r w:rsidRPr="003A7808">
              <w:rPr>
                <w:rFonts w:ascii="Arial" w:hAnsi="Arial" w:cs="Arial"/>
              </w:rPr>
              <w:t xml:space="preserve">. Boston: Harvard Business Review Press. </w:t>
            </w:r>
          </w:p>
        </w:tc>
      </w:tr>
      <w:tr w:rsidR="003A7808" w:rsidRPr="003A7808" w14:paraId="3145F698" w14:textId="77777777" w:rsidTr="0087672C">
        <w:trPr>
          <w:trHeight w:val="310"/>
        </w:trPr>
        <w:tc>
          <w:tcPr>
            <w:tcW w:w="10348" w:type="dxa"/>
            <w:noWrap/>
            <w:vAlign w:val="bottom"/>
            <w:hideMark/>
          </w:tcPr>
          <w:p w14:paraId="15246BBD"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Hasson, G. (2014) </w:t>
            </w:r>
            <w:r w:rsidRPr="003A7808">
              <w:rPr>
                <w:rFonts w:ascii="Arial" w:hAnsi="Arial" w:cs="Arial"/>
                <w:i/>
                <w:iCs/>
              </w:rPr>
              <w:t>Emotional Intelligence : Managing emotions to make a positive impact on your life and career</w:t>
            </w:r>
            <w:r w:rsidRPr="003A7808">
              <w:rPr>
                <w:rFonts w:ascii="Arial" w:hAnsi="Arial" w:cs="Arial"/>
              </w:rPr>
              <w:t>. Chichester: Capstone, Wiley.</w:t>
            </w:r>
          </w:p>
        </w:tc>
      </w:tr>
      <w:tr w:rsidR="003A7808" w:rsidRPr="003A7808" w14:paraId="2213ACE2" w14:textId="77777777" w:rsidTr="0087672C">
        <w:trPr>
          <w:trHeight w:val="310"/>
        </w:trPr>
        <w:tc>
          <w:tcPr>
            <w:tcW w:w="10348" w:type="dxa"/>
            <w:noWrap/>
            <w:vAlign w:val="bottom"/>
            <w:hideMark/>
          </w:tcPr>
          <w:p w14:paraId="64120340"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Health Education and Improvement Wales (HEIW) &amp; Social Care Wales (2020). </w:t>
            </w:r>
            <w:r w:rsidRPr="003A7808">
              <w:rPr>
                <w:rFonts w:ascii="Arial" w:hAnsi="Arial" w:cs="Arial"/>
                <w:i/>
                <w:iCs/>
              </w:rPr>
              <w:t>Workforce Strategy for Health and Social Care (2020-2030)</w:t>
            </w:r>
            <w:r w:rsidRPr="003A7808">
              <w:rPr>
                <w:rFonts w:ascii="Arial" w:hAnsi="Arial" w:cs="Arial"/>
              </w:rPr>
              <w:t>. Cardiff: HEIW.</w:t>
            </w:r>
          </w:p>
        </w:tc>
      </w:tr>
      <w:tr w:rsidR="003A7808" w:rsidRPr="003A7808" w14:paraId="7FD97A3F" w14:textId="77777777" w:rsidTr="0087672C">
        <w:trPr>
          <w:trHeight w:val="310"/>
        </w:trPr>
        <w:tc>
          <w:tcPr>
            <w:tcW w:w="10348" w:type="dxa"/>
            <w:noWrap/>
            <w:vAlign w:val="bottom"/>
            <w:hideMark/>
          </w:tcPr>
          <w:p w14:paraId="67DC0C8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Hutchinson, M. and Hurley, J. (2013) ‘Exploring leadership capability and emotional intelligence as moderators of workplace bullying’, </w:t>
            </w:r>
            <w:r w:rsidRPr="003A7808">
              <w:rPr>
                <w:rFonts w:ascii="Arial" w:hAnsi="Arial" w:cs="Arial"/>
                <w:i/>
                <w:iCs/>
              </w:rPr>
              <w:t>Journal of nursing management</w:t>
            </w:r>
            <w:r w:rsidRPr="003A7808">
              <w:rPr>
                <w:rFonts w:ascii="Arial" w:hAnsi="Arial" w:cs="Arial"/>
              </w:rPr>
              <w:t>. Accepted for publication: 2 December 2011. Oxford, UK: Blackwell Publishing Ltd, 21(3), pp. 553–562. doi: 10.1111/j.1365-2834.2012.01372.x.</w:t>
            </w:r>
          </w:p>
        </w:tc>
      </w:tr>
      <w:tr w:rsidR="003A7808" w:rsidRPr="003A7808" w14:paraId="3AE4BCBA" w14:textId="77777777" w:rsidTr="0087672C">
        <w:trPr>
          <w:trHeight w:val="310"/>
        </w:trPr>
        <w:tc>
          <w:tcPr>
            <w:tcW w:w="10348" w:type="dxa"/>
            <w:noWrap/>
            <w:vAlign w:val="bottom"/>
            <w:hideMark/>
          </w:tcPr>
          <w:p w14:paraId="5533AF9B"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Indeed Editorial Team (2025) </w:t>
            </w:r>
            <w:r w:rsidRPr="003A7808">
              <w:rPr>
                <w:rFonts w:ascii="Arial" w:hAnsi="Arial" w:cs="Arial"/>
                <w:i/>
                <w:iCs/>
              </w:rPr>
              <w:t>Face-to-face meetings: 9 Benefits and why they're important</w:t>
            </w:r>
            <w:r w:rsidRPr="003A7808">
              <w:rPr>
                <w:rFonts w:ascii="Arial" w:hAnsi="Arial" w:cs="Arial"/>
              </w:rPr>
              <w:t>. Available at: https://www.indeed.com/career-advice/career-development/face-to-face-meetings. (Accessed 29/03/2025).</w:t>
            </w:r>
          </w:p>
        </w:tc>
      </w:tr>
      <w:tr w:rsidR="003A7808" w:rsidRPr="003A7808" w14:paraId="6553F838" w14:textId="77777777" w:rsidTr="0087672C">
        <w:trPr>
          <w:trHeight w:val="310"/>
        </w:trPr>
        <w:tc>
          <w:tcPr>
            <w:tcW w:w="10348" w:type="dxa"/>
            <w:noWrap/>
            <w:vAlign w:val="bottom"/>
            <w:hideMark/>
          </w:tcPr>
          <w:p w14:paraId="7429093A"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Joseph, P. T. (2010) ‘Role of Emotional Intelligence in Mentoring and Coaching’, </w:t>
            </w:r>
            <w:r w:rsidRPr="003A7808">
              <w:rPr>
                <w:rFonts w:ascii="Arial" w:hAnsi="Arial" w:cs="Arial"/>
                <w:i/>
                <w:iCs/>
              </w:rPr>
              <w:t>NHRD Network Journal</w:t>
            </w:r>
            <w:r w:rsidRPr="003A7808">
              <w:rPr>
                <w:rFonts w:ascii="Arial" w:hAnsi="Arial" w:cs="Arial"/>
              </w:rPr>
              <w:t>, 3(2), pp. 25–31. doi: 10.1177/0974173920100205.</w:t>
            </w:r>
          </w:p>
        </w:tc>
      </w:tr>
      <w:tr w:rsidR="003A7808" w:rsidRPr="003A7808" w14:paraId="30F638DD" w14:textId="77777777" w:rsidTr="0087672C">
        <w:trPr>
          <w:trHeight w:val="310"/>
        </w:trPr>
        <w:tc>
          <w:tcPr>
            <w:tcW w:w="10348" w:type="dxa"/>
            <w:noWrap/>
            <w:vAlign w:val="bottom"/>
            <w:hideMark/>
          </w:tcPr>
          <w:p w14:paraId="616669D0"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Kahneman, D. (2011) </w:t>
            </w:r>
            <w:r w:rsidRPr="003A7808">
              <w:rPr>
                <w:rFonts w:ascii="Arial" w:hAnsi="Arial" w:cs="Arial"/>
                <w:i/>
                <w:iCs/>
              </w:rPr>
              <w:t>Thinking, Fast and Slow</w:t>
            </w:r>
            <w:r w:rsidRPr="003A7808">
              <w:rPr>
                <w:rFonts w:ascii="Arial" w:hAnsi="Arial" w:cs="Arial"/>
              </w:rPr>
              <w:t>. New York: Farrar, Straus and Giroux.</w:t>
            </w:r>
          </w:p>
        </w:tc>
      </w:tr>
      <w:tr w:rsidR="003A7808" w:rsidRPr="003A7808" w14:paraId="4D58B7A4" w14:textId="77777777" w:rsidTr="0087672C">
        <w:trPr>
          <w:trHeight w:val="320"/>
        </w:trPr>
        <w:tc>
          <w:tcPr>
            <w:tcW w:w="10348" w:type="dxa"/>
            <w:noWrap/>
            <w:vAlign w:val="bottom"/>
            <w:hideMark/>
          </w:tcPr>
          <w:p w14:paraId="70F04A21" w14:textId="77777777" w:rsidR="003A7808" w:rsidRPr="003A7808" w:rsidRDefault="003A7808" w:rsidP="0087672C">
            <w:pPr>
              <w:tabs>
                <w:tab w:val="left" w:pos="0"/>
              </w:tabs>
              <w:spacing w:before="240"/>
              <w:rPr>
                <w:rFonts w:ascii="Arial" w:hAnsi="Arial" w:cs="Arial"/>
              </w:rPr>
            </w:pPr>
            <w:r w:rsidRPr="003A7808">
              <w:rPr>
                <w:rFonts w:ascii="Arial" w:hAnsi="Arial" w:cs="Arial"/>
              </w:rPr>
              <w:t>Kim, K., Lee, S., and Lee, Y. (2021) ‘Emotional Intelligence, Trust, and Functional Behavior: Longitudinal Study of Achievement Approach to Leadership Emergence’, Journal of organizational psychology, 21(4), pp. 181–192. Available at: https://doi.org/10.33423/jop.v21i4.4552.</w:t>
            </w:r>
          </w:p>
        </w:tc>
      </w:tr>
      <w:tr w:rsidR="003A7808" w:rsidRPr="003A7808" w14:paraId="4C047BBF" w14:textId="77777777" w:rsidTr="0087672C">
        <w:trPr>
          <w:trHeight w:val="310"/>
        </w:trPr>
        <w:tc>
          <w:tcPr>
            <w:tcW w:w="10348" w:type="dxa"/>
            <w:noWrap/>
            <w:vAlign w:val="bottom"/>
            <w:hideMark/>
          </w:tcPr>
          <w:p w14:paraId="5F89FEE5"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King’s Fund (2021) </w:t>
            </w:r>
            <w:r w:rsidRPr="003A7808">
              <w:rPr>
                <w:rFonts w:ascii="Arial" w:hAnsi="Arial" w:cs="Arial"/>
                <w:i/>
                <w:iCs/>
              </w:rPr>
              <w:t>Workforce Planning in the NHS: Evidence-Based Approaches for Sustainable Staffing</w:t>
            </w:r>
            <w:r w:rsidRPr="003A7808">
              <w:rPr>
                <w:rFonts w:ascii="Arial" w:hAnsi="Arial" w:cs="Arial"/>
              </w:rPr>
              <w:t>. London: The King’s Fund.  </w:t>
            </w:r>
          </w:p>
        </w:tc>
      </w:tr>
      <w:tr w:rsidR="003A7808" w:rsidRPr="003A7808" w14:paraId="63115A85" w14:textId="77777777" w:rsidTr="0087672C">
        <w:trPr>
          <w:trHeight w:val="310"/>
        </w:trPr>
        <w:tc>
          <w:tcPr>
            <w:tcW w:w="10348" w:type="dxa"/>
            <w:noWrap/>
            <w:vAlign w:val="bottom"/>
            <w:hideMark/>
          </w:tcPr>
          <w:p w14:paraId="630C1F15" w14:textId="77777777" w:rsidR="003A7808" w:rsidRPr="003A7808" w:rsidRDefault="003A7808" w:rsidP="0087672C">
            <w:pPr>
              <w:tabs>
                <w:tab w:val="left" w:pos="0"/>
              </w:tabs>
              <w:spacing w:before="240"/>
              <w:rPr>
                <w:rFonts w:ascii="Arial" w:hAnsi="Arial" w:cs="Arial"/>
              </w:rPr>
            </w:pPr>
            <w:r w:rsidRPr="003A7808">
              <w:rPr>
                <w:rFonts w:ascii="Arial" w:hAnsi="Arial" w:cs="Arial"/>
              </w:rPr>
              <w:lastRenderedPageBreak/>
              <w:t xml:space="preserve">Kirkpatrick, D.L. (1959) Techniques for Evaluating Training Programs. </w:t>
            </w:r>
            <w:r w:rsidRPr="003A7808">
              <w:rPr>
                <w:rFonts w:ascii="Arial" w:hAnsi="Arial" w:cs="Arial"/>
                <w:i/>
                <w:iCs/>
              </w:rPr>
              <w:t>Journal of ASTD</w:t>
            </w:r>
            <w:r w:rsidRPr="003A7808">
              <w:rPr>
                <w:rFonts w:ascii="Arial" w:hAnsi="Arial" w:cs="Arial"/>
              </w:rPr>
              <w:t>, 13(3), pp.21-26.  </w:t>
            </w:r>
          </w:p>
        </w:tc>
      </w:tr>
      <w:tr w:rsidR="003A7808" w:rsidRPr="003A7808" w14:paraId="12471C00" w14:textId="77777777" w:rsidTr="0087672C">
        <w:trPr>
          <w:trHeight w:val="310"/>
        </w:trPr>
        <w:tc>
          <w:tcPr>
            <w:tcW w:w="10348" w:type="dxa"/>
            <w:noWrap/>
            <w:vAlign w:val="bottom"/>
            <w:hideMark/>
          </w:tcPr>
          <w:p w14:paraId="2BCA7DC1"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Kim, K., Kim, J., Antonio, J. and Laws, J. (2021) ‘Emotional Intelligence, Trust, and Functional Behavior: Longitudinal Study of Achievement Approach to Leadership Emergence’, </w:t>
            </w:r>
            <w:r w:rsidRPr="003A7808">
              <w:rPr>
                <w:rFonts w:ascii="Arial" w:hAnsi="Arial" w:cs="Arial"/>
                <w:i/>
                <w:iCs/>
              </w:rPr>
              <w:t>Journal of organizational psychology</w:t>
            </w:r>
            <w:r w:rsidRPr="003A7808">
              <w:rPr>
                <w:rFonts w:ascii="Arial" w:hAnsi="Arial" w:cs="Arial"/>
              </w:rPr>
              <w:t xml:space="preserve">, 27(4), pp. 181–192. </w:t>
            </w:r>
          </w:p>
        </w:tc>
      </w:tr>
      <w:tr w:rsidR="003A7808" w:rsidRPr="003A7808" w14:paraId="0DD7E81E" w14:textId="77777777" w:rsidTr="0087672C">
        <w:trPr>
          <w:trHeight w:val="310"/>
        </w:trPr>
        <w:tc>
          <w:tcPr>
            <w:tcW w:w="10348" w:type="dxa"/>
            <w:noWrap/>
            <w:vAlign w:val="bottom"/>
            <w:hideMark/>
          </w:tcPr>
          <w:p w14:paraId="4D09D90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Kliem, R.L &amp; Ludin, I.S. (1995) </w:t>
            </w:r>
            <w:r w:rsidRPr="003A7808">
              <w:rPr>
                <w:rFonts w:ascii="Arial" w:hAnsi="Arial" w:cs="Arial"/>
                <w:i/>
                <w:iCs/>
              </w:rPr>
              <w:t>The People side of Project Management</w:t>
            </w:r>
            <w:r w:rsidRPr="003A7808">
              <w:rPr>
                <w:rFonts w:ascii="Arial" w:hAnsi="Arial" w:cs="Arial"/>
              </w:rPr>
              <w:t>. Aldershot: Gower Publishing.</w:t>
            </w:r>
          </w:p>
        </w:tc>
      </w:tr>
      <w:tr w:rsidR="003A7808" w:rsidRPr="003A7808" w14:paraId="5BE0F78B" w14:textId="77777777" w:rsidTr="0087672C">
        <w:trPr>
          <w:trHeight w:val="310"/>
        </w:trPr>
        <w:tc>
          <w:tcPr>
            <w:tcW w:w="10348" w:type="dxa"/>
            <w:noWrap/>
            <w:vAlign w:val="bottom"/>
            <w:hideMark/>
          </w:tcPr>
          <w:p w14:paraId="2EF08311" w14:textId="135C390E" w:rsidR="003A7808" w:rsidRPr="003A7808" w:rsidRDefault="003A7808" w:rsidP="0087672C">
            <w:pPr>
              <w:tabs>
                <w:tab w:val="left" w:pos="0"/>
              </w:tabs>
              <w:spacing w:before="240"/>
              <w:rPr>
                <w:rFonts w:ascii="Arial" w:hAnsi="Arial" w:cs="Arial"/>
              </w:rPr>
            </w:pPr>
            <w:r w:rsidRPr="003A7808">
              <w:rPr>
                <w:rFonts w:ascii="Arial" w:hAnsi="Arial" w:cs="Arial"/>
              </w:rPr>
              <w:t xml:space="preserve">Kolb, D.A. (2015). </w:t>
            </w:r>
            <w:r w:rsidRPr="003A7808">
              <w:rPr>
                <w:rFonts w:ascii="Arial" w:hAnsi="Arial" w:cs="Arial"/>
                <w:i/>
                <w:iCs/>
              </w:rPr>
              <w:t>Experiential Learning: Experience as the source of learning and development.</w:t>
            </w:r>
            <w:r w:rsidRPr="003A7808">
              <w:rPr>
                <w:rFonts w:ascii="Arial" w:hAnsi="Arial" w:cs="Arial"/>
              </w:rPr>
              <w:t xml:space="preserve"> 2nd Edition. Upper Saddler </w:t>
            </w:r>
            <w:r w:rsidR="00404775" w:rsidRPr="003A7808">
              <w:rPr>
                <w:rFonts w:ascii="Arial" w:hAnsi="Arial" w:cs="Arial"/>
              </w:rPr>
              <w:t>River, New</w:t>
            </w:r>
            <w:r w:rsidRPr="003A7808">
              <w:rPr>
                <w:rFonts w:ascii="Arial" w:hAnsi="Arial" w:cs="Arial"/>
              </w:rPr>
              <w:t xml:space="preserve"> Jersey: Pearson Education Inc.</w:t>
            </w:r>
          </w:p>
        </w:tc>
      </w:tr>
      <w:tr w:rsidR="003A7808" w:rsidRPr="003A7808" w14:paraId="7C2EF6FE" w14:textId="77777777" w:rsidTr="0087672C">
        <w:trPr>
          <w:trHeight w:val="310"/>
        </w:trPr>
        <w:tc>
          <w:tcPr>
            <w:tcW w:w="10348" w:type="dxa"/>
            <w:noWrap/>
            <w:vAlign w:val="bottom"/>
            <w:hideMark/>
          </w:tcPr>
          <w:p w14:paraId="60857D90" w14:textId="77777777" w:rsidR="003A7808" w:rsidRPr="003A7808" w:rsidRDefault="003A7808" w:rsidP="0087672C">
            <w:pPr>
              <w:tabs>
                <w:tab w:val="left" w:pos="0"/>
              </w:tabs>
              <w:spacing w:before="240"/>
              <w:rPr>
                <w:rFonts w:ascii="Arial" w:hAnsi="Arial" w:cs="Arial"/>
              </w:rPr>
            </w:pPr>
            <w:r w:rsidRPr="003A7808">
              <w:rPr>
                <w:rFonts w:ascii="Arial" w:hAnsi="Arial" w:cs="Arial"/>
              </w:rPr>
              <w:t>Kotter, J.P. (1996)</w:t>
            </w:r>
            <w:r w:rsidRPr="003A7808">
              <w:rPr>
                <w:rFonts w:ascii="Arial" w:hAnsi="Arial" w:cs="Arial"/>
                <w:i/>
                <w:iCs/>
              </w:rPr>
              <w:t xml:space="preserve"> Leading Change</w:t>
            </w:r>
            <w:r w:rsidRPr="003A7808">
              <w:rPr>
                <w:rFonts w:ascii="Arial" w:hAnsi="Arial" w:cs="Arial"/>
              </w:rPr>
              <w:t>. Boston, MA: Harvard Business Review Press.</w:t>
            </w:r>
          </w:p>
        </w:tc>
      </w:tr>
      <w:tr w:rsidR="003A7808" w:rsidRPr="003A7808" w14:paraId="4772111A" w14:textId="77777777" w:rsidTr="0087672C">
        <w:trPr>
          <w:trHeight w:val="310"/>
        </w:trPr>
        <w:tc>
          <w:tcPr>
            <w:tcW w:w="10348" w:type="dxa"/>
            <w:noWrap/>
            <w:vAlign w:val="bottom"/>
            <w:hideMark/>
          </w:tcPr>
          <w:p w14:paraId="30C66DE1" w14:textId="77777777" w:rsidR="003A7808" w:rsidRPr="003A7808" w:rsidRDefault="003A7808" w:rsidP="0087672C">
            <w:pPr>
              <w:tabs>
                <w:tab w:val="left" w:pos="0"/>
              </w:tabs>
              <w:spacing w:before="240"/>
              <w:rPr>
                <w:rFonts w:ascii="Arial" w:hAnsi="Arial" w:cs="Arial"/>
              </w:rPr>
            </w:pPr>
            <w:r w:rsidRPr="003A7808">
              <w:rPr>
                <w:rFonts w:ascii="Arial" w:hAnsi="Arial" w:cs="Arial"/>
              </w:rPr>
              <w:t>Lave, J., &amp; Wenger, E. (1991).</w:t>
            </w:r>
            <w:r w:rsidRPr="003A7808">
              <w:rPr>
                <w:rFonts w:ascii="Arial" w:hAnsi="Arial" w:cs="Arial"/>
                <w:i/>
                <w:iCs/>
              </w:rPr>
              <w:t xml:space="preserve"> Situated Learning: Legitimate Peripheral Participation</w:t>
            </w:r>
            <w:r w:rsidRPr="003A7808">
              <w:rPr>
                <w:rFonts w:ascii="Arial" w:hAnsi="Arial" w:cs="Arial"/>
              </w:rPr>
              <w:t xml:space="preserve">. Cambridge: Cambridge University Press. </w:t>
            </w:r>
          </w:p>
        </w:tc>
      </w:tr>
      <w:tr w:rsidR="00E6447B" w:rsidRPr="003A7808" w14:paraId="78219CA1" w14:textId="77777777" w:rsidTr="0087672C">
        <w:trPr>
          <w:trHeight w:val="310"/>
        </w:trPr>
        <w:tc>
          <w:tcPr>
            <w:tcW w:w="10348" w:type="dxa"/>
            <w:noWrap/>
            <w:vAlign w:val="bottom"/>
          </w:tcPr>
          <w:p w14:paraId="0D39A953" w14:textId="0297212C" w:rsidR="00E6447B" w:rsidRPr="003A7808" w:rsidRDefault="00E6447B" w:rsidP="0087672C">
            <w:pPr>
              <w:tabs>
                <w:tab w:val="left" w:pos="0"/>
              </w:tabs>
              <w:spacing w:before="240"/>
              <w:rPr>
                <w:rFonts w:ascii="Arial" w:hAnsi="Arial" w:cs="Arial"/>
              </w:rPr>
            </w:pPr>
            <w:r w:rsidRPr="00E6447B">
              <w:rPr>
                <w:rFonts w:ascii="Arial" w:hAnsi="Arial" w:cs="Arial"/>
              </w:rPr>
              <w:t xml:space="preserve">Lewin, K. (1936) </w:t>
            </w:r>
            <w:r w:rsidRPr="00E6447B">
              <w:rPr>
                <w:rFonts w:ascii="Arial" w:hAnsi="Arial" w:cs="Arial"/>
                <w:i/>
                <w:iCs/>
              </w:rPr>
              <w:t>The principles of topological psychology</w:t>
            </w:r>
            <w:r w:rsidRPr="00E6447B">
              <w:rPr>
                <w:rFonts w:ascii="Arial" w:hAnsi="Arial" w:cs="Arial"/>
              </w:rPr>
              <w:t>. New York: McGraw-Hill</w:t>
            </w:r>
          </w:p>
        </w:tc>
      </w:tr>
      <w:tr w:rsidR="003A7808" w:rsidRPr="003A7808" w14:paraId="6ACE9C40" w14:textId="77777777" w:rsidTr="0087672C">
        <w:trPr>
          <w:trHeight w:val="310"/>
        </w:trPr>
        <w:tc>
          <w:tcPr>
            <w:tcW w:w="10348" w:type="dxa"/>
            <w:noWrap/>
            <w:vAlign w:val="bottom"/>
            <w:hideMark/>
          </w:tcPr>
          <w:p w14:paraId="7E06ED68" w14:textId="6F8FE907" w:rsidR="003A7808" w:rsidRPr="003A7808" w:rsidRDefault="003A7808" w:rsidP="0087672C">
            <w:pPr>
              <w:tabs>
                <w:tab w:val="left" w:pos="0"/>
              </w:tabs>
              <w:spacing w:before="240"/>
              <w:rPr>
                <w:rFonts w:ascii="Arial" w:hAnsi="Arial" w:cs="Arial"/>
              </w:rPr>
            </w:pPr>
            <w:r w:rsidRPr="003A7808">
              <w:rPr>
                <w:rFonts w:ascii="Arial" w:hAnsi="Arial" w:cs="Arial"/>
              </w:rPr>
              <w:t xml:space="preserve">Luthans, F., Vogelgesang, G.R. and Lester, P.B. (2006) Developing the psychological capital of </w:t>
            </w:r>
            <w:r w:rsidR="00404775" w:rsidRPr="003A7808">
              <w:rPr>
                <w:rFonts w:ascii="Arial" w:hAnsi="Arial" w:cs="Arial"/>
              </w:rPr>
              <w:t>resilience.</w:t>
            </w:r>
            <w:r w:rsidR="00404775" w:rsidRPr="003A7808">
              <w:rPr>
                <w:rFonts w:ascii="Arial" w:hAnsi="Arial" w:cs="Arial"/>
                <w:i/>
                <w:iCs/>
              </w:rPr>
              <w:t xml:space="preserve"> Human</w:t>
            </w:r>
            <w:r w:rsidRPr="003A7808">
              <w:rPr>
                <w:rFonts w:ascii="Arial" w:hAnsi="Arial" w:cs="Arial"/>
                <w:i/>
                <w:iCs/>
              </w:rPr>
              <w:t xml:space="preserve"> Resource Development Review</w:t>
            </w:r>
            <w:r w:rsidRPr="003A7808">
              <w:rPr>
                <w:rFonts w:ascii="Arial" w:hAnsi="Arial" w:cs="Arial"/>
              </w:rPr>
              <w:t>, 5(1), pp. 25-44.  </w:t>
            </w:r>
          </w:p>
        </w:tc>
      </w:tr>
      <w:tr w:rsidR="003A7808" w:rsidRPr="003A7808" w14:paraId="128F7404" w14:textId="77777777" w:rsidTr="0087672C">
        <w:trPr>
          <w:trHeight w:val="310"/>
        </w:trPr>
        <w:tc>
          <w:tcPr>
            <w:tcW w:w="10348" w:type="dxa"/>
            <w:noWrap/>
            <w:vAlign w:val="bottom"/>
            <w:hideMark/>
          </w:tcPr>
          <w:p w14:paraId="134D2BA1" w14:textId="77777777" w:rsidR="003A7808" w:rsidRPr="003A7808" w:rsidRDefault="003A7808" w:rsidP="0087672C">
            <w:pPr>
              <w:tabs>
                <w:tab w:val="left" w:pos="0"/>
              </w:tabs>
              <w:spacing w:before="240"/>
              <w:rPr>
                <w:rFonts w:ascii="Arial" w:hAnsi="Arial" w:cs="Arial"/>
              </w:rPr>
            </w:pPr>
            <w:r w:rsidRPr="003A7808">
              <w:rPr>
                <w:rFonts w:ascii="Arial" w:hAnsi="Arial" w:cs="Arial"/>
              </w:rPr>
              <w:t>McCleskey, J., 2014. ‘Emotional intelligence and leadership: A review of the progress, controversy, and criticism’. </w:t>
            </w:r>
            <w:r w:rsidRPr="003A7808">
              <w:rPr>
                <w:rFonts w:ascii="Arial" w:hAnsi="Arial" w:cs="Arial"/>
                <w:i/>
                <w:iCs/>
              </w:rPr>
              <w:t>International Journal of Organizational Analysis, </w:t>
            </w:r>
            <w:r w:rsidRPr="003A7808">
              <w:rPr>
                <w:rFonts w:ascii="Arial" w:hAnsi="Arial" w:cs="Arial"/>
              </w:rPr>
              <w:t>22(1), pp. 76-93.</w:t>
            </w:r>
          </w:p>
        </w:tc>
      </w:tr>
      <w:tr w:rsidR="003A7808" w:rsidRPr="003A7808" w14:paraId="7178F646" w14:textId="77777777" w:rsidTr="0087672C">
        <w:trPr>
          <w:trHeight w:val="310"/>
        </w:trPr>
        <w:tc>
          <w:tcPr>
            <w:tcW w:w="10348" w:type="dxa"/>
            <w:noWrap/>
            <w:vAlign w:val="bottom"/>
            <w:hideMark/>
          </w:tcPr>
          <w:p w14:paraId="24627D9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McQueen, A. C. H. (2004) ‘Emotional intelligence in nursing work’, </w:t>
            </w:r>
            <w:r w:rsidRPr="003A7808">
              <w:rPr>
                <w:rFonts w:ascii="Arial" w:hAnsi="Arial" w:cs="Arial"/>
                <w:i/>
                <w:iCs/>
              </w:rPr>
              <w:t xml:space="preserve">Journal of Advanced Nursing. </w:t>
            </w:r>
            <w:r w:rsidRPr="003A7808">
              <w:rPr>
                <w:rFonts w:ascii="Arial" w:hAnsi="Arial" w:cs="Arial"/>
              </w:rPr>
              <w:t>Submitted for publication 9 June 2003 Accepted for publication 5 December 2003. Oxford, UK: Blackwell Publishing Ltd, 47(1), pp. 101–108. doi: 10.1111/j.1365-2648.2004.03069.x.</w:t>
            </w:r>
          </w:p>
        </w:tc>
      </w:tr>
      <w:tr w:rsidR="003A7808" w:rsidRPr="003A7808" w14:paraId="5DDE52AA" w14:textId="77777777" w:rsidTr="0087672C">
        <w:trPr>
          <w:trHeight w:val="310"/>
        </w:trPr>
        <w:tc>
          <w:tcPr>
            <w:tcW w:w="10348" w:type="dxa"/>
            <w:noWrap/>
            <w:vAlign w:val="bottom"/>
            <w:hideMark/>
          </w:tcPr>
          <w:p w14:paraId="488CD543"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Miselina A Lemisiou (2018) ‘The effectiveness of person-centered coaching intervention in raising emotional and social intelligence competencies in the workplace’, </w:t>
            </w:r>
            <w:r w:rsidRPr="003A7808">
              <w:rPr>
                <w:rFonts w:ascii="Arial" w:hAnsi="Arial" w:cs="Arial"/>
                <w:i/>
                <w:iCs/>
              </w:rPr>
              <w:t>International coaching psychology review</w:t>
            </w:r>
            <w:r w:rsidRPr="003A7808">
              <w:rPr>
                <w:rFonts w:ascii="Arial" w:hAnsi="Arial" w:cs="Arial"/>
              </w:rPr>
              <w:t>. Leicester: British Psychological Society, 13(2), p. 6–26.</w:t>
            </w:r>
          </w:p>
        </w:tc>
      </w:tr>
      <w:tr w:rsidR="003A7808" w:rsidRPr="003A7808" w14:paraId="2F404850" w14:textId="77777777" w:rsidTr="0087672C">
        <w:trPr>
          <w:trHeight w:val="310"/>
        </w:trPr>
        <w:tc>
          <w:tcPr>
            <w:tcW w:w="10348" w:type="dxa"/>
            <w:noWrap/>
            <w:vAlign w:val="bottom"/>
            <w:hideMark/>
          </w:tcPr>
          <w:p w14:paraId="3516301B" w14:textId="77777777" w:rsidR="003A7808" w:rsidRPr="003A7808" w:rsidRDefault="003A7808" w:rsidP="0087672C">
            <w:pPr>
              <w:tabs>
                <w:tab w:val="left" w:pos="0"/>
              </w:tabs>
              <w:spacing w:before="240"/>
              <w:rPr>
                <w:rFonts w:ascii="Arial" w:hAnsi="Arial" w:cs="Arial"/>
              </w:rPr>
            </w:pPr>
            <w:r w:rsidRPr="003A7808">
              <w:rPr>
                <w:rFonts w:ascii="Arial" w:hAnsi="Arial" w:cs="Arial"/>
              </w:rPr>
              <w:t>National Center for Complementary and Integrative Health (NCCIH) (2023). Pilot Studies: Common Uses and Misuses. Available at: https://www.nccih.nih.gov/grants/pilot-studies-common-uses-and-misuses (Accessed: 9 March 2025).</w:t>
            </w:r>
          </w:p>
        </w:tc>
      </w:tr>
      <w:tr w:rsidR="003A7808" w:rsidRPr="003A7808" w14:paraId="6677B9AB" w14:textId="77777777" w:rsidTr="0087672C">
        <w:trPr>
          <w:trHeight w:val="310"/>
        </w:trPr>
        <w:tc>
          <w:tcPr>
            <w:tcW w:w="10348" w:type="dxa"/>
            <w:noWrap/>
            <w:vAlign w:val="bottom"/>
            <w:hideMark/>
          </w:tcPr>
          <w:p w14:paraId="5022E9FF"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Neely, A. (2002) </w:t>
            </w:r>
            <w:r w:rsidRPr="003A7808">
              <w:rPr>
                <w:rFonts w:ascii="Arial" w:hAnsi="Arial" w:cs="Arial"/>
                <w:i/>
                <w:iCs/>
              </w:rPr>
              <w:t>Business Performance Measurement: Theory and Practice</w:t>
            </w:r>
            <w:r w:rsidRPr="003A7808">
              <w:rPr>
                <w:rFonts w:ascii="Arial" w:hAnsi="Arial" w:cs="Arial"/>
              </w:rPr>
              <w:t>. Cambridge: Cambridge University Press.  </w:t>
            </w:r>
          </w:p>
        </w:tc>
      </w:tr>
      <w:tr w:rsidR="003A7808" w:rsidRPr="003A7808" w14:paraId="123A458B" w14:textId="77777777" w:rsidTr="0087672C">
        <w:trPr>
          <w:trHeight w:val="310"/>
        </w:trPr>
        <w:tc>
          <w:tcPr>
            <w:tcW w:w="10348" w:type="dxa"/>
            <w:noWrap/>
            <w:vAlign w:val="bottom"/>
            <w:hideMark/>
          </w:tcPr>
          <w:p w14:paraId="1A1AD3C1" w14:textId="0AA1C2AF" w:rsidR="003A7808" w:rsidRPr="003A7808" w:rsidRDefault="003A7808" w:rsidP="0087672C">
            <w:pPr>
              <w:tabs>
                <w:tab w:val="left" w:pos="0"/>
              </w:tabs>
              <w:spacing w:before="240"/>
              <w:rPr>
                <w:rFonts w:ascii="Arial" w:hAnsi="Arial" w:cs="Arial"/>
              </w:rPr>
            </w:pPr>
            <w:r w:rsidRPr="003A7808">
              <w:rPr>
                <w:rFonts w:ascii="Arial" w:hAnsi="Arial" w:cs="Arial"/>
              </w:rPr>
              <w:t xml:space="preserve">Newman, M. (2014) </w:t>
            </w:r>
            <w:r w:rsidRPr="003A7808">
              <w:rPr>
                <w:rFonts w:ascii="Arial" w:hAnsi="Arial" w:cs="Arial"/>
                <w:i/>
                <w:iCs/>
              </w:rPr>
              <w:t>Emotional Capitalists: The Ultimate Guide to Developing Emotional Intelligence for Leaders</w:t>
            </w:r>
            <w:r w:rsidRPr="003A7808">
              <w:rPr>
                <w:rFonts w:ascii="Arial" w:hAnsi="Arial" w:cs="Arial"/>
              </w:rPr>
              <w:t xml:space="preserve">. London: </w:t>
            </w:r>
            <w:r w:rsidR="00404775" w:rsidRPr="003A7808">
              <w:rPr>
                <w:rFonts w:ascii="Arial" w:hAnsi="Arial" w:cs="Arial"/>
              </w:rPr>
              <w:t>Roche Martin</w:t>
            </w:r>
            <w:r w:rsidRPr="003A7808">
              <w:rPr>
                <w:rFonts w:ascii="Arial" w:hAnsi="Arial" w:cs="Arial"/>
              </w:rPr>
              <w:t>.</w:t>
            </w:r>
          </w:p>
        </w:tc>
      </w:tr>
      <w:tr w:rsidR="003A7808" w:rsidRPr="003A7808" w14:paraId="4182A9F7" w14:textId="77777777" w:rsidTr="0087672C">
        <w:trPr>
          <w:trHeight w:val="310"/>
        </w:trPr>
        <w:tc>
          <w:tcPr>
            <w:tcW w:w="10348" w:type="dxa"/>
            <w:noWrap/>
            <w:vAlign w:val="bottom"/>
            <w:hideMark/>
          </w:tcPr>
          <w:p w14:paraId="608AA25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NHS England (2023). </w:t>
            </w:r>
            <w:r w:rsidRPr="003A7808">
              <w:rPr>
                <w:rFonts w:ascii="Arial" w:hAnsi="Arial" w:cs="Arial"/>
                <w:i/>
                <w:iCs/>
              </w:rPr>
              <w:t>NHS Long Term Workforce Plan</w:t>
            </w:r>
            <w:r w:rsidRPr="003A7808">
              <w:rPr>
                <w:rFonts w:ascii="Arial" w:hAnsi="Arial" w:cs="Arial"/>
              </w:rPr>
              <w:t>.</w:t>
            </w:r>
          </w:p>
        </w:tc>
      </w:tr>
      <w:tr w:rsidR="003A7808" w:rsidRPr="003A7808" w14:paraId="5DE2E9CF" w14:textId="77777777" w:rsidTr="0087672C">
        <w:trPr>
          <w:trHeight w:val="310"/>
        </w:trPr>
        <w:tc>
          <w:tcPr>
            <w:tcW w:w="10348" w:type="dxa"/>
            <w:noWrap/>
            <w:vAlign w:val="bottom"/>
            <w:hideMark/>
          </w:tcPr>
          <w:p w14:paraId="4CBF31B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NHS Wales (2021). </w:t>
            </w:r>
            <w:r w:rsidRPr="003A7808">
              <w:rPr>
                <w:rFonts w:ascii="Arial" w:hAnsi="Arial" w:cs="Arial"/>
                <w:i/>
                <w:iCs/>
              </w:rPr>
              <w:t>Workforce Planning Guidance</w:t>
            </w:r>
            <w:r w:rsidRPr="003A7808">
              <w:rPr>
                <w:rFonts w:ascii="Arial" w:hAnsi="Arial" w:cs="Arial"/>
              </w:rPr>
              <w:t>. Cardiff: NHS Wales.</w:t>
            </w:r>
          </w:p>
        </w:tc>
      </w:tr>
      <w:tr w:rsidR="003A7808" w:rsidRPr="003A7808" w14:paraId="122F1AD5" w14:textId="77777777" w:rsidTr="0087672C">
        <w:trPr>
          <w:trHeight w:val="310"/>
        </w:trPr>
        <w:tc>
          <w:tcPr>
            <w:tcW w:w="10348" w:type="dxa"/>
            <w:noWrap/>
            <w:vAlign w:val="bottom"/>
            <w:hideMark/>
          </w:tcPr>
          <w:p w14:paraId="65308A1B" w14:textId="73AF3AF4" w:rsidR="003A7808" w:rsidRPr="003A7808" w:rsidRDefault="003A7808" w:rsidP="0087672C">
            <w:pPr>
              <w:tabs>
                <w:tab w:val="left" w:pos="0"/>
              </w:tabs>
              <w:spacing w:before="240"/>
              <w:rPr>
                <w:rFonts w:ascii="Arial" w:hAnsi="Arial" w:cs="Arial"/>
              </w:rPr>
            </w:pPr>
            <w:r w:rsidRPr="003A7808">
              <w:rPr>
                <w:rFonts w:ascii="Arial" w:hAnsi="Arial" w:cs="Arial"/>
              </w:rPr>
              <w:lastRenderedPageBreak/>
              <w:t>Pawson, R. and Tilley, N. (1997)</w:t>
            </w:r>
            <w:r w:rsidRPr="003A7808">
              <w:rPr>
                <w:rFonts w:ascii="Arial" w:hAnsi="Arial" w:cs="Arial"/>
                <w:i/>
                <w:iCs/>
              </w:rPr>
              <w:t xml:space="preserve"> Realistic </w:t>
            </w:r>
            <w:r w:rsidR="00404775" w:rsidRPr="003A7808">
              <w:rPr>
                <w:rFonts w:ascii="Arial" w:hAnsi="Arial" w:cs="Arial"/>
                <w:i/>
                <w:iCs/>
              </w:rPr>
              <w:t>Evaluation</w:t>
            </w:r>
            <w:r w:rsidR="00404775" w:rsidRPr="003A7808">
              <w:rPr>
                <w:rFonts w:ascii="Arial" w:hAnsi="Arial" w:cs="Arial"/>
              </w:rPr>
              <w:t>. London</w:t>
            </w:r>
            <w:r w:rsidRPr="003A7808">
              <w:rPr>
                <w:rFonts w:ascii="Arial" w:hAnsi="Arial" w:cs="Arial"/>
              </w:rPr>
              <w:t>: SAGE Publications.  </w:t>
            </w:r>
          </w:p>
        </w:tc>
      </w:tr>
      <w:tr w:rsidR="003A7808" w:rsidRPr="003A7808" w14:paraId="0EAB0039" w14:textId="77777777" w:rsidTr="0087672C">
        <w:trPr>
          <w:trHeight w:val="310"/>
        </w:trPr>
        <w:tc>
          <w:tcPr>
            <w:tcW w:w="10348" w:type="dxa"/>
            <w:noWrap/>
            <w:vAlign w:val="bottom"/>
            <w:hideMark/>
          </w:tcPr>
          <w:p w14:paraId="34251BDF"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Price Waterhouse Change Integration Team (1995). </w:t>
            </w:r>
            <w:r w:rsidRPr="003A7808">
              <w:rPr>
                <w:rFonts w:ascii="Arial" w:hAnsi="Arial" w:cs="Arial"/>
                <w:i/>
                <w:iCs/>
              </w:rPr>
              <w:t>Better Change: Best Practices for transforming your organisation</w:t>
            </w:r>
            <w:r w:rsidRPr="003A7808">
              <w:rPr>
                <w:rFonts w:ascii="Arial" w:hAnsi="Arial" w:cs="Arial"/>
              </w:rPr>
              <w:t>. New York: Irwin Professional Publishing.</w:t>
            </w:r>
          </w:p>
        </w:tc>
      </w:tr>
      <w:tr w:rsidR="003A7808" w:rsidRPr="003A7808" w14:paraId="5D64B5AF" w14:textId="77777777" w:rsidTr="0087672C">
        <w:trPr>
          <w:trHeight w:val="310"/>
        </w:trPr>
        <w:tc>
          <w:tcPr>
            <w:tcW w:w="10348" w:type="dxa"/>
            <w:noWrap/>
            <w:vAlign w:val="bottom"/>
            <w:hideMark/>
          </w:tcPr>
          <w:p w14:paraId="513445C0" w14:textId="272DEB9D" w:rsidR="003A7808" w:rsidRPr="003A7808" w:rsidRDefault="003A7808" w:rsidP="0087672C">
            <w:pPr>
              <w:tabs>
                <w:tab w:val="left" w:pos="0"/>
              </w:tabs>
              <w:spacing w:before="240"/>
              <w:rPr>
                <w:rFonts w:ascii="Arial" w:hAnsi="Arial" w:cs="Arial"/>
              </w:rPr>
            </w:pPr>
            <w:r w:rsidRPr="003A7808">
              <w:rPr>
                <w:rFonts w:ascii="Arial" w:hAnsi="Arial" w:cs="Arial"/>
              </w:rPr>
              <w:t xml:space="preserve">Raelin, Joseph A. (2008) </w:t>
            </w:r>
            <w:r w:rsidRPr="003A7808">
              <w:rPr>
                <w:rFonts w:ascii="Arial" w:hAnsi="Arial" w:cs="Arial"/>
                <w:i/>
                <w:iCs/>
              </w:rPr>
              <w:t>Work-based learning: bridging knowledge and action in the workplace.</w:t>
            </w:r>
            <w:r w:rsidRPr="003A7808">
              <w:rPr>
                <w:rFonts w:ascii="Arial" w:hAnsi="Arial" w:cs="Arial"/>
              </w:rPr>
              <w:t xml:space="preserve"> San </w:t>
            </w:r>
            <w:r w:rsidR="00404775" w:rsidRPr="003A7808">
              <w:rPr>
                <w:rFonts w:ascii="Arial" w:hAnsi="Arial" w:cs="Arial"/>
              </w:rPr>
              <w:t>Francisco</w:t>
            </w:r>
            <w:r w:rsidRPr="003A7808">
              <w:rPr>
                <w:rFonts w:ascii="Arial" w:hAnsi="Arial" w:cs="Arial"/>
              </w:rPr>
              <w:t>. Jossey-Bass.</w:t>
            </w:r>
          </w:p>
        </w:tc>
      </w:tr>
      <w:tr w:rsidR="003A7808" w:rsidRPr="003A7808" w14:paraId="7E9FCEFE" w14:textId="77777777" w:rsidTr="0087672C">
        <w:trPr>
          <w:trHeight w:val="310"/>
        </w:trPr>
        <w:tc>
          <w:tcPr>
            <w:tcW w:w="10348" w:type="dxa"/>
            <w:noWrap/>
            <w:vAlign w:val="bottom"/>
            <w:hideMark/>
          </w:tcPr>
          <w:p w14:paraId="7B9AD9BB"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Rousseau, D.M. (2018). Evidence-Based Management in Healthcare: Bridging the Research-Practice Gap. </w:t>
            </w:r>
            <w:r w:rsidRPr="003A7808">
              <w:rPr>
                <w:rFonts w:ascii="Arial" w:hAnsi="Arial" w:cs="Arial"/>
                <w:i/>
                <w:iCs/>
              </w:rPr>
              <w:t>Academy of Management Perspectives</w:t>
            </w:r>
            <w:r w:rsidRPr="003A7808">
              <w:rPr>
                <w:rFonts w:ascii="Arial" w:hAnsi="Arial" w:cs="Arial"/>
              </w:rPr>
              <w:t>, 32(1), 25-40.</w:t>
            </w:r>
          </w:p>
        </w:tc>
      </w:tr>
      <w:tr w:rsidR="003A7808" w:rsidRPr="003A7808" w14:paraId="2BB15004" w14:textId="77777777" w:rsidTr="0087672C">
        <w:trPr>
          <w:trHeight w:val="310"/>
        </w:trPr>
        <w:tc>
          <w:tcPr>
            <w:tcW w:w="10348" w:type="dxa"/>
            <w:noWrap/>
            <w:vAlign w:val="bottom"/>
            <w:hideMark/>
          </w:tcPr>
          <w:p w14:paraId="53D4F469"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Russell, C. (2020) </w:t>
            </w:r>
            <w:r w:rsidRPr="003A7808">
              <w:rPr>
                <w:rFonts w:ascii="Arial" w:hAnsi="Arial" w:cs="Arial"/>
                <w:i/>
                <w:iCs/>
              </w:rPr>
              <w:t xml:space="preserve">Rekindling Democracy: A Professional's Guide to Working in Citizen Space. </w:t>
            </w:r>
            <w:r w:rsidRPr="003A7808">
              <w:rPr>
                <w:rFonts w:ascii="Arial" w:hAnsi="Arial" w:cs="Arial"/>
              </w:rPr>
              <w:t>London: Wipf &amp; Stock Publishers.</w:t>
            </w:r>
          </w:p>
        </w:tc>
      </w:tr>
      <w:tr w:rsidR="003A7808" w:rsidRPr="003A7808" w14:paraId="4FABBB96" w14:textId="77777777" w:rsidTr="0087672C">
        <w:trPr>
          <w:trHeight w:val="310"/>
        </w:trPr>
        <w:tc>
          <w:tcPr>
            <w:tcW w:w="10348" w:type="dxa"/>
            <w:noWrap/>
            <w:vAlign w:val="bottom"/>
            <w:hideMark/>
          </w:tcPr>
          <w:p w14:paraId="4C576432"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Sadri, G. (2012) ‘Emotional Intelligence and Leadership Development’, </w:t>
            </w:r>
            <w:r w:rsidRPr="003A7808">
              <w:rPr>
                <w:rFonts w:ascii="Arial" w:hAnsi="Arial" w:cs="Arial"/>
                <w:i/>
                <w:iCs/>
              </w:rPr>
              <w:t xml:space="preserve">Public personnel management. </w:t>
            </w:r>
            <w:r w:rsidRPr="003A7808">
              <w:rPr>
                <w:rFonts w:ascii="Arial" w:hAnsi="Arial" w:cs="Arial"/>
              </w:rPr>
              <w:t>Los Angeles, CA: SAGE Publications, 41(3), pp. 535–548. doi: 10.1177/009102601204100308.</w:t>
            </w:r>
          </w:p>
        </w:tc>
      </w:tr>
      <w:tr w:rsidR="003A7808" w:rsidRPr="003A7808" w14:paraId="14905FEB" w14:textId="77777777" w:rsidTr="0087672C">
        <w:trPr>
          <w:trHeight w:val="310"/>
        </w:trPr>
        <w:tc>
          <w:tcPr>
            <w:tcW w:w="10348" w:type="dxa"/>
            <w:noWrap/>
            <w:vAlign w:val="bottom"/>
            <w:hideMark/>
          </w:tcPr>
          <w:p w14:paraId="0A485924" w14:textId="77777777" w:rsidR="003A7808" w:rsidRPr="003A7808" w:rsidRDefault="003A7808" w:rsidP="0087672C">
            <w:pPr>
              <w:tabs>
                <w:tab w:val="left" w:pos="0"/>
              </w:tabs>
              <w:spacing w:before="240"/>
              <w:rPr>
                <w:rFonts w:ascii="Arial" w:hAnsi="Arial" w:cs="Arial"/>
              </w:rPr>
            </w:pPr>
            <w:r w:rsidRPr="003A7808">
              <w:rPr>
                <w:rFonts w:ascii="Arial" w:hAnsi="Arial" w:cs="Arial"/>
              </w:rPr>
              <w:t>Saunders, M., Lewis, P. and Thornhill, A. (2019)</w:t>
            </w:r>
            <w:r w:rsidRPr="003A7808">
              <w:rPr>
                <w:rFonts w:ascii="Arial" w:hAnsi="Arial" w:cs="Arial"/>
                <w:i/>
                <w:iCs/>
              </w:rPr>
              <w:t xml:space="preserve"> Research Methods for Business Students</w:t>
            </w:r>
            <w:r w:rsidRPr="003A7808">
              <w:rPr>
                <w:rFonts w:ascii="Arial" w:hAnsi="Arial" w:cs="Arial"/>
              </w:rPr>
              <w:t>. 8th edition. Harlow: Pearson.  </w:t>
            </w:r>
          </w:p>
        </w:tc>
      </w:tr>
      <w:tr w:rsidR="003A7808" w:rsidRPr="003A7808" w14:paraId="38FF1F44" w14:textId="77777777" w:rsidTr="0087672C">
        <w:trPr>
          <w:trHeight w:val="310"/>
        </w:trPr>
        <w:tc>
          <w:tcPr>
            <w:tcW w:w="10348" w:type="dxa"/>
            <w:noWrap/>
            <w:vAlign w:val="bottom"/>
            <w:hideMark/>
          </w:tcPr>
          <w:p w14:paraId="01BC89CD"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Schaap, P. and Dippenaar, M. (2017) ‘The impact of coaching on the emotional and social intelligence competencies of leaders’, </w:t>
            </w:r>
            <w:r w:rsidRPr="003A7808">
              <w:rPr>
                <w:rFonts w:ascii="Arial" w:hAnsi="Arial" w:cs="Arial"/>
                <w:i/>
                <w:iCs/>
              </w:rPr>
              <w:t>South African journal of economic and management sciences</w:t>
            </w:r>
            <w:r w:rsidRPr="003A7808">
              <w:rPr>
                <w:rFonts w:ascii="Arial" w:hAnsi="Arial" w:cs="Arial"/>
              </w:rPr>
              <w:t>. Pretoria: AOSIS, 20(1), pp. 1–16. doi: 10.4102/sajems.v20i1.1460.</w:t>
            </w:r>
          </w:p>
        </w:tc>
      </w:tr>
      <w:tr w:rsidR="003A7808" w:rsidRPr="003A7808" w14:paraId="18B8DB7A" w14:textId="77777777" w:rsidTr="0087672C">
        <w:trPr>
          <w:trHeight w:val="310"/>
        </w:trPr>
        <w:tc>
          <w:tcPr>
            <w:tcW w:w="10348" w:type="dxa"/>
            <w:noWrap/>
            <w:vAlign w:val="bottom"/>
            <w:hideMark/>
          </w:tcPr>
          <w:p w14:paraId="2E5F4A79"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Schön, D.A. (1983). </w:t>
            </w:r>
            <w:r w:rsidRPr="003A7808">
              <w:rPr>
                <w:rFonts w:ascii="Arial" w:hAnsi="Arial" w:cs="Arial"/>
                <w:i/>
                <w:iCs/>
              </w:rPr>
              <w:t>The Reflective Practitioner: How Professionals Think in Action</w:t>
            </w:r>
            <w:r w:rsidRPr="003A7808">
              <w:rPr>
                <w:rFonts w:ascii="Arial" w:hAnsi="Arial" w:cs="Arial"/>
              </w:rPr>
              <w:t>. London: Routledge.</w:t>
            </w:r>
          </w:p>
        </w:tc>
      </w:tr>
      <w:tr w:rsidR="003A7808" w:rsidRPr="003A7808" w14:paraId="57677B6F" w14:textId="77777777" w:rsidTr="0087672C">
        <w:trPr>
          <w:trHeight w:val="310"/>
        </w:trPr>
        <w:tc>
          <w:tcPr>
            <w:tcW w:w="10348" w:type="dxa"/>
            <w:noWrap/>
            <w:vAlign w:val="bottom"/>
            <w:hideMark/>
          </w:tcPr>
          <w:p w14:paraId="06C890CB"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Senge, P.M. (1990). </w:t>
            </w:r>
            <w:r w:rsidRPr="003A7808">
              <w:rPr>
                <w:rFonts w:ascii="Arial" w:hAnsi="Arial" w:cs="Arial"/>
                <w:i/>
                <w:iCs/>
              </w:rPr>
              <w:t>The Fifth Discipline: The Art and Practice of the Learning Organization. New</w:t>
            </w:r>
            <w:r w:rsidRPr="003A7808">
              <w:rPr>
                <w:rFonts w:ascii="Arial" w:hAnsi="Arial" w:cs="Arial"/>
              </w:rPr>
              <w:t xml:space="preserve"> York: Doubleday/Currency.</w:t>
            </w:r>
          </w:p>
        </w:tc>
      </w:tr>
      <w:tr w:rsidR="003A7808" w:rsidRPr="003A7808" w14:paraId="228461CF" w14:textId="77777777" w:rsidTr="0087672C">
        <w:trPr>
          <w:trHeight w:val="310"/>
        </w:trPr>
        <w:tc>
          <w:tcPr>
            <w:tcW w:w="10348" w:type="dxa"/>
            <w:noWrap/>
            <w:vAlign w:val="bottom"/>
            <w:hideMark/>
          </w:tcPr>
          <w:p w14:paraId="37F73A4D" w14:textId="77777777" w:rsidR="003A7808" w:rsidRPr="003A7808" w:rsidRDefault="003A7808" w:rsidP="0087672C">
            <w:pPr>
              <w:tabs>
                <w:tab w:val="left" w:pos="0"/>
              </w:tabs>
              <w:spacing w:before="240"/>
              <w:rPr>
                <w:rFonts w:ascii="Arial" w:hAnsi="Arial" w:cs="Arial"/>
              </w:rPr>
            </w:pPr>
            <w:r w:rsidRPr="003A7808">
              <w:rPr>
                <w:rFonts w:ascii="Arial" w:hAnsi="Arial" w:cs="Arial"/>
              </w:rPr>
              <w:t>Shirley, D.L. (2020) </w:t>
            </w:r>
            <w:r w:rsidRPr="003A7808">
              <w:rPr>
                <w:rFonts w:ascii="Arial" w:hAnsi="Arial" w:cs="Arial"/>
                <w:i/>
                <w:iCs/>
              </w:rPr>
              <w:t>Project management for healthcare</w:t>
            </w:r>
            <w:r w:rsidRPr="003A7808">
              <w:rPr>
                <w:rFonts w:ascii="Arial" w:hAnsi="Arial" w:cs="Arial"/>
              </w:rPr>
              <w:t>. Second edition. Boca Raton: CRC Press, Taylor &amp; Francis Group.</w:t>
            </w:r>
          </w:p>
        </w:tc>
      </w:tr>
      <w:tr w:rsidR="003A7808" w:rsidRPr="003A7808" w14:paraId="2D8F2C61" w14:textId="77777777" w:rsidTr="0087672C">
        <w:trPr>
          <w:trHeight w:val="310"/>
        </w:trPr>
        <w:tc>
          <w:tcPr>
            <w:tcW w:w="10348" w:type="dxa"/>
            <w:noWrap/>
            <w:vAlign w:val="bottom"/>
            <w:hideMark/>
          </w:tcPr>
          <w:p w14:paraId="4BA900C4"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Singh, D. (2006). </w:t>
            </w:r>
            <w:r w:rsidRPr="003A7808">
              <w:rPr>
                <w:rFonts w:ascii="Arial" w:hAnsi="Arial" w:cs="Arial"/>
                <w:i/>
                <w:iCs/>
              </w:rPr>
              <w:t>Emotional intelligence at work a professional guide (3rd ed.).</w:t>
            </w:r>
            <w:r w:rsidRPr="003A7808">
              <w:rPr>
                <w:rFonts w:ascii="Arial" w:hAnsi="Arial" w:cs="Arial"/>
              </w:rPr>
              <w:t xml:space="preserve"> New Delhi: Response Books.</w:t>
            </w:r>
          </w:p>
        </w:tc>
      </w:tr>
      <w:tr w:rsidR="003A7808" w:rsidRPr="003A7808" w14:paraId="521E8DFD" w14:textId="77777777" w:rsidTr="0087672C">
        <w:trPr>
          <w:trHeight w:val="310"/>
        </w:trPr>
        <w:tc>
          <w:tcPr>
            <w:tcW w:w="10348" w:type="dxa"/>
            <w:noWrap/>
            <w:vAlign w:val="bottom"/>
            <w:hideMark/>
          </w:tcPr>
          <w:p w14:paraId="68A6628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Skills for Health (2014) </w:t>
            </w:r>
            <w:r w:rsidRPr="003A7808">
              <w:rPr>
                <w:rFonts w:ascii="Arial" w:hAnsi="Arial" w:cs="Arial"/>
                <w:i/>
                <w:iCs/>
              </w:rPr>
              <w:t>Six Steps Methodology to Integrated Workforce Planning</w:t>
            </w:r>
            <w:r w:rsidRPr="003A7808">
              <w:rPr>
                <w:rFonts w:ascii="Arial" w:hAnsi="Arial" w:cs="Arial"/>
              </w:rPr>
              <w:t>. London: Skills for Health.  </w:t>
            </w:r>
          </w:p>
        </w:tc>
      </w:tr>
      <w:tr w:rsidR="003A7808" w:rsidRPr="003A7808" w14:paraId="40E72051" w14:textId="77777777" w:rsidTr="0087672C">
        <w:trPr>
          <w:trHeight w:val="310"/>
        </w:trPr>
        <w:tc>
          <w:tcPr>
            <w:tcW w:w="10348" w:type="dxa"/>
            <w:noWrap/>
            <w:vAlign w:val="bottom"/>
            <w:hideMark/>
          </w:tcPr>
          <w:p w14:paraId="7939FE8B"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Skovholt, T.M. and Trotter-Mathison, M. (2025) </w:t>
            </w:r>
            <w:r w:rsidRPr="003A7808">
              <w:rPr>
                <w:rFonts w:ascii="Arial" w:hAnsi="Arial" w:cs="Arial"/>
                <w:i/>
                <w:iCs/>
              </w:rPr>
              <w:t>The resilient practitioner : burnout and compassion fatigue prevention and self-care strategies for the helping professions</w:t>
            </w:r>
            <w:r w:rsidRPr="003A7808">
              <w:rPr>
                <w:rFonts w:ascii="Arial" w:hAnsi="Arial" w:cs="Arial"/>
              </w:rPr>
              <w:t>. Fourth edition. New York, NY: Routledge.</w:t>
            </w:r>
          </w:p>
        </w:tc>
      </w:tr>
      <w:tr w:rsidR="003A7808" w:rsidRPr="003A7808" w14:paraId="23326FF6" w14:textId="77777777" w:rsidTr="0087672C">
        <w:trPr>
          <w:trHeight w:val="310"/>
        </w:trPr>
        <w:tc>
          <w:tcPr>
            <w:tcW w:w="10348" w:type="dxa"/>
            <w:noWrap/>
            <w:vAlign w:val="bottom"/>
            <w:hideMark/>
          </w:tcPr>
          <w:p w14:paraId="7DCFAD25"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Smith, L. W. (2000). Stakeholder analysis: a pivotal practice of successful projects. Paper presented at Project Management Institute Annual Seminars &amp; Symposium, Houston, TX. Newtown Square, PA: Project Management Institute. </w:t>
            </w:r>
          </w:p>
        </w:tc>
      </w:tr>
      <w:tr w:rsidR="003A7808" w:rsidRPr="003A7808" w14:paraId="085C98A9" w14:textId="77777777" w:rsidTr="0087672C">
        <w:trPr>
          <w:trHeight w:val="310"/>
        </w:trPr>
        <w:tc>
          <w:tcPr>
            <w:tcW w:w="10348" w:type="dxa"/>
            <w:noWrap/>
            <w:vAlign w:val="bottom"/>
            <w:hideMark/>
          </w:tcPr>
          <w:p w14:paraId="60FDEC3C" w14:textId="77777777" w:rsidR="003A7808" w:rsidRPr="003A7808" w:rsidRDefault="003A7808" w:rsidP="0087672C">
            <w:pPr>
              <w:tabs>
                <w:tab w:val="left" w:pos="0"/>
              </w:tabs>
              <w:spacing w:before="240"/>
              <w:rPr>
                <w:rFonts w:ascii="Arial" w:hAnsi="Arial" w:cs="Arial"/>
              </w:rPr>
            </w:pPr>
            <w:r w:rsidRPr="003A7808">
              <w:rPr>
                <w:rFonts w:ascii="Arial" w:hAnsi="Arial" w:cs="Arial"/>
              </w:rPr>
              <w:lastRenderedPageBreak/>
              <w:t xml:space="preserve">Smith, R. (2000). 'Project Stakeholder Management', </w:t>
            </w:r>
            <w:r w:rsidRPr="003A7808">
              <w:rPr>
                <w:rFonts w:ascii="Arial" w:hAnsi="Arial" w:cs="Arial"/>
                <w:i/>
                <w:iCs/>
              </w:rPr>
              <w:t>PM World Journal</w:t>
            </w:r>
            <w:r w:rsidRPr="003A7808">
              <w:rPr>
                <w:rFonts w:ascii="Arial" w:hAnsi="Arial" w:cs="Arial"/>
              </w:rPr>
              <w:t>, 1(1), pp. 15–21.</w:t>
            </w:r>
          </w:p>
        </w:tc>
      </w:tr>
      <w:tr w:rsidR="003A7808" w:rsidRPr="003A7808" w14:paraId="718E8587" w14:textId="77777777" w:rsidTr="0087672C">
        <w:trPr>
          <w:trHeight w:val="310"/>
        </w:trPr>
        <w:tc>
          <w:tcPr>
            <w:tcW w:w="10348" w:type="dxa"/>
            <w:noWrap/>
            <w:vAlign w:val="bottom"/>
            <w:hideMark/>
          </w:tcPr>
          <w:p w14:paraId="63593D3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Sparkman, R. (2018). </w:t>
            </w:r>
            <w:r w:rsidRPr="003A7808">
              <w:rPr>
                <w:rFonts w:ascii="Arial" w:hAnsi="Arial" w:cs="Arial"/>
                <w:i/>
                <w:iCs/>
              </w:rPr>
              <w:t>Strategic Workforce Planning: Developing Optimized Talent Strategies for Future Growth</w:t>
            </w:r>
            <w:r w:rsidRPr="003A7808">
              <w:rPr>
                <w:rFonts w:ascii="Arial" w:hAnsi="Arial" w:cs="Arial"/>
              </w:rPr>
              <w:t>. London: Kogan Page.</w:t>
            </w:r>
          </w:p>
        </w:tc>
      </w:tr>
      <w:tr w:rsidR="003A7808" w:rsidRPr="003A7808" w14:paraId="7D47C991" w14:textId="77777777" w:rsidTr="0087672C">
        <w:trPr>
          <w:trHeight w:val="310"/>
        </w:trPr>
        <w:tc>
          <w:tcPr>
            <w:tcW w:w="10348" w:type="dxa"/>
            <w:noWrap/>
            <w:vAlign w:val="bottom"/>
            <w:hideMark/>
          </w:tcPr>
          <w:p w14:paraId="03A57360"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The Health Foundation (2022) </w:t>
            </w:r>
            <w:r w:rsidRPr="003A7808">
              <w:rPr>
                <w:rFonts w:ascii="Arial" w:hAnsi="Arial" w:cs="Arial"/>
                <w:i/>
                <w:iCs/>
              </w:rPr>
              <w:t>REAL Centre Projections: NHS workforce projections 2022</w:t>
            </w:r>
            <w:r w:rsidRPr="003A7808">
              <w:rPr>
                <w:rFonts w:ascii="Arial" w:hAnsi="Arial" w:cs="Arial"/>
              </w:rPr>
              <w:t>. London: Health Foundation.</w:t>
            </w:r>
          </w:p>
        </w:tc>
      </w:tr>
      <w:tr w:rsidR="003A7808" w:rsidRPr="003A7808" w14:paraId="7135978D" w14:textId="77777777" w:rsidTr="0087672C">
        <w:trPr>
          <w:trHeight w:val="310"/>
        </w:trPr>
        <w:tc>
          <w:tcPr>
            <w:tcW w:w="10348" w:type="dxa"/>
            <w:noWrap/>
            <w:vAlign w:val="bottom"/>
            <w:hideMark/>
          </w:tcPr>
          <w:p w14:paraId="460CB982" w14:textId="77777777" w:rsidR="003A7808" w:rsidRPr="003A7808" w:rsidRDefault="003A7808" w:rsidP="0087672C">
            <w:pPr>
              <w:tabs>
                <w:tab w:val="left" w:pos="0"/>
              </w:tabs>
              <w:spacing w:before="240"/>
              <w:rPr>
                <w:rFonts w:ascii="Arial" w:hAnsi="Arial" w:cs="Arial"/>
              </w:rPr>
            </w:pPr>
            <w:r w:rsidRPr="003A7808">
              <w:rPr>
                <w:rFonts w:ascii="Arial" w:hAnsi="Arial" w:cs="Arial"/>
              </w:rPr>
              <w:t>Thomas Howard Morris (2020) Experiential learning – a systematic review and revision of Kolb’s model, Interactive Learning Environments, 28:8, 1064-1077, DOI: 10.1080/10494820.2019.1570279.</w:t>
            </w:r>
          </w:p>
        </w:tc>
      </w:tr>
      <w:tr w:rsidR="003A7808" w:rsidRPr="003A7808" w14:paraId="20FDF5B1" w14:textId="77777777" w:rsidTr="0087672C">
        <w:trPr>
          <w:trHeight w:val="310"/>
        </w:trPr>
        <w:tc>
          <w:tcPr>
            <w:tcW w:w="10348" w:type="dxa"/>
            <w:noWrap/>
            <w:vAlign w:val="bottom"/>
            <w:hideMark/>
          </w:tcPr>
          <w:p w14:paraId="3003E892"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Walkenbach, J. (2019). </w:t>
            </w:r>
            <w:r w:rsidRPr="003A7808">
              <w:rPr>
                <w:rFonts w:ascii="Arial" w:hAnsi="Arial" w:cs="Arial"/>
                <w:i/>
                <w:iCs/>
              </w:rPr>
              <w:t>Excel Power Programming with VBA</w:t>
            </w:r>
            <w:r w:rsidRPr="003A7808">
              <w:rPr>
                <w:rFonts w:ascii="Arial" w:hAnsi="Arial" w:cs="Arial"/>
              </w:rPr>
              <w:t>. Wiley.</w:t>
            </w:r>
          </w:p>
        </w:tc>
      </w:tr>
      <w:tr w:rsidR="003A7808" w:rsidRPr="003A7808" w14:paraId="7FDB1FC6" w14:textId="77777777" w:rsidTr="0087672C">
        <w:trPr>
          <w:trHeight w:val="310"/>
        </w:trPr>
        <w:tc>
          <w:tcPr>
            <w:tcW w:w="10348" w:type="dxa"/>
            <w:noWrap/>
            <w:vAlign w:val="bottom"/>
            <w:hideMark/>
          </w:tcPr>
          <w:p w14:paraId="49C75A2C"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Wall, B. (2007) </w:t>
            </w:r>
            <w:r w:rsidRPr="003A7808">
              <w:rPr>
                <w:rFonts w:ascii="Arial" w:hAnsi="Arial" w:cs="Arial"/>
                <w:i/>
                <w:iCs/>
              </w:rPr>
              <w:t>Coaching for emotional intelligence: The secret to developing the star potential in your employees</w:t>
            </w:r>
            <w:r w:rsidRPr="003A7808">
              <w:rPr>
                <w:rFonts w:ascii="Arial" w:hAnsi="Arial" w:cs="Arial"/>
              </w:rPr>
              <w:t>. 1st ed. Saranac Lake: American Management Association.</w:t>
            </w:r>
          </w:p>
        </w:tc>
      </w:tr>
      <w:tr w:rsidR="003A7808" w:rsidRPr="003A7808" w14:paraId="18E91E73" w14:textId="77777777" w:rsidTr="0087672C">
        <w:trPr>
          <w:trHeight w:val="310"/>
        </w:trPr>
        <w:tc>
          <w:tcPr>
            <w:tcW w:w="10348" w:type="dxa"/>
            <w:noWrap/>
            <w:vAlign w:val="bottom"/>
            <w:hideMark/>
          </w:tcPr>
          <w:p w14:paraId="145EEE50"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Weisinger, H. (1998) </w:t>
            </w:r>
            <w:r w:rsidRPr="003A7808">
              <w:rPr>
                <w:rFonts w:ascii="Arial" w:hAnsi="Arial" w:cs="Arial"/>
                <w:i/>
                <w:iCs/>
              </w:rPr>
              <w:t>Emotional Intelligence at Work</w:t>
            </w:r>
            <w:r w:rsidRPr="003A7808">
              <w:rPr>
                <w:rFonts w:ascii="Arial" w:hAnsi="Arial" w:cs="Arial"/>
              </w:rPr>
              <w:t>. San Francisco :Jossey-Bass Publishers.</w:t>
            </w:r>
          </w:p>
        </w:tc>
      </w:tr>
      <w:tr w:rsidR="003A7808" w:rsidRPr="003A7808" w14:paraId="73990508" w14:textId="77777777" w:rsidTr="0087672C">
        <w:trPr>
          <w:trHeight w:val="310"/>
        </w:trPr>
        <w:tc>
          <w:tcPr>
            <w:tcW w:w="10348" w:type="dxa"/>
            <w:noWrap/>
            <w:vAlign w:val="bottom"/>
            <w:hideMark/>
          </w:tcPr>
          <w:p w14:paraId="4241DBC6"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Welsh Government (2018) </w:t>
            </w:r>
            <w:r w:rsidRPr="003A7808">
              <w:rPr>
                <w:rFonts w:ascii="Arial" w:hAnsi="Arial" w:cs="Arial"/>
                <w:i/>
                <w:iCs/>
              </w:rPr>
              <w:t>A Healthier Wales: Our Plan for Health and Social Care</w:t>
            </w:r>
            <w:r w:rsidRPr="003A7808">
              <w:rPr>
                <w:rFonts w:ascii="Arial" w:hAnsi="Arial" w:cs="Arial"/>
              </w:rPr>
              <w:t>. Cardiff: Welsh Government.</w:t>
            </w:r>
          </w:p>
        </w:tc>
      </w:tr>
      <w:tr w:rsidR="003A7808" w:rsidRPr="003A7808" w14:paraId="7F936F82" w14:textId="77777777" w:rsidTr="0087672C">
        <w:trPr>
          <w:trHeight w:val="310"/>
        </w:trPr>
        <w:tc>
          <w:tcPr>
            <w:tcW w:w="10348" w:type="dxa"/>
            <w:noWrap/>
            <w:vAlign w:val="bottom"/>
            <w:hideMark/>
          </w:tcPr>
          <w:p w14:paraId="5062F665" w14:textId="77777777" w:rsidR="003A7808" w:rsidRPr="003A7808" w:rsidRDefault="003A7808" w:rsidP="0087672C">
            <w:pPr>
              <w:tabs>
                <w:tab w:val="left" w:pos="0"/>
              </w:tabs>
              <w:spacing w:before="240"/>
              <w:rPr>
                <w:rFonts w:ascii="Arial" w:hAnsi="Arial" w:cs="Arial"/>
              </w:rPr>
            </w:pPr>
            <w:r w:rsidRPr="003A7808">
              <w:rPr>
                <w:rFonts w:ascii="Arial" w:hAnsi="Arial" w:cs="Arial"/>
              </w:rPr>
              <w:t>Welsh Government. (2023). </w:t>
            </w:r>
            <w:r w:rsidRPr="003A7808">
              <w:rPr>
                <w:rFonts w:ascii="Arial" w:hAnsi="Arial" w:cs="Arial"/>
                <w:i/>
                <w:iCs/>
              </w:rPr>
              <w:t>National Workforce Implementation Plan: Addressing NHS Wales Workforce Challenges</w:t>
            </w:r>
            <w:r w:rsidRPr="003A7808">
              <w:rPr>
                <w:rFonts w:ascii="Arial" w:hAnsi="Arial" w:cs="Arial"/>
              </w:rPr>
              <w:t>. Available at: https://www.gov.wales/sites/default/files/publications/2023-01/national-workforce-implementation-plan.pdf [Accessed 9 Mar. 2025].</w:t>
            </w:r>
          </w:p>
        </w:tc>
      </w:tr>
      <w:tr w:rsidR="003A7808" w:rsidRPr="003A7808" w14:paraId="1AD8DB31" w14:textId="77777777" w:rsidTr="0087672C">
        <w:trPr>
          <w:trHeight w:val="310"/>
        </w:trPr>
        <w:tc>
          <w:tcPr>
            <w:tcW w:w="10348" w:type="dxa"/>
            <w:noWrap/>
            <w:vAlign w:val="bottom"/>
            <w:hideMark/>
          </w:tcPr>
          <w:p w14:paraId="5629C0D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Weng, H.-C. et al. (2008) ‘Doctors’ emotional intelligence and the patient-doctor relationship’, </w:t>
            </w:r>
            <w:r w:rsidRPr="003A7808">
              <w:rPr>
                <w:rFonts w:ascii="Arial" w:hAnsi="Arial" w:cs="Arial"/>
                <w:i/>
                <w:iCs/>
              </w:rPr>
              <w:t>Medical education</w:t>
            </w:r>
            <w:r w:rsidRPr="003A7808">
              <w:rPr>
                <w:rFonts w:ascii="Arial" w:hAnsi="Arial" w:cs="Arial"/>
              </w:rPr>
              <w:t>. Received 10 July 2007, editorial comments to authors 27 September 2007; accepted for publication 5 December 2007. Oxford, UK: Blackwell Publishing Ltd, 42(7), pp. 703–711. doi: 10.1111/j.1365-2923.2008.03039.x.</w:t>
            </w:r>
          </w:p>
        </w:tc>
      </w:tr>
      <w:tr w:rsidR="003A7808" w:rsidRPr="003A7808" w14:paraId="028652D5" w14:textId="77777777" w:rsidTr="0087672C">
        <w:trPr>
          <w:trHeight w:val="310"/>
        </w:trPr>
        <w:tc>
          <w:tcPr>
            <w:tcW w:w="10348" w:type="dxa"/>
            <w:noWrap/>
            <w:vAlign w:val="bottom"/>
            <w:hideMark/>
          </w:tcPr>
          <w:p w14:paraId="0C5DB8C7"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Wenger, E. (1998). </w:t>
            </w:r>
            <w:r w:rsidRPr="003A7808">
              <w:rPr>
                <w:rFonts w:ascii="Arial" w:hAnsi="Arial" w:cs="Arial"/>
                <w:i/>
                <w:iCs/>
              </w:rPr>
              <w:t>Communities of practice: Learning, meaning and identity</w:t>
            </w:r>
            <w:r w:rsidRPr="003A7808">
              <w:rPr>
                <w:rFonts w:ascii="Arial" w:hAnsi="Arial" w:cs="Arial"/>
              </w:rPr>
              <w:t>. Cambridge, UK: Cambridge University Press</w:t>
            </w:r>
          </w:p>
        </w:tc>
      </w:tr>
      <w:tr w:rsidR="003A7808" w:rsidRPr="003A7808" w14:paraId="6F613983" w14:textId="77777777" w:rsidTr="0087672C">
        <w:trPr>
          <w:trHeight w:val="310"/>
        </w:trPr>
        <w:tc>
          <w:tcPr>
            <w:tcW w:w="10348" w:type="dxa"/>
            <w:noWrap/>
            <w:vAlign w:val="bottom"/>
            <w:hideMark/>
          </w:tcPr>
          <w:p w14:paraId="7624731E"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West, C. (2020) </w:t>
            </w:r>
            <w:r w:rsidRPr="003A7808">
              <w:rPr>
                <w:rFonts w:ascii="Arial" w:hAnsi="Arial" w:cs="Arial"/>
                <w:i/>
                <w:iCs/>
              </w:rPr>
              <w:t>The Karpman Drama Triangle Explained: A guide for Coaches, Managers, Trainers, Therapists and Everybody Else</w:t>
            </w:r>
            <w:r w:rsidRPr="003A7808">
              <w:rPr>
                <w:rFonts w:ascii="Arial" w:hAnsi="Arial" w:cs="Arial"/>
              </w:rPr>
              <w:t>. UK: CWTK Publications.</w:t>
            </w:r>
          </w:p>
        </w:tc>
      </w:tr>
      <w:tr w:rsidR="003A7808" w:rsidRPr="003A7808" w14:paraId="0E98C408" w14:textId="77777777" w:rsidTr="0087672C">
        <w:trPr>
          <w:trHeight w:val="310"/>
        </w:trPr>
        <w:tc>
          <w:tcPr>
            <w:tcW w:w="10348" w:type="dxa"/>
            <w:noWrap/>
            <w:vAlign w:val="bottom"/>
            <w:hideMark/>
          </w:tcPr>
          <w:p w14:paraId="7FE851D8"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WHO (2020). </w:t>
            </w:r>
            <w:r w:rsidRPr="003A7808">
              <w:rPr>
                <w:rFonts w:ascii="Arial" w:hAnsi="Arial" w:cs="Arial"/>
                <w:i/>
                <w:iCs/>
              </w:rPr>
              <w:t>Global Strategy on Human Resources for Health: Workforce 2030</w:t>
            </w:r>
            <w:r w:rsidRPr="003A7808">
              <w:rPr>
                <w:rFonts w:ascii="Arial" w:hAnsi="Arial" w:cs="Arial"/>
              </w:rPr>
              <w:t>.</w:t>
            </w:r>
          </w:p>
        </w:tc>
      </w:tr>
      <w:tr w:rsidR="003A7808" w:rsidRPr="003A7808" w14:paraId="7B7321F1" w14:textId="77777777" w:rsidTr="0087672C">
        <w:trPr>
          <w:trHeight w:val="310"/>
        </w:trPr>
        <w:tc>
          <w:tcPr>
            <w:tcW w:w="10348" w:type="dxa"/>
            <w:noWrap/>
            <w:vAlign w:val="bottom"/>
            <w:hideMark/>
          </w:tcPr>
          <w:p w14:paraId="15A5246D" w14:textId="12A1590F" w:rsidR="003A7808" w:rsidRPr="003A7808" w:rsidRDefault="003A7808" w:rsidP="0087672C">
            <w:pPr>
              <w:tabs>
                <w:tab w:val="left" w:pos="0"/>
              </w:tabs>
              <w:spacing w:before="240"/>
              <w:rPr>
                <w:rFonts w:ascii="Arial" w:hAnsi="Arial" w:cs="Arial"/>
              </w:rPr>
            </w:pPr>
            <w:r w:rsidRPr="003A7808">
              <w:rPr>
                <w:rFonts w:ascii="Arial" w:hAnsi="Arial" w:cs="Arial"/>
              </w:rPr>
              <w:t xml:space="preserve">Winston, W. (2021). </w:t>
            </w:r>
            <w:r w:rsidRPr="003A7808">
              <w:rPr>
                <w:rFonts w:ascii="Arial" w:hAnsi="Arial" w:cs="Arial"/>
                <w:i/>
                <w:iCs/>
              </w:rPr>
              <w:t xml:space="preserve">Microsoft Excel Data Analysis and Business </w:t>
            </w:r>
            <w:r w:rsidR="0087672C" w:rsidRPr="003A7808">
              <w:rPr>
                <w:rFonts w:ascii="Arial" w:hAnsi="Arial" w:cs="Arial"/>
                <w:i/>
                <w:iCs/>
              </w:rPr>
              <w:t>Modelling</w:t>
            </w:r>
            <w:r w:rsidRPr="003A7808">
              <w:rPr>
                <w:rFonts w:ascii="Arial" w:hAnsi="Arial" w:cs="Arial"/>
              </w:rPr>
              <w:t>. Microsoft Press.</w:t>
            </w:r>
          </w:p>
        </w:tc>
      </w:tr>
      <w:tr w:rsidR="003A7808" w:rsidRPr="003A7808" w14:paraId="4FBB4AC2" w14:textId="77777777" w:rsidTr="0087672C">
        <w:trPr>
          <w:trHeight w:val="310"/>
        </w:trPr>
        <w:tc>
          <w:tcPr>
            <w:tcW w:w="10348" w:type="dxa"/>
            <w:noWrap/>
            <w:vAlign w:val="bottom"/>
            <w:hideMark/>
          </w:tcPr>
          <w:p w14:paraId="0AEA0B2C" w14:textId="77777777" w:rsidR="003A7808" w:rsidRPr="003A7808" w:rsidRDefault="003A7808" w:rsidP="0087672C">
            <w:pPr>
              <w:tabs>
                <w:tab w:val="left" w:pos="0"/>
              </w:tabs>
              <w:spacing w:before="240"/>
              <w:rPr>
                <w:rFonts w:ascii="Arial" w:hAnsi="Arial" w:cs="Arial"/>
              </w:rPr>
            </w:pPr>
            <w:r w:rsidRPr="003A7808">
              <w:rPr>
                <w:rFonts w:ascii="Arial" w:hAnsi="Arial" w:cs="Arial"/>
              </w:rPr>
              <w:t xml:space="preserve">Wright, P.M. and McMahan, G.C. (2011) Exploring Human Capital: Putting 'Human' Back into Strategic Human Resource Management. </w:t>
            </w:r>
            <w:r w:rsidRPr="003A7808">
              <w:rPr>
                <w:rFonts w:ascii="Arial" w:hAnsi="Arial" w:cs="Arial"/>
                <w:i/>
                <w:iCs/>
              </w:rPr>
              <w:t>Human Resource Management Journa</w:t>
            </w:r>
            <w:r w:rsidRPr="003A7808">
              <w:rPr>
                <w:rFonts w:ascii="Arial" w:hAnsi="Arial" w:cs="Arial"/>
              </w:rPr>
              <w:t>l, 21(2), pp.93-104.  </w:t>
            </w:r>
          </w:p>
        </w:tc>
      </w:tr>
      <w:tr w:rsidR="003A7808" w:rsidRPr="003A7808" w14:paraId="4AFEC916" w14:textId="77777777" w:rsidTr="0087672C">
        <w:trPr>
          <w:trHeight w:val="310"/>
        </w:trPr>
        <w:tc>
          <w:tcPr>
            <w:tcW w:w="10348" w:type="dxa"/>
            <w:noWrap/>
            <w:vAlign w:val="bottom"/>
            <w:hideMark/>
          </w:tcPr>
          <w:p w14:paraId="5F2FE205" w14:textId="77777777" w:rsidR="003A7808" w:rsidRPr="003A7808" w:rsidRDefault="003A7808" w:rsidP="0087672C">
            <w:pPr>
              <w:tabs>
                <w:tab w:val="left" w:pos="0"/>
              </w:tabs>
              <w:spacing w:before="240"/>
              <w:rPr>
                <w:rFonts w:ascii="Arial" w:hAnsi="Arial" w:cs="Arial"/>
              </w:rPr>
            </w:pPr>
            <w:r w:rsidRPr="003A7808">
              <w:rPr>
                <w:rFonts w:ascii="Arial" w:hAnsi="Arial" w:cs="Arial"/>
              </w:rPr>
              <w:t>Wright, P.M., &amp; Ulrich, M.D. (2018). Strategic Workforce Planning in Healthcare: Aligning Staff, Skills, and Strategy. Journal of Healthcare Management, 63(3), 163-177.</w:t>
            </w:r>
          </w:p>
        </w:tc>
      </w:tr>
      <w:tr w:rsidR="003A7808" w:rsidRPr="003A7808" w14:paraId="4774F082" w14:textId="77777777" w:rsidTr="0087672C">
        <w:trPr>
          <w:trHeight w:val="310"/>
        </w:trPr>
        <w:tc>
          <w:tcPr>
            <w:tcW w:w="10348" w:type="dxa"/>
            <w:noWrap/>
            <w:vAlign w:val="bottom"/>
            <w:hideMark/>
          </w:tcPr>
          <w:p w14:paraId="2B7520B8" w14:textId="77777777" w:rsidR="003A7808" w:rsidRPr="003A7808" w:rsidRDefault="003A7808" w:rsidP="0087672C">
            <w:pPr>
              <w:tabs>
                <w:tab w:val="left" w:pos="0"/>
              </w:tabs>
              <w:spacing w:before="240"/>
              <w:rPr>
                <w:rFonts w:ascii="Arial" w:hAnsi="Arial" w:cs="Arial"/>
              </w:rPr>
            </w:pPr>
            <w:r w:rsidRPr="003A7808">
              <w:rPr>
                <w:rFonts w:ascii="Arial" w:hAnsi="Arial" w:cs="Arial"/>
              </w:rPr>
              <w:lastRenderedPageBreak/>
              <w:t xml:space="preserve">Wright, P.M. and Ulrich, M.D. (2018). 'A Roadmap for Strategic Workforce Planning Excellence', </w:t>
            </w:r>
            <w:r w:rsidRPr="003A7808">
              <w:rPr>
                <w:rFonts w:ascii="Arial" w:hAnsi="Arial" w:cs="Arial"/>
                <w:i/>
                <w:iCs/>
              </w:rPr>
              <w:t>People &amp; Strategy</w:t>
            </w:r>
            <w:r w:rsidRPr="003A7808">
              <w:rPr>
                <w:rFonts w:ascii="Arial" w:hAnsi="Arial" w:cs="Arial"/>
              </w:rPr>
              <w:t>, 41(2), pp. 10–15.</w:t>
            </w:r>
          </w:p>
        </w:tc>
      </w:tr>
      <w:tr w:rsidR="003A7808" w:rsidRPr="003A7808" w14:paraId="453E2E63" w14:textId="77777777" w:rsidTr="0087672C">
        <w:trPr>
          <w:trHeight w:val="310"/>
        </w:trPr>
        <w:tc>
          <w:tcPr>
            <w:tcW w:w="10348" w:type="dxa"/>
            <w:noWrap/>
            <w:vAlign w:val="bottom"/>
            <w:hideMark/>
          </w:tcPr>
          <w:p w14:paraId="6C3B97DF" w14:textId="093B3A25" w:rsidR="003A7808" w:rsidRPr="003A7808" w:rsidRDefault="003A7808" w:rsidP="0087672C">
            <w:pPr>
              <w:tabs>
                <w:tab w:val="left" w:pos="0"/>
              </w:tabs>
              <w:spacing w:before="240"/>
              <w:rPr>
                <w:rFonts w:ascii="Arial" w:hAnsi="Arial" w:cs="Arial"/>
              </w:rPr>
            </w:pPr>
            <w:r w:rsidRPr="003A7808">
              <w:rPr>
                <w:rFonts w:ascii="Arial" w:hAnsi="Arial" w:cs="Arial"/>
              </w:rPr>
              <w:t xml:space="preserve">Yuki, G. (2013) Leadership in </w:t>
            </w:r>
            <w:r w:rsidR="0087672C" w:rsidRPr="003A7808">
              <w:rPr>
                <w:rFonts w:ascii="Arial" w:hAnsi="Arial" w:cs="Arial"/>
              </w:rPr>
              <w:t>organizations</w:t>
            </w:r>
            <w:r w:rsidRPr="003A7808">
              <w:rPr>
                <w:rFonts w:ascii="Arial" w:hAnsi="Arial" w:cs="Arial"/>
              </w:rPr>
              <w:t>. 8th edition. Boston: Pearson.</w:t>
            </w:r>
          </w:p>
        </w:tc>
      </w:tr>
    </w:tbl>
    <w:p w14:paraId="18DDD022" w14:textId="77777777" w:rsidR="003A7808" w:rsidRDefault="003A7808" w:rsidP="0087672C">
      <w:pPr>
        <w:tabs>
          <w:tab w:val="left" w:pos="0"/>
        </w:tabs>
        <w:rPr>
          <w:rFonts w:ascii="Arial" w:hAnsi="Arial" w:cs="Arial"/>
          <w:b/>
          <w:bCs/>
          <w:sz w:val="28"/>
          <w:szCs w:val="28"/>
        </w:rPr>
      </w:pPr>
    </w:p>
    <w:p w14:paraId="0CB74E9D" w14:textId="77777777" w:rsidR="003A7808" w:rsidRDefault="003A7808" w:rsidP="0087672C">
      <w:pPr>
        <w:tabs>
          <w:tab w:val="left" w:pos="0"/>
        </w:tabs>
        <w:rPr>
          <w:rFonts w:ascii="Arial" w:hAnsi="Arial" w:cs="Arial"/>
          <w:b/>
          <w:bCs/>
          <w:sz w:val="28"/>
          <w:szCs w:val="28"/>
        </w:rPr>
      </w:pPr>
    </w:p>
    <w:p w14:paraId="732C041D" w14:textId="77777777" w:rsidR="003A7808" w:rsidRDefault="003A7808" w:rsidP="0087672C">
      <w:pPr>
        <w:tabs>
          <w:tab w:val="left" w:pos="0"/>
        </w:tabs>
        <w:rPr>
          <w:rFonts w:ascii="Arial" w:hAnsi="Arial" w:cs="Arial"/>
          <w:b/>
          <w:bCs/>
          <w:sz w:val="28"/>
          <w:szCs w:val="28"/>
        </w:rPr>
      </w:pPr>
    </w:p>
    <w:p w14:paraId="6A5733DC" w14:textId="77777777" w:rsidR="003A7808" w:rsidRDefault="003A7808" w:rsidP="0087672C">
      <w:pPr>
        <w:tabs>
          <w:tab w:val="left" w:pos="0"/>
        </w:tabs>
        <w:rPr>
          <w:rFonts w:ascii="Arial" w:hAnsi="Arial" w:cs="Arial"/>
          <w:b/>
          <w:bCs/>
          <w:sz w:val="28"/>
          <w:szCs w:val="28"/>
        </w:rPr>
      </w:pPr>
    </w:p>
    <w:sectPr w:rsidR="003A7808" w:rsidSect="0026247D">
      <w:footerReference w:type="default" r:id="rId8"/>
      <w:pgSz w:w="11906" w:h="16838"/>
      <w:pgMar w:top="993" w:right="849" w:bottom="1440" w:left="709"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2D81" w14:textId="77777777" w:rsidR="00275759" w:rsidRDefault="00275759" w:rsidP="0026247D">
      <w:pPr>
        <w:spacing w:after="0" w:line="240" w:lineRule="auto"/>
      </w:pPr>
      <w:r>
        <w:separator/>
      </w:r>
    </w:p>
  </w:endnote>
  <w:endnote w:type="continuationSeparator" w:id="0">
    <w:p w14:paraId="621CE17F" w14:textId="77777777" w:rsidR="00275759" w:rsidRDefault="00275759" w:rsidP="00262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0890250"/>
      <w:docPartObj>
        <w:docPartGallery w:val="Page Numbers (Bottom of Page)"/>
        <w:docPartUnique/>
      </w:docPartObj>
    </w:sdtPr>
    <w:sdtEndPr>
      <w:rPr>
        <w:noProof/>
      </w:rPr>
    </w:sdtEndPr>
    <w:sdtContent>
      <w:p w14:paraId="22E77FC7" w14:textId="77777777" w:rsidR="0026247D" w:rsidRDefault="002624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E4DF52" w14:textId="36234A37" w:rsidR="0026247D" w:rsidRPr="009E2EFE" w:rsidRDefault="007966F3">
    <w:pPr>
      <w:pStyle w:val="Footer"/>
      <w:rPr>
        <w:rFonts w:ascii="Arial" w:hAnsi="Arial" w:cs="Arial"/>
        <w:sz w:val="20"/>
        <w:szCs w:val="20"/>
      </w:rPr>
    </w:pPr>
    <w:r w:rsidRPr="009E2EFE">
      <w:rPr>
        <w:rFonts w:ascii="Arial" w:hAnsi="Arial" w:cs="Arial"/>
        <w:sz w:val="20"/>
        <w:szCs w:val="20"/>
      </w:rPr>
      <w:t>Mia Evans 2129370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00DFB" w14:textId="77777777" w:rsidR="00275759" w:rsidRDefault="00275759" w:rsidP="0026247D">
      <w:pPr>
        <w:spacing w:after="0" w:line="240" w:lineRule="auto"/>
      </w:pPr>
      <w:r>
        <w:separator/>
      </w:r>
    </w:p>
  </w:footnote>
  <w:footnote w:type="continuationSeparator" w:id="0">
    <w:p w14:paraId="1083DB20" w14:textId="77777777" w:rsidR="00275759" w:rsidRDefault="00275759" w:rsidP="00262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4085"/>
    <w:multiLevelType w:val="hybridMultilevel"/>
    <w:tmpl w:val="662C4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F775A"/>
    <w:multiLevelType w:val="hybridMultilevel"/>
    <w:tmpl w:val="069CC86C"/>
    <w:lvl w:ilvl="0" w:tplc="4B5C98E0">
      <w:start w:val="1"/>
      <w:numFmt w:val="bullet"/>
      <w:lvlText w:val=""/>
      <w:lvlJc w:val="left"/>
      <w:pPr>
        <w:ind w:left="1080" w:hanging="360"/>
      </w:pPr>
      <w:rPr>
        <w:rFonts w:ascii="Symbol" w:hAnsi="Symbol"/>
      </w:rPr>
    </w:lvl>
    <w:lvl w:ilvl="1" w:tplc="2EEA3952">
      <w:start w:val="1"/>
      <w:numFmt w:val="bullet"/>
      <w:lvlText w:val=""/>
      <w:lvlJc w:val="left"/>
      <w:pPr>
        <w:ind w:left="1080" w:hanging="360"/>
      </w:pPr>
      <w:rPr>
        <w:rFonts w:ascii="Symbol" w:hAnsi="Symbol"/>
      </w:rPr>
    </w:lvl>
    <w:lvl w:ilvl="2" w:tplc="5C628000">
      <w:start w:val="1"/>
      <w:numFmt w:val="bullet"/>
      <w:lvlText w:val=""/>
      <w:lvlJc w:val="left"/>
      <w:pPr>
        <w:ind w:left="1080" w:hanging="360"/>
      </w:pPr>
      <w:rPr>
        <w:rFonts w:ascii="Symbol" w:hAnsi="Symbol"/>
      </w:rPr>
    </w:lvl>
    <w:lvl w:ilvl="3" w:tplc="FC4A5862">
      <w:start w:val="1"/>
      <w:numFmt w:val="bullet"/>
      <w:lvlText w:val=""/>
      <w:lvlJc w:val="left"/>
      <w:pPr>
        <w:ind w:left="1080" w:hanging="360"/>
      </w:pPr>
      <w:rPr>
        <w:rFonts w:ascii="Symbol" w:hAnsi="Symbol"/>
      </w:rPr>
    </w:lvl>
    <w:lvl w:ilvl="4" w:tplc="FCC4A652">
      <w:start w:val="1"/>
      <w:numFmt w:val="bullet"/>
      <w:lvlText w:val=""/>
      <w:lvlJc w:val="left"/>
      <w:pPr>
        <w:ind w:left="1080" w:hanging="360"/>
      </w:pPr>
      <w:rPr>
        <w:rFonts w:ascii="Symbol" w:hAnsi="Symbol"/>
      </w:rPr>
    </w:lvl>
    <w:lvl w:ilvl="5" w:tplc="45CE856A">
      <w:start w:val="1"/>
      <w:numFmt w:val="bullet"/>
      <w:lvlText w:val=""/>
      <w:lvlJc w:val="left"/>
      <w:pPr>
        <w:ind w:left="1080" w:hanging="360"/>
      </w:pPr>
      <w:rPr>
        <w:rFonts w:ascii="Symbol" w:hAnsi="Symbol"/>
      </w:rPr>
    </w:lvl>
    <w:lvl w:ilvl="6" w:tplc="C2D26900">
      <w:start w:val="1"/>
      <w:numFmt w:val="bullet"/>
      <w:lvlText w:val=""/>
      <w:lvlJc w:val="left"/>
      <w:pPr>
        <w:ind w:left="1080" w:hanging="360"/>
      </w:pPr>
      <w:rPr>
        <w:rFonts w:ascii="Symbol" w:hAnsi="Symbol"/>
      </w:rPr>
    </w:lvl>
    <w:lvl w:ilvl="7" w:tplc="9616343C">
      <w:start w:val="1"/>
      <w:numFmt w:val="bullet"/>
      <w:lvlText w:val=""/>
      <w:lvlJc w:val="left"/>
      <w:pPr>
        <w:ind w:left="1080" w:hanging="360"/>
      </w:pPr>
      <w:rPr>
        <w:rFonts w:ascii="Symbol" w:hAnsi="Symbol"/>
      </w:rPr>
    </w:lvl>
    <w:lvl w:ilvl="8" w:tplc="4BB283F2">
      <w:start w:val="1"/>
      <w:numFmt w:val="bullet"/>
      <w:lvlText w:val=""/>
      <w:lvlJc w:val="left"/>
      <w:pPr>
        <w:ind w:left="1080" w:hanging="360"/>
      </w:pPr>
      <w:rPr>
        <w:rFonts w:ascii="Symbol" w:hAnsi="Symbol"/>
      </w:rPr>
    </w:lvl>
  </w:abstractNum>
  <w:abstractNum w:abstractNumId="2" w15:restartNumberingAfterBreak="0">
    <w:nsid w:val="335F735A"/>
    <w:multiLevelType w:val="hybridMultilevel"/>
    <w:tmpl w:val="05E8D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1F521E"/>
    <w:multiLevelType w:val="hybridMultilevel"/>
    <w:tmpl w:val="090A46FC"/>
    <w:lvl w:ilvl="0" w:tplc="5A0CD51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2443F2"/>
    <w:multiLevelType w:val="hybridMultilevel"/>
    <w:tmpl w:val="DC4E55CC"/>
    <w:lvl w:ilvl="0" w:tplc="D4401C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A7406"/>
    <w:multiLevelType w:val="hybridMultilevel"/>
    <w:tmpl w:val="90D6C6B8"/>
    <w:lvl w:ilvl="0" w:tplc="1084D7B8">
      <w:start w:val="1"/>
      <w:numFmt w:val="bullet"/>
      <w:lvlText w:val=""/>
      <w:lvlJc w:val="left"/>
      <w:pPr>
        <w:ind w:left="1080" w:hanging="360"/>
      </w:pPr>
      <w:rPr>
        <w:rFonts w:ascii="Symbol" w:hAnsi="Symbol"/>
      </w:rPr>
    </w:lvl>
    <w:lvl w:ilvl="1" w:tplc="2F7066D0">
      <w:start w:val="1"/>
      <w:numFmt w:val="bullet"/>
      <w:lvlText w:val=""/>
      <w:lvlJc w:val="left"/>
      <w:pPr>
        <w:ind w:left="1080" w:hanging="360"/>
      </w:pPr>
      <w:rPr>
        <w:rFonts w:ascii="Symbol" w:hAnsi="Symbol"/>
      </w:rPr>
    </w:lvl>
    <w:lvl w:ilvl="2" w:tplc="D20A6A94">
      <w:start w:val="1"/>
      <w:numFmt w:val="bullet"/>
      <w:lvlText w:val=""/>
      <w:lvlJc w:val="left"/>
      <w:pPr>
        <w:ind w:left="1080" w:hanging="360"/>
      </w:pPr>
      <w:rPr>
        <w:rFonts w:ascii="Symbol" w:hAnsi="Symbol"/>
      </w:rPr>
    </w:lvl>
    <w:lvl w:ilvl="3" w:tplc="3A5AFE5A">
      <w:start w:val="1"/>
      <w:numFmt w:val="bullet"/>
      <w:lvlText w:val=""/>
      <w:lvlJc w:val="left"/>
      <w:pPr>
        <w:ind w:left="1080" w:hanging="360"/>
      </w:pPr>
      <w:rPr>
        <w:rFonts w:ascii="Symbol" w:hAnsi="Symbol"/>
      </w:rPr>
    </w:lvl>
    <w:lvl w:ilvl="4" w:tplc="8154DA40">
      <w:start w:val="1"/>
      <w:numFmt w:val="bullet"/>
      <w:lvlText w:val=""/>
      <w:lvlJc w:val="left"/>
      <w:pPr>
        <w:ind w:left="1080" w:hanging="360"/>
      </w:pPr>
      <w:rPr>
        <w:rFonts w:ascii="Symbol" w:hAnsi="Symbol"/>
      </w:rPr>
    </w:lvl>
    <w:lvl w:ilvl="5" w:tplc="5796AFDC">
      <w:start w:val="1"/>
      <w:numFmt w:val="bullet"/>
      <w:lvlText w:val=""/>
      <w:lvlJc w:val="left"/>
      <w:pPr>
        <w:ind w:left="1080" w:hanging="360"/>
      </w:pPr>
      <w:rPr>
        <w:rFonts w:ascii="Symbol" w:hAnsi="Symbol"/>
      </w:rPr>
    </w:lvl>
    <w:lvl w:ilvl="6" w:tplc="3B2205B8">
      <w:start w:val="1"/>
      <w:numFmt w:val="bullet"/>
      <w:lvlText w:val=""/>
      <w:lvlJc w:val="left"/>
      <w:pPr>
        <w:ind w:left="1080" w:hanging="360"/>
      </w:pPr>
      <w:rPr>
        <w:rFonts w:ascii="Symbol" w:hAnsi="Symbol"/>
      </w:rPr>
    </w:lvl>
    <w:lvl w:ilvl="7" w:tplc="D7BA7EA4">
      <w:start w:val="1"/>
      <w:numFmt w:val="bullet"/>
      <w:lvlText w:val=""/>
      <w:lvlJc w:val="left"/>
      <w:pPr>
        <w:ind w:left="1080" w:hanging="360"/>
      </w:pPr>
      <w:rPr>
        <w:rFonts w:ascii="Symbol" w:hAnsi="Symbol"/>
      </w:rPr>
    </w:lvl>
    <w:lvl w:ilvl="8" w:tplc="BADC239A">
      <w:start w:val="1"/>
      <w:numFmt w:val="bullet"/>
      <w:lvlText w:val=""/>
      <w:lvlJc w:val="left"/>
      <w:pPr>
        <w:ind w:left="1080" w:hanging="360"/>
      </w:pPr>
      <w:rPr>
        <w:rFonts w:ascii="Symbol" w:hAnsi="Symbol"/>
      </w:rPr>
    </w:lvl>
  </w:abstractNum>
  <w:abstractNum w:abstractNumId="6" w15:restartNumberingAfterBreak="0">
    <w:nsid w:val="67FA3914"/>
    <w:multiLevelType w:val="hybridMultilevel"/>
    <w:tmpl w:val="34B0D26C"/>
    <w:lvl w:ilvl="0" w:tplc="5C78BF8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BF1A1F"/>
    <w:multiLevelType w:val="hybridMultilevel"/>
    <w:tmpl w:val="7F845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9A5B19"/>
    <w:multiLevelType w:val="hybridMultilevel"/>
    <w:tmpl w:val="2FC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2A6B8B"/>
    <w:multiLevelType w:val="hybridMultilevel"/>
    <w:tmpl w:val="3E7EB1C0"/>
    <w:lvl w:ilvl="0" w:tplc="02B2B3C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A2255"/>
    <w:multiLevelType w:val="hybridMultilevel"/>
    <w:tmpl w:val="81E2225E"/>
    <w:lvl w:ilvl="0" w:tplc="D4401C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C74240"/>
    <w:multiLevelType w:val="hybridMultilevel"/>
    <w:tmpl w:val="076AC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0F7238"/>
    <w:multiLevelType w:val="hybridMultilevel"/>
    <w:tmpl w:val="08DA0386"/>
    <w:lvl w:ilvl="0" w:tplc="260E3B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8831575">
    <w:abstractNumId w:val="6"/>
  </w:num>
  <w:num w:numId="2" w16cid:durableId="1387604858">
    <w:abstractNumId w:val="4"/>
  </w:num>
  <w:num w:numId="3" w16cid:durableId="406879665">
    <w:abstractNumId w:val="10"/>
  </w:num>
  <w:num w:numId="4" w16cid:durableId="1338849356">
    <w:abstractNumId w:val="8"/>
  </w:num>
  <w:num w:numId="5" w16cid:durableId="1660620406">
    <w:abstractNumId w:val="11"/>
  </w:num>
  <w:num w:numId="6" w16cid:durableId="1943877252">
    <w:abstractNumId w:val="2"/>
  </w:num>
  <w:num w:numId="7" w16cid:durableId="1718771037">
    <w:abstractNumId w:val="12"/>
  </w:num>
  <w:num w:numId="8" w16cid:durableId="519583477">
    <w:abstractNumId w:val="9"/>
  </w:num>
  <w:num w:numId="9" w16cid:durableId="145979411">
    <w:abstractNumId w:val="3"/>
  </w:num>
  <w:num w:numId="10" w16cid:durableId="1384603002">
    <w:abstractNumId w:val="7"/>
  </w:num>
  <w:num w:numId="11" w16cid:durableId="1809859995">
    <w:abstractNumId w:val="0"/>
  </w:num>
  <w:num w:numId="12" w16cid:durableId="982732151">
    <w:abstractNumId w:val="1"/>
  </w:num>
  <w:num w:numId="13" w16cid:durableId="6823237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D0"/>
    <w:rsid w:val="0001199F"/>
    <w:rsid w:val="00017CEE"/>
    <w:rsid w:val="000374A4"/>
    <w:rsid w:val="00052C57"/>
    <w:rsid w:val="000623B5"/>
    <w:rsid w:val="00062970"/>
    <w:rsid w:val="000972DB"/>
    <w:rsid w:val="000C006B"/>
    <w:rsid w:val="000D0917"/>
    <w:rsid w:val="000F5520"/>
    <w:rsid w:val="000F7C02"/>
    <w:rsid w:val="001335E9"/>
    <w:rsid w:val="001721FE"/>
    <w:rsid w:val="00191EBA"/>
    <w:rsid w:val="00193D2D"/>
    <w:rsid w:val="001C498A"/>
    <w:rsid w:val="001D570C"/>
    <w:rsid w:val="001F328B"/>
    <w:rsid w:val="00212800"/>
    <w:rsid w:val="0021707D"/>
    <w:rsid w:val="002324EF"/>
    <w:rsid w:val="00250441"/>
    <w:rsid w:val="002616E3"/>
    <w:rsid w:val="0026247D"/>
    <w:rsid w:val="0026450E"/>
    <w:rsid w:val="002729B1"/>
    <w:rsid w:val="00275759"/>
    <w:rsid w:val="00283EF0"/>
    <w:rsid w:val="002B1A82"/>
    <w:rsid w:val="002E5E8F"/>
    <w:rsid w:val="002F3EFD"/>
    <w:rsid w:val="003174FB"/>
    <w:rsid w:val="00334D95"/>
    <w:rsid w:val="003A7808"/>
    <w:rsid w:val="003F6F0C"/>
    <w:rsid w:val="00404775"/>
    <w:rsid w:val="004342D5"/>
    <w:rsid w:val="0047392F"/>
    <w:rsid w:val="00473C51"/>
    <w:rsid w:val="004B5258"/>
    <w:rsid w:val="004D584C"/>
    <w:rsid w:val="005058A3"/>
    <w:rsid w:val="00523D4A"/>
    <w:rsid w:val="0054622B"/>
    <w:rsid w:val="0057092C"/>
    <w:rsid w:val="00573590"/>
    <w:rsid w:val="00577758"/>
    <w:rsid w:val="005975EE"/>
    <w:rsid w:val="00622A2A"/>
    <w:rsid w:val="00622B9F"/>
    <w:rsid w:val="006354E5"/>
    <w:rsid w:val="006703E0"/>
    <w:rsid w:val="00676EEB"/>
    <w:rsid w:val="006975C6"/>
    <w:rsid w:val="006C4E72"/>
    <w:rsid w:val="006C75B6"/>
    <w:rsid w:val="006E1049"/>
    <w:rsid w:val="006E5CCA"/>
    <w:rsid w:val="0070465B"/>
    <w:rsid w:val="00705DA9"/>
    <w:rsid w:val="00716727"/>
    <w:rsid w:val="00745ACC"/>
    <w:rsid w:val="00765579"/>
    <w:rsid w:val="00783378"/>
    <w:rsid w:val="007966F3"/>
    <w:rsid w:val="007B33A4"/>
    <w:rsid w:val="007B72D0"/>
    <w:rsid w:val="0080217E"/>
    <w:rsid w:val="0082357D"/>
    <w:rsid w:val="008366E6"/>
    <w:rsid w:val="00867632"/>
    <w:rsid w:val="0087672C"/>
    <w:rsid w:val="00895B50"/>
    <w:rsid w:val="00896300"/>
    <w:rsid w:val="008F7B24"/>
    <w:rsid w:val="00912195"/>
    <w:rsid w:val="00915736"/>
    <w:rsid w:val="009229E2"/>
    <w:rsid w:val="00937D05"/>
    <w:rsid w:val="00945A0F"/>
    <w:rsid w:val="009816C5"/>
    <w:rsid w:val="00986084"/>
    <w:rsid w:val="0099066B"/>
    <w:rsid w:val="00993702"/>
    <w:rsid w:val="009B3C1F"/>
    <w:rsid w:val="009B6CB2"/>
    <w:rsid w:val="009E2EFE"/>
    <w:rsid w:val="00A0387F"/>
    <w:rsid w:val="00A27B5E"/>
    <w:rsid w:val="00A47397"/>
    <w:rsid w:val="00A73768"/>
    <w:rsid w:val="00A85647"/>
    <w:rsid w:val="00AB26F8"/>
    <w:rsid w:val="00AF2E7A"/>
    <w:rsid w:val="00B0144B"/>
    <w:rsid w:val="00B902C6"/>
    <w:rsid w:val="00BB5AF3"/>
    <w:rsid w:val="00BD3E47"/>
    <w:rsid w:val="00BE00A2"/>
    <w:rsid w:val="00BF2B6F"/>
    <w:rsid w:val="00BF406E"/>
    <w:rsid w:val="00C3694E"/>
    <w:rsid w:val="00C56A0A"/>
    <w:rsid w:val="00C85630"/>
    <w:rsid w:val="00C93930"/>
    <w:rsid w:val="00CC04A5"/>
    <w:rsid w:val="00CC3CA2"/>
    <w:rsid w:val="00CD0D8C"/>
    <w:rsid w:val="00CD72ED"/>
    <w:rsid w:val="00CE1508"/>
    <w:rsid w:val="00D13FE2"/>
    <w:rsid w:val="00D4402B"/>
    <w:rsid w:val="00D609E0"/>
    <w:rsid w:val="00DA692A"/>
    <w:rsid w:val="00DC2200"/>
    <w:rsid w:val="00E04C47"/>
    <w:rsid w:val="00E6447B"/>
    <w:rsid w:val="00EB601C"/>
    <w:rsid w:val="00F342E2"/>
    <w:rsid w:val="00F3771C"/>
    <w:rsid w:val="00F55999"/>
    <w:rsid w:val="00F67703"/>
    <w:rsid w:val="00F82256"/>
    <w:rsid w:val="00F91C74"/>
    <w:rsid w:val="00FA6106"/>
    <w:rsid w:val="00FE3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977F"/>
  <w15:chartTrackingRefBased/>
  <w15:docId w15:val="{330440EF-59DD-4190-AD34-0AA09FBD5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2D0"/>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7B7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7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2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2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2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2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2D0"/>
    <w:rPr>
      <w:rFonts w:eastAsiaTheme="majorEastAsia" w:cstheme="majorBidi"/>
      <w:color w:val="272727" w:themeColor="text1" w:themeTint="D8"/>
    </w:rPr>
  </w:style>
  <w:style w:type="paragraph" w:styleId="Title">
    <w:name w:val="Title"/>
    <w:basedOn w:val="Normal"/>
    <w:next w:val="Normal"/>
    <w:link w:val="TitleChar"/>
    <w:uiPriority w:val="10"/>
    <w:qFormat/>
    <w:rsid w:val="007B7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2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2D0"/>
    <w:pPr>
      <w:spacing w:before="160"/>
      <w:jc w:val="center"/>
    </w:pPr>
    <w:rPr>
      <w:i/>
      <w:iCs/>
      <w:color w:val="404040" w:themeColor="text1" w:themeTint="BF"/>
    </w:rPr>
  </w:style>
  <w:style w:type="character" w:customStyle="1" w:styleId="QuoteChar">
    <w:name w:val="Quote Char"/>
    <w:basedOn w:val="DefaultParagraphFont"/>
    <w:link w:val="Quote"/>
    <w:uiPriority w:val="29"/>
    <w:rsid w:val="007B72D0"/>
    <w:rPr>
      <w:i/>
      <w:iCs/>
      <w:color w:val="404040" w:themeColor="text1" w:themeTint="BF"/>
    </w:rPr>
  </w:style>
  <w:style w:type="paragraph" w:styleId="ListParagraph">
    <w:name w:val="List Paragraph"/>
    <w:basedOn w:val="Normal"/>
    <w:uiPriority w:val="34"/>
    <w:qFormat/>
    <w:rsid w:val="007B72D0"/>
    <w:pPr>
      <w:ind w:left="720"/>
      <w:contextualSpacing/>
    </w:pPr>
  </w:style>
  <w:style w:type="character" w:styleId="IntenseEmphasis">
    <w:name w:val="Intense Emphasis"/>
    <w:basedOn w:val="DefaultParagraphFont"/>
    <w:uiPriority w:val="21"/>
    <w:qFormat/>
    <w:rsid w:val="007B72D0"/>
    <w:rPr>
      <w:i/>
      <w:iCs/>
      <w:color w:val="0F4761" w:themeColor="accent1" w:themeShade="BF"/>
    </w:rPr>
  </w:style>
  <w:style w:type="paragraph" w:styleId="IntenseQuote">
    <w:name w:val="Intense Quote"/>
    <w:basedOn w:val="Normal"/>
    <w:next w:val="Normal"/>
    <w:link w:val="IntenseQuoteChar"/>
    <w:uiPriority w:val="30"/>
    <w:qFormat/>
    <w:rsid w:val="007B7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2D0"/>
    <w:rPr>
      <w:i/>
      <w:iCs/>
      <w:color w:val="0F4761" w:themeColor="accent1" w:themeShade="BF"/>
    </w:rPr>
  </w:style>
  <w:style w:type="character" w:styleId="IntenseReference">
    <w:name w:val="Intense Reference"/>
    <w:basedOn w:val="DefaultParagraphFont"/>
    <w:uiPriority w:val="32"/>
    <w:qFormat/>
    <w:rsid w:val="007B72D0"/>
    <w:rPr>
      <w:b/>
      <w:bCs/>
      <w:smallCaps/>
      <w:color w:val="0F4761" w:themeColor="accent1" w:themeShade="BF"/>
      <w:spacing w:val="5"/>
    </w:rPr>
  </w:style>
  <w:style w:type="table" w:styleId="TableGrid">
    <w:name w:val="Table Grid"/>
    <w:basedOn w:val="TableNormal"/>
    <w:uiPriority w:val="39"/>
    <w:rsid w:val="007B72D0"/>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72D0"/>
    <w:rPr>
      <w:sz w:val="16"/>
      <w:szCs w:val="16"/>
    </w:rPr>
  </w:style>
  <w:style w:type="paragraph" w:styleId="CommentText">
    <w:name w:val="annotation text"/>
    <w:basedOn w:val="Normal"/>
    <w:link w:val="CommentTextChar"/>
    <w:uiPriority w:val="99"/>
    <w:unhideWhenUsed/>
    <w:rsid w:val="007B72D0"/>
    <w:pPr>
      <w:spacing w:line="240" w:lineRule="auto"/>
    </w:pPr>
    <w:rPr>
      <w:rFonts w:eastAsiaTheme="minorHAnsi"/>
      <w:kern w:val="0"/>
      <w:sz w:val="20"/>
      <w:szCs w:val="20"/>
      <w:lang w:eastAsia="en-US"/>
      <w14:ligatures w14:val="none"/>
    </w:rPr>
  </w:style>
  <w:style w:type="character" w:customStyle="1" w:styleId="CommentTextChar">
    <w:name w:val="Comment Text Char"/>
    <w:basedOn w:val="DefaultParagraphFont"/>
    <w:link w:val="CommentText"/>
    <w:uiPriority w:val="99"/>
    <w:rsid w:val="007B72D0"/>
    <w:rPr>
      <w:kern w:val="0"/>
      <w:sz w:val="20"/>
      <w:szCs w:val="20"/>
      <w14:ligatures w14:val="none"/>
    </w:rPr>
  </w:style>
  <w:style w:type="paragraph" w:styleId="NoSpacing">
    <w:name w:val="No Spacing"/>
    <w:link w:val="NoSpacingChar"/>
    <w:uiPriority w:val="1"/>
    <w:qFormat/>
    <w:rsid w:val="007B72D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B72D0"/>
    <w:rPr>
      <w:rFonts w:eastAsiaTheme="minorEastAsia"/>
      <w:kern w:val="0"/>
      <w:lang w:val="en-US"/>
      <w14:ligatures w14:val="none"/>
    </w:rPr>
  </w:style>
  <w:style w:type="paragraph" w:styleId="Index1">
    <w:name w:val="index 1"/>
    <w:basedOn w:val="Normal"/>
    <w:next w:val="Normal"/>
    <w:autoRedefine/>
    <w:uiPriority w:val="99"/>
    <w:semiHidden/>
    <w:unhideWhenUsed/>
    <w:rsid w:val="007B72D0"/>
    <w:pPr>
      <w:spacing w:after="0" w:line="240" w:lineRule="auto"/>
      <w:ind w:left="240" w:hanging="240"/>
    </w:pPr>
  </w:style>
  <w:style w:type="paragraph" w:styleId="TOCHeading">
    <w:name w:val="TOC Heading"/>
    <w:basedOn w:val="Heading1"/>
    <w:next w:val="Normal"/>
    <w:uiPriority w:val="39"/>
    <w:unhideWhenUsed/>
    <w:qFormat/>
    <w:rsid w:val="00FE38DA"/>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FE38DA"/>
    <w:pPr>
      <w:spacing w:after="100" w:line="259" w:lineRule="auto"/>
      <w:ind w:left="220"/>
    </w:pPr>
    <w:rPr>
      <w:rFonts w:cs="Times New Roman"/>
      <w:kern w:val="0"/>
      <w:sz w:val="22"/>
      <w:szCs w:val="22"/>
      <w:lang w:val="en-US" w:eastAsia="en-US"/>
      <w14:ligatures w14:val="none"/>
    </w:rPr>
  </w:style>
  <w:style w:type="paragraph" w:styleId="TOC1">
    <w:name w:val="toc 1"/>
    <w:basedOn w:val="Normal"/>
    <w:next w:val="Normal"/>
    <w:autoRedefine/>
    <w:uiPriority w:val="39"/>
    <w:unhideWhenUsed/>
    <w:rsid w:val="00FE38DA"/>
    <w:pPr>
      <w:spacing w:after="100" w:line="259" w:lineRule="auto"/>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FE38DA"/>
    <w:pPr>
      <w:spacing w:after="100" w:line="259" w:lineRule="auto"/>
      <w:ind w:left="440"/>
    </w:pPr>
    <w:rPr>
      <w:rFonts w:cs="Times New Roman"/>
      <w:kern w:val="0"/>
      <w:sz w:val="22"/>
      <w:szCs w:val="22"/>
      <w:lang w:val="en-US" w:eastAsia="en-US"/>
      <w14:ligatures w14:val="none"/>
    </w:rPr>
  </w:style>
  <w:style w:type="paragraph" w:styleId="Caption">
    <w:name w:val="caption"/>
    <w:basedOn w:val="Normal"/>
    <w:next w:val="Normal"/>
    <w:uiPriority w:val="35"/>
    <w:unhideWhenUsed/>
    <w:qFormat/>
    <w:rsid w:val="004B525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26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47D"/>
    <w:rPr>
      <w:rFonts w:eastAsiaTheme="minorEastAsia"/>
      <w:sz w:val="24"/>
      <w:szCs w:val="24"/>
      <w:lang w:eastAsia="zh-CN"/>
    </w:rPr>
  </w:style>
  <w:style w:type="paragraph" w:styleId="Footer">
    <w:name w:val="footer"/>
    <w:basedOn w:val="Normal"/>
    <w:link w:val="FooterChar"/>
    <w:uiPriority w:val="99"/>
    <w:unhideWhenUsed/>
    <w:rsid w:val="0026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47D"/>
    <w:rPr>
      <w:rFonts w:eastAsiaTheme="minorEastAsia"/>
      <w:sz w:val="24"/>
      <w:szCs w:val="24"/>
      <w:lang w:eastAsia="zh-CN"/>
    </w:rPr>
  </w:style>
  <w:style w:type="paragraph" w:styleId="CommentSubject">
    <w:name w:val="annotation subject"/>
    <w:basedOn w:val="CommentText"/>
    <w:next w:val="CommentText"/>
    <w:link w:val="CommentSubjectChar"/>
    <w:uiPriority w:val="99"/>
    <w:semiHidden/>
    <w:unhideWhenUsed/>
    <w:rsid w:val="00577758"/>
    <w:rPr>
      <w:b/>
      <w:bCs/>
    </w:rPr>
  </w:style>
  <w:style w:type="character" w:customStyle="1" w:styleId="CommentSubjectChar">
    <w:name w:val="Comment Subject Char"/>
    <w:basedOn w:val="CommentTextChar"/>
    <w:link w:val="CommentSubject"/>
    <w:uiPriority w:val="99"/>
    <w:semiHidden/>
    <w:rsid w:val="00577758"/>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75116">
      <w:bodyDiv w:val="1"/>
      <w:marLeft w:val="0"/>
      <w:marRight w:val="0"/>
      <w:marTop w:val="0"/>
      <w:marBottom w:val="0"/>
      <w:divBdr>
        <w:top w:val="none" w:sz="0" w:space="0" w:color="auto"/>
        <w:left w:val="none" w:sz="0" w:space="0" w:color="auto"/>
        <w:bottom w:val="none" w:sz="0" w:space="0" w:color="auto"/>
        <w:right w:val="none" w:sz="0" w:space="0" w:color="auto"/>
      </w:divBdr>
    </w:div>
    <w:div w:id="566651202">
      <w:bodyDiv w:val="1"/>
      <w:marLeft w:val="0"/>
      <w:marRight w:val="0"/>
      <w:marTop w:val="0"/>
      <w:marBottom w:val="0"/>
      <w:divBdr>
        <w:top w:val="none" w:sz="0" w:space="0" w:color="auto"/>
        <w:left w:val="none" w:sz="0" w:space="0" w:color="auto"/>
        <w:bottom w:val="none" w:sz="0" w:space="0" w:color="auto"/>
        <w:right w:val="none" w:sz="0" w:space="0" w:color="auto"/>
      </w:divBdr>
    </w:div>
    <w:div w:id="1464421111">
      <w:bodyDiv w:val="1"/>
      <w:marLeft w:val="0"/>
      <w:marRight w:val="0"/>
      <w:marTop w:val="0"/>
      <w:marBottom w:val="0"/>
      <w:divBdr>
        <w:top w:val="none" w:sz="0" w:space="0" w:color="auto"/>
        <w:left w:val="none" w:sz="0" w:space="0" w:color="auto"/>
        <w:bottom w:val="none" w:sz="0" w:space="0" w:color="auto"/>
        <w:right w:val="none" w:sz="0" w:space="0" w:color="auto"/>
      </w:divBdr>
    </w:div>
    <w:div w:id="176718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1FB0D2580441F992EDA64216A57C25"/>
        <w:category>
          <w:name w:val="General"/>
          <w:gallery w:val="placeholder"/>
        </w:category>
        <w:types>
          <w:type w:val="bbPlcHdr"/>
        </w:types>
        <w:behaviors>
          <w:behavior w:val="content"/>
        </w:behaviors>
        <w:guid w:val="{7BC82D80-3135-4FC5-B8DA-917DDDB7BD94}"/>
      </w:docPartPr>
      <w:docPartBody>
        <w:p w:rsidR="00021B54" w:rsidRDefault="00021B54" w:rsidP="00021B54">
          <w:pPr>
            <w:pStyle w:val="BA1FB0D2580441F992EDA64216A57C25"/>
          </w:pPr>
          <w:r>
            <w:rPr>
              <w:color w:val="0F4761" w:themeColor="accent1" w:themeShade="BF"/>
            </w:rPr>
            <w:t>[Company name]</w:t>
          </w:r>
        </w:p>
      </w:docPartBody>
    </w:docPart>
    <w:docPart>
      <w:docPartPr>
        <w:name w:val="FA324C4912F741FA96749C9B862118D2"/>
        <w:category>
          <w:name w:val="General"/>
          <w:gallery w:val="placeholder"/>
        </w:category>
        <w:types>
          <w:type w:val="bbPlcHdr"/>
        </w:types>
        <w:behaviors>
          <w:behavior w:val="content"/>
        </w:behaviors>
        <w:guid w:val="{F96321DD-4D91-4F0B-8998-C3A3CE67D62C}"/>
      </w:docPartPr>
      <w:docPartBody>
        <w:p w:rsidR="00021B54" w:rsidRDefault="00021B54" w:rsidP="00021B54">
          <w:pPr>
            <w:pStyle w:val="FA324C4912F741FA96749C9B862118D2"/>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B54"/>
    <w:rsid w:val="00021B54"/>
    <w:rsid w:val="001C1DB4"/>
    <w:rsid w:val="002E6276"/>
    <w:rsid w:val="003174FB"/>
    <w:rsid w:val="00783378"/>
    <w:rsid w:val="007B33A4"/>
    <w:rsid w:val="008458AB"/>
    <w:rsid w:val="00937D05"/>
    <w:rsid w:val="00BB5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1FB0D2580441F992EDA64216A57C25">
    <w:name w:val="BA1FB0D2580441F992EDA64216A57C25"/>
    <w:rsid w:val="00021B54"/>
  </w:style>
  <w:style w:type="paragraph" w:customStyle="1" w:styleId="FA324C4912F741FA96749C9B862118D2">
    <w:name w:val="FA324C4912F741FA96749C9B862118D2"/>
    <w:rsid w:val="00021B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3A97A-765D-4863-8D7E-D5EE114C3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65</Pages>
  <Words>24299</Words>
  <Characters>138510</Characters>
  <Application>Microsoft Office Word</Application>
  <DocSecurity>0</DocSecurity>
  <Lines>1154</Lines>
  <Paragraphs>324</Paragraphs>
  <ScaleCrop>false</ScaleCrop>
  <HeadingPairs>
    <vt:vector size="2" baseType="variant">
      <vt:variant>
        <vt:lpstr>Title</vt:lpstr>
      </vt:variant>
      <vt:variant>
        <vt:i4>1</vt:i4>
      </vt:variant>
    </vt:vector>
  </HeadingPairs>
  <TitlesOfParts>
    <vt:vector size="1" baseType="lpstr">
      <vt:lpstr/>
    </vt:vector>
  </TitlesOfParts>
  <Company>Document 5</Company>
  <LinksUpToDate>false</LinksUpToDate>
  <CharactersWithSpaces>162485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Areas</dc:title>
  <dc:subject/>
  <dc:creator>Mia Evans (Hywel Dda UHB - Project Manager - Workforce Planning)</dc:creator>
  <cp:keywords/>
  <dc:description/>
  <cp:lastModifiedBy>Mia Evans (Hywel Dda UHB - Project Manager - Workforce Planning)</cp:lastModifiedBy>
  <cp:revision>109</cp:revision>
  <dcterms:created xsi:type="dcterms:W3CDTF">2025-04-13T04:20:00Z</dcterms:created>
  <dcterms:modified xsi:type="dcterms:W3CDTF">2025-04-14T20:50:00Z</dcterms:modified>
</cp:coreProperties>
</file>