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DFAA3" w14:textId="332DF01A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460D31E" wp14:editId="73925100">
            <wp:simplePos x="0" y="0"/>
            <wp:positionH relativeFrom="column">
              <wp:posOffset>1466850</wp:posOffset>
            </wp:positionH>
            <wp:positionV relativeFrom="page">
              <wp:posOffset>15875</wp:posOffset>
            </wp:positionV>
            <wp:extent cx="2457450" cy="1721485"/>
            <wp:effectExtent l="0" t="0" r="0" b="0"/>
            <wp:wrapSquare wrapText="bothSides"/>
            <wp:docPr id="309260591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260591" name="Picture 1" descr="A black and yellow logo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E95AF9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4B405F" w14:textId="77777777" w:rsidR="007B7571" w:rsidRPr="001F282C" w:rsidRDefault="007B7571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2390ACC" w14:textId="77777777" w:rsid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EE3FF5B" w14:textId="77777777" w:rsid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2078B15" w14:textId="77777777" w:rsid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7DA97D9" w14:textId="5BC7FB7B" w:rsidR="001F282C" w:rsidRP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1F282C">
        <w:rPr>
          <w:rFonts w:ascii="Arial" w:hAnsi="Arial" w:cs="Arial"/>
          <w:b/>
          <w:bCs/>
          <w:sz w:val="32"/>
          <w:szCs w:val="32"/>
        </w:rPr>
        <w:t xml:space="preserve">Certificate of Higher Education in Employability Skills </w:t>
      </w:r>
    </w:p>
    <w:p w14:paraId="609C5496" w14:textId="77777777" w:rsidR="001F282C" w:rsidRP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1F282C">
        <w:rPr>
          <w:rFonts w:ascii="Arial" w:hAnsi="Arial" w:cs="Arial"/>
          <w:b/>
          <w:bCs/>
          <w:sz w:val="32"/>
          <w:szCs w:val="32"/>
        </w:rPr>
        <w:t xml:space="preserve">LEVEL 4 </w:t>
      </w:r>
    </w:p>
    <w:p w14:paraId="26D85EAA" w14:textId="77777777" w:rsidR="001F282C" w:rsidRP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1F282C">
        <w:rPr>
          <w:rFonts w:ascii="Arial" w:hAnsi="Arial" w:cs="Arial"/>
          <w:b/>
          <w:bCs/>
          <w:sz w:val="32"/>
          <w:szCs w:val="32"/>
        </w:rPr>
        <w:t xml:space="preserve">Problem Solving and Innovation (BMSW4014) </w:t>
      </w:r>
    </w:p>
    <w:p w14:paraId="423A8BB6" w14:textId="7DF30623" w:rsidR="007B7571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1F282C">
        <w:rPr>
          <w:rFonts w:ascii="Arial" w:hAnsi="Arial" w:cs="Arial"/>
          <w:b/>
          <w:bCs/>
          <w:sz w:val="32"/>
          <w:szCs w:val="32"/>
        </w:rPr>
        <w:t xml:space="preserve">Module Lead: Jaliya de Silva </w:t>
      </w:r>
    </w:p>
    <w:p w14:paraId="2FAA1E5E" w14:textId="7DDD0C34" w:rsid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Name: Laura Minea </w:t>
      </w:r>
    </w:p>
    <w:p w14:paraId="01A98E79" w14:textId="56B40470" w:rsidR="001F282C" w:rsidRPr="001F282C" w:rsidRDefault="001F282C" w:rsidP="002636A8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Number: 2321195 </w:t>
      </w:r>
    </w:p>
    <w:p w14:paraId="583A6E1A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249D1C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D15878E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CCFAE57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D7066F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30BBA9B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48A5308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DC667E9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4DC8B4F" w14:textId="77777777" w:rsidR="007B7571" w:rsidRDefault="007B7571" w:rsidP="002636A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E56925" w14:textId="77777777" w:rsidR="002E09BD" w:rsidRDefault="001F282C" w:rsidP="002E09BD">
      <w:pPr>
        <w:spacing w:line="360" w:lineRule="auto"/>
        <w:jc w:val="right"/>
        <w:rPr>
          <w:rFonts w:ascii="Arial" w:hAnsi="Arial" w:cs="Arial"/>
          <w:b/>
          <w:bCs/>
        </w:rPr>
      </w:pPr>
      <w:r w:rsidRPr="001F282C">
        <w:rPr>
          <w:rFonts w:ascii="Arial" w:hAnsi="Arial" w:cs="Arial"/>
          <w:b/>
          <w:bCs/>
          <w:sz w:val="32"/>
          <w:szCs w:val="32"/>
        </w:rPr>
        <w:t>2025-20</w:t>
      </w:r>
      <w:r w:rsidR="002E09BD">
        <w:rPr>
          <w:rFonts w:ascii="Arial" w:hAnsi="Arial" w:cs="Arial"/>
          <w:b/>
          <w:bCs/>
          <w:sz w:val="32"/>
          <w:szCs w:val="32"/>
        </w:rPr>
        <w:t>26</w:t>
      </w:r>
    </w:p>
    <w:p w14:paraId="28504035" w14:textId="045F2039" w:rsidR="002C4738" w:rsidRDefault="0039690B" w:rsidP="00AC434C">
      <w:pPr>
        <w:spacing w:line="360" w:lineRule="auto"/>
        <w:jc w:val="both"/>
        <w:rPr>
          <w:rFonts w:ascii="Arial" w:hAnsi="Arial" w:cs="Arial"/>
          <w:b/>
          <w:bCs/>
        </w:rPr>
      </w:pPr>
      <w:r w:rsidRPr="002636A8">
        <w:rPr>
          <w:rFonts w:ascii="Arial" w:hAnsi="Arial" w:cs="Arial"/>
          <w:b/>
          <w:bCs/>
        </w:rPr>
        <w:lastRenderedPageBreak/>
        <w:t>Greenwashing in the Automobile Industry</w:t>
      </w:r>
      <w:r w:rsidR="00873FF9">
        <w:rPr>
          <w:rFonts w:ascii="Arial" w:hAnsi="Arial" w:cs="Arial"/>
          <w:b/>
          <w:bCs/>
        </w:rPr>
        <w:t>: A Root Cause Analysis (</w:t>
      </w:r>
      <w:r w:rsidRPr="002636A8">
        <w:rPr>
          <w:rFonts w:ascii="Arial" w:hAnsi="Arial" w:cs="Arial"/>
          <w:b/>
          <w:bCs/>
        </w:rPr>
        <w:t>RCA</w:t>
      </w:r>
      <w:r w:rsidR="00873FF9">
        <w:rPr>
          <w:rFonts w:ascii="Arial" w:hAnsi="Arial" w:cs="Arial"/>
          <w:b/>
          <w:bCs/>
        </w:rPr>
        <w:t>)</w:t>
      </w:r>
      <w:r w:rsidRPr="002636A8">
        <w:rPr>
          <w:rFonts w:ascii="Arial" w:hAnsi="Arial" w:cs="Arial"/>
          <w:b/>
          <w:bCs/>
        </w:rPr>
        <w:t xml:space="preserve"> </w:t>
      </w:r>
    </w:p>
    <w:p w14:paraId="636E7A81" w14:textId="1D843C9C" w:rsidR="0078678A" w:rsidRDefault="00EE05EF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Greenwashing has become an increasingly concerning issue in the automobile industry</w:t>
      </w:r>
      <w:r w:rsidR="006D69F0">
        <w:rPr>
          <w:rFonts w:ascii="Arial" w:hAnsi="Arial" w:cs="Arial"/>
        </w:rPr>
        <w:t xml:space="preserve">, especially as companies feel pressure to showcase their </w:t>
      </w:r>
      <w:r w:rsidR="00E579C1">
        <w:rPr>
          <w:rFonts w:ascii="Arial" w:hAnsi="Arial" w:cs="Arial"/>
        </w:rPr>
        <w:t>environmental</w:t>
      </w:r>
      <w:r w:rsidR="006D69F0">
        <w:rPr>
          <w:rFonts w:ascii="Arial" w:hAnsi="Arial" w:cs="Arial"/>
        </w:rPr>
        <w:t xml:space="preserve"> </w:t>
      </w:r>
      <w:r w:rsidR="00E579C1">
        <w:rPr>
          <w:rFonts w:ascii="Arial" w:hAnsi="Arial" w:cs="Arial"/>
        </w:rPr>
        <w:t>credentials</w:t>
      </w:r>
      <w:r w:rsidR="006D69F0">
        <w:rPr>
          <w:rFonts w:ascii="Arial" w:hAnsi="Arial" w:cs="Arial"/>
        </w:rPr>
        <w:t xml:space="preserve">. The Volkswagen </w:t>
      </w:r>
      <w:proofErr w:type="spellStart"/>
      <w:r w:rsidR="006D69F0">
        <w:rPr>
          <w:rFonts w:ascii="Arial" w:hAnsi="Arial" w:cs="Arial"/>
        </w:rPr>
        <w:t>Dieselgate</w:t>
      </w:r>
      <w:proofErr w:type="spellEnd"/>
      <w:r w:rsidR="006D69F0">
        <w:rPr>
          <w:rFonts w:ascii="Arial" w:hAnsi="Arial" w:cs="Arial"/>
        </w:rPr>
        <w:t xml:space="preserve"> scandal is one of the clearest exa</w:t>
      </w:r>
      <w:r w:rsidR="00D2442B">
        <w:rPr>
          <w:rFonts w:ascii="Arial" w:hAnsi="Arial" w:cs="Arial"/>
        </w:rPr>
        <w:t xml:space="preserve">mples of how far a company can go to appear “green” when, in real </w:t>
      </w:r>
      <w:r w:rsidR="00E579C1">
        <w:rPr>
          <w:rFonts w:ascii="Arial" w:hAnsi="Arial" w:cs="Arial"/>
        </w:rPr>
        <w:t>driving</w:t>
      </w:r>
      <w:r w:rsidR="00D2442B">
        <w:rPr>
          <w:rFonts w:ascii="Arial" w:hAnsi="Arial" w:cs="Arial"/>
        </w:rPr>
        <w:t xml:space="preserve"> conditions, </w:t>
      </w:r>
      <w:r w:rsidR="008F7792">
        <w:rPr>
          <w:rFonts w:ascii="Arial" w:hAnsi="Arial" w:cs="Arial"/>
        </w:rPr>
        <w:t>it</w:t>
      </w:r>
      <w:r w:rsidR="00D2442B">
        <w:rPr>
          <w:rFonts w:ascii="Arial" w:hAnsi="Arial" w:cs="Arial"/>
        </w:rPr>
        <w:t xml:space="preserve"> emitted far higher levels of nitrogen oxides (</w:t>
      </w:r>
      <w:r w:rsidR="00E579C1">
        <w:rPr>
          <w:rFonts w:ascii="Arial" w:hAnsi="Arial" w:cs="Arial"/>
        </w:rPr>
        <w:t>Environmental</w:t>
      </w:r>
      <w:r w:rsidR="00D2442B">
        <w:rPr>
          <w:rFonts w:ascii="Arial" w:hAnsi="Arial" w:cs="Arial"/>
        </w:rPr>
        <w:t xml:space="preserve"> Defenders Office, 2023). This incident </w:t>
      </w:r>
      <w:r w:rsidR="009A69DF">
        <w:rPr>
          <w:rFonts w:ascii="Arial" w:hAnsi="Arial" w:cs="Arial"/>
        </w:rPr>
        <w:t xml:space="preserve">reshaped public trust and raised important questions about how committed automotive manufacturers are to </w:t>
      </w:r>
      <w:r w:rsidR="0078678A">
        <w:rPr>
          <w:rFonts w:ascii="Arial" w:hAnsi="Arial" w:cs="Arial"/>
        </w:rPr>
        <w:t xml:space="preserve">sustainability. </w:t>
      </w:r>
    </w:p>
    <w:p w14:paraId="6D280900" w14:textId="60081890" w:rsidR="00A76BF7" w:rsidRDefault="0078678A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explore the deeper issue</w:t>
      </w:r>
      <w:r w:rsidR="00377B3A">
        <w:rPr>
          <w:rFonts w:ascii="Arial" w:hAnsi="Arial" w:cs="Arial"/>
        </w:rPr>
        <w:t xml:space="preserve">s behind </w:t>
      </w:r>
      <w:r w:rsidR="00947A8A">
        <w:rPr>
          <w:rFonts w:ascii="Arial" w:hAnsi="Arial" w:cs="Arial"/>
        </w:rPr>
        <w:t>this scandal, I used Root Cause Analysis (RCA)</w:t>
      </w:r>
      <w:r w:rsidR="004E4820">
        <w:rPr>
          <w:rFonts w:ascii="Arial" w:hAnsi="Arial" w:cs="Arial"/>
        </w:rPr>
        <w:t xml:space="preserve">. RCA is useful because it helps us look past the surface of what </w:t>
      </w:r>
      <w:r w:rsidR="00E17BDC">
        <w:rPr>
          <w:rFonts w:ascii="Arial" w:hAnsi="Arial" w:cs="Arial"/>
        </w:rPr>
        <w:t xml:space="preserve">happened and focus instead on the underlying reasons, or the system failures, that allowed </w:t>
      </w:r>
      <w:r w:rsidR="00E579C1">
        <w:rPr>
          <w:rFonts w:ascii="Arial" w:hAnsi="Arial" w:cs="Arial"/>
        </w:rPr>
        <w:t>such</w:t>
      </w:r>
      <w:r w:rsidR="00E17BDC">
        <w:rPr>
          <w:rFonts w:ascii="Arial" w:hAnsi="Arial" w:cs="Arial"/>
        </w:rPr>
        <w:t xml:space="preserve"> behaviour to take place (Adair, 2019). I applied </w:t>
      </w:r>
      <w:r w:rsidR="00BF287E">
        <w:rPr>
          <w:rFonts w:ascii="Arial" w:hAnsi="Arial" w:cs="Arial"/>
        </w:rPr>
        <w:t xml:space="preserve">two tools: the Fishbone Diagram, which helped me break the causes into categories </w:t>
      </w:r>
      <w:r w:rsidR="00A76BF7">
        <w:rPr>
          <w:rFonts w:ascii="Arial" w:hAnsi="Arial" w:cs="Arial"/>
        </w:rPr>
        <w:t>and the Five Whys, which pushed me to question each cause more deeply until a clearer root explanation emerged.</w:t>
      </w:r>
      <w:r w:rsidR="00DE7541">
        <w:rPr>
          <w:rFonts w:ascii="Arial" w:hAnsi="Arial" w:cs="Arial"/>
        </w:rPr>
        <w:t xml:space="preserve"> The Fishbone Diagram highlighted five </w:t>
      </w:r>
      <w:r w:rsidR="009E6037">
        <w:rPr>
          <w:rFonts w:ascii="Arial" w:hAnsi="Arial" w:cs="Arial"/>
        </w:rPr>
        <w:t>m</w:t>
      </w:r>
      <w:r w:rsidR="00DE7541">
        <w:rPr>
          <w:rFonts w:ascii="Arial" w:hAnsi="Arial" w:cs="Arial"/>
        </w:rPr>
        <w:t>ain areas: management, organisational culture, internal processes</w:t>
      </w:r>
      <w:r w:rsidR="00DE60B7">
        <w:rPr>
          <w:rFonts w:ascii="Arial" w:hAnsi="Arial" w:cs="Arial"/>
        </w:rPr>
        <w:t xml:space="preserve">, external regulation and technology. </w:t>
      </w:r>
    </w:p>
    <w:p w14:paraId="20927F54" w14:textId="7928D0F9" w:rsidR="00DE60B7" w:rsidRDefault="00DE60B7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From a leadership perspective, Volkswagen</w:t>
      </w:r>
      <w:r w:rsidR="00441358">
        <w:rPr>
          <w:rFonts w:ascii="Arial" w:hAnsi="Arial" w:cs="Arial"/>
        </w:rPr>
        <w:t xml:space="preserve"> was driven by highly ambitious goals and strong competitive pressure</w:t>
      </w:r>
      <w:r w:rsidR="005824FC">
        <w:rPr>
          <w:rFonts w:ascii="Arial" w:hAnsi="Arial" w:cs="Arial"/>
        </w:rPr>
        <w:t xml:space="preserve">. Research shows </w:t>
      </w:r>
      <w:r w:rsidR="005B051C">
        <w:rPr>
          <w:rFonts w:ascii="Arial" w:hAnsi="Arial" w:cs="Arial"/>
        </w:rPr>
        <w:t>that when performance targets are prioritise</w:t>
      </w:r>
      <w:r w:rsidR="00303863">
        <w:rPr>
          <w:rFonts w:ascii="Arial" w:hAnsi="Arial" w:cs="Arial"/>
        </w:rPr>
        <w:t>d</w:t>
      </w:r>
      <w:r w:rsidR="005B051C">
        <w:rPr>
          <w:rFonts w:ascii="Arial" w:hAnsi="Arial" w:cs="Arial"/>
        </w:rPr>
        <w:t xml:space="preserve"> above ethical judgement</w:t>
      </w:r>
      <w:r w:rsidR="00C14014">
        <w:rPr>
          <w:rFonts w:ascii="Arial" w:hAnsi="Arial" w:cs="Arial"/>
        </w:rPr>
        <w:t xml:space="preserve">, the risk of organisational misconduct increases significantly </w:t>
      </w:r>
      <w:r w:rsidR="007D5EC2">
        <w:rPr>
          <w:rFonts w:ascii="Arial" w:hAnsi="Arial" w:cs="Arial"/>
        </w:rPr>
        <w:t>(Liu</w:t>
      </w:r>
      <w:r w:rsidR="000D7A14">
        <w:rPr>
          <w:rFonts w:ascii="Arial" w:hAnsi="Arial" w:cs="Arial"/>
        </w:rPr>
        <w:t xml:space="preserve">, 2023). This aligns with Keough’s (2019) argument that high-pressure </w:t>
      </w:r>
      <w:r w:rsidR="007D5EC2">
        <w:rPr>
          <w:rFonts w:ascii="Arial" w:hAnsi="Arial" w:cs="Arial"/>
        </w:rPr>
        <w:t>environments</w:t>
      </w:r>
      <w:r w:rsidR="000D7A14">
        <w:rPr>
          <w:rFonts w:ascii="Arial" w:hAnsi="Arial" w:cs="Arial"/>
        </w:rPr>
        <w:t xml:space="preserve"> tend to </w:t>
      </w:r>
      <w:r w:rsidR="00752249">
        <w:rPr>
          <w:rFonts w:ascii="Arial" w:hAnsi="Arial" w:cs="Arial"/>
        </w:rPr>
        <w:t xml:space="preserve">replace </w:t>
      </w:r>
      <w:r w:rsidR="007D5EC2">
        <w:rPr>
          <w:rFonts w:ascii="Arial" w:hAnsi="Arial" w:cs="Arial"/>
        </w:rPr>
        <w:t>ethical</w:t>
      </w:r>
      <w:r w:rsidR="00752249">
        <w:rPr>
          <w:rFonts w:ascii="Arial" w:hAnsi="Arial" w:cs="Arial"/>
        </w:rPr>
        <w:t xml:space="preserve"> reasoning with a focus on hitting results</w:t>
      </w:r>
      <w:r w:rsidR="00B43870">
        <w:rPr>
          <w:rFonts w:ascii="Arial" w:hAnsi="Arial" w:cs="Arial"/>
        </w:rPr>
        <w:t xml:space="preserve"> at any cost. Within Volkswagen, this created a culture where employees felt unable to challenge questionable decisions and obeying senior management was the safest option. </w:t>
      </w:r>
    </w:p>
    <w:p w14:paraId="401810A6" w14:textId="3663BD46" w:rsidR="00B43870" w:rsidRDefault="00B43870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company’s internal processes also contributed to the problem. Weak auditing systems and selective disclosure made it easier for the software manipulation to go unnoticed</w:t>
      </w:r>
      <w:r w:rsidR="00640682">
        <w:rPr>
          <w:rFonts w:ascii="Arial" w:hAnsi="Arial" w:cs="Arial"/>
        </w:rPr>
        <w:t xml:space="preserve"> for years (Gao et al., 2025). When information is tightly controlled and only a small group understands what is really happening, the </w:t>
      </w:r>
      <w:r w:rsidR="0016706E">
        <w:rPr>
          <w:rFonts w:ascii="Arial" w:hAnsi="Arial" w:cs="Arial"/>
        </w:rPr>
        <w:t>chance</w:t>
      </w:r>
      <w:r w:rsidR="00640682">
        <w:rPr>
          <w:rFonts w:ascii="Arial" w:hAnsi="Arial" w:cs="Arial"/>
        </w:rPr>
        <w:t xml:space="preserve"> of early detection fall</w:t>
      </w:r>
      <w:r w:rsidR="0016706E">
        <w:rPr>
          <w:rFonts w:ascii="Arial" w:hAnsi="Arial" w:cs="Arial"/>
        </w:rPr>
        <w:t>s</w:t>
      </w:r>
      <w:r w:rsidR="00640682">
        <w:rPr>
          <w:rFonts w:ascii="Arial" w:hAnsi="Arial" w:cs="Arial"/>
        </w:rPr>
        <w:t xml:space="preserve"> dramatically. </w:t>
      </w:r>
    </w:p>
    <w:p w14:paraId="2F377446" w14:textId="350226DA" w:rsidR="00640682" w:rsidRDefault="00640682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External factors mattered </w:t>
      </w:r>
      <w:r w:rsidR="00CA5DDA">
        <w:rPr>
          <w:rFonts w:ascii="Arial" w:hAnsi="Arial" w:cs="Arial"/>
        </w:rPr>
        <w:t xml:space="preserve">just as much. Volkswagen faced </w:t>
      </w:r>
      <w:r w:rsidR="00BC1E10">
        <w:rPr>
          <w:rFonts w:ascii="Arial" w:hAnsi="Arial" w:cs="Arial"/>
        </w:rPr>
        <w:t xml:space="preserve">a </w:t>
      </w:r>
      <w:r w:rsidR="00CA5DDA">
        <w:rPr>
          <w:rFonts w:ascii="Arial" w:hAnsi="Arial" w:cs="Arial"/>
        </w:rPr>
        <w:t xml:space="preserve">conflicting regulatory </w:t>
      </w:r>
      <w:r w:rsidR="007D5EC2">
        <w:rPr>
          <w:rFonts w:ascii="Arial" w:hAnsi="Arial" w:cs="Arial"/>
        </w:rPr>
        <w:t>environment</w:t>
      </w:r>
      <w:r w:rsidR="00CA5DDA">
        <w:rPr>
          <w:rFonts w:ascii="Arial" w:hAnsi="Arial" w:cs="Arial"/>
        </w:rPr>
        <w:t xml:space="preserve">. The </w:t>
      </w:r>
      <w:r w:rsidR="003A1B70">
        <w:rPr>
          <w:rFonts w:ascii="Arial" w:hAnsi="Arial" w:cs="Arial"/>
        </w:rPr>
        <w:t>US had stricter Nox limits, while European testing relied heavily on manufact</w:t>
      </w:r>
      <w:r w:rsidR="003919E6">
        <w:rPr>
          <w:rFonts w:ascii="Arial" w:hAnsi="Arial" w:cs="Arial"/>
        </w:rPr>
        <w:t>urer</w:t>
      </w:r>
      <w:r w:rsidR="00320E2A">
        <w:rPr>
          <w:rFonts w:ascii="Arial" w:hAnsi="Arial" w:cs="Arial"/>
        </w:rPr>
        <w:t>-</w:t>
      </w:r>
      <w:r w:rsidR="003919E6">
        <w:rPr>
          <w:rFonts w:ascii="Arial" w:hAnsi="Arial" w:cs="Arial"/>
        </w:rPr>
        <w:t xml:space="preserve">provided data. This regulatory inconsistency created gaps that </w:t>
      </w:r>
      <w:r w:rsidR="003919E6">
        <w:rPr>
          <w:rFonts w:ascii="Arial" w:hAnsi="Arial" w:cs="Arial"/>
        </w:rPr>
        <w:lastRenderedPageBreak/>
        <w:t>companies could exploit</w:t>
      </w:r>
      <w:r w:rsidR="009C5987">
        <w:rPr>
          <w:rFonts w:ascii="Arial" w:hAnsi="Arial" w:cs="Arial"/>
        </w:rPr>
        <w:t>. Zheng (2024) highlights</w:t>
      </w:r>
      <w:r w:rsidR="00F4102B">
        <w:rPr>
          <w:rFonts w:ascii="Arial" w:hAnsi="Arial" w:cs="Arial"/>
        </w:rPr>
        <w:t xml:space="preserve">: </w:t>
      </w:r>
      <w:r w:rsidR="009C5987">
        <w:rPr>
          <w:rFonts w:ascii="Arial" w:hAnsi="Arial" w:cs="Arial"/>
        </w:rPr>
        <w:t xml:space="preserve">where regulatory </w:t>
      </w:r>
      <w:r w:rsidR="007D5EC2">
        <w:rPr>
          <w:rFonts w:ascii="Arial" w:hAnsi="Arial" w:cs="Arial"/>
        </w:rPr>
        <w:t>scrutiny</w:t>
      </w:r>
      <w:r w:rsidR="00883C53">
        <w:rPr>
          <w:rFonts w:ascii="Arial" w:hAnsi="Arial" w:cs="Arial"/>
        </w:rPr>
        <w:t xml:space="preserve"> is weaker, greenwashing behaviours become more common. Simil</w:t>
      </w:r>
      <w:r w:rsidR="004E7848">
        <w:rPr>
          <w:rFonts w:ascii="Arial" w:hAnsi="Arial" w:cs="Arial"/>
        </w:rPr>
        <w:t xml:space="preserve">arly, Zhang et al. (2024) argue that inconsistent international rules make it difficult to maintain accountability across markets. </w:t>
      </w:r>
    </w:p>
    <w:p w14:paraId="4407C033" w14:textId="51B11E1F" w:rsidR="004E7848" w:rsidRDefault="004E7848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Technology also played a role. Volkswagen had committed to diesel technology that struggled to meet </w:t>
      </w:r>
      <w:r w:rsidR="009A6160">
        <w:rPr>
          <w:rFonts w:ascii="Arial" w:hAnsi="Arial" w:cs="Arial"/>
        </w:rPr>
        <w:t xml:space="preserve">both emissions standards and customer expectations for power and fuel efficiency. Instead of rethinking </w:t>
      </w:r>
      <w:r w:rsidR="00FB084E">
        <w:rPr>
          <w:rFonts w:ascii="Arial" w:hAnsi="Arial" w:cs="Arial"/>
        </w:rPr>
        <w:t>their technological approach, the company opted for manipulation</w:t>
      </w:r>
      <w:r w:rsidR="008012A8">
        <w:rPr>
          <w:rFonts w:ascii="Arial" w:hAnsi="Arial" w:cs="Arial"/>
        </w:rPr>
        <w:t xml:space="preserve">. This is a common pattern in greenwashing cases where technical </w:t>
      </w:r>
      <w:r w:rsidR="00EF5867">
        <w:rPr>
          <w:rFonts w:ascii="Arial" w:hAnsi="Arial" w:cs="Arial"/>
        </w:rPr>
        <w:t>limitations clash with commercial pressure (</w:t>
      </w:r>
      <w:r w:rsidR="00653B27">
        <w:rPr>
          <w:rFonts w:ascii="Arial" w:hAnsi="Arial" w:cs="Arial"/>
        </w:rPr>
        <w:t>Environmental</w:t>
      </w:r>
      <w:r w:rsidR="00EF5867">
        <w:rPr>
          <w:rFonts w:ascii="Arial" w:hAnsi="Arial" w:cs="Arial"/>
        </w:rPr>
        <w:t xml:space="preserve"> Defenders Office, 2023). </w:t>
      </w:r>
    </w:p>
    <w:p w14:paraId="6491A2F3" w14:textId="64ACB0DB" w:rsidR="00EF5867" w:rsidRDefault="00EF5867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Using the Five Whys,</w:t>
      </w:r>
      <w:r w:rsidR="00A616F8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traced the issue back to a core problem</w:t>
      </w:r>
      <w:r w:rsidR="00BA10EE">
        <w:rPr>
          <w:rFonts w:ascii="Arial" w:hAnsi="Arial" w:cs="Arial"/>
        </w:rPr>
        <w:t>, a company culture and governance system that rewarded</w:t>
      </w:r>
      <w:r w:rsidR="003354B1">
        <w:rPr>
          <w:rFonts w:ascii="Arial" w:hAnsi="Arial" w:cs="Arial"/>
        </w:rPr>
        <w:t xml:space="preserve"> results more than honesty. Everything else, technological </w:t>
      </w:r>
      <w:r w:rsidR="00653B27">
        <w:rPr>
          <w:rFonts w:ascii="Arial" w:hAnsi="Arial" w:cs="Arial"/>
        </w:rPr>
        <w:t>shortcuts,</w:t>
      </w:r>
      <w:r w:rsidR="003354B1">
        <w:rPr>
          <w:rFonts w:ascii="Arial" w:hAnsi="Arial" w:cs="Arial"/>
        </w:rPr>
        <w:t xml:space="preserve"> weak auditing, regul</w:t>
      </w:r>
      <w:r w:rsidR="008A5BC5">
        <w:rPr>
          <w:rFonts w:ascii="Arial" w:hAnsi="Arial" w:cs="Arial"/>
        </w:rPr>
        <w:t xml:space="preserve">atory gaps that fed into this deeper issue. </w:t>
      </w:r>
    </w:p>
    <w:p w14:paraId="1B6FEEEE" w14:textId="2FE63C3A" w:rsidR="00EE05EF" w:rsidRDefault="008A5BC5" w:rsidP="00AC43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Overall, genuine progress in the automobile industry requires transparent reporting, indepen</w:t>
      </w:r>
      <w:r w:rsidR="009864EB">
        <w:rPr>
          <w:rFonts w:ascii="Arial" w:hAnsi="Arial" w:cs="Arial"/>
        </w:rPr>
        <w:t>dent verification, stronger global regulation and leadership that values long-term responsibility over short-term gains</w:t>
      </w:r>
      <w:r w:rsidR="008A0091">
        <w:rPr>
          <w:rFonts w:ascii="Arial" w:hAnsi="Arial" w:cs="Arial"/>
        </w:rPr>
        <w:t xml:space="preserve">. As he (2021) notes, </w:t>
      </w:r>
      <w:r w:rsidR="00653B27">
        <w:rPr>
          <w:rFonts w:ascii="Arial" w:hAnsi="Arial" w:cs="Arial"/>
        </w:rPr>
        <w:t>sustainability only</w:t>
      </w:r>
      <w:r w:rsidR="008A0091">
        <w:rPr>
          <w:rFonts w:ascii="Arial" w:hAnsi="Arial" w:cs="Arial"/>
        </w:rPr>
        <w:t xml:space="preserve"> becomes meaningful when organisations back their claims with evidence </w:t>
      </w:r>
      <w:r w:rsidR="00E579C1">
        <w:rPr>
          <w:rFonts w:ascii="Arial" w:hAnsi="Arial" w:cs="Arial"/>
        </w:rPr>
        <w:t>rather</w:t>
      </w:r>
      <w:r w:rsidR="008A0091">
        <w:rPr>
          <w:rFonts w:ascii="Arial" w:hAnsi="Arial" w:cs="Arial"/>
        </w:rPr>
        <w:t xml:space="preserve"> that presentation</w:t>
      </w:r>
      <w:r w:rsidR="00E579C1">
        <w:rPr>
          <w:rFonts w:ascii="Arial" w:hAnsi="Arial" w:cs="Arial"/>
        </w:rPr>
        <w:t xml:space="preserve">. </w:t>
      </w:r>
    </w:p>
    <w:p w14:paraId="689E7611" w14:textId="77777777" w:rsidR="00EE05EF" w:rsidRDefault="00EE05EF" w:rsidP="00AC434C">
      <w:pPr>
        <w:spacing w:line="360" w:lineRule="auto"/>
        <w:jc w:val="both"/>
        <w:rPr>
          <w:rFonts w:ascii="Arial" w:hAnsi="Arial" w:cs="Arial"/>
        </w:rPr>
      </w:pPr>
    </w:p>
    <w:p w14:paraId="6526D58E" w14:textId="77777777" w:rsidR="00EE05EF" w:rsidRDefault="00EE05EF" w:rsidP="00AC434C">
      <w:pPr>
        <w:spacing w:line="360" w:lineRule="auto"/>
        <w:jc w:val="both"/>
        <w:rPr>
          <w:rFonts w:ascii="Arial" w:hAnsi="Arial" w:cs="Arial"/>
        </w:rPr>
      </w:pPr>
    </w:p>
    <w:p w14:paraId="0960DEB0" w14:textId="77777777" w:rsidR="00EE05EF" w:rsidRDefault="00EE05EF" w:rsidP="00AC434C">
      <w:pPr>
        <w:spacing w:line="360" w:lineRule="auto"/>
        <w:jc w:val="both"/>
        <w:rPr>
          <w:rFonts w:ascii="Arial" w:hAnsi="Arial" w:cs="Arial"/>
        </w:rPr>
      </w:pPr>
    </w:p>
    <w:p w14:paraId="472933C9" w14:textId="77777777" w:rsidR="00EE05EF" w:rsidRDefault="00EE05EF" w:rsidP="00AC434C">
      <w:pPr>
        <w:spacing w:line="360" w:lineRule="auto"/>
        <w:jc w:val="both"/>
        <w:rPr>
          <w:rFonts w:ascii="Arial" w:hAnsi="Arial" w:cs="Arial"/>
        </w:rPr>
      </w:pPr>
    </w:p>
    <w:p w14:paraId="306EFA0B" w14:textId="77777777" w:rsidR="00EE05EF" w:rsidRDefault="00EE05EF" w:rsidP="00AC434C">
      <w:pPr>
        <w:spacing w:line="360" w:lineRule="auto"/>
        <w:jc w:val="both"/>
        <w:rPr>
          <w:rFonts w:ascii="Arial" w:hAnsi="Arial" w:cs="Arial"/>
        </w:rPr>
      </w:pPr>
    </w:p>
    <w:p w14:paraId="12EB05D0" w14:textId="77777777" w:rsidR="00EE05EF" w:rsidRDefault="00EE05EF" w:rsidP="002636A8">
      <w:pPr>
        <w:spacing w:line="360" w:lineRule="auto"/>
        <w:jc w:val="both"/>
        <w:rPr>
          <w:rFonts w:ascii="Arial" w:hAnsi="Arial" w:cs="Arial"/>
        </w:rPr>
      </w:pPr>
    </w:p>
    <w:p w14:paraId="1658B569" w14:textId="77777777" w:rsidR="00EE05EF" w:rsidRDefault="00EE05EF" w:rsidP="002636A8">
      <w:pPr>
        <w:spacing w:line="360" w:lineRule="auto"/>
        <w:jc w:val="both"/>
        <w:rPr>
          <w:rFonts w:ascii="Arial" w:hAnsi="Arial" w:cs="Arial"/>
        </w:rPr>
      </w:pPr>
    </w:p>
    <w:p w14:paraId="41D54E73" w14:textId="77777777" w:rsidR="00EE05EF" w:rsidRDefault="00EE05EF" w:rsidP="002636A8">
      <w:pPr>
        <w:spacing w:line="360" w:lineRule="auto"/>
        <w:jc w:val="both"/>
        <w:rPr>
          <w:rFonts w:ascii="Arial" w:hAnsi="Arial" w:cs="Arial"/>
        </w:rPr>
      </w:pPr>
    </w:p>
    <w:p w14:paraId="4A5451A8" w14:textId="77777777" w:rsidR="00EE05EF" w:rsidRDefault="00EE05EF" w:rsidP="002636A8">
      <w:pPr>
        <w:spacing w:line="360" w:lineRule="auto"/>
        <w:jc w:val="both"/>
        <w:rPr>
          <w:rFonts w:ascii="Arial" w:hAnsi="Arial" w:cs="Arial"/>
        </w:rPr>
      </w:pPr>
    </w:p>
    <w:p w14:paraId="2605D927" w14:textId="77777777" w:rsidR="00EE05EF" w:rsidRDefault="00EE05EF" w:rsidP="002636A8">
      <w:pPr>
        <w:spacing w:line="360" w:lineRule="auto"/>
        <w:jc w:val="both"/>
        <w:rPr>
          <w:rFonts w:ascii="Arial" w:hAnsi="Arial" w:cs="Arial"/>
        </w:rPr>
      </w:pPr>
    </w:p>
    <w:p w14:paraId="14488366" w14:textId="77777777" w:rsidR="00AC434C" w:rsidRDefault="00AC434C" w:rsidP="002636A8">
      <w:pPr>
        <w:spacing w:line="360" w:lineRule="auto"/>
        <w:jc w:val="both"/>
        <w:rPr>
          <w:rFonts w:ascii="Arial" w:hAnsi="Arial" w:cs="Arial"/>
        </w:rPr>
      </w:pPr>
    </w:p>
    <w:p w14:paraId="740897BF" w14:textId="171824CD" w:rsidR="00DE2C15" w:rsidRDefault="00DE2C15" w:rsidP="002636A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 list: </w:t>
      </w:r>
    </w:p>
    <w:p w14:paraId="7E1241A1" w14:textId="77777777" w:rsidR="007E07EF" w:rsidRPr="002636A8" w:rsidRDefault="007E07EF" w:rsidP="002636A8">
      <w:pPr>
        <w:spacing w:line="360" w:lineRule="auto"/>
        <w:jc w:val="both"/>
        <w:rPr>
          <w:rFonts w:ascii="Arial" w:hAnsi="Arial" w:cs="Arial"/>
        </w:rPr>
      </w:pPr>
    </w:p>
    <w:p w14:paraId="1D6CAE2F" w14:textId="77777777" w:rsidR="007E07EF" w:rsidRDefault="007E07EF" w:rsidP="007E07EF">
      <w:pPr>
        <w:spacing w:line="360" w:lineRule="auto"/>
        <w:rPr>
          <w:rFonts w:ascii="Arial" w:hAnsi="Arial" w:cs="Arial"/>
        </w:rPr>
      </w:pPr>
      <w:r w:rsidRPr="00DE2C15">
        <w:rPr>
          <w:rFonts w:ascii="Arial" w:hAnsi="Arial" w:cs="Arial"/>
        </w:rPr>
        <w:t xml:space="preserve">Adair, J.E. (2022) </w:t>
      </w:r>
      <w:r w:rsidRPr="00DE2C15">
        <w:rPr>
          <w:rFonts w:ascii="Arial" w:hAnsi="Arial" w:cs="Arial"/>
          <w:i/>
          <w:iCs/>
        </w:rPr>
        <w:t>Decision making and problem solving: break through barriers and banish uncertainty at work</w:t>
      </w:r>
      <w:r w:rsidRPr="00DE2C15">
        <w:rPr>
          <w:rFonts w:ascii="Arial" w:hAnsi="Arial" w:cs="Arial"/>
        </w:rPr>
        <w:t xml:space="preserve">. Fifth edition. London: </w:t>
      </w:r>
      <w:proofErr w:type="spellStart"/>
      <w:r w:rsidRPr="00DE2C15">
        <w:rPr>
          <w:rFonts w:ascii="Arial" w:hAnsi="Arial" w:cs="Arial"/>
        </w:rPr>
        <w:t>KoganPage</w:t>
      </w:r>
      <w:proofErr w:type="spellEnd"/>
      <w:r w:rsidRPr="00DE2C15">
        <w:rPr>
          <w:rFonts w:ascii="Arial" w:hAnsi="Arial" w:cs="Arial"/>
        </w:rPr>
        <w:t>. Available at: https://ezproxy.uwtsd.ac.uk/login?url=https://www.vlebooks.com/product/openreader?id=TrinityStD&amp;accId=8886856&amp;isbn=9781398606296&amp;uid=^u.</w:t>
      </w:r>
    </w:p>
    <w:p w14:paraId="6D6312D2" w14:textId="77777777" w:rsidR="007E07EF" w:rsidRPr="0081573D" w:rsidRDefault="007E07EF" w:rsidP="007E07EF">
      <w:pPr>
        <w:spacing w:line="360" w:lineRule="auto"/>
        <w:rPr>
          <w:rFonts w:ascii="Arial" w:hAnsi="Arial" w:cs="Arial"/>
        </w:rPr>
      </w:pPr>
      <w:r w:rsidRPr="0081573D">
        <w:rPr>
          <w:rFonts w:ascii="Arial" w:hAnsi="Arial" w:cs="Arial"/>
          <w:i/>
          <w:iCs/>
        </w:rPr>
        <w:t>Driving change or just filling the tank? greenwashing tactics of the automobile industry</w:t>
      </w:r>
      <w:r w:rsidRPr="0081573D">
        <w:rPr>
          <w:rFonts w:ascii="Arial" w:hAnsi="Arial" w:cs="Arial"/>
        </w:rPr>
        <w:t xml:space="preserve"> (2024) </w:t>
      </w:r>
      <w:r w:rsidRPr="0081573D">
        <w:rPr>
          <w:rFonts w:ascii="Arial" w:hAnsi="Arial" w:cs="Arial"/>
          <w:i/>
          <w:iCs/>
        </w:rPr>
        <w:t>Environmental Defenders Office</w:t>
      </w:r>
      <w:r w:rsidRPr="0081573D">
        <w:rPr>
          <w:rFonts w:ascii="Arial" w:hAnsi="Arial" w:cs="Arial"/>
        </w:rPr>
        <w:t xml:space="preserve">. Available at: https://www.edo.org.au/driving-change-or-just-filling-the-tank-the-greenwashing-tactics-of-the-automobile-industry/ (Accessed: </w:t>
      </w:r>
      <w:r>
        <w:rPr>
          <w:rFonts w:ascii="Arial" w:hAnsi="Arial" w:cs="Arial"/>
        </w:rPr>
        <w:t>28 October</w:t>
      </w:r>
      <w:r w:rsidRPr="0081573D">
        <w:rPr>
          <w:rFonts w:ascii="Arial" w:hAnsi="Arial" w:cs="Arial"/>
        </w:rPr>
        <w:t xml:space="preserve"> 2025). </w:t>
      </w:r>
    </w:p>
    <w:p w14:paraId="0CD5E2A6" w14:textId="77777777" w:rsidR="007E07EF" w:rsidRPr="0081573D" w:rsidRDefault="007E07EF" w:rsidP="007E07EF">
      <w:pPr>
        <w:spacing w:line="360" w:lineRule="auto"/>
        <w:rPr>
          <w:rFonts w:ascii="Arial" w:hAnsi="Arial" w:cs="Arial"/>
        </w:rPr>
      </w:pPr>
      <w:r w:rsidRPr="0081573D">
        <w:rPr>
          <w:rFonts w:ascii="Arial" w:hAnsi="Arial" w:cs="Arial"/>
        </w:rPr>
        <w:t xml:space="preserve">Gao, Y. </w:t>
      </w:r>
      <w:r w:rsidRPr="0081573D">
        <w:rPr>
          <w:rFonts w:ascii="Arial" w:hAnsi="Arial" w:cs="Arial"/>
          <w:i/>
          <w:iCs/>
        </w:rPr>
        <w:t>et al.</w:t>
      </w:r>
      <w:r w:rsidRPr="0081573D">
        <w:rPr>
          <w:rFonts w:ascii="Arial" w:hAnsi="Arial" w:cs="Arial"/>
        </w:rPr>
        <w:t xml:space="preserve"> (2025) </w:t>
      </w:r>
      <w:r w:rsidRPr="0081573D">
        <w:rPr>
          <w:rFonts w:ascii="Arial" w:hAnsi="Arial" w:cs="Arial"/>
          <w:i/>
          <w:iCs/>
        </w:rPr>
        <w:t>ESG greenwashing behaviour in the Electric Vehicle Supply Chain: Insights from evolutionary game theory</w:t>
      </w:r>
      <w:r w:rsidRPr="0081573D">
        <w:rPr>
          <w:rFonts w:ascii="Arial" w:hAnsi="Arial" w:cs="Arial"/>
        </w:rPr>
        <w:t xml:space="preserve">, </w:t>
      </w:r>
      <w:r w:rsidRPr="0081573D">
        <w:rPr>
          <w:rFonts w:ascii="Arial" w:hAnsi="Arial" w:cs="Arial"/>
          <w:i/>
          <w:iCs/>
        </w:rPr>
        <w:t>White Rose Research Online</w:t>
      </w:r>
      <w:r w:rsidRPr="0081573D">
        <w:rPr>
          <w:rFonts w:ascii="Arial" w:hAnsi="Arial" w:cs="Arial"/>
        </w:rPr>
        <w:t xml:space="preserve">. Available at: https://eprints.whiterose.ac.uk/id/eprint/231735/ (Accessed: 02 November 2025). </w:t>
      </w:r>
    </w:p>
    <w:p w14:paraId="0464C490" w14:textId="77777777" w:rsidR="007E07EF" w:rsidRPr="0081573D" w:rsidRDefault="007E07EF" w:rsidP="007E07EF">
      <w:pPr>
        <w:spacing w:line="360" w:lineRule="auto"/>
        <w:rPr>
          <w:rFonts w:ascii="Arial" w:hAnsi="Arial" w:cs="Arial"/>
        </w:rPr>
      </w:pPr>
      <w:r w:rsidRPr="0081573D">
        <w:rPr>
          <w:rFonts w:ascii="Arial" w:hAnsi="Arial" w:cs="Arial"/>
        </w:rPr>
        <w:t xml:space="preserve">He, X. (2021) ‘Sustainability Assurance: A Call for Specialist Standards: </w:t>
      </w:r>
      <w:proofErr w:type="spellStart"/>
      <w:r w:rsidRPr="0081573D">
        <w:rPr>
          <w:rFonts w:ascii="Arial" w:hAnsi="Arial" w:cs="Arial"/>
        </w:rPr>
        <w:t>Boiral</w:t>
      </w:r>
      <w:proofErr w:type="spellEnd"/>
      <w:r w:rsidRPr="0081573D">
        <w:rPr>
          <w:rFonts w:ascii="Arial" w:hAnsi="Arial" w:cs="Arial"/>
        </w:rPr>
        <w:t>, O. and Heras-</w:t>
      </w:r>
      <w:proofErr w:type="spellStart"/>
      <w:r w:rsidRPr="0081573D">
        <w:rPr>
          <w:rFonts w:ascii="Arial" w:hAnsi="Arial" w:cs="Arial"/>
        </w:rPr>
        <w:t>Saizarbitoria</w:t>
      </w:r>
      <w:proofErr w:type="spellEnd"/>
      <w:r w:rsidRPr="0081573D">
        <w:rPr>
          <w:rFonts w:ascii="Arial" w:hAnsi="Arial" w:cs="Arial"/>
        </w:rPr>
        <w:t xml:space="preserve">, I., 2020. Sustainability reporting assurance: Creating stakeholder accountability through hyperreality? Journal of Cleaner Production, 243, pp. 1-17.; </w:t>
      </w:r>
      <w:proofErr w:type="spellStart"/>
      <w:r w:rsidRPr="0081573D">
        <w:rPr>
          <w:rFonts w:ascii="Arial" w:hAnsi="Arial" w:cs="Arial"/>
        </w:rPr>
        <w:t>Boiral</w:t>
      </w:r>
      <w:proofErr w:type="spellEnd"/>
      <w:r w:rsidRPr="0081573D">
        <w:rPr>
          <w:rFonts w:ascii="Arial" w:hAnsi="Arial" w:cs="Arial"/>
        </w:rPr>
        <w:t>, O., Heras-</w:t>
      </w:r>
      <w:proofErr w:type="spellStart"/>
      <w:r w:rsidRPr="0081573D">
        <w:rPr>
          <w:rFonts w:ascii="Arial" w:hAnsi="Arial" w:cs="Arial"/>
        </w:rPr>
        <w:t>Saizarbitoria</w:t>
      </w:r>
      <w:proofErr w:type="spellEnd"/>
      <w:r w:rsidRPr="0081573D">
        <w:rPr>
          <w:rFonts w:ascii="Arial" w:hAnsi="Arial" w:cs="Arial"/>
        </w:rPr>
        <w:t xml:space="preserve">, I. and Brotherton, M.C., 2019. Assessing and improving the quality of sustainability reports: The auditors’ perspective. Journal of Business Ethics, 155(3), pp. 703-721.; Canning, M., O’Dwyer, B. and Georgakopoulos, G., 2019. Processes of auditability in sustainability assurance-’, </w:t>
      </w:r>
      <w:r w:rsidRPr="0081573D">
        <w:rPr>
          <w:rFonts w:ascii="Arial" w:hAnsi="Arial" w:cs="Arial"/>
          <w:i/>
          <w:iCs/>
        </w:rPr>
        <w:t>Social and environmental accountability journal</w:t>
      </w:r>
      <w:r w:rsidRPr="0081573D">
        <w:rPr>
          <w:rFonts w:ascii="Arial" w:hAnsi="Arial" w:cs="Arial"/>
        </w:rPr>
        <w:t>, 41(1–2), pp. 127–129. Available at: https://doi.org/10.1080/0969160X.2020.1870316.</w:t>
      </w:r>
    </w:p>
    <w:p w14:paraId="28D57C04" w14:textId="77777777" w:rsidR="007E07EF" w:rsidRPr="00DC5055" w:rsidRDefault="007E07EF" w:rsidP="007E07EF">
      <w:pPr>
        <w:spacing w:line="360" w:lineRule="auto"/>
        <w:rPr>
          <w:rFonts w:ascii="Arial" w:hAnsi="Arial" w:cs="Arial"/>
        </w:rPr>
      </w:pPr>
      <w:r w:rsidRPr="00DC5055">
        <w:rPr>
          <w:rFonts w:ascii="Arial" w:hAnsi="Arial" w:cs="Arial"/>
        </w:rPr>
        <w:t xml:space="preserve">Keough, P.D. (2019) ‘Ethical problem-solving and decision-making for positive and conclusive outcomes’, </w:t>
      </w:r>
      <w:r w:rsidRPr="00DC5055">
        <w:rPr>
          <w:rFonts w:ascii="Arial" w:hAnsi="Arial" w:cs="Arial"/>
          <w:i/>
          <w:iCs/>
        </w:rPr>
        <w:t xml:space="preserve">Advances in Psychology, Mental Health, and </w:t>
      </w:r>
      <w:proofErr w:type="spellStart"/>
      <w:r w:rsidRPr="00DC5055">
        <w:rPr>
          <w:rFonts w:ascii="Arial" w:hAnsi="Arial" w:cs="Arial"/>
          <w:i/>
          <w:iCs/>
        </w:rPr>
        <w:t>Behavioral</w:t>
      </w:r>
      <w:proofErr w:type="spellEnd"/>
      <w:r w:rsidRPr="00DC5055">
        <w:rPr>
          <w:rFonts w:ascii="Arial" w:hAnsi="Arial" w:cs="Arial"/>
          <w:i/>
          <w:iCs/>
        </w:rPr>
        <w:t xml:space="preserve"> Studies</w:t>
      </w:r>
      <w:r w:rsidRPr="00DC5055">
        <w:rPr>
          <w:rFonts w:ascii="Arial" w:hAnsi="Arial" w:cs="Arial"/>
        </w:rPr>
        <w:t xml:space="preserve">. doi:10.4018/978-1-5225-7582-5. </w:t>
      </w:r>
    </w:p>
    <w:p w14:paraId="210365AB" w14:textId="77777777" w:rsidR="007E07EF" w:rsidRPr="007E07EF" w:rsidRDefault="007E07EF" w:rsidP="007E07EF">
      <w:pPr>
        <w:spacing w:line="360" w:lineRule="auto"/>
        <w:rPr>
          <w:rFonts w:ascii="Arial" w:hAnsi="Arial" w:cs="Arial"/>
        </w:rPr>
      </w:pPr>
      <w:r w:rsidRPr="007E07EF">
        <w:rPr>
          <w:rFonts w:ascii="Arial" w:hAnsi="Arial" w:cs="Arial"/>
        </w:rPr>
        <w:t xml:space="preserve">Liu, C. (2023) ‘The governance of manufacturers’ greenwashing </w:t>
      </w:r>
      <w:proofErr w:type="spellStart"/>
      <w:r w:rsidRPr="007E07EF">
        <w:rPr>
          <w:rFonts w:ascii="Arial" w:hAnsi="Arial" w:cs="Arial"/>
        </w:rPr>
        <w:t>behaviors</w:t>
      </w:r>
      <w:proofErr w:type="spellEnd"/>
      <w:r w:rsidRPr="007E07EF">
        <w:rPr>
          <w:rFonts w:ascii="Arial" w:hAnsi="Arial" w:cs="Arial"/>
        </w:rPr>
        <w:t xml:space="preserve">’, </w:t>
      </w:r>
      <w:r w:rsidRPr="007E07EF">
        <w:rPr>
          <w:rFonts w:ascii="Arial" w:hAnsi="Arial" w:cs="Arial"/>
          <w:i/>
          <w:iCs/>
        </w:rPr>
        <w:t>Journal of Cleaner Production</w:t>
      </w:r>
      <w:r w:rsidRPr="007E07EF">
        <w:rPr>
          <w:rFonts w:ascii="Arial" w:hAnsi="Arial" w:cs="Arial"/>
        </w:rPr>
        <w:t xml:space="preserve">, 392, 136274. </w:t>
      </w:r>
      <w:proofErr w:type="gramStart"/>
      <w:r w:rsidRPr="007E07EF">
        <w:rPr>
          <w:rFonts w:ascii="Arial" w:hAnsi="Arial" w:cs="Arial"/>
        </w:rPr>
        <w:t>doi:10.1016/j.jclepro</w:t>
      </w:r>
      <w:proofErr w:type="gramEnd"/>
      <w:r w:rsidRPr="007E07EF">
        <w:rPr>
          <w:rFonts w:ascii="Arial" w:hAnsi="Arial" w:cs="Arial"/>
        </w:rPr>
        <w:t>.2023.136274</w:t>
      </w:r>
      <w:r>
        <w:rPr>
          <w:rFonts w:ascii="Arial" w:hAnsi="Arial" w:cs="Arial"/>
        </w:rPr>
        <w:t xml:space="preserve"> </w:t>
      </w:r>
      <w:r w:rsidRPr="007E07EF">
        <w:rPr>
          <w:rFonts w:ascii="Arial" w:hAnsi="Arial" w:cs="Arial"/>
        </w:rPr>
        <w:t>(Accessed: 02 November 2025).</w:t>
      </w:r>
    </w:p>
    <w:p w14:paraId="1A601E26" w14:textId="77777777" w:rsidR="007E07EF" w:rsidRPr="00641A2F" w:rsidRDefault="007E07EF" w:rsidP="007E07EF">
      <w:pPr>
        <w:spacing w:line="360" w:lineRule="auto"/>
        <w:rPr>
          <w:rFonts w:ascii="Arial" w:hAnsi="Arial" w:cs="Arial"/>
        </w:rPr>
      </w:pPr>
      <w:r w:rsidRPr="00641A2F">
        <w:rPr>
          <w:rFonts w:ascii="Arial" w:hAnsi="Arial" w:cs="Arial"/>
        </w:rPr>
        <w:lastRenderedPageBreak/>
        <w:t xml:space="preserve">Saleh, M.S.M., Li, S. and Huang, M. (2025) ‘Green Marketing and Greenwashing Effects on Consumer Purchase of Electric Cars: The Moderating Role of Environmental Knowledge’, </w:t>
      </w:r>
      <w:r w:rsidRPr="00641A2F">
        <w:rPr>
          <w:rFonts w:ascii="Arial" w:hAnsi="Arial" w:cs="Arial"/>
          <w:i/>
          <w:iCs/>
        </w:rPr>
        <w:t>International journal of customer relationship marketing and management</w:t>
      </w:r>
      <w:r w:rsidRPr="00641A2F">
        <w:rPr>
          <w:rFonts w:ascii="Arial" w:hAnsi="Arial" w:cs="Arial"/>
        </w:rPr>
        <w:t>, 16(1), pp. 1–21. Available at: https://doi.org/10.4018/IJCRMM.367599.</w:t>
      </w:r>
    </w:p>
    <w:p w14:paraId="74716727" w14:textId="77777777" w:rsidR="007E07EF" w:rsidRPr="007E07EF" w:rsidRDefault="007E07EF" w:rsidP="007E07EF">
      <w:pPr>
        <w:spacing w:line="360" w:lineRule="auto"/>
        <w:rPr>
          <w:rFonts w:ascii="Arial" w:hAnsi="Arial" w:cs="Arial"/>
        </w:rPr>
      </w:pPr>
      <w:r w:rsidRPr="007E07EF">
        <w:rPr>
          <w:rFonts w:ascii="Arial" w:hAnsi="Arial" w:cs="Arial"/>
        </w:rPr>
        <w:t xml:space="preserve">Zhang, Y. </w:t>
      </w:r>
      <w:r w:rsidRPr="007E07EF">
        <w:rPr>
          <w:rFonts w:ascii="Arial" w:hAnsi="Arial" w:cs="Arial"/>
          <w:i/>
          <w:iCs/>
        </w:rPr>
        <w:t>et al.</w:t>
      </w:r>
      <w:r w:rsidRPr="007E07EF">
        <w:rPr>
          <w:rFonts w:ascii="Arial" w:hAnsi="Arial" w:cs="Arial"/>
        </w:rPr>
        <w:t xml:space="preserve"> (2024) </w:t>
      </w:r>
      <w:r w:rsidRPr="007E07EF">
        <w:rPr>
          <w:rFonts w:ascii="Arial" w:hAnsi="Arial" w:cs="Arial"/>
          <w:i/>
          <w:iCs/>
        </w:rPr>
        <w:t xml:space="preserve">Governance of greenwashing </w:t>
      </w:r>
      <w:proofErr w:type="spellStart"/>
      <w:r w:rsidRPr="007E07EF">
        <w:rPr>
          <w:rFonts w:ascii="Arial" w:hAnsi="Arial" w:cs="Arial"/>
          <w:i/>
          <w:iCs/>
        </w:rPr>
        <w:t>behaviors</w:t>
      </w:r>
      <w:proofErr w:type="spellEnd"/>
      <w:r w:rsidRPr="007E07EF">
        <w:rPr>
          <w:rFonts w:ascii="Arial" w:hAnsi="Arial" w:cs="Arial"/>
          <w:i/>
          <w:iCs/>
        </w:rPr>
        <w:t>: A perspective of heterogeneous firm types</w:t>
      </w:r>
      <w:r w:rsidRPr="007E07EF">
        <w:rPr>
          <w:rFonts w:ascii="Arial" w:hAnsi="Arial" w:cs="Arial"/>
        </w:rPr>
        <w:t xml:space="preserve">, </w:t>
      </w:r>
      <w:r w:rsidRPr="007E07EF">
        <w:rPr>
          <w:rFonts w:ascii="Arial" w:hAnsi="Arial" w:cs="Arial"/>
          <w:i/>
          <w:iCs/>
        </w:rPr>
        <w:t>MDPI</w:t>
      </w:r>
      <w:r w:rsidRPr="007E07EF">
        <w:rPr>
          <w:rFonts w:ascii="Arial" w:hAnsi="Arial" w:cs="Arial"/>
        </w:rPr>
        <w:t xml:space="preserve">. Available at: https://www.mdpi.com/1996-1073/17/6/1340 (Accessed: 02 November 2025). </w:t>
      </w:r>
    </w:p>
    <w:p w14:paraId="3D8F2AB8" w14:textId="77777777" w:rsidR="007E07EF" w:rsidRPr="007E07EF" w:rsidRDefault="007E07EF" w:rsidP="007E07EF">
      <w:pPr>
        <w:spacing w:line="360" w:lineRule="auto"/>
        <w:rPr>
          <w:rFonts w:ascii="Arial" w:hAnsi="Arial" w:cs="Arial"/>
        </w:rPr>
      </w:pPr>
      <w:r w:rsidRPr="007E07EF">
        <w:rPr>
          <w:rFonts w:ascii="Arial" w:hAnsi="Arial" w:cs="Arial"/>
        </w:rPr>
        <w:t xml:space="preserve">Zheng, X. (2024) ‘Government environmental attention and enterprise greenwashing: Evidence from Chinese local governments’, </w:t>
      </w:r>
      <w:r w:rsidRPr="007E07EF">
        <w:rPr>
          <w:rFonts w:ascii="Arial" w:hAnsi="Arial" w:cs="Arial"/>
          <w:i/>
          <w:iCs/>
        </w:rPr>
        <w:t>Journal of Applied Accounting Research.</w:t>
      </w:r>
      <w:r w:rsidRPr="007E07EF">
        <w:rPr>
          <w:rFonts w:ascii="Arial" w:hAnsi="Arial" w:cs="Arial"/>
        </w:rPr>
        <w:t xml:space="preserve"> doi:10.1108/JABES-03-2024-0144</w:t>
      </w:r>
      <w:r>
        <w:rPr>
          <w:rFonts w:ascii="Arial" w:hAnsi="Arial" w:cs="Arial"/>
        </w:rPr>
        <w:t xml:space="preserve"> </w:t>
      </w:r>
      <w:r w:rsidRPr="007E07EF">
        <w:rPr>
          <w:rFonts w:ascii="Arial" w:hAnsi="Arial" w:cs="Arial"/>
        </w:rPr>
        <w:t>(Accessed: 0</w:t>
      </w:r>
      <w:r>
        <w:rPr>
          <w:rFonts w:ascii="Arial" w:hAnsi="Arial" w:cs="Arial"/>
        </w:rPr>
        <w:t xml:space="preserve">1 </w:t>
      </w:r>
      <w:r w:rsidRPr="007E07EF">
        <w:rPr>
          <w:rFonts w:ascii="Arial" w:hAnsi="Arial" w:cs="Arial"/>
        </w:rPr>
        <w:t>November 2025).</w:t>
      </w:r>
    </w:p>
    <w:sectPr w:rsidR="007E07EF" w:rsidRPr="007E07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28"/>
    <w:rsid w:val="000120F0"/>
    <w:rsid w:val="000A4B58"/>
    <w:rsid w:val="000C035F"/>
    <w:rsid w:val="000D7A14"/>
    <w:rsid w:val="00152CE7"/>
    <w:rsid w:val="00154C7F"/>
    <w:rsid w:val="0016706E"/>
    <w:rsid w:val="001946D5"/>
    <w:rsid w:val="001A58A4"/>
    <w:rsid w:val="001B57B8"/>
    <w:rsid w:val="001F282C"/>
    <w:rsid w:val="00211B16"/>
    <w:rsid w:val="002636A8"/>
    <w:rsid w:val="002C4738"/>
    <w:rsid w:val="002E05E4"/>
    <w:rsid w:val="002E09BD"/>
    <w:rsid w:val="002E50D6"/>
    <w:rsid w:val="00303863"/>
    <w:rsid w:val="00320E2A"/>
    <w:rsid w:val="003354B1"/>
    <w:rsid w:val="00337E53"/>
    <w:rsid w:val="00377B3A"/>
    <w:rsid w:val="003919E6"/>
    <w:rsid w:val="0039690B"/>
    <w:rsid w:val="003A1B70"/>
    <w:rsid w:val="003B2B48"/>
    <w:rsid w:val="003F6766"/>
    <w:rsid w:val="00441358"/>
    <w:rsid w:val="00495E54"/>
    <w:rsid w:val="004C15BD"/>
    <w:rsid w:val="004C62C3"/>
    <w:rsid w:val="004D496E"/>
    <w:rsid w:val="004E4820"/>
    <w:rsid w:val="004E7848"/>
    <w:rsid w:val="00504F15"/>
    <w:rsid w:val="005308B9"/>
    <w:rsid w:val="005824FC"/>
    <w:rsid w:val="005B051C"/>
    <w:rsid w:val="0062610C"/>
    <w:rsid w:val="00630A14"/>
    <w:rsid w:val="00640682"/>
    <w:rsid w:val="00641A2F"/>
    <w:rsid w:val="00653B27"/>
    <w:rsid w:val="006A75CC"/>
    <w:rsid w:val="006D04BC"/>
    <w:rsid w:val="006D69F0"/>
    <w:rsid w:val="00752249"/>
    <w:rsid w:val="0078678A"/>
    <w:rsid w:val="007B22AC"/>
    <w:rsid w:val="007B7571"/>
    <w:rsid w:val="007D273A"/>
    <w:rsid w:val="007D5EC2"/>
    <w:rsid w:val="007E07EF"/>
    <w:rsid w:val="008012A8"/>
    <w:rsid w:val="0081573D"/>
    <w:rsid w:val="00833729"/>
    <w:rsid w:val="00873FF9"/>
    <w:rsid w:val="00883C53"/>
    <w:rsid w:val="00887E85"/>
    <w:rsid w:val="008A0091"/>
    <w:rsid w:val="008A5BC5"/>
    <w:rsid w:val="008E3514"/>
    <w:rsid w:val="008F7792"/>
    <w:rsid w:val="00945D4B"/>
    <w:rsid w:val="00947A8A"/>
    <w:rsid w:val="00963413"/>
    <w:rsid w:val="009864EB"/>
    <w:rsid w:val="009A6160"/>
    <w:rsid w:val="009A69DF"/>
    <w:rsid w:val="009C5987"/>
    <w:rsid w:val="009D5F4F"/>
    <w:rsid w:val="009E6037"/>
    <w:rsid w:val="00A616F8"/>
    <w:rsid w:val="00A76BF7"/>
    <w:rsid w:val="00AA73E3"/>
    <w:rsid w:val="00AB1BFD"/>
    <w:rsid w:val="00AC434C"/>
    <w:rsid w:val="00AE3E18"/>
    <w:rsid w:val="00AF61BC"/>
    <w:rsid w:val="00B43870"/>
    <w:rsid w:val="00B81E4D"/>
    <w:rsid w:val="00BA10EE"/>
    <w:rsid w:val="00BB2A28"/>
    <w:rsid w:val="00BC1E10"/>
    <w:rsid w:val="00BC40C3"/>
    <w:rsid w:val="00BF287E"/>
    <w:rsid w:val="00C07266"/>
    <w:rsid w:val="00C14014"/>
    <w:rsid w:val="00C32D57"/>
    <w:rsid w:val="00C94E30"/>
    <w:rsid w:val="00CA2E56"/>
    <w:rsid w:val="00CA5DDA"/>
    <w:rsid w:val="00CB5A03"/>
    <w:rsid w:val="00CD2AF9"/>
    <w:rsid w:val="00D2442B"/>
    <w:rsid w:val="00D84B98"/>
    <w:rsid w:val="00DC5055"/>
    <w:rsid w:val="00DE2C15"/>
    <w:rsid w:val="00DE60B7"/>
    <w:rsid w:val="00DE7541"/>
    <w:rsid w:val="00DE7B20"/>
    <w:rsid w:val="00DF4F8A"/>
    <w:rsid w:val="00DF6DE9"/>
    <w:rsid w:val="00E17BDC"/>
    <w:rsid w:val="00E579C1"/>
    <w:rsid w:val="00E60BCB"/>
    <w:rsid w:val="00E90FCD"/>
    <w:rsid w:val="00EE05EF"/>
    <w:rsid w:val="00EF5867"/>
    <w:rsid w:val="00F127BB"/>
    <w:rsid w:val="00F14E43"/>
    <w:rsid w:val="00F40BF3"/>
    <w:rsid w:val="00F4102B"/>
    <w:rsid w:val="00FA72AA"/>
    <w:rsid w:val="00FB084E"/>
    <w:rsid w:val="00FE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336D4"/>
  <w15:chartTrackingRefBased/>
  <w15:docId w15:val="{0FFEC277-25E9-4D16-8951-0BDCDB12B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A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A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A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A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A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A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A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A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A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A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A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A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A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A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A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A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A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A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A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A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A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A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A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A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A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A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A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A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A2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28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28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844</Words>
  <Characters>5774</Characters>
  <Application>Microsoft Office Word</Application>
  <DocSecurity>0</DocSecurity>
  <Lines>125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Minea</dc:creator>
  <cp:keywords/>
  <dc:description/>
  <cp:lastModifiedBy>Laura Minea</cp:lastModifiedBy>
  <cp:revision>90</cp:revision>
  <dcterms:created xsi:type="dcterms:W3CDTF">2025-11-02T19:15:00Z</dcterms:created>
  <dcterms:modified xsi:type="dcterms:W3CDTF">2025-11-13T22:43:00Z</dcterms:modified>
</cp:coreProperties>
</file>