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1650C7" w14:textId="77777777" w:rsidR="00516864" w:rsidRDefault="00516864" w:rsidP="00516864">
      <w:pPr>
        <w:spacing w:after="0" w:line="240" w:lineRule="auto"/>
        <w:rPr>
          <w:rFonts w:ascii="Arial" w:hAnsi="Arial" w:cs="Arial"/>
          <w:sz w:val="24"/>
          <w:szCs w:val="24"/>
        </w:rPr>
      </w:pPr>
      <w:r>
        <w:rPr>
          <w:rFonts w:ascii="Arial" w:hAnsi="Arial" w:cs="Arial"/>
          <w:sz w:val="24"/>
          <w:szCs w:val="24"/>
        </w:rPr>
        <w:t>APMs are commonly used by entities as a means of explaining financial performance. Where properly used by entities they enable better comparison of entities operating in the same sector and enable users of financial statements to understand how management assess the financial performance of a business.</w:t>
      </w:r>
    </w:p>
    <w:p w14:paraId="3525B5D7" w14:textId="77777777" w:rsidR="00516864" w:rsidRDefault="00516864" w:rsidP="00516864">
      <w:pPr>
        <w:spacing w:after="0" w:line="240" w:lineRule="auto"/>
        <w:rPr>
          <w:rFonts w:ascii="Arial" w:hAnsi="Arial" w:cs="Arial"/>
          <w:sz w:val="24"/>
          <w:szCs w:val="24"/>
        </w:rPr>
      </w:pPr>
      <w:r>
        <w:rPr>
          <w:rFonts w:ascii="Arial" w:hAnsi="Arial" w:cs="Arial"/>
          <w:sz w:val="24"/>
          <w:szCs w:val="24"/>
        </w:rPr>
        <w:t>There are, however, some drawbacks of APMS:</w:t>
      </w:r>
    </w:p>
    <w:p w14:paraId="02BDC0E4" w14:textId="77777777" w:rsidR="00516864" w:rsidRDefault="00516864" w:rsidP="00516864">
      <w:pPr>
        <w:pStyle w:val="ListParagraph"/>
        <w:numPr>
          <w:ilvl w:val="0"/>
          <w:numId w:val="1"/>
        </w:numPr>
        <w:spacing w:after="0" w:line="240" w:lineRule="auto"/>
        <w:rPr>
          <w:rFonts w:ascii="Arial" w:hAnsi="Arial" w:cs="Arial"/>
          <w:sz w:val="24"/>
          <w:szCs w:val="24"/>
        </w:rPr>
      </w:pPr>
      <w:r>
        <w:rPr>
          <w:rFonts w:ascii="Arial" w:hAnsi="Arial" w:cs="Arial"/>
          <w:sz w:val="24"/>
          <w:szCs w:val="24"/>
        </w:rPr>
        <w:t>They require consistency of calculation</w:t>
      </w:r>
    </w:p>
    <w:p w14:paraId="449D9EC1" w14:textId="77777777" w:rsidR="00516864" w:rsidRDefault="00516864" w:rsidP="00516864">
      <w:pPr>
        <w:pStyle w:val="ListParagraph"/>
        <w:numPr>
          <w:ilvl w:val="0"/>
          <w:numId w:val="1"/>
        </w:numPr>
        <w:spacing w:after="0" w:line="240" w:lineRule="auto"/>
        <w:rPr>
          <w:rFonts w:ascii="Arial" w:hAnsi="Arial" w:cs="Arial"/>
          <w:sz w:val="24"/>
          <w:szCs w:val="24"/>
        </w:rPr>
      </w:pPr>
      <w:r>
        <w:rPr>
          <w:rFonts w:ascii="Arial" w:hAnsi="Arial" w:cs="Arial"/>
          <w:sz w:val="24"/>
          <w:szCs w:val="24"/>
        </w:rPr>
        <w:t>Different entities may calculate APMs in different ways</w:t>
      </w:r>
    </w:p>
    <w:p w14:paraId="6DE0273B" w14:textId="77777777" w:rsidR="00516864" w:rsidRDefault="00516864" w:rsidP="00516864">
      <w:pPr>
        <w:pStyle w:val="ListParagraph"/>
        <w:numPr>
          <w:ilvl w:val="0"/>
          <w:numId w:val="1"/>
        </w:numPr>
        <w:spacing w:after="0" w:line="240" w:lineRule="auto"/>
        <w:rPr>
          <w:rFonts w:ascii="Arial" w:hAnsi="Arial" w:cs="Arial"/>
          <w:sz w:val="24"/>
          <w:szCs w:val="24"/>
        </w:rPr>
      </w:pPr>
      <w:r>
        <w:rPr>
          <w:rFonts w:ascii="Arial" w:hAnsi="Arial" w:cs="Arial"/>
          <w:sz w:val="24"/>
          <w:szCs w:val="24"/>
        </w:rPr>
        <w:t>Directors may use APMs to portray business performance in the most positive light</w:t>
      </w:r>
    </w:p>
    <w:p w14:paraId="4B4E0076" w14:textId="77777777" w:rsidR="00516864" w:rsidRDefault="00516864" w:rsidP="00516864">
      <w:pPr>
        <w:pStyle w:val="ListParagraph"/>
        <w:numPr>
          <w:ilvl w:val="0"/>
          <w:numId w:val="1"/>
        </w:numPr>
        <w:spacing w:after="0" w:line="240" w:lineRule="auto"/>
        <w:rPr>
          <w:rFonts w:ascii="Arial" w:hAnsi="Arial" w:cs="Arial"/>
          <w:sz w:val="24"/>
          <w:szCs w:val="24"/>
        </w:rPr>
      </w:pPr>
      <w:r>
        <w:rPr>
          <w:rFonts w:ascii="Arial" w:hAnsi="Arial" w:cs="Arial"/>
          <w:sz w:val="24"/>
          <w:szCs w:val="24"/>
        </w:rPr>
        <w:t>If undue prominence is given to APMs, it could suggest they are required information and have equivalent standing to information required by IFRSs</w:t>
      </w:r>
    </w:p>
    <w:p w14:paraId="0A749CCA" w14:textId="77777777" w:rsidR="00516864" w:rsidRDefault="00516864" w:rsidP="00516864">
      <w:pPr>
        <w:spacing w:after="0" w:line="240" w:lineRule="auto"/>
        <w:rPr>
          <w:rFonts w:ascii="Arial" w:hAnsi="Arial" w:cs="Arial"/>
          <w:sz w:val="24"/>
          <w:szCs w:val="24"/>
        </w:rPr>
      </w:pPr>
    </w:p>
    <w:p w14:paraId="36AFB6C4" w14:textId="77777777" w:rsidR="00516864" w:rsidRDefault="00516864" w:rsidP="00516864">
      <w:pPr>
        <w:spacing w:after="0" w:line="240" w:lineRule="auto"/>
        <w:rPr>
          <w:rFonts w:ascii="Arial" w:hAnsi="Arial" w:cs="Arial"/>
          <w:sz w:val="24"/>
          <w:szCs w:val="24"/>
        </w:rPr>
      </w:pPr>
      <w:r>
        <w:rPr>
          <w:rFonts w:ascii="Arial" w:hAnsi="Arial" w:cs="Arial"/>
          <w:sz w:val="24"/>
          <w:szCs w:val="24"/>
        </w:rPr>
        <w:t>Relevant points relating to the use of Adjusted basic earnings per share as an APM could include:</w:t>
      </w:r>
    </w:p>
    <w:p w14:paraId="0E035EB0" w14:textId="77777777" w:rsidR="00516864" w:rsidRDefault="00516864" w:rsidP="00516864">
      <w:pPr>
        <w:spacing w:after="0" w:line="240" w:lineRule="auto"/>
        <w:rPr>
          <w:rFonts w:ascii="Arial" w:hAnsi="Arial" w:cs="Arial"/>
          <w:sz w:val="24"/>
          <w:szCs w:val="24"/>
        </w:rPr>
      </w:pPr>
    </w:p>
    <w:p w14:paraId="3254457A" w14:textId="77777777" w:rsidR="00516864" w:rsidRDefault="00516864" w:rsidP="00516864">
      <w:pPr>
        <w:pStyle w:val="ListParagraph"/>
        <w:numPr>
          <w:ilvl w:val="0"/>
          <w:numId w:val="2"/>
        </w:numPr>
        <w:spacing w:after="0" w:line="240" w:lineRule="auto"/>
        <w:rPr>
          <w:rFonts w:ascii="Arial" w:hAnsi="Arial" w:cs="Arial"/>
          <w:sz w:val="24"/>
          <w:szCs w:val="24"/>
        </w:rPr>
      </w:pPr>
      <w:r w:rsidRPr="005F2AAE">
        <w:rPr>
          <w:rFonts w:ascii="Arial" w:hAnsi="Arial" w:cs="Arial"/>
          <w:sz w:val="24"/>
          <w:szCs w:val="24"/>
        </w:rPr>
        <w:t>It has been given undue prominence in the financial statements by being reported below basic earnings per share on the face of the Statement of Profit and Loss and OCI. This could imply it is of more or equal importance to</w:t>
      </w:r>
      <w:r>
        <w:rPr>
          <w:rFonts w:ascii="Arial" w:hAnsi="Arial" w:cs="Arial"/>
          <w:sz w:val="24"/>
          <w:szCs w:val="24"/>
        </w:rPr>
        <w:t xml:space="preserve"> </w:t>
      </w:r>
      <w:r w:rsidRPr="005F2AAE">
        <w:rPr>
          <w:rFonts w:ascii="Arial" w:hAnsi="Arial" w:cs="Arial"/>
          <w:sz w:val="24"/>
          <w:szCs w:val="24"/>
        </w:rPr>
        <w:t>basic</w:t>
      </w:r>
      <w:r>
        <w:rPr>
          <w:rFonts w:ascii="Arial" w:hAnsi="Arial" w:cs="Arial"/>
          <w:sz w:val="24"/>
          <w:szCs w:val="24"/>
        </w:rPr>
        <w:t xml:space="preserve"> earnings per share and potentially mislead investors</w:t>
      </w:r>
    </w:p>
    <w:p w14:paraId="65FA345B" w14:textId="77777777" w:rsidR="00516864" w:rsidRDefault="00516864" w:rsidP="00516864">
      <w:pPr>
        <w:pStyle w:val="ListParagraph"/>
        <w:numPr>
          <w:ilvl w:val="0"/>
          <w:numId w:val="2"/>
        </w:numPr>
        <w:spacing w:after="0" w:line="240" w:lineRule="auto"/>
        <w:rPr>
          <w:rFonts w:ascii="Arial" w:hAnsi="Arial" w:cs="Arial"/>
          <w:sz w:val="24"/>
          <w:szCs w:val="24"/>
        </w:rPr>
      </w:pPr>
      <w:r>
        <w:rPr>
          <w:rFonts w:ascii="Arial" w:hAnsi="Arial" w:cs="Arial"/>
          <w:sz w:val="24"/>
          <w:szCs w:val="24"/>
        </w:rPr>
        <w:t>Adjusted earnings per share is meant to be an adjustment based on significant items of income and expenditure which are non-recurring in nature. Yet restructuring costs and impairment losses were incurred in the previous year and are expected to recur in future years.</w:t>
      </w:r>
    </w:p>
    <w:p w14:paraId="4AB77B7F" w14:textId="77777777" w:rsidR="00516864" w:rsidRDefault="00516864" w:rsidP="00516864">
      <w:pPr>
        <w:pStyle w:val="ListParagraph"/>
        <w:numPr>
          <w:ilvl w:val="0"/>
          <w:numId w:val="2"/>
        </w:numPr>
        <w:spacing w:after="0" w:line="240" w:lineRule="auto"/>
        <w:rPr>
          <w:rFonts w:ascii="Arial" w:hAnsi="Arial" w:cs="Arial"/>
          <w:sz w:val="24"/>
          <w:szCs w:val="24"/>
        </w:rPr>
      </w:pPr>
      <w:proofErr w:type="gramStart"/>
      <w:r>
        <w:rPr>
          <w:rFonts w:ascii="Arial" w:hAnsi="Arial" w:cs="Arial"/>
          <w:sz w:val="24"/>
          <w:szCs w:val="24"/>
        </w:rPr>
        <w:t>Similarly</w:t>
      </w:r>
      <w:proofErr w:type="gramEnd"/>
      <w:r>
        <w:rPr>
          <w:rFonts w:ascii="Arial" w:hAnsi="Arial" w:cs="Arial"/>
          <w:sz w:val="24"/>
          <w:szCs w:val="24"/>
        </w:rPr>
        <w:t xml:space="preserve"> Hermes made a significant gain in the year on the sale of an investment. This seems to be in the nature of non-</w:t>
      </w:r>
      <w:proofErr w:type="gramStart"/>
      <w:r>
        <w:rPr>
          <w:rFonts w:ascii="Arial" w:hAnsi="Arial" w:cs="Arial"/>
          <w:sz w:val="24"/>
          <w:szCs w:val="24"/>
        </w:rPr>
        <w:t>recurring, but</w:t>
      </w:r>
      <w:proofErr w:type="gramEnd"/>
      <w:r>
        <w:rPr>
          <w:rFonts w:ascii="Arial" w:hAnsi="Arial" w:cs="Arial"/>
          <w:sz w:val="24"/>
          <w:szCs w:val="24"/>
        </w:rPr>
        <w:t xml:space="preserve"> has not been adjusted for. This cannot be considered a fair representation.</w:t>
      </w:r>
    </w:p>
    <w:p w14:paraId="7C099B50" w14:textId="77777777" w:rsidR="00516864" w:rsidRDefault="00516864" w:rsidP="00516864">
      <w:pPr>
        <w:pStyle w:val="ListParagraph"/>
        <w:numPr>
          <w:ilvl w:val="0"/>
          <w:numId w:val="2"/>
        </w:numPr>
        <w:spacing w:after="0" w:line="240" w:lineRule="auto"/>
        <w:rPr>
          <w:rFonts w:ascii="Arial" w:hAnsi="Arial" w:cs="Arial"/>
          <w:sz w:val="24"/>
          <w:szCs w:val="24"/>
        </w:rPr>
      </w:pPr>
      <w:r>
        <w:rPr>
          <w:rFonts w:ascii="Arial" w:hAnsi="Arial" w:cs="Arial"/>
          <w:sz w:val="24"/>
          <w:szCs w:val="24"/>
        </w:rPr>
        <w:t>Hermes has not provided a reconciliation of its calculation of basic EPS and Adjusted basic EPS, which it is required to do.</w:t>
      </w:r>
    </w:p>
    <w:p w14:paraId="179846A6" w14:textId="77777777" w:rsidR="00516864" w:rsidRDefault="00516864" w:rsidP="00516864">
      <w:pPr>
        <w:pStyle w:val="ListParagraph"/>
        <w:numPr>
          <w:ilvl w:val="0"/>
          <w:numId w:val="2"/>
        </w:numPr>
        <w:spacing w:after="0" w:line="240" w:lineRule="auto"/>
        <w:rPr>
          <w:rFonts w:ascii="Arial" w:hAnsi="Arial" w:cs="Arial"/>
          <w:sz w:val="24"/>
          <w:szCs w:val="24"/>
        </w:rPr>
      </w:pPr>
      <w:r>
        <w:rPr>
          <w:rFonts w:ascii="Arial" w:hAnsi="Arial" w:cs="Arial"/>
          <w:sz w:val="24"/>
          <w:szCs w:val="24"/>
        </w:rPr>
        <w:t>Other valid points accepted</w:t>
      </w:r>
    </w:p>
    <w:p w14:paraId="47DB0813" w14:textId="77777777" w:rsidR="00516864" w:rsidRDefault="00516864" w:rsidP="00516864">
      <w:pPr>
        <w:spacing w:after="0" w:line="240" w:lineRule="auto"/>
        <w:rPr>
          <w:rFonts w:ascii="Arial" w:hAnsi="Arial" w:cs="Arial"/>
          <w:sz w:val="24"/>
          <w:szCs w:val="24"/>
        </w:rPr>
      </w:pPr>
    </w:p>
    <w:p w14:paraId="38D19C77" w14:textId="77777777" w:rsidR="00516864" w:rsidRDefault="00516864" w:rsidP="00516864">
      <w:pPr>
        <w:spacing w:after="0" w:line="240" w:lineRule="auto"/>
        <w:ind w:left="57"/>
        <w:rPr>
          <w:rFonts w:ascii="Arial" w:hAnsi="Arial" w:cs="Arial"/>
          <w:sz w:val="24"/>
          <w:szCs w:val="24"/>
        </w:rPr>
      </w:pPr>
      <w:r>
        <w:rPr>
          <w:rFonts w:ascii="Arial" w:hAnsi="Arial" w:cs="Arial"/>
          <w:sz w:val="24"/>
          <w:szCs w:val="24"/>
        </w:rPr>
        <w:t xml:space="preserve"> Relevant points relating to the use of Operating free cash flow as an APM could include:</w:t>
      </w:r>
    </w:p>
    <w:p w14:paraId="5C6C59B8" w14:textId="77777777" w:rsidR="00516864" w:rsidRDefault="00516864" w:rsidP="00516864">
      <w:pPr>
        <w:pStyle w:val="ListParagraph"/>
        <w:numPr>
          <w:ilvl w:val="0"/>
          <w:numId w:val="3"/>
        </w:numPr>
        <w:spacing w:after="0" w:line="240" w:lineRule="auto"/>
        <w:rPr>
          <w:rFonts w:ascii="Arial" w:hAnsi="Arial" w:cs="Arial"/>
          <w:sz w:val="24"/>
          <w:szCs w:val="24"/>
        </w:rPr>
      </w:pPr>
      <w:r>
        <w:rPr>
          <w:rFonts w:ascii="Arial" w:hAnsi="Arial" w:cs="Arial"/>
          <w:sz w:val="24"/>
          <w:szCs w:val="24"/>
        </w:rPr>
        <w:t>The adjustment for expenditure on PP&amp;E, Intangibles and purchase of own shares is acceptable, as there is no standard definition of Operating free cash flow</w:t>
      </w:r>
    </w:p>
    <w:p w14:paraId="43BAD58A" w14:textId="77777777" w:rsidR="00516864" w:rsidRDefault="00516864" w:rsidP="00516864">
      <w:pPr>
        <w:pStyle w:val="ListParagraph"/>
        <w:numPr>
          <w:ilvl w:val="0"/>
          <w:numId w:val="3"/>
        </w:numPr>
        <w:spacing w:after="0" w:line="240" w:lineRule="auto"/>
        <w:rPr>
          <w:rFonts w:ascii="Arial" w:hAnsi="Arial" w:cs="Arial"/>
          <w:sz w:val="24"/>
          <w:szCs w:val="24"/>
        </w:rPr>
      </w:pPr>
      <w:proofErr w:type="gramStart"/>
      <w:r>
        <w:rPr>
          <w:rFonts w:ascii="Arial" w:hAnsi="Arial" w:cs="Arial"/>
          <w:sz w:val="24"/>
          <w:szCs w:val="24"/>
        </w:rPr>
        <w:t>Again</w:t>
      </w:r>
      <w:proofErr w:type="gramEnd"/>
      <w:r>
        <w:rPr>
          <w:rFonts w:ascii="Arial" w:hAnsi="Arial" w:cs="Arial"/>
          <w:sz w:val="24"/>
          <w:szCs w:val="24"/>
        </w:rPr>
        <w:t xml:space="preserve"> undue prominence has been given to this APM by reporting alongside basic EPS, as they are not comparable</w:t>
      </w:r>
    </w:p>
    <w:p w14:paraId="719EE5F9" w14:textId="77777777" w:rsidR="00516864" w:rsidRDefault="00516864" w:rsidP="00516864">
      <w:pPr>
        <w:pStyle w:val="ListParagraph"/>
        <w:numPr>
          <w:ilvl w:val="0"/>
          <w:numId w:val="3"/>
        </w:numPr>
        <w:spacing w:after="0" w:line="240" w:lineRule="auto"/>
        <w:rPr>
          <w:rFonts w:ascii="Arial" w:hAnsi="Arial" w:cs="Arial"/>
          <w:sz w:val="24"/>
          <w:szCs w:val="24"/>
        </w:rPr>
      </w:pPr>
      <w:r>
        <w:rPr>
          <w:rFonts w:ascii="Arial" w:hAnsi="Arial" w:cs="Arial"/>
          <w:sz w:val="24"/>
          <w:szCs w:val="24"/>
        </w:rPr>
        <w:t>Hermes should have included the detail of how the APM was calculated so that investors and users can draw their own conclusions about its usefulness</w:t>
      </w:r>
    </w:p>
    <w:p w14:paraId="77E96F4D" w14:textId="77777777" w:rsidR="00516864" w:rsidRPr="00503279" w:rsidRDefault="00516864" w:rsidP="00516864">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Its description as free cash flow is misleading, as it ignores cash flows arising from debt finance </w:t>
      </w:r>
    </w:p>
    <w:p w14:paraId="03608ACF"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26EF5"/>
    <w:multiLevelType w:val="hybridMultilevel"/>
    <w:tmpl w:val="01825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83E57"/>
    <w:multiLevelType w:val="hybridMultilevel"/>
    <w:tmpl w:val="89A2978E"/>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 w15:restartNumberingAfterBreak="0">
    <w:nsid w:val="662E45FF"/>
    <w:multiLevelType w:val="hybridMultilevel"/>
    <w:tmpl w:val="1A42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864"/>
    <w:rsid w:val="00516864"/>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6C502"/>
  <w15:chartTrackingRefBased/>
  <w15:docId w15:val="{E5DCD553-75C7-40EE-8424-1DAB1453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864"/>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8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343</Words>
  <Characters>1956</Characters>
  <Application>Microsoft Office Word</Application>
  <DocSecurity>0</DocSecurity>
  <Lines>16</Lines>
  <Paragraphs>4</Paragraphs>
  <ScaleCrop>false</ScaleCrop>
  <Company/>
  <LinksUpToDate>false</LinksUpToDate>
  <CharactersWithSpaces>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2021-03-10T11:52:00Z</dcterms:created>
  <dcterms:modified xsi:type="dcterms:W3CDTF">2021-03-10T11:52:00Z</dcterms:modified>
</cp:coreProperties>
</file>