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AB144C9" w:rsidP="37B65725" w:rsidRDefault="0AB144C9" w14:paraId="0C4C4674" w14:textId="57B89A11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7B65725" w:rsidR="0AB144C9">
        <w:rPr>
          <w:rFonts w:ascii="Times New Roman" w:hAnsi="Times New Roman" w:eastAsia="Times New Roman" w:cs="Times New Roman"/>
        </w:rPr>
        <w:t xml:space="preserve">The passage of Cicero’s </w:t>
      </w:r>
      <w:r w:rsidRPr="37B65725" w:rsidR="0AB144C9">
        <w:rPr>
          <w:rFonts w:ascii="Times New Roman" w:hAnsi="Times New Roman" w:eastAsia="Times New Roman" w:cs="Times New Roman"/>
          <w:i w:val="1"/>
          <w:iCs w:val="1"/>
        </w:rPr>
        <w:t>In</w:t>
      </w:r>
      <w:r w:rsidRPr="37B65725" w:rsidR="0AB144C9">
        <w:rPr>
          <w:rFonts w:ascii="Times New Roman" w:hAnsi="Times New Roman" w:eastAsia="Times New Roman" w:cs="Times New Roman"/>
          <w:i w:val="1"/>
          <w:iCs w:val="1"/>
        </w:rPr>
        <w:t xml:space="preserve"> </w:t>
      </w:r>
      <w:r w:rsidRPr="37B65725" w:rsidR="0AB144C9">
        <w:rPr>
          <w:rFonts w:ascii="Times New Roman" w:hAnsi="Times New Roman" w:eastAsia="Times New Roman" w:cs="Times New Roman"/>
          <w:i w:val="1"/>
          <w:iCs w:val="1"/>
        </w:rPr>
        <w:t>Catilinam</w:t>
      </w:r>
      <w:r w:rsidRPr="37B65725" w:rsidR="0AB144C9">
        <w:rPr>
          <w:rFonts w:ascii="Times New Roman" w:hAnsi="Times New Roman" w:eastAsia="Times New Roman" w:cs="Times New Roman"/>
        </w:rPr>
        <w:t xml:space="preserve"> with which this commentary is concerned (I.</w:t>
      </w:r>
      <w:r w:rsidRPr="37B65725" w:rsidR="2CD2DC48">
        <w:rPr>
          <w:rFonts w:ascii="Times New Roman" w:hAnsi="Times New Roman" w:eastAsia="Times New Roman" w:cs="Times New Roman"/>
        </w:rPr>
        <w:t xml:space="preserve"> 31-33) </w:t>
      </w:r>
      <w:r w:rsidRPr="37B65725" w:rsidR="65B7D9F2">
        <w:rPr>
          <w:rFonts w:ascii="Times New Roman" w:hAnsi="Times New Roman" w:eastAsia="Times New Roman" w:cs="Times New Roman"/>
        </w:rPr>
        <w:t xml:space="preserve">constitutes the climax of the first oration, </w:t>
      </w:r>
      <w:r w:rsidRPr="37B65725" w:rsidR="339DF617">
        <w:rPr>
          <w:rFonts w:ascii="Times New Roman" w:hAnsi="Times New Roman" w:eastAsia="Times New Roman" w:cs="Times New Roman"/>
        </w:rPr>
        <w:t>of which the central plank is the rhetorical twinning of the personage and personal</w:t>
      </w:r>
      <w:r w:rsidRPr="37B65725" w:rsidR="588B51F4">
        <w:rPr>
          <w:rFonts w:ascii="Times New Roman" w:hAnsi="Times New Roman" w:eastAsia="Times New Roman" w:cs="Times New Roman"/>
        </w:rPr>
        <w:t xml:space="preserve"> </w:t>
      </w:r>
      <w:r w:rsidRPr="37B65725" w:rsidR="588B51F4">
        <w:rPr>
          <w:rFonts w:ascii="Times New Roman" w:hAnsi="Times New Roman" w:eastAsia="Times New Roman" w:cs="Times New Roman"/>
          <w:i w:val="1"/>
          <w:iCs w:val="1"/>
        </w:rPr>
        <w:t>auctoritas</w:t>
      </w:r>
      <w:r w:rsidRPr="37B65725" w:rsidR="588B51F4">
        <w:rPr>
          <w:rFonts w:ascii="Times New Roman" w:hAnsi="Times New Roman" w:eastAsia="Times New Roman" w:cs="Times New Roman"/>
          <w:i w:val="0"/>
          <w:iCs w:val="0"/>
        </w:rPr>
        <w:t xml:space="preserve"> of Cicero in his capacity as consul and the institutional </w:t>
      </w:r>
      <w:r w:rsidRPr="37B65725" w:rsidR="588B51F4">
        <w:rPr>
          <w:rFonts w:ascii="Times New Roman" w:hAnsi="Times New Roman" w:eastAsia="Times New Roman" w:cs="Times New Roman"/>
          <w:i w:val="1"/>
          <w:iCs w:val="1"/>
        </w:rPr>
        <w:t>dignitas</w:t>
      </w:r>
      <w:r w:rsidRPr="37B65725" w:rsidR="588B51F4">
        <w:rPr>
          <w:rFonts w:ascii="Times New Roman" w:hAnsi="Times New Roman" w:eastAsia="Times New Roman" w:cs="Times New Roman"/>
          <w:i w:val="0"/>
          <w:iCs w:val="0"/>
        </w:rPr>
        <w:t xml:space="preserve"> of </w:t>
      </w:r>
      <w:r w:rsidRPr="37B65725" w:rsidR="53488CAA">
        <w:rPr>
          <w:rFonts w:ascii="Times New Roman" w:hAnsi="Times New Roman" w:eastAsia="Times New Roman" w:cs="Times New Roman"/>
          <w:i w:val="0"/>
          <w:iCs w:val="0"/>
        </w:rPr>
        <w:t xml:space="preserve">the Senate and People of Rome. </w:t>
      </w:r>
    </w:p>
    <w:p w:rsidR="2F7D7831" w:rsidP="37B65725" w:rsidRDefault="2F7D7831" w14:paraId="205DD157" w14:textId="091F745E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00ED01F" w:rsidR="2F7D7831">
        <w:rPr>
          <w:rFonts w:ascii="Times New Roman" w:hAnsi="Times New Roman" w:eastAsia="Times New Roman" w:cs="Times New Roman"/>
          <w:i w:val="0"/>
          <w:iCs w:val="0"/>
        </w:rPr>
        <w:t>This theme – already elaborated at length in the preceding passages</w:t>
      </w:r>
      <w:r w:rsidRPr="000ED01F" w:rsidR="520D2899">
        <w:rPr>
          <w:rFonts w:ascii="Times New Roman" w:hAnsi="Times New Roman" w:eastAsia="Times New Roman" w:cs="Times New Roman"/>
          <w:i w:val="0"/>
          <w:iCs w:val="0"/>
        </w:rPr>
        <w:t xml:space="preserve"> – is most clearly set out by Cicero in the thirty-second. In it, he employs the imagery of battle and siege</w:t>
      </w:r>
      <w:r w:rsidRPr="000ED01F" w:rsidR="423F8E72">
        <w:rPr>
          <w:rFonts w:ascii="Times New Roman" w:hAnsi="Times New Roman" w:eastAsia="Times New Roman" w:cs="Times New Roman"/>
          <w:i w:val="0"/>
          <w:iCs w:val="0"/>
        </w:rPr>
        <w:t>: Catiline “</w:t>
      </w:r>
      <w:r w:rsidRPr="000ED01F" w:rsidR="423F8E72">
        <w:rPr>
          <w:rFonts w:ascii="Times New Roman" w:hAnsi="Times New Roman" w:eastAsia="Times New Roman" w:cs="Times New Roman"/>
          <w:i w:val="0"/>
          <w:iCs w:val="0"/>
        </w:rPr>
        <w:t>besieg</w:t>
      </w:r>
      <w:r w:rsidRPr="000ED01F" w:rsidR="423F8E72">
        <w:rPr>
          <w:rFonts w:ascii="Times New Roman" w:hAnsi="Times New Roman" w:eastAsia="Times New Roman" w:cs="Times New Roman"/>
          <w:i w:val="0"/>
          <w:iCs w:val="0"/>
        </w:rPr>
        <w:t>[</w:t>
      </w:r>
      <w:r w:rsidRPr="000ED01F" w:rsidR="423F8E72">
        <w:rPr>
          <w:rFonts w:ascii="Times New Roman" w:hAnsi="Times New Roman" w:eastAsia="Times New Roman" w:cs="Times New Roman"/>
          <w:i w:val="0"/>
          <w:iCs w:val="0"/>
        </w:rPr>
        <w:t>ing</w:t>
      </w:r>
      <w:r w:rsidRPr="000ED01F" w:rsidR="423F8E72">
        <w:rPr>
          <w:rFonts w:ascii="Times New Roman" w:hAnsi="Times New Roman" w:eastAsia="Times New Roman" w:cs="Times New Roman"/>
          <w:i w:val="0"/>
          <w:iCs w:val="0"/>
        </w:rPr>
        <w:t>] the senate-house with swords”</w:t>
      </w:r>
      <w:r w:rsidRPr="000ED01F">
        <w:rPr>
          <w:rStyle w:val="FootnoteReference"/>
          <w:rFonts w:ascii="Times New Roman" w:hAnsi="Times New Roman" w:eastAsia="Times New Roman" w:cs="Times New Roman"/>
          <w:i w:val="0"/>
          <w:iCs w:val="0"/>
        </w:rPr>
        <w:footnoteReference w:id="477"/>
      </w:r>
      <w:r w:rsidRPr="000ED01F" w:rsidR="5F49A2E3">
        <w:rPr>
          <w:rFonts w:ascii="Times New Roman" w:hAnsi="Times New Roman" w:eastAsia="Times New Roman" w:cs="Times New Roman"/>
          <w:i w:val="0"/>
          <w:iCs w:val="0"/>
        </w:rPr>
        <w:t xml:space="preserve">, and in </w:t>
      </w:r>
      <w:r w:rsidRPr="000ED01F" w:rsidR="10A99D49">
        <w:rPr>
          <w:rFonts w:ascii="Times New Roman" w:hAnsi="Times New Roman" w:eastAsia="Times New Roman" w:cs="Times New Roman"/>
          <w:i w:val="0"/>
          <w:iCs w:val="0"/>
        </w:rPr>
        <w:t xml:space="preserve">the culminating </w:t>
      </w:r>
      <w:r w:rsidRPr="000ED01F" w:rsidR="78CDF1AE">
        <w:rPr>
          <w:rFonts w:ascii="Times New Roman" w:hAnsi="Times New Roman" w:eastAsia="Times New Roman" w:cs="Times New Roman"/>
          <w:i w:val="0"/>
          <w:iCs w:val="0"/>
        </w:rPr>
        <w:t xml:space="preserve">horror, alleges his actions were </w:t>
      </w:r>
      <w:r w:rsidRPr="000ED01F" w:rsidR="28BB77BC">
        <w:rPr>
          <w:rFonts w:ascii="Times New Roman" w:hAnsi="Times New Roman" w:eastAsia="Times New Roman" w:cs="Times New Roman"/>
          <w:i w:val="0"/>
          <w:iCs w:val="0"/>
        </w:rPr>
        <w:t>undertaken with “</w:t>
      </w:r>
      <w:r w:rsidRPr="000ED01F" w:rsidR="5B8E3B4E">
        <w:rPr>
          <w:rFonts w:ascii="Times New Roman" w:hAnsi="Times New Roman" w:eastAsia="Times New Roman" w:cs="Times New Roman"/>
          <w:i w:val="0"/>
          <w:iCs w:val="0"/>
        </w:rPr>
        <w:t>the purpose of burning the city”</w:t>
      </w:r>
      <w:r w:rsidRPr="000ED01F">
        <w:rPr>
          <w:rStyle w:val="FootnoteReference"/>
          <w:rFonts w:ascii="Times New Roman" w:hAnsi="Times New Roman" w:eastAsia="Times New Roman" w:cs="Times New Roman"/>
          <w:i w:val="0"/>
          <w:iCs w:val="0"/>
        </w:rPr>
        <w:footnoteReference w:id="24537"/>
      </w:r>
      <w:r w:rsidRPr="000ED01F" w:rsidR="3A236BCB">
        <w:rPr>
          <w:rFonts w:ascii="Times New Roman" w:hAnsi="Times New Roman" w:eastAsia="Times New Roman" w:cs="Times New Roman"/>
          <w:i w:val="0"/>
          <w:iCs w:val="0"/>
        </w:rPr>
        <w:t xml:space="preserve">. Thus, not merely seeking to make himself a </w:t>
      </w:r>
      <w:r w:rsidRPr="000ED01F" w:rsidR="3A236BCB">
        <w:rPr>
          <w:rFonts w:ascii="Times New Roman" w:hAnsi="Times New Roman" w:eastAsia="Times New Roman" w:cs="Times New Roman"/>
          <w:i w:val="1"/>
          <w:iCs w:val="1"/>
        </w:rPr>
        <w:t>rex</w:t>
      </w:r>
      <w:r w:rsidRPr="000ED01F" w:rsidR="1A7B8BFF">
        <w:rPr>
          <w:rFonts w:ascii="Times New Roman" w:hAnsi="Times New Roman" w:eastAsia="Times New Roman" w:cs="Times New Roman"/>
          <w:i w:val="0"/>
          <w:iCs w:val="0"/>
        </w:rPr>
        <w:t xml:space="preserve"> or </w:t>
      </w:r>
      <w:r w:rsidRPr="000ED01F" w:rsidR="1A7B8BFF">
        <w:rPr>
          <w:rFonts w:ascii="Times New Roman" w:hAnsi="Times New Roman" w:eastAsia="Times New Roman" w:cs="Times New Roman"/>
          <w:i w:val="1"/>
          <w:iCs w:val="1"/>
        </w:rPr>
        <w:t>tyrannos</w:t>
      </w:r>
      <w:r w:rsidRPr="000ED01F" w:rsidR="1A7B8BFF">
        <w:rPr>
          <w:rFonts w:ascii="Times New Roman" w:hAnsi="Times New Roman" w:eastAsia="Times New Roman" w:cs="Times New Roman"/>
          <w:i w:val="0"/>
          <w:iCs w:val="0"/>
        </w:rPr>
        <w:t>, Cicero’s Catiline one-ups the remainder of Rome’s enemies b</w:t>
      </w:r>
      <w:r w:rsidRPr="000ED01F" w:rsidR="1AE32503">
        <w:rPr>
          <w:rFonts w:ascii="Times New Roman" w:hAnsi="Times New Roman" w:eastAsia="Times New Roman" w:cs="Times New Roman"/>
          <w:i w:val="0"/>
          <w:iCs w:val="0"/>
        </w:rPr>
        <w:t xml:space="preserve">y exaggerating </w:t>
      </w:r>
      <w:r w:rsidRPr="000ED01F" w:rsidR="7E2CE4F4">
        <w:rPr>
          <w:rFonts w:ascii="Times New Roman" w:hAnsi="Times New Roman" w:eastAsia="Times New Roman" w:cs="Times New Roman"/>
          <w:i w:val="0"/>
          <w:iCs w:val="0"/>
        </w:rPr>
        <w:t xml:space="preserve">a </w:t>
      </w:r>
      <w:r w:rsidRPr="000ED01F" w:rsidR="1AE32503">
        <w:rPr>
          <w:rFonts w:ascii="Times New Roman" w:hAnsi="Times New Roman" w:eastAsia="Times New Roman" w:cs="Times New Roman"/>
          <w:i w:val="0"/>
          <w:iCs w:val="0"/>
        </w:rPr>
        <w:t xml:space="preserve">disregard for the </w:t>
      </w:r>
      <w:r w:rsidRPr="000ED01F" w:rsidR="1AE32503">
        <w:rPr>
          <w:rFonts w:ascii="Times New Roman" w:hAnsi="Times New Roman" w:eastAsia="Times New Roman" w:cs="Times New Roman"/>
          <w:i w:val="1"/>
          <w:iCs w:val="1"/>
        </w:rPr>
        <w:t>mos</w:t>
      </w:r>
      <w:r w:rsidRPr="000ED01F" w:rsidR="1AE32503">
        <w:rPr>
          <w:rFonts w:ascii="Times New Roman" w:hAnsi="Times New Roman" w:eastAsia="Times New Roman" w:cs="Times New Roman"/>
          <w:i w:val="1"/>
          <w:iCs w:val="1"/>
        </w:rPr>
        <w:t xml:space="preserve"> maiorum</w:t>
      </w:r>
      <w:r w:rsidRPr="000ED01F" w:rsidR="538E11C0">
        <w:rPr>
          <w:rFonts w:ascii="Times New Roman" w:hAnsi="Times New Roman" w:eastAsia="Times New Roman" w:cs="Times New Roman"/>
          <w:i w:val="0"/>
          <w:iCs w:val="0"/>
        </w:rPr>
        <w:t xml:space="preserve"> as and when </w:t>
      </w:r>
      <w:r w:rsidRPr="000ED01F" w:rsidR="5BF8A533">
        <w:rPr>
          <w:rFonts w:ascii="Times New Roman" w:hAnsi="Times New Roman" w:eastAsia="Times New Roman" w:cs="Times New Roman"/>
          <w:i w:val="0"/>
          <w:iCs w:val="0"/>
        </w:rPr>
        <w:t xml:space="preserve">they did not suit him to a willingness to commit patricide </w:t>
      </w:r>
      <w:r w:rsidRPr="000ED01F" w:rsidR="517A4376">
        <w:rPr>
          <w:rFonts w:ascii="Times New Roman" w:hAnsi="Times New Roman" w:eastAsia="Times New Roman" w:cs="Times New Roman"/>
          <w:i w:val="0"/>
          <w:iCs w:val="0"/>
        </w:rPr>
        <w:t>(</w:t>
      </w:r>
      <w:r w:rsidRPr="000ED01F" w:rsidR="46F4FDB1">
        <w:rPr>
          <w:rFonts w:ascii="Times New Roman" w:hAnsi="Times New Roman" w:eastAsia="Times New Roman" w:cs="Times New Roman"/>
          <w:i w:val="0"/>
          <w:iCs w:val="0"/>
        </w:rPr>
        <w:t xml:space="preserve">referenced by Cicero in the thirty-third passage as ‘parricide’, </w:t>
      </w:r>
      <w:r w:rsidRPr="000ED01F" w:rsidR="517A4376">
        <w:rPr>
          <w:rFonts w:ascii="Times New Roman" w:hAnsi="Times New Roman" w:eastAsia="Times New Roman" w:cs="Times New Roman"/>
          <w:i w:val="0"/>
          <w:iCs w:val="0"/>
        </w:rPr>
        <w:t xml:space="preserve">a uniquely taboo sin in Roman culture; see </w:t>
      </w:r>
      <w:r w:rsidRPr="000ED01F" w:rsidR="517A4376">
        <w:rPr>
          <w:rFonts w:ascii="Times New Roman" w:hAnsi="Times New Roman" w:eastAsia="Times New Roman" w:cs="Times New Roman"/>
          <w:i w:val="0"/>
          <w:iCs w:val="0"/>
        </w:rPr>
        <w:t>Southon</w:t>
      </w:r>
      <w:r w:rsidRPr="000ED01F" w:rsidR="517A4376">
        <w:rPr>
          <w:rFonts w:ascii="Times New Roman" w:hAnsi="Times New Roman" w:eastAsia="Times New Roman" w:cs="Times New Roman"/>
          <w:i w:val="0"/>
          <w:iCs w:val="0"/>
        </w:rPr>
        <w:t xml:space="preserve">) on the communal level for </w:t>
      </w:r>
      <w:r w:rsidRPr="000ED01F" w:rsidR="47AABFC4">
        <w:rPr>
          <w:rFonts w:ascii="Times New Roman" w:hAnsi="Times New Roman" w:eastAsia="Times New Roman" w:cs="Times New Roman"/>
          <w:i w:val="0"/>
          <w:iCs w:val="0"/>
        </w:rPr>
        <w:t>personal gain. However, it is crucial to note that, pre</w:t>
      </w:r>
      <w:r w:rsidRPr="000ED01F" w:rsidR="77183529">
        <w:rPr>
          <w:rFonts w:ascii="Times New Roman" w:hAnsi="Times New Roman" w:eastAsia="Times New Roman" w:cs="Times New Roman"/>
          <w:i w:val="0"/>
          <w:iCs w:val="0"/>
        </w:rPr>
        <w:t xml:space="preserve">ceding the </w:t>
      </w:r>
      <w:r w:rsidRPr="000ED01F" w:rsidR="77183529">
        <w:rPr>
          <w:rFonts w:ascii="Times New Roman" w:hAnsi="Times New Roman" w:eastAsia="Times New Roman" w:cs="Times New Roman"/>
          <w:i w:val="0"/>
          <w:iCs w:val="0"/>
        </w:rPr>
        <w:t>remainder</w:t>
      </w:r>
      <w:r w:rsidRPr="000ED01F" w:rsidR="77183529">
        <w:rPr>
          <w:rFonts w:ascii="Times New Roman" w:hAnsi="Times New Roman" w:eastAsia="Times New Roman" w:cs="Times New Roman"/>
          <w:i w:val="0"/>
          <w:iCs w:val="0"/>
        </w:rPr>
        <w:t xml:space="preserve"> of this passage’s invocation of a Roman Republican sensibility of the apocalyptic, Cicero e</w:t>
      </w:r>
      <w:r w:rsidRPr="000ED01F" w:rsidR="54EFC4B5">
        <w:rPr>
          <w:rFonts w:ascii="Times New Roman" w:hAnsi="Times New Roman" w:eastAsia="Times New Roman" w:cs="Times New Roman"/>
          <w:i w:val="0"/>
          <w:iCs w:val="0"/>
        </w:rPr>
        <w:t>ntreats his audience to “</w:t>
      </w:r>
      <w:r w:rsidRPr="37B65725" w:rsidR="54EFC4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let them cease to plot against the </w:t>
      </w:r>
      <w:r w:rsidRPr="000ED01F" w:rsidR="54EFC4B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consul </w:t>
      </w:r>
      <w:r w:rsidRPr="37B65725" w:rsidR="54EFC4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his own house”</w:t>
      </w:r>
      <w:r w:rsidRPr="37B65725">
        <w:rPr>
          <w:rStyle w:val="FootnoteReference"/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footnoteReference w:id="5246"/>
      </w:r>
      <w:r w:rsidRPr="37B65725" w:rsidR="587365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300F8FF" w:rsidP="37B65725" w:rsidRDefault="3300F8FF" w14:paraId="50E696CB" w14:textId="3CA723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7B65725" w:rsidR="3300F8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</w:t>
      </w:r>
      <w:r w:rsidRPr="37B65725" w:rsidR="746BCF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use of his title, rather than the personal, is </w:t>
      </w:r>
      <w:r w:rsidRPr="37B65725" w:rsidR="1496CE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 great import</w:t>
      </w:r>
      <w:r w:rsidRPr="37B65725" w:rsidR="746BCF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Indeed, that Cicero follows this </w:t>
      </w:r>
      <w:bookmarkStart w:name="_Int_3qVdMDFB" w:id="1017119080"/>
      <w:r w:rsidRPr="37B65725" w:rsidR="746BCF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particular </w:t>
      </w:r>
      <w:r w:rsidRPr="37B65725" w:rsidR="73E599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phrasing</w:t>
      </w:r>
      <w:bookmarkEnd w:id="1017119080"/>
      <w:r w:rsidRPr="37B65725" w:rsidR="73E599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turn with reference to the threat posed by Catiline to first the tribunes, then the Senate, then finally the entire city </w:t>
      </w:r>
      <w:r w:rsidRPr="37B65725" w:rsidR="467F4B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alone outlines his argument. Catiline is a personal threat not to Cicero the man, but to </w:t>
      </w:r>
      <w:r w:rsidRPr="37B65725" w:rsidR="3F3B4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all three Polybian elements of the Roman constitution in turn – the monarchical (the consul), the democratic (the tribune), the aristocratic (</w:t>
      </w:r>
      <w:r w:rsidRPr="37B65725" w:rsidR="6814E3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Senate), </w:t>
      </w:r>
      <w:r w:rsidRPr="37B65725" w:rsidR="6814E3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ultimately, the</w:t>
      </w:r>
      <w:r w:rsidRPr="37B65725" w:rsidR="6814E3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entire community (the city itself). </w:t>
      </w:r>
      <w:r w:rsidRPr="37B65725" w:rsidR="7C5560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Thus presented, Catiline becomes more than Catiline</w:t>
      </w:r>
      <w:r w:rsidRPr="37B65725" w:rsidR="230298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H</w:t>
      </w:r>
      <w:r w:rsidRPr="37B65725" w:rsidR="7C5560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 is a</w:t>
      </w:r>
      <w:r w:rsidRPr="37B65725" w:rsidR="66ABEC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Republican </w:t>
      </w:r>
      <w:r w:rsidRPr="37B65725" w:rsidR="7C5560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antichrist for the 1</w:t>
      </w:r>
      <w:r w:rsidRPr="37B65725" w:rsidR="7C556031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st</w:t>
      </w:r>
      <w:r w:rsidRPr="37B65725" w:rsidR="7C5560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century BC,</w:t>
      </w:r>
      <w:r w:rsidRPr="37B65725" w:rsidR="668D36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 once a real and physical threat to the lives and property of Cicero’s audience</w:t>
      </w:r>
      <w:r w:rsidRPr="37B65725" w:rsidR="74756D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a human incarnation </w:t>
      </w:r>
      <w:r w:rsidRPr="37B65725" w:rsidR="7CBECE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 the “long-held madness”</w:t>
      </w:r>
      <w:r w:rsidRPr="37B65725">
        <w:rPr>
          <w:rStyle w:val="FootnoteReference"/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footnoteReference w:id="16232"/>
      </w:r>
      <w:r w:rsidRPr="37B65725" w:rsidR="3A72D2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spoken of in the thirty-first passage</w:t>
      </w:r>
      <w:r w:rsidRPr="37B65725" w:rsidR="59B448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the malaise of the Late Republic given flesh.</w:t>
      </w:r>
    </w:p>
    <w:p w:rsidR="59B44879" w:rsidP="37B65725" w:rsidRDefault="59B44879" w14:paraId="2AE7C890" w14:textId="2E9895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37B65725" w:rsidR="59B448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Contrasted against such an antagonist, Cicero </w:t>
      </w:r>
      <w:r w:rsidRPr="37B65725" w:rsidR="59B448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consequently</w:t>
      </w:r>
      <w:r w:rsidRPr="37B65725" w:rsidR="59B448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becomes more than Cicero. </w:t>
      </w:r>
      <w:r w:rsidRPr="37B65725" w:rsidR="59B448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First-threatened</w:t>
      </w:r>
      <w:r w:rsidRPr="37B65725" w:rsidR="59B448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his litany, he emphasises not his personal </w:t>
      </w:r>
      <w:r w:rsidRPr="37B65725" w:rsidR="59B448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auctoritas</w:t>
      </w:r>
      <w:r w:rsidRPr="37B65725" w:rsidR="59B4487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but the </w:t>
      </w:r>
      <w:r w:rsidRPr="37B65725" w:rsidR="59B4487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dignitas</w:t>
      </w:r>
      <w:r w:rsidRPr="37B65725" w:rsidR="59B4487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of his office, </w:t>
      </w:r>
      <w:r w:rsidRPr="37B65725" w:rsidR="39F80C3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which he rhetorically links to both that of his audience, that of the Roman state, and their very existence. In e</w:t>
      </w:r>
      <w:r w:rsidRPr="37B65725" w:rsidR="3723754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xposing the alleged plot, and framing it thus, Cicero does not present himself as simply the saviour of the Republic. Rather, he presents himself </w:t>
      </w:r>
      <w:r w:rsidRPr="37B65725" w:rsidR="3723754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as</w:t>
      </w:r>
      <w:r w:rsidRPr="37B65725" w:rsidR="3723754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the Republic. </w:t>
      </w:r>
    </w:p>
    <w:p w:rsidR="37237544" w:rsidP="37B65725" w:rsidRDefault="37237544" w14:paraId="4CC66044" w14:textId="78F8AF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000ED01F" w:rsidR="3723754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In plo</w:t>
      </w:r>
      <w:r w:rsidRPr="000ED01F" w:rsidR="5D6F29D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tting against the consul in his house, Catiline plots against the government, and the community for which it stands. </w:t>
      </w:r>
      <w:r w:rsidRPr="000ED01F" w:rsidR="6B7998C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He and his</w:t>
      </w:r>
      <w:r w:rsidRPr="000ED01F" w:rsidR="183A3EB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allies</w:t>
      </w:r>
      <w:r w:rsidRPr="000ED01F" w:rsidR="6B7998C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are “enemies of good men, enemies of the fatherland”</w:t>
      </w:r>
      <w:r w:rsidRPr="000ED01F">
        <w:rPr>
          <w:rStyle w:val="FootnoteReference"/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footnoteReference w:id="3181"/>
      </w:r>
      <w:r w:rsidRPr="000ED01F" w:rsidR="03277A0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- by threatening the safety of Cicero, they threaten “the utmost safety of the Republic”</w:t>
      </w:r>
      <w:r w:rsidRPr="000ED01F">
        <w:rPr>
          <w:rStyle w:val="FootnoteReference"/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footnoteReference w:id="22043"/>
      </w:r>
      <w:r w:rsidRPr="000ED01F" w:rsidR="3772128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They are even held to have trespassed against Jupiter himself. The greater the litany of authorities and offices Cicero </w:t>
      </w:r>
      <w:r w:rsidRPr="000ED01F" w:rsidR="4E82671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presents Catiline as having trespassed against, so the greater the extent to which these are implicitly associated with the consul. </w:t>
      </w:r>
      <w:r w:rsidRPr="000ED01F" w:rsidR="278B697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 personal enmity between two men </w:t>
      </w:r>
      <w:r w:rsidRPr="000ED01F" w:rsidR="6322CE8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is elevated to a moral and constitutional confrontation </w:t>
      </w:r>
      <w:r w:rsidRPr="000ED01F" w:rsidR="2AA6DE6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of existential proportions.</w:t>
      </w:r>
    </w:p>
    <w:p w:rsidR="2AA6DE65" w:rsidP="000ED01F" w:rsidRDefault="2AA6DE65" w14:paraId="4F2F065A" w14:textId="6CF02D06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000ED01F" w:rsidR="2AA6DE6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Of </w:t>
      </w:r>
      <w:r w:rsidRPr="000ED01F" w:rsidR="2AA6DE6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particular note</w:t>
      </w:r>
      <w:r w:rsidRPr="000ED01F" w:rsidR="2AA6DE6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is Cicero’s use of the language of illness. This is particularly rife in the thirty-first passage, wherein he utilises it extensively b</w:t>
      </w:r>
      <w:r w:rsidRPr="000ED01F" w:rsidR="0172BE2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oth to set out the stakes of the confrontation and to justify the use of extraordinary </w:t>
      </w:r>
      <w:r w:rsidRPr="000ED01F" w:rsidR="3FD1543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measures against the person of Catiline. </w:t>
      </w:r>
      <w:r w:rsidRPr="000ED01F" w:rsidR="4CA8A8F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Catiline is depersonalised, a symptom of an underlying and “long-held”</w:t>
      </w:r>
      <w:r w:rsidRPr="000ED01F">
        <w:rPr>
          <w:rStyle w:val="FootnoteReference"/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footnoteReference w:id="14334"/>
      </w:r>
      <w:r w:rsidRPr="000ED01F" w:rsidR="4CA8A8F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disease in need of drastic treatment. </w:t>
      </w:r>
      <w:r w:rsidRPr="000ED01F" w:rsidR="4BC45C8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Cicero stipulates that half-measures will lead to this disease “be[</w:t>
      </w:r>
      <w:r w:rsidRPr="000ED01F" w:rsidR="4BC45C8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ing</w:t>
      </w:r>
      <w:r w:rsidRPr="000ED01F" w:rsidR="4BC45C8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] enclosed deeply in the veins and bowels of the republic”</w:t>
      </w:r>
      <w:r w:rsidRPr="000ED01F">
        <w:rPr>
          <w:rStyle w:val="FootnoteReference"/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footnoteReference w:id="29629"/>
      </w:r>
      <w:r w:rsidRPr="000ED01F" w:rsidR="53B443B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</w:t>
      </w:r>
      <w:r w:rsidRPr="000ED01F" w:rsidR="19C1642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This, </w:t>
      </w:r>
      <w:r w:rsidRPr="000ED01F" w:rsidR="19C1642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fairly obviously</w:t>
      </w:r>
      <w:r w:rsidRPr="000ED01F" w:rsidR="19C1642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, is rhetorical scaffolding for the fatal retaliation dispensed by Cicero at the </w:t>
      </w:r>
      <w:r w:rsidRPr="000ED01F" w:rsidR="158E0A1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close </w:t>
      </w:r>
      <w:r w:rsidRPr="000ED01F" w:rsidR="19C1642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of the</w:t>
      </w:r>
      <w:r w:rsidRPr="000ED01F" w:rsidR="4E60BD3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affair</w:t>
      </w:r>
      <w:r w:rsidRPr="000ED01F" w:rsidR="6E64198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– </w:t>
      </w:r>
      <w:r w:rsidRPr="000ED01F" w:rsidR="3DA1772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scaffolding well in-keeping with the presentation of Catiline as an imminent and visceral threat to both the Republic and the lives of Cicero’s audience throughout the rest of </w:t>
      </w:r>
      <w:r w:rsidRPr="000ED01F" w:rsidR="3DA1772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th</w:t>
      </w:r>
      <w:r w:rsidRPr="000ED01F" w:rsidR="3DA1772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e extract.</w:t>
      </w:r>
    </w:p>
    <w:p w:rsidR="2B817374" w:rsidP="000ED01F" w:rsidRDefault="2B817374" w14:paraId="7A4D63DC" w14:textId="179D35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000ED01F" w:rsidR="2B81737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With reference to the broader scholarly </w:t>
      </w:r>
      <w:r w:rsidRPr="000ED01F" w:rsidR="6756F8B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debate</w:t>
      </w:r>
      <w:r w:rsidRPr="000ED01F" w:rsidR="2B81737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000ED01F" w:rsidR="68E868B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Batstone </w:t>
      </w:r>
      <w:r w:rsidRPr="000ED01F" w:rsidR="66B48DA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categorises the First Catilinarian as a</w:t>
      </w:r>
      <w:r w:rsidRPr="000ED01F" w:rsidR="5915C48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n advanced form of epideictic rhetoric, wherein Cicero as a subject </w:t>
      </w:r>
      <w:r w:rsidRPr="000ED01F" w:rsidR="3F3F4CA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utilises a mixture of praise and invective to </w:t>
      </w:r>
      <w:r w:rsidRPr="000ED01F" w:rsidR="68C3F80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outline a consular </w:t>
      </w:r>
      <w:r w:rsidRPr="000ED01F" w:rsidR="68C3F80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ethos</w:t>
      </w:r>
      <w:r w:rsidRPr="000ED01F" w:rsidR="68C3F80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that positioned him as a champion and incarnation of the Republic. </w:t>
      </w:r>
      <w:r w:rsidRPr="000ED01F" w:rsidR="14D659C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To be more precise, by praising himself and denigrating Catiline in forensic detail, Batstone holds that Cicero was creating a “substitute for deliberation”</w:t>
      </w:r>
      <w:r w:rsidRPr="000ED01F">
        <w:rPr>
          <w:rStyle w:val="FootnoteReference"/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footnoteReference w:id="15252"/>
      </w:r>
      <w:r w:rsidRPr="000ED01F" w:rsidR="602BCB8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00ED01F" w:rsidR="6C0E855F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in pursuit of his own political empowerment – pre-empting criticism, dazzling with rhetorical fireworks, </w:t>
      </w:r>
      <w:r w:rsidRPr="000ED01F" w:rsidR="4E2E6B9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not seeking a verdict but</w:t>
      </w:r>
      <w:r w:rsidRPr="000ED01F" w:rsidR="0C09606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, by technical refinement on the theme of epideictic oratory,</w:t>
      </w:r>
      <w:r w:rsidRPr="000ED01F" w:rsidR="4E2E6B9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to create “</w:t>
      </w:r>
      <w:r w:rsidRPr="000ED01F" w:rsidR="4E2E6B96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 voice that speaks for all Rome and in whose presence all Rome is silent”</w:t>
      </w:r>
      <w:r w:rsidRPr="000ED01F">
        <w:rPr>
          <w:rStyle w:val="FootnoteReference"/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footnoteReference w:id="24051"/>
      </w:r>
      <w:r w:rsidRPr="000ED01F" w:rsidR="54F463C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</w:t>
      </w:r>
    </w:p>
    <w:p w:rsidR="54F463C4" w:rsidP="000ED01F" w:rsidRDefault="54F463C4" w14:paraId="260C81BD" w14:textId="4A8D4E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00ED01F" w:rsidR="54F463C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While this </w:t>
      </w:r>
      <w:r w:rsidRPr="000ED01F" w:rsidR="331093D2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captures a key factor in the construction of the excerpt – namely, Cicero’s identification of himself with the Republic, and monopolisation of all legitimacy – Batstone's emphasis on ora</w:t>
      </w:r>
      <w:r w:rsidRPr="000ED01F" w:rsidR="50119AD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tory</w:t>
      </w:r>
      <w:r w:rsidRPr="000ED01F" w:rsidR="645A7C8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and self-praise</w:t>
      </w:r>
      <w:r w:rsidRPr="000ED01F" w:rsidR="50119AD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over invective is flawed </w:t>
      </w:r>
      <w:r w:rsidRPr="000ED01F" w:rsidR="50119AD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in so far as</w:t>
      </w:r>
      <w:r w:rsidRPr="000ED01F" w:rsidR="50119AD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it does not recognise their essential twinning as the basic dynamic firing </w:t>
      </w:r>
      <w:r w:rsidRPr="000ED01F" w:rsidR="7BBA67B0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Cicero’s rhetoric. </w:t>
      </w:r>
      <w:r w:rsidRPr="000ED01F" w:rsidR="1F6EAAD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Craig also notes an atypical absence of invective </w:t>
      </w:r>
      <w:r w:rsidRPr="000ED01F" w:rsidR="1F6EAAD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loci</w:t>
      </w:r>
      <w:r w:rsidRPr="000ED01F" w:rsidR="1F6EAAD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typical to the Roman genre and other C</w:t>
      </w:r>
      <w:r w:rsidRPr="000ED01F" w:rsidR="1285B47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iceronian denunciations, to be fair</w:t>
      </w:r>
      <w:r w:rsidRPr="000ED01F" w:rsidR="172548A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– unlike the </w:t>
      </w:r>
      <w:r w:rsidRPr="000ED01F" w:rsidR="172548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Oratio</w:t>
      </w:r>
      <w:r w:rsidRPr="000ED01F" w:rsidR="172548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in </w:t>
      </w:r>
      <w:r w:rsidRPr="000ED01F" w:rsidR="172548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Pisonem</w:t>
      </w:r>
      <w:r w:rsidRPr="000ED01F" w:rsidR="172548A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or </w:t>
      </w:r>
      <w:r w:rsidRPr="000ED01F" w:rsidR="172548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Second Philippic</w:t>
      </w:r>
      <w:r w:rsidRPr="000ED01F" w:rsidR="172548A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000ED01F" w:rsidR="4C58B39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there is “</w:t>
      </w:r>
      <w:r w:rsidRPr="000ED01F" w:rsidR="4C58B39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no parallel with Cicero's remarks that Piso's maternal grandfather was an </w:t>
      </w:r>
      <w:r w:rsidRPr="000ED01F" w:rsidR="4C58B39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Insubrian</w:t>
      </w:r>
      <w:r w:rsidRPr="000ED01F" w:rsidR="4C58B398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Gaul”</w:t>
      </w:r>
      <w:r w:rsidRPr="000ED01F">
        <w:rPr>
          <w:rStyle w:val="FootnoteReference"/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footnoteReference w:id="15087"/>
      </w:r>
      <w:r w:rsidRPr="000ED01F" w:rsidR="025C6E8C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. However, he also recognises its essential character as invective rather than strictly oratorical</w:t>
      </w:r>
      <w:r w:rsidRPr="000ED01F" w:rsidR="115A7C9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00ED01F" w:rsidR="115A7C9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(”the</w:t>
      </w:r>
      <w:r w:rsidRPr="000ED01F" w:rsidR="115A7C9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00ED01F" w:rsidR="115A7C9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First Catilinarian </w:t>
      </w:r>
      <w:r w:rsidRPr="000ED01F" w:rsidR="115A7C9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is a magnificent invective</w:t>
      </w:r>
      <w:r w:rsidRPr="000ED01F" w:rsidR="61AD387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The low count of established invective loci only confirms what any careful reader notices instantly: the invective tone of the First Catilinarian is </w:t>
      </w:r>
      <w:r w:rsidRPr="000ED01F" w:rsidR="61AD387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qualita</w:t>
      </w:r>
      <w:r w:rsidRPr="000ED01F" w:rsidR="61AD387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tively</w:t>
      </w:r>
      <w:r w:rsidRPr="000ED01F" w:rsidR="61AD3873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different, and more restrained than other[s]”</w:t>
      </w:r>
      <w:r w:rsidRPr="000ED01F">
        <w:rPr>
          <w:rStyle w:val="FootnoteReference"/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footnoteReference w:id="13572"/>
      </w:r>
      <w:r w:rsidRPr="000ED01F" w:rsidR="3443D8D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), a facet of Cicero’s rhetoric he puts down to the stakes set</w:t>
      </w:r>
      <w:r w:rsidRPr="000ED01F" w:rsidR="2E3D634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– namely</w:t>
      </w:r>
      <w:r w:rsidRPr="000ED01F" w:rsidR="2E3D634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,</w:t>
      </w:r>
      <w:r w:rsidRPr="000ED01F" w:rsidR="45873A14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00ED01F" w:rsidR="2E3D634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”the</w:t>
      </w:r>
      <w:r w:rsidRPr="000ED01F" w:rsidR="2E3D634B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safety of Rome itself”</w:t>
      </w:r>
      <w:r w:rsidRPr="000ED01F">
        <w:rPr>
          <w:rStyle w:val="FootnoteReference"/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footnoteReference w:id="13624"/>
      </w:r>
      <w:r w:rsidRPr="000ED01F" w:rsidR="3D777B8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. Lastly, while Franzen’s </w:t>
      </w:r>
      <w:r w:rsidRPr="000ED01F" w:rsidR="3D777B8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Branding Catiline</w:t>
      </w:r>
      <w:r w:rsidRPr="000ED01F" w:rsidR="3D777B8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00ED01F" w:rsidR="3D777B8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largely falls</w:t>
      </w:r>
      <w:r w:rsidRPr="000ED01F" w:rsidR="3D777B81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out of the remit of the excerpt</w:t>
      </w:r>
      <w:r w:rsidRPr="000ED01F" w:rsidR="5C23267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proper, her analysis of Cicero’s rhetorical alienation of Catiline from his fellow citizens is well-borne out in the rhetorical conclusion of said ex</w:t>
      </w:r>
      <w:r w:rsidRPr="000ED01F" w:rsidR="5504FC6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ce</w:t>
      </w:r>
      <w:r w:rsidRPr="000ED01F" w:rsidR="5C23267E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rpt. </w:t>
      </w:r>
      <w:r w:rsidRPr="000ED01F" w:rsidR="2D58C83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A particular contrast is drawn between a line from the thirty-second passage </w:t>
      </w:r>
      <w:r w:rsidRPr="000ED01F" w:rsidR="2D58C837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- ”</w:t>
      </w:r>
      <w:r w:rsidRPr="000ED01F" w:rsidR="04108C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let</w:t>
      </w:r>
      <w:r w:rsidRPr="000ED01F" w:rsidR="04108C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 then be written on the forehead of </w:t>
      </w:r>
      <w:r w:rsidRPr="000ED01F" w:rsidR="04108C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each and every</w:t>
      </w:r>
      <w:r w:rsidRPr="000ED01F" w:rsidR="04108C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one, what he proposes concerning the </w:t>
      </w:r>
      <w:r w:rsidRPr="000ED01F" w:rsidR="564093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</w:t>
      </w:r>
      <w:r w:rsidRPr="000ED01F" w:rsidR="04108C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epub</w:t>
      </w:r>
      <w:r w:rsidRPr="000ED01F" w:rsidR="04108C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lic”</w:t>
      </w:r>
      <w:r w:rsidRPr="000ED01F">
        <w:rPr>
          <w:rStyle w:val="FootnoteReference"/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footnoteReference w:id="568"/>
      </w:r>
      <w:r w:rsidRPr="000ED01F" w:rsidR="1491AF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. </w:t>
      </w:r>
      <w:r w:rsidRPr="000ED01F" w:rsidR="6ED4DC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writing – or brand – is contrasted by Franzen with </w:t>
      </w:r>
      <w:r w:rsidRPr="000ED01F" w:rsidR="66F572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Cicer</w:t>
      </w:r>
      <w:r w:rsidRPr="000ED01F" w:rsidR="028C37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o’s rhetorical ’branding’ (</w:t>
      </w:r>
      <w:r w:rsidRPr="000ED01F" w:rsidR="028C37C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inuere</w:t>
      </w:r>
      <w:r w:rsidRPr="000ED01F" w:rsidR="028C37C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 of Catiline as </w:t>
      </w:r>
      <w:r w:rsidRPr="000ED01F" w:rsidR="59876F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slave rather than an aristocrat, ”</w:t>
      </w:r>
      <w:r w:rsidRPr="000ED01F" w:rsidR="1D69B4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experienc</w:t>
      </w:r>
      <w:r w:rsidRPr="000ED01F" w:rsidR="1D69B4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[</w:t>
      </w:r>
      <w:r w:rsidRPr="000ED01F" w:rsidR="1D69B4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ing</w:t>
      </w:r>
      <w:r w:rsidRPr="000ED01F" w:rsidR="1D69B4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] a loss of all ethnic and natal ties”</w:t>
      </w:r>
      <w:r w:rsidRPr="000ED01F">
        <w:rPr>
          <w:rStyle w:val="FootnoteReference"/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footnoteReference w:id="2497"/>
      </w:r>
      <w:r w:rsidRPr="000ED01F" w:rsidR="2F51C6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This, once again, boils down to </w:t>
      </w:r>
      <w:r w:rsidRPr="000ED01F" w:rsidR="6CA0E6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Cicero’s </w:t>
      </w:r>
      <w:r w:rsidRPr="000ED01F" w:rsidR="381A33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rhetorical alienation of Catiline from Republican and Roman society – although the especial emphasis on the lens of enslavement </w:t>
      </w:r>
      <w:r w:rsidRPr="000ED01F" w:rsidR="66B9E5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rather neglects</w:t>
      </w:r>
      <w:r w:rsidRPr="000ED01F" w:rsidR="66B9E5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fundamental Roman tradition of the fear of all things </w:t>
      </w:r>
      <w:r w:rsidRPr="000ED01F" w:rsidR="66B9E5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kingly</w:t>
      </w:r>
      <w:r w:rsidRPr="000ED01F" w:rsidR="66B9E5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00ED01F" w:rsidP="000ED01F" w:rsidRDefault="000ED01F" w14:paraId="540EFC5A" w14:textId="40021C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6B9E5EA" w:rsidP="000ED01F" w:rsidRDefault="66B9E5EA" w14:paraId="3792EDD8" w14:textId="5F76DC1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00ED01F" w:rsidR="66B9E5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conclude, then, the crux of the</w:t>
      </w:r>
      <w:r w:rsidRPr="000ED01F" w:rsidR="66B9E5E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First </w:t>
      </w:r>
      <w:r w:rsidRPr="000ED01F" w:rsidR="66B9E5E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Catilinarian</w:t>
      </w:r>
      <w:r w:rsidRPr="000ED01F" w:rsidR="66B9E5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’s</w:t>
      </w:r>
      <w:r w:rsidRPr="000ED01F" w:rsidR="66B9E5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thirty-first to thirty-third passages – and thus the climactic of the oration as a whole – is this</w:t>
      </w:r>
      <w:r w:rsidRPr="000ED01F" w:rsidR="109CC9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: the systematic rhetorical excommunication of Catiline from the Republican society </w:t>
      </w:r>
      <w:r w:rsidRPr="000ED01F" w:rsidR="423555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 the 1</w:t>
      </w:r>
      <w:r w:rsidRPr="000ED01F" w:rsidR="423555E4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GB"/>
        </w:rPr>
        <w:t>st</w:t>
      </w:r>
      <w:r w:rsidRPr="000ED01F" w:rsidR="423555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century BC as not simply an enemy of Rome, but an incarnation of its social dysfunction, and, by his opposition to Cicero</w:t>
      </w:r>
      <w:r w:rsidRPr="000ED01F" w:rsidR="56EA3B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the latter’s framing, the effective conflation of the latter with the Republic itself.</w:t>
      </w:r>
    </w:p>
    <w:p w:rsidR="000ED01F" w:rsidP="000ED01F" w:rsidRDefault="000ED01F" w14:paraId="27262702" w14:textId="55CC6B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6EA3B53" w:rsidP="000ED01F" w:rsidRDefault="56EA3B53" w14:paraId="5DD802EF" w14:textId="789302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00ED01F" w:rsidR="56EA3B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Bibliography</w:t>
      </w:r>
    </w:p>
    <w:p w:rsidR="000ED01F" w:rsidP="000ED01F" w:rsidRDefault="000ED01F" w14:paraId="6397C5EF" w14:textId="6E4E2F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6EA3B53" w:rsidP="000ED01F" w:rsidRDefault="56EA3B53" w14:paraId="7AA63BD8" w14:textId="0F2CE089">
      <w:pPr>
        <w:bidi w:val="0"/>
        <w:spacing w:before="0" w:beforeAutospacing="off" w:after="240" w:afterAutospacing="off" w:line="360" w:lineRule="auto"/>
        <w:jc w:val="left"/>
      </w:pPr>
      <w:r w:rsidRPr="000ED01F" w:rsidR="56EA3B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Batstone, W.W. (1994). Cicero’s Construction of Consular Ethos in the First Catilinarian. </w:t>
      </w:r>
      <w:r w:rsidRPr="000ED01F" w:rsidR="56EA3B5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Transactions of the American Philological Association (1974-)</w:t>
      </w:r>
      <w:r w:rsidRPr="000ED01F" w:rsidR="56EA3B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(Vol. 124), p.211. doi:https://doi.org/10.2307/284292.</w:t>
      </w:r>
    </w:p>
    <w:p w:rsidR="56EA3B53" w:rsidP="000ED01F" w:rsidRDefault="56EA3B53" w14:paraId="3E5F33D2" w14:textId="5BD8D210">
      <w:pPr>
        <w:bidi w:val="0"/>
        <w:spacing w:before="0" w:beforeAutospacing="off" w:after="240" w:afterAutospacing="off" w:line="360" w:lineRule="auto"/>
        <w:jc w:val="left"/>
      </w:pPr>
      <w:r w:rsidRPr="000ED01F" w:rsidR="56EA3B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Craig, C. (2007). Self-Restraint, Invective, and Credibility in Cicero’s ‘First Catilinarian Oration’. </w:t>
      </w:r>
      <w:r w:rsidRPr="000ED01F" w:rsidR="56EA3B5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American Journal of Philology</w:t>
      </w:r>
      <w:r w:rsidRPr="000ED01F" w:rsidR="56EA3B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128(3), pp.335–339. Available at: </w:t>
      </w:r>
      <w:hyperlink r:id="R0cf9e71533d0487e">
        <w:r w:rsidRPr="000ED01F" w:rsidR="56EA3B5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https://www.jstor.org/stable/4496969</w:t>
        </w:r>
      </w:hyperlink>
      <w:r w:rsidRPr="000ED01F" w:rsidR="56EA3B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6EA3B53" w:rsidP="000ED01F" w:rsidRDefault="56EA3B53" w14:paraId="79B29F67" w14:textId="6703DD4B">
      <w:pPr>
        <w:bidi w:val="0"/>
        <w:spacing w:before="0" w:beforeAutospacing="off" w:after="240" w:afterAutospacing="off" w:line="360" w:lineRule="auto"/>
        <w:jc w:val="left"/>
      </w:pPr>
      <w:r w:rsidRPr="000ED01F" w:rsidR="56EA3B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Franzen, C.E. (2013). Branding Catiline: Metaphorical Enslavement in the ‘First Catilinarian’ Oration. </w:t>
      </w:r>
      <w:r w:rsidRPr="000ED01F" w:rsidR="56EA3B5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Classical World</w:t>
      </w:r>
      <w:r w:rsidRPr="000ED01F" w:rsidR="56EA3B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106(3), pp.355–364. Available at: </w:t>
      </w:r>
      <w:hyperlink r:id="R9e4475e429a54653">
        <w:r w:rsidRPr="000ED01F" w:rsidR="56EA3B5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https://www.jstor.org/stable/24699931</w:t>
        </w:r>
      </w:hyperlink>
      <w:r w:rsidRPr="000ED01F" w:rsidR="56EA3B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6EA3B53" w:rsidP="000ED01F" w:rsidRDefault="56EA3B53" w14:paraId="24B11BDC" w14:textId="0A0811DA">
      <w:pPr>
        <w:bidi w:val="0"/>
        <w:spacing w:before="0" w:beforeAutospacing="off" w:after="240" w:afterAutospacing="off" w:line="360" w:lineRule="auto"/>
        <w:jc w:val="left"/>
      </w:pPr>
      <w:r w:rsidRPr="000ED01F" w:rsidR="56EA3B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Marcus Tullius Cicero and Coll Macdonald (1977). </w:t>
      </w:r>
      <w:r w:rsidRPr="000ED01F" w:rsidR="56EA3B5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Cicero. 10, In Catilinam, I-IV. Pro Murena. Pro Sulla. Pro Flacco.</w:t>
      </w:r>
      <w:r w:rsidRPr="000ED01F" w:rsidR="56EA3B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Cambridge, MA.: Harvard University Press; London.</w:t>
      </w:r>
    </w:p>
    <w:p w:rsidR="56EA3B53" w:rsidP="000ED01F" w:rsidRDefault="56EA3B53" w14:paraId="6412B656" w14:textId="7B19E6E2">
      <w:pPr>
        <w:bidi w:val="0"/>
        <w:spacing w:before="0" w:beforeAutospacing="off" w:after="240" w:afterAutospacing="off" w:line="360" w:lineRule="auto"/>
        <w:jc w:val="left"/>
      </w:pPr>
      <w:r w:rsidRPr="000ED01F" w:rsidR="56EA3B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Southon, E. (2020). </w:t>
      </w:r>
      <w:r w:rsidRPr="000ED01F" w:rsidR="56EA3B5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 Fatal Thing Happened on the Way to the Forum</w:t>
      </w:r>
      <w:r w:rsidRPr="000ED01F" w:rsidR="56EA3B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Simon and Schuster.</w:t>
      </w:r>
    </w:p>
    <w:p w:rsidR="000ED01F" w:rsidP="000ED01F" w:rsidRDefault="000ED01F" w14:paraId="41C2DB93" w14:textId="0EB3969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37B65725" w:rsidRDefault="37B65725" w14:paraId="4E160351" w14:textId="0E0B1826">
      <w:pPr>
        <w:spacing w:after="0" w:line="240" w:lineRule="auto"/>
      </w:pPr>
      <w:r>
        <w:separator/>
      </w:r>
    </w:p>
  </w:footnote>
  <w:footnote w:type="continuationSeparator" w:id="0">
    <w:p w:rsidR="37B65725" w:rsidRDefault="37B65725" w14:paraId="5934BA23" w14:textId="67A2A911">
      <w:pPr>
        <w:spacing w:after="0" w:line="240" w:lineRule="auto"/>
      </w:pPr>
      <w:r>
        <w:continuationSeparator/>
      </w:r>
    </w:p>
  </w:footnote>
  <w:footnote w:id="477">
    <w:p w:rsidR="37B65725" w:rsidP="000ED01F" w:rsidRDefault="37B65725" w14:paraId="399769B8" w14:textId="307B0D4D">
      <w:pPr>
        <w:pStyle w:val="FootnoteText"/>
        <w:bidi w:val="0"/>
        <w:rPr>
          <w:noProof w:val="0"/>
          <w:lang w:val="en-GB"/>
        </w:rPr>
      </w:pPr>
      <w:r w:rsidRPr="37B65725">
        <w:rPr>
          <w:rStyle w:val="FootnoteReference"/>
        </w:rPr>
        <w:footnoteRef/>
      </w:r>
      <w:r w:rsidR="000ED01F">
        <w:rPr/>
        <w:t xml:space="preserve"> </w:t>
      </w:r>
      <w:r w:rsidRPr="000ED01F" w:rsidR="000ED01F">
        <w:rPr>
          <w:rFonts w:ascii="Times New Roman" w:hAnsi="Times New Roman" w:eastAsia="Times New Roman" w:cs="Times New Roman"/>
          <w:noProof w:val="0"/>
          <w:sz w:val="18"/>
          <w:szCs w:val="18"/>
          <w:lang w:val="en-GB"/>
        </w:rPr>
        <w:t>(Cicero and Macdonald, 1977)</w:t>
      </w:r>
    </w:p>
    <w:p w:rsidR="000ED01F" w:rsidP="000ED01F" w:rsidRDefault="000ED01F" w14:paraId="5B6616D7" w14:textId="311CC20F">
      <w:pPr>
        <w:pStyle w:val="FootnoteText"/>
      </w:pPr>
    </w:p>
  </w:footnote>
  <w:footnote w:id="24537">
    <w:p w:rsidR="37B65725" w:rsidP="37B65725" w:rsidRDefault="37B65725" w14:paraId="76111337" w14:textId="75A7C416">
      <w:pPr>
        <w:pStyle w:val="FootnoteText"/>
        <w:bidi w:val="0"/>
      </w:pPr>
      <w:r w:rsidRPr="37B65725">
        <w:rPr>
          <w:rStyle w:val="FootnoteReference"/>
        </w:rPr>
        <w:footnoteRef/>
      </w:r>
      <w:r w:rsidR="000ED01F">
        <w:rPr/>
        <w:t xml:space="preserve"> </w:t>
      </w:r>
      <w:r w:rsidRPr="000ED01F" w:rsidR="000ED01F">
        <w:rPr>
          <w:rFonts w:ascii="Times New Roman" w:hAnsi="Times New Roman" w:eastAsia="Times New Roman" w:cs="Times New Roman"/>
          <w:noProof w:val="0"/>
          <w:sz w:val="18"/>
          <w:szCs w:val="18"/>
          <w:lang w:val="en-GB"/>
        </w:rPr>
        <w:t>(Cicero and Macdonald, 1977)</w:t>
      </w:r>
    </w:p>
    <w:p w:rsidR="000ED01F" w:rsidP="000ED01F" w:rsidRDefault="000ED01F" w14:paraId="1A4EC4E2" w14:textId="40D91DF6">
      <w:pPr>
        <w:pStyle w:val="FootnoteText"/>
      </w:pPr>
    </w:p>
  </w:footnote>
  <w:footnote w:id="5246">
    <w:p w:rsidR="37B65725" w:rsidP="37B65725" w:rsidRDefault="37B65725" w14:paraId="0D65A5DF" w14:textId="74F0033B">
      <w:pPr>
        <w:pStyle w:val="FootnoteText"/>
        <w:bidi w:val="0"/>
      </w:pPr>
      <w:r w:rsidRPr="37B65725">
        <w:rPr>
          <w:rStyle w:val="FootnoteReference"/>
        </w:rPr>
        <w:footnoteRef/>
      </w:r>
      <w:r w:rsidR="000ED01F">
        <w:rPr/>
        <w:t xml:space="preserve"> </w:t>
      </w:r>
      <w:r w:rsidRPr="000ED01F" w:rsidR="000ED01F">
        <w:rPr>
          <w:rFonts w:ascii="Times New Roman" w:hAnsi="Times New Roman" w:eastAsia="Times New Roman" w:cs="Times New Roman"/>
          <w:noProof w:val="0"/>
          <w:sz w:val="18"/>
          <w:szCs w:val="18"/>
          <w:lang w:val="en-GB"/>
        </w:rPr>
        <w:t>(Cicero and Macdonald, 1977)</w:t>
      </w:r>
    </w:p>
    <w:p w:rsidR="000ED01F" w:rsidP="000ED01F" w:rsidRDefault="000ED01F" w14:paraId="567942C4" w14:textId="610391D3">
      <w:pPr>
        <w:pStyle w:val="FootnoteText"/>
      </w:pPr>
    </w:p>
  </w:footnote>
  <w:footnote w:id="16232">
    <w:p w:rsidR="37B65725" w:rsidP="37B65725" w:rsidRDefault="37B65725" w14:paraId="3A825E30" w14:textId="22888614">
      <w:pPr>
        <w:pStyle w:val="FootnoteText"/>
        <w:bidi w:val="0"/>
      </w:pPr>
      <w:r w:rsidRPr="000ED01F">
        <w:rPr>
          <w:rStyle w:val="FootnoteReference"/>
        </w:rPr>
        <w:footnoteRef/>
      </w:r>
      <w:r w:rsidRPr="000ED01F" w:rsidR="000ED01F">
        <w:rPr>
          <w:rFonts w:ascii="Times New Roman" w:hAnsi="Times New Roman" w:eastAsia="Times New Roman" w:cs="Times New Roman"/>
          <w:noProof w:val="0"/>
          <w:sz w:val="18"/>
          <w:szCs w:val="18"/>
          <w:lang w:val="en-GB"/>
        </w:rPr>
        <w:t xml:space="preserve"> (Cicero and Macdonald, 1977)</w:t>
      </w:r>
    </w:p>
    <w:p w:rsidR="37B65725" w:rsidP="000ED01F" w:rsidRDefault="37B65725" w14:textId="0E06B86F" w14:paraId="39909ABE">
      <w:pPr>
        <w:pStyle w:val="FootnoteText"/>
        <w:bidi w:val="0"/>
        <w:rPr>
          <w:rFonts w:ascii="Times New Roman" w:hAnsi="Times New Roman" w:eastAsia="Times New Roman" w:cs="Times New Roman"/>
          <w:noProof w:val="0"/>
          <w:sz w:val="18"/>
          <w:szCs w:val="18"/>
          <w:lang w:val="en-GB"/>
        </w:rPr>
      </w:pPr>
      <w:r w:rsidRPr="37B65725">
        <w:rPr>
          <w:rStyle w:val="FootnoteReference"/>
        </w:rPr>
        <w:footnoteRef/>
      </w:r>
    </w:p>
  </w:footnote>
  <w:footnote w:id="3181">
    <w:p w:rsidR="37B65725" w:rsidP="37B65725" w:rsidRDefault="37B65725" w14:paraId="499958C2" w14:textId="5E8822AD">
      <w:pPr>
        <w:pStyle w:val="FootnoteText"/>
        <w:bidi w:val="0"/>
      </w:pPr>
      <w:r w:rsidRPr="37B65725">
        <w:rPr>
          <w:rStyle w:val="FootnoteReference"/>
        </w:rPr>
        <w:footnoteRef/>
      </w:r>
      <w:r w:rsidR="000ED01F">
        <w:rPr/>
        <w:t xml:space="preserve"> </w:t>
      </w:r>
      <w:r w:rsidRPr="000ED01F" w:rsidR="000ED01F">
        <w:rPr>
          <w:rFonts w:ascii="Times New Roman" w:hAnsi="Times New Roman" w:eastAsia="Times New Roman" w:cs="Times New Roman"/>
          <w:noProof w:val="0"/>
          <w:sz w:val="18"/>
          <w:szCs w:val="18"/>
          <w:lang w:val="en-GB"/>
        </w:rPr>
        <w:t>(Cicero and Macdonald, 1977)</w:t>
      </w:r>
    </w:p>
    <w:p w:rsidR="37B65725" w:rsidP="37B65725" w:rsidRDefault="37B65725" w14:paraId="3D4CD3DC" w14:textId="2FE3BFDB">
      <w:pPr>
        <w:pStyle w:val="FootnoteText"/>
        <w:bidi w:val="0"/>
      </w:pPr>
    </w:p>
  </w:footnote>
  <w:footnote w:id="22043">
    <w:p w:rsidR="37B65725" w:rsidP="37B65725" w:rsidRDefault="37B65725" w14:paraId="3FD2ECED" w14:textId="45C216B5">
      <w:pPr>
        <w:pStyle w:val="FootnoteText"/>
        <w:bidi w:val="0"/>
      </w:pPr>
      <w:r w:rsidRPr="37B65725">
        <w:rPr>
          <w:rStyle w:val="FootnoteReference"/>
        </w:rPr>
        <w:footnoteRef/>
      </w:r>
      <w:r w:rsidR="000ED01F">
        <w:rPr/>
        <w:t xml:space="preserve"> </w:t>
      </w:r>
      <w:r w:rsidRPr="37B65725" w:rsidR="000ED01F">
        <w:rPr>
          <w:rFonts w:ascii="Times New Roman" w:hAnsi="Times New Roman" w:eastAsia="Times New Roman" w:cs="Times New Roman"/>
          <w:noProof w:val="0"/>
          <w:sz w:val="18"/>
          <w:szCs w:val="18"/>
          <w:lang w:val="en-GB"/>
        </w:rPr>
        <w:t>(Cicero and Macdonald, 1977)</w:t>
      </w:r>
    </w:p>
  </w:footnote>
  <w:footnote w:id="14334">
    <w:p w:rsidR="000ED01F" w:rsidP="000ED01F" w:rsidRDefault="000ED01F" w14:paraId="7EE131A7" w14:textId="14EC25C2">
      <w:pPr>
        <w:pStyle w:val="FootnoteText"/>
        <w:bidi w:val="0"/>
      </w:pPr>
      <w:r w:rsidRPr="000ED01F">
        <w:rPr>
          <w:rStyle w:val="FootnoteReference"/>
        </w:rPr>
        <w:footnoteRef/>
      </w:r>
      <w:r w:rsidR="000ED01F">
        <w:rPr/>
        <w:t xml:space="preserve"> </w:t>
      </w:r>
      <w:r w:rsidRPr="000ED01F" w:rsidR="000ED0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(Cicero and Macdonald, 1977)</w:t>
      </w:r>
      <w:r w:rsidRPr="000ED01F" w:rsidR="000ED0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r w:rsidRPr="000ED01F" w:rsidR="000ED01F">
        <w:rPr>
          <w:noProof w:val="0"/>
          <w:lang w:val="en-GB"/>
        </w:rPr>
        <w:t xml:space="preserve"> </w:t>
      </w:r>
    </w:p>
  </w:footnote>
  <w:footnote w:id="29629">
    <w:p w:rsidR="000ED01F" w:rsidP="000ED01F" w:rsidRDefault="000ED01F" w14:paraId="656FB1E1" w14:textId="26617AB2">
      <w:pPr>
        <w:pStyle w:val="FootnoteText"/>
        <w:bidi w:val="0"/>
      </w:pPr>
      <w:r w:rsidRPr="000ED01F">
        <w:rPr>
          <w:rStyle w:val="FootnoteReference"/>
        </w:rPr>
        <w:footnoteRef/>
      </w:r>
      <w:r w:rsidR="000ED01F">
        <w:rPr/>
        <w:t xml:space="preserve"> </w:t>
      </w:r>
      <w:r w:rsidRPr="000ED01F" w:rsidR="000ED0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(Cicero and Macdonald, 1977)</w:t>
      </w:r>
      <w:r w:rsidRPr="000ED01F" w:rsidR="000ED0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r w:rsidRPr="000ED01F" w:rsidR="000ED01F">
        <w:rPr>
          <w:noProof w:val="0"/>
          <w:lang w:val="en-GB"/>
        </w:rPr>
        <w:t xml:space="preserve"> </w:t>
      </w:r>
    </w:p>
  </w:footnote>
  <w:footnote w:id="15252">
    <w:p w:rsidR="000ED01F" w:rsidP="000ED01F" w:rsidRDefault="000ED01F" w14:paraId="3E658914" w14:textId="4E520330">
      <w:pPr>
        <w:pStyle w:val="FootnoteText"/>
        <w:bidi w:val="0"/>
        <w:rPr>
          <w:noProof w:val="0"/>
          <w:lang w:val="en-GB"/>
        </w:rPr>
      </w:pPr>
      <w:r w:rsidRPr="000ED01F">
        <w:rPr>
          <w:rStyle w:val="FootnoteReference"/>
        </w:rPr>
        <w:footnoteRef/>
      </w:r>
      <w:r w:rsidRPr="000ED01F" w:rsidR="000ED01F">
        <w:rPr>
          <w:sz w:val="18"/>
          <w:szCs w:val="18"/>
        </w:rPr>
        <w:t xml:space="preserve"> </w:t>
      </w:r>
      <w:r w:rsidRPr="000ED01F" w:rsidR="000ED01F">
        <w:rPr>
          <w:rFonts w:ascii="Times New Roman" w:hAnsi="Times New Roman" w:eastAsia="Times New Roman" w:cs="Times New Roman"/>
          <w:noProof w:val="0"/>
          <w:sz w:val="18"/>
          <w:szCs w:val="18"/>
          <w:lang w:val="en-GB"/>
        </w:rPr>
        <w:t>(Batstone, 1994)</w:t>
      </w:r>
    </w:p>
  </w:footnote>
  <w:footnote w:id="24051">
    <w:p w:rsidR="000ED01F" w:rsidP="000ED01F" w:rsidRDefault="000ED01F" w14:paraId="3D3AF780" w14:textId="11D13005">
      <w:pPr>
        <w:pStyle w:val="FootnoteText"/>
        <w:bidi w:val="0"/>
        <w:rPr>
          <w:noProof w:val="0"/>
          <w:lang w:val="en-GB"/>
        </w:rPr>
      </w:pPr>
      <w:r w:rsidRPr="000ED01F">
        <w:rPr>
          <w:rStyle w:val="FootnoteReference"/>
        </w:rPr>
        <w:footnoteRef/>
      </w:r>
      <w:r w:rsidR="000ED01F">
        <w:rPr/>
        <w:t xml:space="preserve"> </w:t>
      </w:r>
      <w:r w:rsidRPr="000ED01F" w:rsidR="000ED01F">
        <w:rPr>
          <w:rFonts w:ascii="Times New Roman" w:hAnsi="Times New Roman" w:eastAsia="Times New Roman" w:cs="Times New Roman"/>
          <w:noProof w:val="0"/>
          <w:sz w:val="18"/>
          <w:szCs w:val="18"/>
          <w:lang w:val="en-GB"/>
        </w:rPr>
        <w:t>(Batstone, 1994)</w:t>
      </w:r>
    </w:p>
  </w:footnote>
  <w:footnote w:id="15087">
    <w:p w:rsidR="000ED01F" w:rsidP="000ED01F" w:rsidRDefault="000ED01F" w14:paraId="1B74D552" w14:textId="7D38141B">
      <w:pPr>
        <w:pStyle w:val="FootnoteText"/>
        <w:bidi w:val="0"/>
      </w:pPr>
      <w:r w:rsidRPr="000ED01F">
        <w:rPr>
          <w:rStyle w:val="FootnoteReference"/>
        </w:rPr>
        <w:footnoteRef/>
      </w:r>
      <w:r w:rsidR="000ED01F">
        <w:rPr/>
        <w:t xml:space="preserve"> (Craig, 2007)</w:t>
      </w:r>
    </w:p>
  </w:footnote>
  <w:footnote w:id="13572">
    <w:p w:rsidR="000ED01F" w:rsidP="000ED01F" w:rsidRDefault="000ED01F" w14:paraId="74E455EF" w14:textId="57B20527">
      <w:pPr>
        <w:pStyle w:val="FootnoteText"/>
        <w:bidi w:val="0"/>
      </w:pPr>
      <w:r w:rsidRPr="000ED01F">
        <w:rPr>
          <w:rStyle w:val="FootnoteReference"/>
        </w:rPr>
        <w:footnoteRef/>
      </w:r>
      <w:r w:rsidR="000ED01F">
        <w:rPr/>
        <w:t xml:space="preserve"> (Craig, 2007)</w:t>
      </w:r>
    </w:p>
  </w:footnote>
  <w:footnote w:id="13624">
    <w:p w:rsidR="000ED01F" w:rsidP="000ED01F" w:rsidRDefault="000ED01F" w14:paraId="0C5C53B7" w14:textId="123D24A6">
      <w:pPr>
        <w:pStyle w:val="FootnoteText"/>
        <w:bidi w:val="0"/>
      </w:pPr>
      <w:r w:rsidRPr="000ED01F">
        <w:rPr>
          <w:rStyle w:val="FootnoteReference"/>
        </w:rPr>
        <w:footnoteRef/>
      </w:r>
      <w:r w:rsidR="000ED01F">
        <w:rPr/>
        <w:t xml:space="preserve"> (Craig, 2007)</w:t>
      </w:r>
    </w:p>
  </w:footnote>
  <w:footnote w:id="568">
    <w:p w:rsidR="000ED01F" w:rsidP="000ED01F" w:rsidRDefault="000ED01F" w14:paraId="76D9597C" w14:textId="12053EF3">
      <w:pPr>
        <w:pStyle w:val="FootnoteText"/>
        <w:bidi w:val="0"/>
      </w:pPr>
      <w:r w:rsidRPr="000ED01F">
        <w:rPr>
          <w:rStyle w:val="FootnoteReference"/>
        </w:rPr>
        <w:footnoteRef/>
      </w:r>
      <w:r w:rsidR="000ED01F">
        <w:rPr/>
        <w:t xml:space="preserve"> (Franzen, 2013)</w:t>
      </w:r>
    </w:p>
  </w:footnote>
  <w:footnote w:id="2497">
    <w:p w:rsidR="000ED01F" w:rsidP="000ED01F" w:rsidRDefault="000ED01F" w14:paraId="1EF4FE0C" w14:textId="04D59D9C">
      <w:pPr>
        <w:pStyle w:val="FootnoteText"/>
        <w:bidi w:val="0"/>
      </w:pPr>
      <w:r w:rsidRPr="000ED01F">
        <w:rPr>
          <w:rStyle w:val="FootnoteReference"/>
        </w:rPr>
        <w:footnoteRef/>
      </w:r>
      <w:r w:rsidR="000ED01F">
        <w:rPr/>
        <w:t xml:space="preserve"> (Franzen, 2013)</w:t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3qVdMDFB" int2:invalidationBookmarkName="" int2:hashCode="7VlKhUYmy+C2RD" int2:id="f7pcfVZ6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0DF34F"/>
    <w:rsid w:val="000ED01F"/>
    <w:rsid w:val="0087B7D7"/>
    <w:rsid w:val="0172BE20"/>
    <w:rsid w:val="020DF34F"/>
    <w:rsid w:val="025C6E8C"/>
    <w:rsid w:val="028C37C3"/>
    <w:rsid w:val="03025E03"/>
    <w:rsid w:val="03277A00"/>
    <w:rsid w:val="03E52B74"/>
    <w:rsid w:val="04108CE4"/>
    <w:rsid w:val="04A97518"/>
    <w:rsid w:val="04AE66A8"/>
    <w:rsid w:val="04EE7706"/>
    <w:rsid w:val="054CC793"/>
    <w:rsid w:val="068D83E9"/>
    <w:rsid w:val="0708399A"/>
    <w:rsid w:val="09B58DB3"/>
    <w:rsid w:val="0A2833C1"/>
    <w:rsid w:val="0A6EC951"/>
    <w:rsid w:val="0AB144C9"/>
    <w:rsid w:val="0B4BC2FB"/>
    <w:rsid w:val="0C096061"/>
    <w:rsid w:val="0CB27DBF"/>
    <w:rsid w:val="0D5F74C8"/>
    <w:rsid w:val="0D91CD04"/>
    <w:rsid w:val="0EABC8CC"/>
    <w:rsid w:val="1093A98C"/>
    <w:rsid w:val="109CC94F"/>
    <w:rsid w:val="10A99D49"/>
    <w:rsid w:val="10B3A5C7"/>
    <w:rsid w:val="115A7C91"/>
    <w:rsid w:val="1168D1DF"/>
    <w:rsid w:val="119A63A2"/>
    <w:rsid w:val="123ADAD3"/>
    <w:rsid w:val="123F11F5"/>
    <w:rsid w:val="1250593B"/>
    <w:rsid w:val="1285B474"/>
    <w:rsid w:val="129114B9"/>
    <w:rsid w:val="13356168"/>
    <w:rsid w:val="1386D0C9"/>
    <w:rsid w:val="1409DFD6"/>
    <w:rsid w:val="1491AFC4"/>
    <w:rsid w:val="1496CE54"/>
    <w:rsid w:val="14D659C3"/>
    <w:rsid w:val="154DEA07"/>
    <w:rsid w:val="158E0A1B"/>
    <w:rsid w:val="1654469B"/>
    <w:rsid w:val="167ABD32"/>
    <w:rsid w:val="16C8B6E9"/>
    <w:rsid w:val="172548A3"/>
    <w:rsid w:val="17589B9B"/>
    <w:rsid w:val="180AF04C"/>
    <w:rsid w:val="18210974"/>
    <w:rsid w:val="183A3EBB"/>
    <w:rsid w:val="18D4BE45"/>
    <w:rsid w:val="19C16422"/>
    <w:rsid w:val="1A344CE8"/>
    <w:rsid w:val="1A7B8BFF"/>
    <w:rsid w:val="1AE32503"/>
    <w:rsid w:val="1B1FFA17"/>
    <w:rsid w:val="1BF2831A"/>
    <w:rsid w:val="1D69B4ED"/>
    <w:rsid w:val="1DFCBA36"/>
    <w:rsid w:val="1E58839E"/>
    <w:rsid w:val="1E6D9CB1"/>
    <w:rsid w:val="1ECFD0B8"/>
    <w:rsid w:val="1EDE82EB"/>
    <w:rsid w:val="1F6EAAD8"/>
    <w:rsid w:val="20A44160"/>
    <w:rsid w:val="20EE584C"/>
    <w:rsid w:val="21A41B39"/>
    <w:rsid w:val="21A4B90C"/>
    <w:rsid w:val="2206C1FD"/>
    <w:rsid w:val="22297F82"/>
    <w:rsid w:val="22981D15"/>
    <w:rsid w:val="23029839"/>
    <w:rsid w:val="230E8C60"/>
    <w:rsid w:val="231DDDF5"/>
    <w:rsid w:val="24E6D266"/>
    <w:rsid w:val="271C5D81"/>
    <w:rsid w:val="278B697F"/>
    <w:rsid w:val="28A83251"/>
    <w:rsid w:val="28BB77BC"/>
    <w:rsid w:val="2AA6DE65"/>
    <w:rsid w:val="2B6CD154"/>
    <w:rsid w:val="2B817374"/>
    <w:rsid w:val="2C722CD0"/>
    <w:rsid w:val="2CB7ABBF"/>
    <w:rsid w:val="2CD2DC48"/>
    <w:rsid w:val="2D03D305"/>
    <w:rsid w:val="2D58C837"/>
    <w:rsid w:val="2DD1BC1F"/>
    <w:rsid w:val="2E3D634B"/>
    <w:rsid w:val="2F51C676"/>
    <w:rsid w:val="2F7D7831"/>
    <w:rsid w:val="305B7DF6"/>
    <w:rsid w:val="30848B21"/>
    <w:rsid w:val="3300F8FF"/>
    <w:rsid w:val="331093D2"/>
    <w:rsid w:val="334123FE"/>
    <w:rsid w:val="339DF617"/>
    <w:rsid w:val="340CB29E"/>
    <w:rsid w:val="3443D8D9"/>
    <w:rsid w:val="3506C917"/>
    <w:rsid w:val="3549EC89"/>
    <w:rsid w:val="35DD5C9F"/>
    <w:rsid w:val="35EF1420"/>
    <w:rsid w:val="37237544"/>
    <w:rsid w:val="37586E4F"/>
    <w:rsid w:val="37721286"/>
    <w:rsid w:val="37B063C9"/>
    <w:rsid w:val="37B65725"/>
    <w:rsid w:val="37D26452"/>
    <w:rsid w:val="381A33E2"/>
    <w:rsid w:val="38586B8E"/>
    <w:rsid w:val="394CFA28"/>
    <w:rsid w:val="397056A4"/>
    <w:rsid w:val="39864268"/>
    <w:rsid w:val="39F80C33"/>
    <w:rsid w:val="3A18843C"/>
    <w:rsid w:val="3A236BCB"/>
    <w:rsid w:val="3A533FB9"/>
    <w:rsid w:val="3A72D292"/>
    <w:rsid w:val="3A7D0520"/>
    <w:rsid w:val="3C5988B4"/>
    <w:rsid w:val="3D1782B7"/>
    <w:rsid w:val="3D777B81"/>
    <w:rsid w:val="3DA1772E"/>
    <w:rsid w:val="3DFBCDEC"/>
    <w:rsid w:val="3F3B4F33"/>
    <w:rsid w:val="3F3F4CA0"/>
    <w:rsid w:val="3FD1543F"/>
    <w:rsid w:val="4124AC94"/>
    <w:rsid w:val="414029CD"/>
    <w:rsid w:val="4191BA98"/>
    <w:rsid w:val="41DA4A51"/>
    <w:rsid w:val="42033058"/>
    <w:rsid w:val="423555E4"/>
    <w:rsid w:val="423F8E72"/>
    <w:rsid w:val="427F7C8B"/>
    <w:rsid w:val="4345DB55"/>
    <w:rsid w:val="43AD1AA2"/>
    <w:rsid w:val="4428B0EA"/>
    <w:rsid w:val="44EDF424"/>
    <w:rsid w:val="45873A14"/>
    <w:rsid w:val="467F4B63"/>
    <w:rsid w:val="46EBD157"/>
    <w:rsid w:val="46F4FDB1"/>
    <w:rsid w:val="479383F0"/>
    <w:rsid w:val="47AABFC4"/>
    <w:rsid w:val="490954C2"/>
    <w:rsid w:val="49E91422"/>
    <w:rsid w:val="4BC45C8F"/>
    <w:rsid w:val="4BC93CE3"/>
    <w:rsid w:val="4C58B398"/>
    <w:rsid w:val="4CA8A8F6"/>
    <w:rsid w:val="4E2784E0"/>
    <w:rsid w:val="4E2E6B96"/>
    <w:rsid w:val="4E60BD3B"/>
    <w:rsid w:val="4E826717"/>
    <w:rsid w:val="4E94877B"/>
    <w:rsid w:val="4F7FF58D"/>
    <w:rsid w:val="4F8A56BF"/>
    <w:rsid w:val="4FC3B3C3"/>
    <w:rsid w:val="4FE7CFEF"/>
    <w:rsid w:val="50119AD8"/>
    <w:rsid w:val="515E5A80"/>
    <w:rsid w:val="517A4376"/>
    <w:rsid w:val="51FBA517"/>
    <w:rsid w:val="520D2899"/>
    <w:rsid w:val="52E1D55B"/>
    <w:rsid w:val="53488CAA"/>
    <w:rsid w:val="5383B25F"/>
    <w:rsid w:val="538E11C0"/>
    <w:rsid w:val="5398D0AC"/>
    <w:rsid w:val="53B443B1"/>
    <w:rsid w:val="54C0CFCE"/>
    <w:rsid w:val="54EF7149"/>
    <w:rsid w:val="54EFC4B5"/>
    <w:rsid w:val="54F463C4"/>
    <w:rsid w:val="5504FC69"/>
    <w:rsid w:val="550653D8"/>
    <w:rsid w:val="56409303"/>
    <w:rsid w:val="565BDA13"/>
    <w:rsid w:val="567AFA87"/>
    <w:rsid w:val="56CD445D"/>
    <w:rsid w:val="56EA3B53"/>
    <w:rsid w:val="57299BD3"/>
    <w:rsid w:val="5755DDE1"/>
    <w:rsid w:val="57C99249"/>
    <w:rsid w:val="57F7B6F3"/>
    <w:rsid w:val="587365E8"/>
    <w:rsid w:val="588B51F4"/>
    <w:rsid w:val="58922EBB"/>
    <w:rsid w:val="5915C485"/>
    <w:rsid w:val="59263770"/>
    <w:rsid w:val="59876F60"/>
    <w:rsid w:val="59B44879"/>
    <w:rsid w:val="5B27FB16"/>
    <w:rsid w:val="5B8E3B4E"/>
    <w:rsid w:val="5BF8A533"/>
    <w:rsid w:val="5C23267E"/>
    <w:rsid w:val="5D6F29D4"/>
    <w:rsid w:val="5E0834F4"/>
    <w:rsid w:val="5F49A2E3"/>
    <w:rsid w:val="5F4E7BE9"/>
    <w:rsid w:val="5FEB94C3"/>
    <w:rsid w:val="602BCB89"/>
    <w:rsid w:val="606080D5"/>
    <w:rsid w:val="61AD3873"/>
    <w:rsid w:val="61E877E3"/>
    <w:rsid w:val="628EAC00"/>
    <w:rsid w:val="62BCB6FB"/>
    <w:rsid w:val="6322CE84"/>
    <w:rsid w:val="635063D2"/>
    <w:rsid w:val="6375860B"/>
    <w:rsid w:val="6376C904"/>
    <w:rsid w:val="637A1A7F"/>
    <w:rsid w:val="645A7C87"/>
    <w:rsid w:val="65B7D9F2"/>
    <w:rsid w:val="6683E99C"/>
    <w:rsid w:val="668D364D"/>
    <w:rsid w:val="669ED721"/>
    <w:rsid w:val="66ABEC9A"/>
    <w:rsid w:val="66B48DAC"/>
    <w:rsid w:val="66B9E5EA"/>
    <w:rsid w:val="66F572C0"/>
    <w:rsid w:val="6756F8B2"/>
    <w:rsid w:val="678A704C"/>
    <w:rsid w:val="67F6A1FB"/>
    <w:rsid w:val="6814E3DF"/>
    <w:rsid w:val="6832822D"/>
    <w:rsid w:val="68C3F806"/>
    <w:rsid w:val="68C9F4E7"/>
    <w:rsid w:val="68E868BB"/>
    <w:rsid w:val="69EA42E2"/>
    <w:rsid w:val="69F54DF4"/>
    <w:rsid w:val="6B7998CB"/>
    <w:rsid w:val="6BD6EA96"/>
    <w:rsid w:val="6C0D6EFC"/>
    <w:rsid w:val="6C0E855F"/>
    <w:rsid w:val="6C9B9BA2"/>
    <w:rsid w:val="6CA0E6AB"/>
    <w:rsid w:val="6D287E93"/>
    <w:rsid w:val="6DFACB4B"/>
    <w:rsid w:val="6E641980"/>
    <w:rsid w:val="6E8AB326"/>
    <w:rsid w:val="6ED4DC1C"/>
    <w:rsid w:val="6EEA13DA"/>
    <w:rsid w:val="6F60F0DA"/>
    <w:rsid w:val="6F6DD5AB"/>
    <w:rsid w:val="6F830D53"/>
    <w:rsid w:val="6FE73022"/>
    <w:rsid w:val="6FF71B8D"/>
    <w:rsid w:val="711C3ADC"/>
    <w:rsid w:val="71616822"/>
    <w:rsid w:val="721A34A7"/>
    <w:rsid w:val="72700101"/>
    <w:rsid w:val="7369FC6F"/>
    <w:rsid w:val="73E5993D"/>
    <w:rsid w:val="746BCF14"/>
    <w:rsid w:val="74756D85"/>
    <w:rsid w:val="74AE872B"/>
    <w:rsid w:val="757657B2"/>
    <w:rsid w:val="758A82DD"/>
    <w:rsid w:val="75BD1922"/>
    <w:rsid w:val="75FCACC1"/>
    <w:rsid w:val="76FD729B"/>
    <w:rsid w:val="77183529"/>
    <w:rsid w:val="77CEA199"/>
    <w:rsid w:val="78CDF1AE"/>
    <w:rsid w:val="7A762898"/>
    <w:rsid w:val="7AD0A00E"/>
    <w:rsid w:val="7B300FD1"/>
    <w:rsid w:val="7B398774"/>
    <w:rsid w:val="7BBA67B0"/>
    <w:rsid w:val="7C556031"/>
    <w:rsid w:val="7CBECE19"/>
    <w:rsid w:val="7D2D3AC3"/>
    <w:rsid w:val="7E2CE4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0DF34F"/>
  <w15:chartTrackingRefBased/>
  <w15:docId w15:val="{F0419B78-5A50-465F-8082-8BAB2E7A83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FootnoteText">
    <w:uiPriority w:val="99"/>
    <w:name w:val="footnote text"/>
    <w:basedOn w:val="Normal"/>
    <w:semiHidden/>
    <w:unhideWhenUsed/>
    <w:rsid w:val="37B65725"/>
    <w:rPr>
      <w:sz w:val="20"/>
      <w:szCs w:val="20"/>
    </w:rPr>
    <w:pPr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w:type="character" w:styleId="Hyperlink">
    <w:uiPriority w:val="99"/>
    <w:name w:val="Hyperlink"/>
    <w:basedOn w:val="DefaultParagraphFont"/>
    <w:unhideWhenUsed/>
    <w:rsid w:val="000ED01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footnotes" Target="/word/footnotes.xml" Id="Rfab757ce9c3849ad" /><Relationship Type="http://schemas.microsoft.com/office/2020/10/relationships/intelligence" Target="/word/intelligence2.xml" Id="R6a4354b400f34190" /><Relationship Type="http://schemas.openxmlformats.org/officeDocument/2006/relationships/hyperlink" Target="https://www.jstor.org/stable/4496969" TargetMode="External" Id="R0cf9e71533d0487e" /><Relationship Type="http://schemas.openxmlformats.org/officeDocument/2006/relationships/hyperlink" Target="https://www.jstor.org/stable/24699931" TargetMode="External" Id="R9e4475e429a5465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Alex MacKay (2204888)</dc:creator>
  <keywords/>
  <dc:description/>
  <lastModifiedBy>Alex MacKay (2204888)</lastModifiedBy>
  <revision>3</revision>
  <dcterms:created xsi:type="dcterms:W3CDTF">2025-02-07T08:28:07.1839852Z</dcterms:created>
  <dcterms:modified xsi:type="dcterms:W3CDTF">2025-02-07T18:29:13.3760431Z</dcterms:modified>
</coreProperties>
</file>