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EC8E5A" w14:textId="77777777" w:rsidR="00B845AC" w:rsidRDefault="00B845AC" w:rsidP="00474D76">
      <w:pPr>
        <w:spacing w:line="360" w:lineRule="auto"/>
      </w:pPr>
    </w:p>
    <w:p w14:paraId="3F09D0E1" w14:textId="311DFD52" w:rsidR="002E2808" w:rsidRPr="00B845AC" w:rsidRDefault="004A7482" w:rsidP="00474D76">
      <w:pPr>
        <w:spacing w:line="360" w:lineRule="auto"/>
        <w:rPr>
          <w:b/>
          <w:bCs/>
        </w:rPr>
      </w:pPr>
      <w:r w:rsidRPr="00B845AC">
        <w:rPr>
          <w:b/>
          <w:bCs/>
        </w:rPr>
        <w:t>What can be understood by the term ‘Islamism’?</w:t>
      </w:r>
    </w:p>
    <w:p w14:paraId="2035C128" w14:textId="02D6F970" w:rsidR="00431289" w:rsidRDefault="00E16F5A" w:rsidP="004810DA">
      <w:pPr>
        <w:spacing w:line="360" w:lineRule="auto"/>
        <w:jc w:val="both"/>
      </w:pPr>
      <w:r>
        <w:t>Islamism is far from a perfect term</w:t>
      </w:r>
      <w:r w:rsidR="0080775E">
        <w:t xml:space="preserve">. It can be taken as a fusion of Islam and </w:t>
      </w:r>
      <w:r w:rsidR="00602EE9">
        <w:t>fundamentalism or nationalism</w:t>
      </w:r>
      <w:r w:rsidR="006553A2">
        <w:t>, but within Muslim politics, it</w:t>
      </w:r>
      <w:r w:rsidR="005151D2">
        <w:t xml:space="preserve"> is often synonymous with negative co</w:t>
      </w:r>
      <w:r w:rsidR="00B74942">
        <w:t xml:space="preserve">nnotations such as </w:t>
      </w:r>
      <w:r w:rsidR="00252A79">
        <w:t xml:space="preserve">being an </w:t>
      </w:r>
      <w:r w:rsidR="00B74942">
        <w:t>extremist</w:t>
      </w:r>
      <w:r w:rsidR="00252A79">
        <w:t xml:space="preserve"> or</w:t>
      </w:r>
      <w:r w:rsidR="00B74942">
        <w:t xml:space="preserve"> radical</w:t>
      </w:r>
      <w:r w:rsidR="00B74942">
        <w:rPr>
          <w:rStyle w:val="FootnoteReference"/>
        </w:rPr>
        <w:footnoteReference w:id="1"/>
      </w:r>
      <w:r w:rsidR="00FC30AD">
        <w:t xml:space="preserve">. </w:t>
      </w:r>
      <w:r w:rsidR="00C7025E">
        <w:t>Khalil al-Anani wrote that despite an abundant amount of literature on Islamist movements, scholarly agreement around classification, terminology and an analytical framework has been harder to locate</w:t>
      </w:r>
      <w:r w:rsidR="00C7025E">
        <w:rPr>
          <w:rStyle w:val="FootnoteReference"/>
        </w:rPr>
        <w:footnoteReference w:id="2"/>
      </w:r>
      <w:r w:rsidR="00C7025E">
        <w:t>. He argued that the media have tended to conflate and decontextualise perceptions of Islamism to such an extent that forged the paths of even scholarly debate</w:t>
      </w:r>
      <w:r w:rsidR="00C7025E">
        <w:rPr>
          <w:rStyle w:val="FootnoteReference"/>
        </w:rPr>
        <w:footnoteReference w:id="3"/>
      </w:r>
      <w:r w:rsidR="00C7025E">
        <w:t>, while terminology for example, that included fundamentalism, radicalism, conservatism, and reformism became synonymous with Islamism</w:t>
      </w:r>
      <w:r w:rsidR="00C7025E">
        <w:rPr>
          <w:rStyle w:val="FootnoteReference"/>
        </w:rPr>
        <w:footnoteReference w:id="4"/>
      </w:r>
      <w:r w:rsidR="00C7025E">
        <w:t xml:space="preserve">. King posited the term Islamism as a Muslim alternative to the negative </w:t>
      </w:r>
      <w:r w:rsidR="002E2808">
        <w:t>meanings</w:t>
      </w:r>
      <w:r w:rsidR="00C7025E">
        <w:t xml:space="preserve"> invoked by the Western term, ‘fundamentalism’</w:t>
      </w:r>
      <w:r w:rsidR="00C7025E">
        <w:rPr>
          <w:rStyle w:val="FootnoteReference"/>
        </w:rPr>
        <w:footnoteReference w:id="5"/>
      </w:r>
      <w:r w:rsidR="00C7025E">
        <w:t>. While some Islamist groups share specific ideology, they may differ in their political discourse, strategy, and tactical application</w:t>
      </w:r>
      <w:r w:rsidR="00C7025E">
        <w:rPr>
          <w:rStyle w:val="FootnoteReference"/>
        </w:rPr>
        <w:footnoteReference w:id="6"/>
      </w:r>
      <w:r w:rsidR="00C7025E">
        <w:t xml:space="preserve">. </w:t>
      </w:r>
      <w:r w:rsidR="00F16355">
        <w:t xml:space="preserve">The emulation of </w:t>
      </w:r>
      <w:r w:rsidR="0043373E">
        <w:t xml:space="preserve">Islam’s historic past, original sources and past leaders is often sought at times of </w:t>
      </w:r>
      <w:r w:rsidR="00A71F36">
        <w:t>turmoil within Islamic society or when Islam appears under threat</w:t>
      </w:r>
      <w:r w:rsidR="00A71F36">
        <w:rPr>
          <w:rStyle w:val="FootnoteReference"/>
        </w:rPr>
        <w:footnoteReference w:id="7"/>
      </w:r>
      <w:r w:rsidR="00CA1C56">
        <w:t>.</w:t>
      </w:r>
      <w:r w:rsidR="00A04B9F">
        <w:t xml:space="preserve"> Cyclic patterns of Islamic resurgence </w:t>
      </w:r>
      <w:r w:rsidR="00AB474B">
        <w:t xml:space="preserve">indicative of </w:t>
      </w:r>
      <w:r w:rsidR="00FB28F2">
        <w:t xml:space="preserve">a </w:t>
      </w:r>
      <w:r w:rsidR="00AB474B">
        <w:t xml:space="preserve">crisis response </w:t>
      </w:r>
      <w:r w:rsidR="00BF256F">
        <w:t>allow</w:t>
      </w:r>
      <w:r w:rsidR="00FB28F2">
        <w:t>ed</w:t>
      </w:r>
      <w:r w:rsidR="00BF256F">
        <w:t xml:space="preserve"> Islam to renew and reassert itself through ‘an inbuilt sociopolitical mechanism’</w:t>
      </w:r>
      <w:r w:rsidR="00BF256F">
        <w:rPr>
          <w:rStyle w:val="FootnoteReference"/>
        </w:rPr>
        <w:footnoteReference w:id="8"/>
      </w:r>
      <w:r w:rsidR="00FB28F2">
        <w:t>.</w:t>
      </w:r>
    </w:p>
    <w:p w14:paraId="02745AC0" w14:textId="6477B6A2" w:rsidR="00DE220E" w:rsidRDefault="00431289" w:rsidP="004810DA">
      <w:pPr>
        <w:spacing w:line="360" w:lineRule="auto"/>
        <w:jc w:val="both"/>
      </w:pPr>
      <w:r>
        <w:t xml:space="preserve">Islamism can be used as a term that represents Islamist politics and a process of </w:t>
      </w:r>
      <w:r w:rsidR="00BC1DD0">
        <w:t>‘Islamisation’ or ‘re-Islamisation’</w:t>
      </w:r>
      <w:r w:rsidR="00BC1DD0">
        <w:rPr>
          <w:rStyle w:val="FootnoteReference"/>
        </w:rPr>
        <w:footnoteReference w:id="9"/>
      </w:r>
      <w:r>
        <w:t>. Islamic politics encompasses activities of movements or organisations that ‘agitate in the public sphere while deploying signs and symbols from Islamic traditions</w:t>
      </w:r>
      <w:r w:rsidR="00BC1DD0">
        <w:t>’</w:t>
      </w:r>
      <w:r w:rsidR="00E673E8">
        <w:rPr>
          <w:rStyle w:val="FootnoteReference"/>
        </w:rPr>
        <w:footnoteReference w:id="10"/>
      </w:r>
      <w:r>
        <w:t>. While Ismail asserted that the ultimate</w:t>
      </w:r>
      <w:r w:rsidR="002758BE">
        <w:t xml:space="preserve"> Islamist</w:t>
      </w:r>
      <w:r>
        <w:t xml:space="preserve"> aim therefore</w:t>
      </w:r>
      <w:r w:rsidR="0015791E">
        <w:t>,</w:t>
      </w:r>
      <w:r>
        <w:t xml:space="preserve"> is to establish an Islamic government and implement Islamic law through the articulation of a narrative that demonstrates such a need</w:t>
      </w:r>
      <w:r>
        <w:rPr>
          <w:rStyle w:val="FootnoteReference"/>
        </w:rPr>
        <w:footnoteReference w:id="11"/>
      </w:r>
      <w:r>
        <w:t xml:space="preserve">, that broad objective may not necessarily be representative of a wider Islamist goal. Yadav </w:t>
      </w:r>
      <w:r w:rsidR="00553749">
        <w:t>contended</w:t>
      </w:r>
      <w:r>
        <w:t xml:space="preserve"> that Islamists encounter </w:t>
      </w:r>
      <w:r>
        <w:lastRenderedPageBreak/>
        <w:t>pluralistic politic</w:t>
      </w:r>
      <w:r w:rsidR="00C523BA">
        <w:t>al</w:t>
      </w:r>
      <w:r>
        <w:t xml:space="preserve"> setting</w:t>
      </w:r>
      <w:r w:rsidR="00C523BA">
        <w:t>s</w:t>
      </w:r>
      <w:r>
        <w:t xml:space="preserve"> which often include cross-national or cross-organisational similarities in terms of their discourse and practice</w:t>
      </w:r>
      <w:r>
        <w:rPr>
          <w:rStyle w:val="FootnoteReference"/>
        </w:rPr>
        <w:footnoteReference w:id="12"/>
      </w:r>
      <w:r>
        <w:t>. Yadav describ</w:t>
      </w:r>
      <w:r w:rsidR="00DC3380">
        <w:t>ed</w:t>
      </w:r>
      <w:r>
        <w:t xml:space="preserve"> Islamists as actors who seek a transformation within the public debate, despite different goals, whether local or of tactics</w:t>
      </w:r>
      <w:r>
        <w:rPr>
          <w:rStyle w:val="FootnoteReference"/>
        </w:rPr>
        <w:footnoteReference w:id="13"/>
      </w:r>
      <w:r>
        <w:t>.</w:t>
      </w:r>
      <w:r w:rsidR="000D31E0">
        <w:t xml:space="preserve"> For Yadav, Islamist actors </w:t>
      </w:r>
      <w:r w:rsidR="0070321B">
        <w:t xml:space="preserve">seek the change to formal rules between society and state and </w:t>
      </w:r>
      <w:r w:rsidR="00E1074A">
        <w:t>discursive change to the informal rules that shape those relationships</w:t>
      </w:r>
      <w:r w:rsidR="00396949">
        <w:rPr>
          <w:rStyle w:val="FootnoteReference"/>
        </w:rPr>
        <w:footnoteReference w:id="14"/>
      </w:r>
      <w:r w:rsidR="00DF1D73">
        <w:t>.</w:t>
      </w:r>
      <w:r w:rsidR="001F2D4A">
        <w:t xml:space="preserve"> </w:t>
      </w:r>
    </w:p>
    <w:p w14:paraId="6F55802C" w14:textId="6280CCB6" w:rsidR="00DA4F68" w:rsidRDefault="00E17290" w:rsidP="004810DA">
      <w:pPr>
        <w:spacing w:line="360" w:lineRule="auto"/>
        <w:jc w:val="both"/>
      </w:pPr>
      <w:r>
        <w:t xml:space="preserve">Eickelman and Piscatori </w:t>
      </w:r>
      <w:r w:rsidR="00B05D90">
        <w:t>claimed that</w:t>
      </w:r>
      <w:r w:rsidR="00412FD3">
        <w:t xml:space="preserve"> persuasion is mostly conducted through speech. </w:t>
      </w:r>
      <w:r w:rsidR="0020151B">
        <w:t xml:space="preserve">The </w:t>
      </w:r>
      <w:r w:rsidR="001248D9">
        <w:t>symbolic and persuasive</w:t>
      </w:r>
      <w:r w:rsidR="0020151B">
        <w:t xml:space="preserve"> dimension </w:t>
      </w:r>
      <w:r w:rsidR="009B7163">
        <w:t>to</w:t>
      </w:r>
      <w:r w:rsidR="0020151B">
        <w:t xml:space="preserve"> politics</w:t>
      </w:r>
      <w:r w:rsidR="001248D9">
        <w:t xml:space="preserve"> </w:t>
      </w:r>
      <w:r w:rsidR="00487EE3">
        <w:t>is almost equal to</w:t>
      </w:r>
      <w:r w:rsidR="009F001B">
        <w:t xml:space="preserve"> the politics of language</w:t>
      </w:r>
      <w:r w:rsidR="009B7163">
        <w:t>. A</w:t>
      </w:r>
      <w:r w:rsidR="009F001B">
        <w:t>rguably</w:t>
      </w:r>
      <w:r w:rsidR="006D0230">
        <w:t>,</w:t>
      </w:r>
      <w:r w:rsidR="00402E81">
        <w:t xml:space="preserve"> the way language is used</w:t>
      </w:r>
      <w:r w:rsidR="00C94861">
        <w:t xml:space="preserve"> is related </w:t>
      </w:r>
      <w:r w:rsidR="006D0230">
        <w:t>to how</w:t>
      </w:r>
      <w:r w:rsidR="00FD6038">
        <w:t xml:space="preserve"> communal identities are constructed, and</w:t>
      </w:r>
      <w:r w:rsidR="00AF0037">
        <w:t xml:space="preserve"> how communities promote and defend aspirations</w:t>
      </w:r>
      <w:r w:rsidR="00AF0037">
        <w:rPr>
          <w:rStyle w:val="FootnoteReference"/>
        </w:rPr>
        <w:footnoteReference w:id="15"/>
      </w:r>
      <w:r w:rsidR="002F7194">
        <w:t xml:space="preserve">. </w:t>
      </w:r>
      <w:r w:rsidR="00C6186E">
        <w:t xml:space="preserve">Muslim rulers have </w:t>
      </w:r>
      <w:r w:rsidR="001A6307">
        <w:t>sought to s</w:t>
      </w:r>
      <w:r w:rsidR="003A0257">
        <w:t>ymbolic</w:t>
      </w:r>
      <w:r w:rsidR="001A6307">
        <w:t>ally</w:t>
      </w:r>
      <w:r w:rsidR="003A0257">
        <w:t xml:space="preserve"> legitimis</w:t>
      </w:r>
      <w:r w:rsidR="001A6307">
        <w:t>e their political</w:t>
      </w:r>
      <w:r w:rsidR="00DA4F68">
        <w:t xml:space="preserve"> existence</w:t>
      </w:r>
      <w:r w:rsidR="00DB14C0">
        <w:t xml:space="preserve"> for example,</w:t>
      </w:r>
      <w:r w:rsidR="003C41DF">
        <w:t xml:space="preserve"> </w:t>
      </w:r>
      <w:r w:rsidR="00D706BD">
        <w:t>Egypt’s Sadat</w:t>
      </w:r>
      <w:r w:rsidR="00DB14C0">
        <w:t xml:space="preserve"> naming himself as ‘President Believer’ </w:t>
      </w:r>
      <w:r w:rsidR="00D706BD">
        <w:t xml:space="preserve">and </w:t>
      </w:r>
      <w:r w:rsidR="00677DC9">
        <w:t xml:space="preserve">Morocco’s Hassan II </w:t>
      </w:r>
      <w:r w:rsidR="007C39A3">
        <w:t xml:space="preserve">as </w:t>
      </w:r>
      <w:r w:rsidR="0010585D">
        <w:t>‘</w:t>
      </w:r>
      <w:r w:rsidR="007C39A3">
        <w:t>commander of the faithful</w:t>
      </w:r>
      <w:r w:rsidR="0010585D">
        <w:t>’</w:t>
      </w:r>
      <w:r w:rsidR="007C39A3">
        <w:t xml:space="preserve">. Associating </w:t>
      </w:r>
      <w:r w:rsidR="007A5054">
        <w:t xml:space="preserve">an </w:t>
      </w:r>
      <w:r w:rsidR="007C39A3">
        <w:t xml:space="preserve">Islamically negative </w:t>
      </w:r>
      <w:r w:rsidR="00EF16EE">
        <w:t xml:space="preserve">term with adversarial entities can </w:t>
      </w:r>
      <w:r w:rsidR="0083112C">
        <w:t xml:space="preserve">produce </w:t>
      </w:r>
      <w:r w:rsidR="00EF16EE">
        <w:t xml:space="preserve">a </w:t>
      </w:r>
      <w:r w:rsidR="007A5054">
        <w:t>purposeful</w:t>
      </w:r>
      <w:r w:rsidR="0083112C">
        <w:t>ly,</w:t>
      </w:r>
      <w:r w:rsidR="007A5054">
        <w:t xml:space="preserve"> political resonance</w:t>
      </w:r>
      <w:r w:rsidR="00F06FA2">
        <w:t>, for exampl</w:t>
      </w:r>
      <w:r w:rsidR="009A4726">
        <w:t xml:space="preserve">e assigning terms </w:t>
      </w:r>
      <w:r w:rsidR="009A4726" w:rsidRPr="003C3A4E">
        <w:rPr>
          <w:i/>
          <w:iCs/>
        </w:rPr>
        <w:t>kafir</w:t>
      </w:r>
      <w:r w:rsidR="009A4726">
        <w:t xml:space="preserve"> or </w:t>
      </w:r>
      <w:r w:rsidR="009A4726" w:rsidRPr="003C3A4E">
        <w:rPr>
          <w:i/>
          <w:iCs/>
        </w:rPr>
        <w:t>jahil</w:t>
      </w:r>
      <w:r w:rsidR="00A77FC2">
        <w:rPr>
          <w:rStyle w:val="FootnoteReference"/>
        </w:rPr>
        <w:footnoteReference w:id="16"/>
      </w:r>
      <w:r w:rsidR="003C3A4E">
        <w:t>.</w:t>
      </w:r>
      <w:r w:rsidR="00B669BD">
        <w:t xml:space="preserve"> </w:t>
      </w:r>
      <w:r w:rsidR="0054023C">
        <w:t xml:space="preserve">Islamist movements then, </w:t>
      </w:r>
      <w:r w:rsidR="009B2083">
        <w:t>often cultivate and use</w:t>
      </w:r>
      <w:r w:rsidR="003B669B">
        <w:t xml:space="preserve"> ‘cultural and symbolic capital to construct their own collective identity</w:t>
      </w:r>
      <w:r w:rsidR="00FC3717">
        <w:t>’ and in addition to</w:t>
      </w:r>
      <w:r w:rsidR="00572B1A">
        <w:t xml:space="preserve"> challenge rival groups</w:t>
      </w:r>
      <w:r w:rsidR="00C34704">
        <w:t xml:space="preserve"> and </w:t>
      </w:r>
      <w:r w:rsidR="00572B1A">
        <w:t>the</w:t>
      </w:r>
      <w:r w:rsidR="0010585D">
        <w:t xml:space="preserve"> often </w:t>
      </w:r>
      <w:r w:rsidR="00572B1A">
        <w:t>state</w:t>
      </w:r>
      <w:r w:rsidR="00C34704">
        <w:t>’s</w:t>
      </w:r>
      <w:r w:rsidR="00572B1A">
        <w:t xml:space="preserve"> claims</w:t>
      </w:r>
      <w:r w:rsidR="00C34704">
        <w:rPr>
          <w:rStyle w:val="FootnoteReference"/>
        </w:rPr>
        <w:footnoteReference w:id="17"/>
      </w:r>
      <w:r w:rsidR="00222EF6">
        <w:t>.</w:t>
      </w:r>
    </w:p>
    <w:p w14:paraId="4383B007" w14:textId="04285744" w:rsidR="00222EF6" w:rsidRDefault="00F32240" w:rsidP="004810DA">
      <w:pPr>
        <w:spacing w:line="360" w:lineRule="auto"/>
        <w:jc w:val="both"/>
      </w:pPr>
      <w:r>
        <w:t>Many of the</w:t>
      </w:r>
      <w:r w:rsidR="00E56749">
        <w:t xml:space="preserve"> explanations of Islamism ‘posit Islam as the determining factor’</w:t>
      </w:r>
      <w:r w:rsidR="00AE10FB">
        <w:t xml:space="preserve"> that must include essential beliefs or ideas that </w:t>
      </w:r>
      <w:r w:rsidR="00614D7C">
        <w:t xml:space="preserve">have </w:t>
      </w:r>
      <w:r w:rsidR="00AE10FB">
        <w:t>remai</w:t>
      </w:r>
      <w:r w:rsidR="00614D7C">
        <w:t>ned unchanged and necessary to motivate believers to act</w:t>
      </w:r>
      <w:r w:rsidR="00C551AA">
        <w:rPr>
          <w:rStyle w:val="FootnoteReference"/>
        </w:rPr>
        <w:footnoteReference w:id="18"/>
      </w:r>
      <w:r w:rsidR="00C551AA">
        <w:t>.</w:t>
      </w:r>
      <w:r w:rsidR="00C6452B">
        <w:t xml:space="preserve"> This placing of Islam within an </w:t>
      </w:r>
      <w:r w:rsidR="00B26D7A">
        <w:t xml:space="preserve">early conceptualised framework however, </w:t>
      </w:r>
      <w:r w:rsidR="00D56C89">
        <w:t xml:space="preserve">fails to account for why religion takes </w:t>
      </w:r>
      <w:r w:rsidR="00141750">
        <w:t>precedence over for example, ind</w:t>
      </w:r>
      <w:r w:rsidR="0029123C">
        <w:t>ividu</w:t>
      </w:r>
      <w:r w:rsidR="00141750">
        <w:t xml:space="preserve">al identity, </w:t>
      </w:r>
      <w:r w:rsidR="004D0929">
        <w:t xml:space="preserve">class, national </w:t>
      </w:r>
      <w:r w:rsidR="0029123C">
        <w:t>alliance,</w:t>
      </w:r>
      <w:r w:rsidR="004D0929">
        <w:t xml:space="preserve"> o</w:t>
      </w:r>
      <w:r w:rsidR="0029123C">
        <w:t>r</w:t>
      </w:r>
      <w:r w:rsidR="004D0929">
        <w:t xml:space="preserve"> gender</w:t>
      </w:r>
      <w:r w:rsidR="004D0929">
        <w:rPr>
          <w:rStyle w:val="FootnoteReference"/>
        </w:rPr>
        <w:footnoteReference w:id="19"/>
      </w:r>
      <w:r w:rsidR="004D0929">
        <w:t>.</w:t>
      </w:r>
      <w:r w:rsidR="005F5FD5">
        <w:t xml:space="preserve"> </w:t>
      </w:r>
      <w:r w:rsidR="00F0030C">
        <w:t xml:space="preserve">Yadav argued that for some, the </w:t>
      </w:r>
      <w:r w:rsidR="000E4EDD">
        <w:t xml:space="preserve">idea of </w:t>
      </w:r>
      <w:r w:rsidR="00EF36FE">
        <w:t>‘</w:t>
      </w:r>
      <w:r w:rsidR="000E4EDD">
        <w:t xml:space="preserve">operating </w:t>
      </w:r>
      <w:r w:rsidR="00EF36FE">
        <w:t xml:space="preserve">from </w:t>
      </w:r>
      <w:r w:rsidR="000E4EDD">
        <w:t xml:space="preserve">within </w:t>
      </w:r>
      <w:r w:rsidR="00EF36FE">
        <w:t>the ethos of Islam</w:t>
      </w:r>
      <w:r w:rsidR="008056C8">
        <w:t xml:space="preserve"> is so central to contemporary Islamist movements’</w:t>
      </w:r>
      <w:r w:rsidR="000365E8">
        <w:rPr>
          <w:rStyle w:val="FootnoteReference"/>
        </w:rPr>
        <w:footnoteReference w:id="20"/>
      </w:r>
      <w:r w:rsidR="008E1F03">
        <w:t>.</w:t>
      </w:r>
      <w:r w:rsidR="00207328">
        <w:t xml:space="preserve"> </w:t>
      </w:r>
      <w:r w:rsidR="001047BC">
        <w:t xml:space="preserve">From a </w:t>
      </w:r>
      <w:r w:rsidR="004447C9">
        <w:t>perspective of Islamisation of the public sphere, a</w:t>
      </w:r>
      <w:r w:rsidR="00207328">
        <w:t xml:space="preserve"> return to the Compani</w:t>
      </w:r>
      <w:r w:rsidR="004447C9">
        <w:t>o</w:t>
      </w:r>
      <w:r w:rsidR="00207328">
        <w:t>ns</w:t>
      </w:r>
      <w:r w:rsidR="00E20B6A">
        <w:t>’</w:t>
      </w:r>
      <w:r w:rsidR="00207328">
        <w:t xml:space="preserve"> modes of reasoning</w:t>
      </w:r>
      <w:r w:rsidR="008E1F03">
        <w:t xml:space="preserve"> </w:t>
      </w:r>
      <w:r w:rsidR="00C06179">
        <w:t>is more important than a return to the lifestyle of 7</w:t>
      </w:r>
      <w:r w:rsidR="00C06179" w:rsidRPr="00C06179">
        <w:rPr>
          <w:vertAlign w:val="superscript"/>
        </w:rPr>
        <w:t>th</w:t>
      </w:r>
      <w:r w:rsidR="00C06179">
        <w:t xml:space="preserve"> century Arabia</w:t>
      </w:r>
      <w:r w:rsidR="00C20CEC">
        <w:t xml:space="preserve">. While these creative images are politically symbolic within Islam, </w:t>
      </w:r>
      <w:r w:rsidR="00314987">
        <w:t xml:space="preserve">solutions in the contemporary world </w:t>
      </w:r>
      <w:r w:rsidR="00AF6653">
        <w:t>must be found within the ethos of Islam</w:t>
      </w:r>
      <w:r w:rsidR="000365E8">
        <w:rPr>
          <w:rStyle w:val="FootnoteReference"/>
        </w:rPr>
        <w:footnoteReference w:id="21"/>
      </w:r>
      <w:r w:rsidR="00AF6653">
        <w:t>.</w:t>
      </w:r>
    </w:p>
    <w:p w14:paraId="528E9026" w14:textId="3CE19379" w:rsidR="00490E11" w:rsidRDefault="00490E11" w:rsidP="004810DA">
      <w:pPr>
        <w:spacing w:line="360" w:lineRule="auto"/>
        <w:jc w:val="both"/>
      </w:pPr>
    </w:p>
    <w:p w14:paraId="34E367D1" w14:textId="1312951F" w:rsidR="001A5F0D" w:rsidRDefault="001A5F0D" w:rsidP="004810DA">
      <w:pPr>
        <w:spacing w:line="360" w:lineRule="auto"/>
        <w:jc w:val="both"/>
      </w:pPr>
    </w:p>
    <w:p w14:paraId="4AEF71B8" w14:textId="307865DA" w:rsidR="001A5F0D" w:rsidRDefault="001A5F0D" w:rsidP="004810DA">
      <w:pPr>
        <w:spacing w:line="360" w:lineRule="auto"/>
        <w:jc w:val="both"/>
      </w:pPr>
      <w:r>
        <w:lastRenderedPageBreak/>
        <w:t>References</w:t>
      </w:r>
    </w:p>
    <w:p w14:paraId="15E82627" w14:textId="060C645D" w:rsidR="001A5F0D" w:rsidRDefault="001A5F0D" w:rsidP="004810DA">
      <w:pPr>
        <w:spacing w:line="360" w:lineRule="auto"/>
        <w:jc w:val="both"/>
      </w:pPr>
    </w:p>
    <w:p w14:paraId="6825E6CA" w14:textId="000305A3" w:rsidR="001A5F0D" w:rsidRPr="00283757" w:rsidRDefault="001A5F0D" w:rsidP="00283757">
      <w:pPr>
        <w:pStyle w:val="FootnoteText"/>
        <w:spacing w:line="360" w:lineRule="auto"/>
        <w:rPr>
          <w:rFonts w:cstheme="minorHAnsi"/>
          <w:sz w:val="22"/>
          <w:szCs w:val="22"/>
          <w:shd w:val="clear" w:color="auto" w:fill="FFFFFF"/>
        </w:rPr>
      </w:pPr>
      <w:r w:rsidRPr="00283757">
        <w:rPr>
          <w:rFonts w:cstheme="minorHAnsi"/>
          <w:sz w:val="22"/>
          <w:szCs w:val="22"/>
          <w:shd w:val="clear" w:color="auto" w:fill="FFFFFF"/>
        </w:rPr>
        <w:t>Al-Anani, K., </w:t>
      </w:r>
      <w:r w:rsidRPr="00283757">
        <w:rPr>
          <w:rFonts w:cstheme="minorHAnsi"/>
          <w:i/>
          <w:iCs/>
          <w:sz w:val="22"/>
          <w:szCs w:val="22"/>
          <w:shd w:val="clear" w:color="auto" w:fill="FFFFFF"/>
        </w:rPr>
        <w:t xml:space="preserve">Inside the Muslim </w:t>
      </w:r>
      <w:proofErr w:type="gramStart"/>
      <w:r w:rsidRPr="00283757">
        <w:rPr>
          <w:rFonts w:cstheme="minorHAnsi"/>
          <w:i/>
          <w:iCs/>
          <w:sz w:val="22"/>
          <w:szCs w:val="22"/>
          <w:shd w:val="clear" w:color="auto" w:fill="FFFFFF"/>
        </w:rPr>
        <w:t>Brotherhood :</w:t>
      </w:r>
      <w:proofErr w:type="gramEnd"/>
      <w:r w:rsidRPr="00283757">
        <w:rPr>
          <w:rFonts w:cstheme="minorHAnsi"/>
          <w:i/>
          <w:iCs/>
          <w:sz w:val="22"/>
          <w:szCs w:val="22"/>
          <w:shd w:val="clear" w:color="auto" w:fill="FFFFFF"/>
        </w:rPr>
        <w:t xml:space="preserve"> Religion, Identity, and Politics</w:t>
      </w:r>
      <w:r w:rsidRPr="00283757">
        <w:rPr>
          <w:rFonts w:cstheme="minorHAnsi"/>
          <w:sz w:val="22"/>
          <w:szCs w:val="22"/>
          <w:shd w:val="clear" w:color="auto" w:fill="FFFFFF"/>
        </w:rPr>
        <w:t xml:space="preserve">. Religion and Global Politics. 2016, </w:t>
      </w:r>
      <w:r w:rsidRPr="00283757">
        <w:rPr>
          <w:rFonts w:cstheme="minorHAnsi"/>
          <w:sz w:val="22"/>
          <w:szCs w:val="22"/>
        </w:rPr>
        <w:t xml:space="preserve">p.14, </w:t>
      </w:r>
      <w:r w:rsidR="00570B63" w:rsidRPr="00283757">
        <w:rPr>
          <w:rFonts w:cstheme="minorHAnsi"/>
          <w:sz w:val="22"/>
          <w:szCs w:val="22"/>
        </w:rPr>
        <w:t>[</w:t>
      </w:r>
      <w:r w:rsidRPr="00283757">
        <w:rPr>
          <w:rFonts w:cstheme="minorHAnsi"/>
          <w:sz w:val="22"/>
          <w:szCs w:val="22"/>
        </w:rPr>
        <w:t>last accessed</w:t>
      </w:r>
      <w:r w:rsidR="00627270" w:rsidRPr="00283757">
        <w:rPr>
          <w:rFonts w:cstheme="minorHAnsi"/>
          <w:sz w:val="22"/>
          <w:szCs w:val="22"/>
        </w:rPr>
        <w:t xml:space="preserve"> 18</w:t>
      </w:r>
      <w:r w:rsidR="00627270" w:rsidRPr="00283757">
        <w:rPr>
          <w:rFonts w:cstheme="minorHAnsi"/>
          <w:sz w:val="22"/>
          <w:szCs w:val="22"/>
          <w:vertAlign w:val="superscript"/>
        </w:rPr>
        <w:t>th</w:t>
      </w:r>
      <w:r w:rsidR="00627270" w:rsidRPr="00283757">
        <w:rPr>
          <w:rFonts w:cstheme="minorHAnsi"/>
          <w:sz w:val="22"/>
          <w:szCs w:val="22"/>
        </w:rPr>
        <w:t xml:space="preserve"> September 2020</w:t>
      </w:r>
      <w:r w:rsidR="00570B63" w:rsidRPr="00283757">
        <w:rPr>
          <w:rFonts w:cstheme="minorHAnsi"/>
          <w:sz w:val="22"/>
          <w:szCs w:val="22"/>
        </w:rPr>
        <w:t>]</w:t>
      </w:r>
      <w:r w:rsidR="00627270" w:rsidRPr="00283757">
        <w:rPr>
          <w:rFonts w:cstheme="minorHAnsi"/>
          <w:sz w:val="22"/>
          <w:szCs w:val="22"/>
        </w:rPr>
        <w:t>,</w:t>
      </w:r>
      <w:r w:rsidR="00283757" w:rsidRPr="00283757">
        <w:rPr>
          <w:rFonts w:cstheme="minorHAnsi"/>
          <w:sz w:val="22"/>
          <w:szCs w:val="22"/>
        </w:rPr>
        <w:t xml:space="preserve"> </w:t>
      </w:r>
      <w:r w:rsidR="00283757" w:rsidRPr="00283757">
        <w:rPr>
          <w:rFonts w:cstheme="minorHAnsi"/>
          <w:sz w:val="22"/>
          <w:szCs w:val="22"/>
          <w:shd w:val="clear" w:color="auto" w:fill="FFFFFF"/>
        </w:rPr>
        <w:t>available at</w:t>
      </w:r>
      <w:r w:rsidR="00627270" w:rsidRPr="00283757">
        <w:rPr>
          <w:rFonts w:cstheme="minorHAnsi"/>
          <w:sz w:val="22"/>
          <w:szCs w:val="22"/>
        </w:rPr>
        <w:t xml:space="preserve"> </w:t>
      </w:r>
      <w:r w:rsidRPr="00283757">
        <w:rPr>
          <w:rFonts w:cstheme="minorHAnsi"/>
          <w:sz w:val="22"/>
          <w:szCs w:val="22"/>
        </w:rPr>
        <w:t xml:space="preserve"> </w:t>
      </w:r>
      <w:hyperlink r:id="rId8" w:history="1">
        <w:r w:rsidRPr="00283757">
          <w:rPr>
            <w:rStyle w:val="Hyperlink"/>
            <w:rFonts w:cstheme="minorHAnsi"/>
            <w:color w:val="auto"/>
            <w:sz w:val="22"/>
            <w:szCs w:val="22"/>
            <w:shd w:val="clear" w:color="auto" w:fill="FFFFFF"/>
          </w:rPr>
          <w:t>https://whel-primo.hosted.exlibrisgroup.com/permalink/f/6s7mjt/44UWTSD_ALMA51178441040002421</w:t>
        </w:r>
      </w:hyperlink>
    </w:p>
    <w:p w14:paraId="7D931682" w14:textId="77777777" w:rsidR="003636B8" w:rsidRPr="00283757" w:rsidRDefault="003636B8" w:rsidP="00283757">
      <w:pPr>
        <w:pStyle w:val="FootnoteText"/>
        <w:spacing w:line="360" w:lineRule="auto"/>
        <w:rPr>
          <w:rFonts w:cstheme="minorHAnsi"/>
          <w:sz w:val="22"/>
          <w:szCs w:val="22"/>
        </w:rPr>
      </w:pPr>
    </w:p>
    <w:p w14:paraId="1EE47B20" w14:textId="72A4C2C6" w:rsidR="001A5F0D" w:rsidRPr="00283757" w:rsidRDefault="001A5F0D" w:rsidP="00283757">
      <w:pPr>
        <w:pStyle w:val="FootnoteText"/>
        <w:spacing w:line="360" w:lineRule="auto"/>
        <w:rPr>
          <w:rFonts w:cstheme="minorHAnsi"/>
          <w:sz w:val="22"/>
          <w:szCs w:val="22"/>
        </w:rPr>
      </w:pPr>
      <w:r w:rsidRPr="00283757">
        <w:rPr>
          <w:rFonts w:cstheme="minorHAnsi"/>
          <w:sz w:val="22"/>
          <w:szCs w:val="22"/>
        </w:rPr>
        <w:t xml:space="preserve">Bunt, G., ‘Fundamentalism’, ‘Revolution’ and Muslim Politics, undated, p. 2-3, </w:t>
      </w:r>
      <w:r w:rsidR="003636B8" w:rsidRPr="00283757">
        <w:rPr>
          <w:rFonts w:cstheme="minorHAnsi"/>
          <w:sz w:val="22"/>
          <w:szCs w:val="22"/>
        </w:rPr>
        <w:t>[</w:t>
      </w:r>
      <w:r w:rsidR="00627270" w:rsidRPr="00283757">
        <w:rPr>
          <w:rFonts w:cstheme="minorHAnsi"/>
          <w:sz w:val="22"/>
          <w:szCs w:val="22"/>
        </w:rPr>
        <w:t>last accessed 20</w:t>
      </w:r>
      <w:r w:rsidR="00627270" w:rsidRPr="00283757">
        <w:rPr>
          <w:rFonts w:cstheme="minorHAnsi"/>
          <w:sz w:val="22"/>
          <w:szCs w:val="22"/>
          <w:vertAlign w:val="superscript"/>
        </w:rPr>
        <w:t>th</w:t>
      </w:r>
      <w:r w:rsidR="00627270" w:rsidRPr="00283757">
        <w:rPr>
          <w:rFonts w:cstheme="minorHAnsi"/>
          <w:sz w:val="22"/>
          <w:szCs w:val="22"/>
        </w:rPr>
        <w:t xml:space="preserve"> September 2020</w:t>
      </w:r>
      <w:r w:rsidR="003636B8" w:rsidRPr="00283757">
        <w:rPr>
          <w:rFonts w:cstheme="minorHAnsi"/>
          <w:sz w:val="22"/>
          <w:szCs w:val="22"/>
        </w:rPr>
        <w:t>]</w:t>
      </w:r>
      <w:r w:rsidR="00627270" w:rsidRPr="00283757">
        <w:rPr>
          <w:rFonts w:cstheme="minorHAnsi"/>
          <w:sz w:val="22"/>
          <w:szCs w:val="22"/>
        </w:rPr>
        <w:t>,</w:t>
      </w:r>
      <w:r w:rsidR="00283757" w:rsidRPr="00283757">
        <w:rPr>
          <w:rFonts w:cstheme="minorHAnsi"/>
          <w:sz w:val="22"/>
          <w:szCs w:val="22"/>
        </w:rPr>
        <w:t xml:space="preserve"> </w:t>
      </w:r>
      <w:r w:rsidR="00283757" w:rsidRPr="00283757">
        <w:rPr>
          <w:rFonts w:cstheme="minorHAnsi"/>
          <w:sz w:val="22"/>
          <w:szCs w:val="22"/>
          <w:shd w:val="clear" w:color="auto" w:fill="FFFFFF"/>
        </w:rPr>
        <w:t>available at</w:t>
      </w:r>
      <w:r w:rsidR="00627270" w:rsidRPr="00283757">
        <w:rPr>
          <w:rFonts w:cstheme="minorHAnsi"/>
          <w:sz w:val="22"/>
          <w:szCs w:val="22"/>
        </w:rPr>
        <w:t xml:space="preserve"> </w:t>
      </w:r>
      <w:hyperlink r:id="rId9" w:history="1">
        <w:r w:rsidRPr="00283757">
          <w:rPr>
            <w:rStyle w:val="Hyperlink"/>
            <w:rFonts w:cstheme="minorHAnsi"/>
            <w:color w:val="auto"/>
            <w:sz w:val="22"/>
            <w:szCs w:val="22"/>
          </w:rPr>
          <w:t>https://moodle.uwtsd.ac.uk/course/view.php?id=3085</w:t>
        </w:r>
      </w:hyperlink>
      <w:r w:rsidRPr="00283757">
        <w:rPr>
          <w:rFonts w:cstheme="minorHAnsi"/>
          <w:sz w:val="22"/>
          <w:szCs w:val="22"/>
        </w:rPr>
        <w:t xml:space="preserve"> </w:t>
      </w:r>
    </w:p>
    <w:p w14:paraId="30D258E5" w14:textId="77777777" w:rsidR="003636B8" w:rsidRPr="00283757" w:rsidRDefault="003636B8" w:rsidP="00283757">
      <w:pPr>
        <w:pStyle w:val="FootnoteText"/>
        <w:spacing w:line="360" w:lineRule="auto"/>
        <w:rPr>
          <w:rFonts w:cstheme="minorHAnsi"/>
          <w:sz w:val="22"/>
          <w:szCs w:val="22"/>
        </w:rPr>
      </w:pPr>
    </w:p>
    <w:p w14:paraId="426A8C12" w14:textId="05F04857" w:rsidR="007B19FA" w:rsidRPr="00283757" w:rsidRDefault="007B19FA" w:rsidP="00283757">
      <w:pPr>
        <w:pStyle w:val="FootnoteText"/>
        <w:spacing w:line="360" w:lineRule="auto"/>
        <w:rPr>
          <w:rFonts w:cstheme="minorHAnsi"/>
          <w:sz w:val="22"/>
          <w:szCs w:val="22"/>
        </w:rPr>
      </w:pPr>
      <w:r w:rsidRPr="00283757">
        <w:rPr>
          <w:rFonts w:cstheme="minorHAnsi"/>
          <w:sz w:val="22"/>
          <w:szCs w:val="22"/>
        </w:rPr>
        <w:t>Eickelman, D.F., and Piscatori, J., ‘Muslim Politics’, Princeton University Press, England, 1996</w:t>
      </w:r>
      <w:r w:rsidR="003636B8" w:rsidRPr="00283757">
        <w:rPr>
          <w:rFonts w:cstheme="minorHAnsi"/>
          <w:sz w:val="22"/>
          <w:szCs w:val="22"/>
        </w:rPr>
        <w:t>.</w:t>
      </w:r>
    </w:p>
    <w:p w14:paraId="48192BBD" w14:textId="77777777" w:rsidR="003636B8" w:rsidRPr="00283757" w:rsidRDefault="003636B8" w:rsidP="00283757">
      <w:pPr>
        <w:pStyle w:val="FootnoteText"/>
        <w:spacing w:line="360" w:lineRule="auto"/>
        <w:rPr>
          <w:rFonts w:cstheme="minorHAnsi"/>
          <w:sz w:val="22"/>
          <w:szCs w:val="22"/>
        </w:rPr>
      </w:pPr>
    </w:p>
    <w:p w14:paraId="3B9DCDCF" w14:textId="77777777" w:rsidR="00570B63" w:rsidRPr="00283757" w:rsidRDefault="001A5F0D" w:rsidP="00283757">
      <w:pPr>
        <w:spacing w:line="360" w:lineRule="auto"/>
        <w:jc w:val="both"/>
        <w:rPr>
          <w:rFonts w:cstheme="minorHAnsi"/>
        </w:rPr>
      </w:pPr>
      <w:r w:rsidRPr="00283757">
        <w:rPr>
          <w:rFonts w:cstheme="minorHAnsi"/>
        </w:rPr>
        <w:t>Hrair Dekmejian, R., ‘Islam in Revolution’; Fundamentalism in the Arab World, 2</w:t>
      </w:r>
      <w:r w:rsidRPr="00283757">
        <w:rPr>
          <w:rFonts w:cstheme="minorHAnsi"/>
          <w:vertAlign w:val="superscript"/>
        </w:rPr>
        <w:t>nd</w:t>
      </w:r>
      <w:r w:rsidRPr="00283757">
        <w:rPr>
          <w:rFonts w:cstheme="minorHAnsi"/>
        </w:rPr>
        <w:t xml:space="preserve"> ed., Syracuse University Press, New York, 1995</w:t>
      </w:r>
    </w:p>
    <w:p w14:paraId="1F82FC6E" w14:textId="4B54C51C" w:rsidR="00627270" w:rsidRPr="00283757" w:rsidRDefault="00F22D12" w:rsidP="00283757">
      <w:pPr>
        <w:spacing w:line="360" w:lineRule="auto"/>
        <w:jc w:val="both"/>
        <w:rPr>
          <w:rFonts w:cstheme="minorHAnsi"/>
        </w:rPr>
      </w:pPr>
      <w:r w:rsidRPr="00283757">
        <w:rPr>
          <w:rFonts w:cstheme="minorHAnsi"/>
          <w:shd w:val="clear" w:color="auto" w:fill="FFFFFF"/>
        </w:rPr>
        <w:t>Ismail, S., "POLITICS OF IDENTITY - VI: Being Muslim: Islam, Islamism and Identity Politics." </w:t>
      </w:r>
      <w:r w:rsidRPr="00283757">
        <w:rPr>
          <w:rFonts w:cstheme="minorHAnsi"/>
          <w:i/>
          <w:iCs/>
          <w:shd w:val="clear" w:color="auto" w:fill="FFFFFF"/>
        </w:rPr>
        <w:t>Government and Opposition (London)</w:t>
      </w:r>
      <w:r w:rsidRPr="00283757">
        <w:rPr>
          <w:rFonts w:cstheme="minorHAnsi"/>
          <w:shd w:val="clear" w:color="auto" w:fill="FFFFFF"/>
        </w:rPr>
        <w:t> 39, no. 4 (2004): 614-31</w:t>
      </w:r>
      <w:r w:rsidR="00283757" w:rsidRPr="00283757">
        <w:rPr>
          <w:rFonts w:cstheme="minorHAnsi"/>
          <w:shd w:val="clear" w:color="auto" w:fill="FFFFFF"/>
        </w:rPr>
        <w:t xml:space="preserve">, </w:t>
      </w:r>
      <w:r w:rsidR="00283757" w:rsidRPr="00283757">
        <w:rPr>
          <w:rFonts w:cstheme="minorHAnsi"/>
          <w:shd w:val="clear" w:color="auto" w:fill="FFFFFF"/>
        </w:rPr>
        <w:t>available at</w:t>
      </w:r>
      <w:r w:rsidRPr="00283757">
        <w:rPr>
          <w:rFonts w:cstheme="minorHAnsi"/>
          <w:shd w:val="clear" w:color="auto" w:fill="FFFFFF"/>
        </w:rPr>
        <w:t xml:space="preserve"> </w:t>
      </w:r>
      <w:r w:rsidR="00570B63" w:rsidRPr="00283757">
        <w:rPr>
          <w:rFonts w:cstheme="minorHAnsi"/>
          <w:shd w:val="clear" w:color="auto" w:fill="FFFFFF"/>
        </w:rPr>
        <w:t>[</w:t>
      </w:r>
      <w:r w:rsidRPr="00283757">
        <w:rPr>
          <w:rFonts w:cstheme="minorHAnsi"/>
          <w:shd w:val="clear" w:color="auto" w:fill="FFFFFF"/>
        </w:rPr>
        <w:t>last accessed 18 Sept. 2020</w:t>
      </w:r>
      <w:r w:rsidR="00570B63" w:rsidRPr="00283757">
        <w:rPr>
          <w:rFonts w:cstheme="minorHAnsi"/>
          <w:shd w:val="clear" w:color="auto" w:fill="FFFFFF"/>
        </w:rPr>
        <w:t>]</w:t>
      </w:r>
      <w:r w:rsidR="003636B8" w:rsidRPr="00283757">
        <w:rPr>
          <w:rFonts w:cstheme="minorHAnsi"/>
          <w:shd w:val="clear" w:color="auto" w:fill="FFFFFF"/>
        </w:rPr>
        <w:t xml:space="preserve">, </w:t>
      </w:r>
      <w:r w:rsidRPr="00283757">
        <w:rPr>
          <w:rFonts w:cstheme="minorHAnsi"/>
        </w:rPr>
        <w:t xml:space="preserve"> </w:t>
      </w:r>
      <w:hyperlink r:id="rId10" w:history="1">
        <w:r w:rsidRPr="00283757">
          <w:rPr>
            <w:rStyle w:val="Hyperlink"/>
            <w:rFonts w:cstheme="minorHAnsi"/>
            <w:color w:val="auto"/>
          </w:rPr>
          <w:t>https://whel-primo.hosted.exlibrisgroup.com/permalink/f/6s7mjt/TN_cdi_jstor_primary_44483091</w:t>
        </w:r>
      </w:hyperlink>
    </w:p>
    <w:p w14:paraId="43303FD9" w14:textId="6E0D657E" w:rsidR="00627270" w:rsidRPr="00283757" w:rsidRDefault="001A5F0D" w:rsidP="00283757">
      <w:pPr>
        <w:spacing w:line="360" w:lineRule="auto"/>
        <w:jc w:val="both"/>
        <w:rPr>
          <w:rFonts w:cstheme="minorHAnsi"/>
        </w:rPr>
      </w:pPr>
      <w:r w:rsidRPr="00283757">
        <w:rPr>
          <w:rFonts w:cstheme="minorHAnsi"/>
        </w:rPr>
        <w:t>King, R., ‘Orientalism and the study of religions’, The Routledge Companion to The Study of Religion, 2</w:t>
      </w:r>
      <w:r w:rsidRPr="00283757">
        <w:rPr>
          <w:rFonts w:cstheme="minorHAnsi"/>
          <w:vertAlign w:val="superscript"/>
        </w:rPr>
        <w:t>nd</w:t>
      </w:r>
      <w:r w:rsidRPr="00283757">
        <w:rPr>
          <w:rFonts w:cstheme="minorHAnsi"/>
        </w:rPr>
        <w:t xml:space="preserve"> edition, Hinnells, J., Routledge, England, repr., 2010</w:t>
      </w:r>
      <w:r w:rsidR="00283757" w:rsidRPr="00283757">
        <w:rPr>
          <w:rFonts w:cstheme="minorHAnsi"/>
        </w:rPr>
        <w:t>.</w:t>
      </w:r>
    </w:p>
    <w:p w14:paraId="0C819CC4" w14:textId="084FCDC2" w:rsidR="007B19FA" w:rsidRPr="00283757" w:rsidRDefault="007B19FA" w:rsidP="00283757">
      <w:pPr>
        <w:spacing w:line="360" w:lineRule="auto"/>
        <w:jc w:val="both"/>
        <w:rPr>
          <w:rFonts w:cstheme="minorHAnsi"/>
        </w:rPr>
      </w:pPr>
      <w:r w:rsidRPr="00283757">
        <w:rPr>
          <w:rFonts w:cstheme="minorHAnsi"/>
          <w:shd w:val="clear" w:color="auto" w:fill="FFFFFF"/>
        </w:rPr>
        <w:t>Yadav, S. P., “</w:t>
      </w:r>
      <w:r w:rsidRPr="00283757">
        <w:rPr>
          <w:rFonts w:cstheme="minorHAnsi"/>
        </w:rPr>
        <w:t>Understanding ‘What Islamists Want:" Public Debate and Contestation in Lebanon and Yemen</w:t>
      </w:r>
      <w:r w:rsidRPr="00283757">
        <w:rPr>
          <w:rFonts w:cstheme="minorHAnsi"/>
          <w:shd w:val="clear" w:color="auto" w:fill="FFFFFF"/>
        </w:rPr>
        <w:t>.” </w:t>
      </w:r>
      <w:r w:rsidRPr="00283757">
        <w:rPr>
          <w:rFonts w:cstheme="minorHAnsi"/>
          <w:i/>
          <w:iCs/>
          <w:shd w:val="clear" w:color="auto" w:fill="FFFFFF"/>
        </w:rPr>
        <w:t>Middle East Journal</w:t>
      </w:r>
      <w:r w:rsidRPr="00283757">
        <w:rPr>
          <w:rFonts w:cstheme="minorHAnsi"/>
          <w:shd w:val="clear" w:color="auto" w:fill="FFFFFF"/>
        </w:rPr>
        <w:t xml:space="preserve">, vol. 64, no. 2, 2010, pp. 199–213, </w:t>
      </w:r>
      <w:r w:rsidR="00570B63" w:rsidRPr="00283757">
        <w:rPr>
          <w:rFonts w:cstheme="minorHAnsi"/>
          <w:shd w:val="clear" w:color="auto" w:fill="FFFFFF"/>
        </w:rPr>
        <w:t>[</w:t>
      </w:r>
      <w:r w:rsidRPr="00283757">
        <w:rPr>
          <w:rFonts w:cstheme="minorHAnsi"/>
          <w:shd w:val="clear" w:color="auto" w:fill="FFFFFF"/>
        </w:rPr>
        <w:t>last accessed 18</w:t>
      </w:r>
      <w:r w:rsidRPr="00283757">
        <w:rPr>
          <w:rFonts w:cstheme="minorHAnsi"/>
          <w:shd w:val="clear" w:color="auto" w:fill="FFFFFF"/>
          <w:vertAlign w:val="superscript"/>
        </w:rPr>
        <w:t>th</w:t>
      </w:r>
      <w:r w:rsidRPr="00283757">
        <w:rPr>
          <w:rFonts w:cstheme="minorHAnsi"/>
          <w:shd w:val="clear" w:color="auto" w:fill="FFFFFF"/>
        </w:rPr>
        <w:t xml:space="preserve"> September 2020</w:t>
      </w:r>
      <w:r w:rsidR="00570B63" w:rsidRPr="00283757">
        <w:rPr>
          <w:rFonts w:cstheme="minorHAnsi"/>
          <w:shd w:val="clear" w:color="auto" w:fill="FFFFFF"/>
        </w:rPr>
        <w:t>]</w:t>
      </w:r>
      <w:r w:rsidRPr="00283757">
        <w:rPr>
          <w:rFonts w:cstheme="minorHAnsi"/>
          <w:shd w:val="clear" w:color="auto" w:fill="FFFFFF"/>
        </w:rPr>
        <w:t>,</w:t>
      </w:r>
      <w:r w:rsidR="00570B63" w:rsidRPr="00283757">
        <w:rPr>
          <w:rFonts w:cstheme="minorHAnsi"/>
          <w:shd w:val="clear" w:color="auto" w:fill="FFFFFF"/>
        </w:rPr>
        <w:t xml:space="preserve"> available at</w:t>
      </w:r>
      <w:r w:rsidRPr="00283757">
        <w:rPr>
          <w:rFonts w:cstheme="minorHAnsi"/>
          <w:shd w:val="clear" w:color="auto" w:fill="FFFFFF"/>
        </w:rPr>
        <w:t xml:space="preserve"> </w:t>
      </w:r>
      <w:r w:rsidRPr="00283757">
        <w:rPr>
          <w:rFonts w:cstheme="minorHAnsi"/>
          <w:i/>
          <w:iCs/>
          <w:shd w:val="clear" w:color="auto" w:fill="FFFFFF"/>
        </w:rPr>
        <w:t>JSTOR</w:t>
      </w:r>
      <w:r w:rsidRPr="00283757">
        <w:rPr>
          <w:rFonts w:cstheme="minorHAnsi"/>
          <w:shd w:val="clear" w:color="auto" w:fill="FFFFFF"/>
        </w:rPr>
        <w:t xml:space="preserve">, </w:t>
      </w:r>
      <w:hyperlink r:id="rId11" w:history="1">
        <w:r w:rsidR="00627270" w:rsidRPr="00283757">
          <w:rPr>
            <w:rStyle w:val="Hyperlink"/>
            <w:rFonts w:cstheme="minorHAnsi"/>
            <w:color w:val="auto"/>
            <w:shd w:val="clear" w:color="auto" w:fill="FFFFFF"/>
          </w:rPr>
          <w:t xml:space="preserve">www.jstor.org/stable/40783040 </w:t>
        </w:r>
      </w:hyperlink>
    </w:p>
    <w:sectPr w:rsidR="007B19FA" w:rsidRPr="00283757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F776E7B" w14:textId="77777777" w:rsidR="00A21C42" w:rsidRDefault="00A21C42" w:rsidP="000B04D1">
      <w:pPr>
        <w:spacing w:after="0" w:line="240" w:lineRule="auto"/>
      </w:pPr>
      <w:r>
        <w:separator/>
      </w:r>
    </w:p>
  </w:endnote>
  <w:endnote w:type="continuationSeparator" w:id="0">
    <w:p w14:paraId="74A0F659" w14:textId="77777777" w:rsidR="00A21C42" w:rsidRDefault="00A21C42" w:rsidP="000B04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834528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3C1E61" w14:textId="4855B02D" w:rsidR="00A90AAA" w:rsidRDefault="00A90AA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41E238" w14:textId="77777777" w:rsidR="00A90AAA" w:rsidRDefault="00A90A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CCDDF12" w14:textId="77777777" w:rsidR="00A21C42" w:rsidRDefault="00A21C42" w:rsidP="000B04D1">
      <w:pPr>
        <w:spacing w:after="0" w:line="240" w:lineRule="auto"/>
      </w:pPr>
      <w:r>
        <w:separator/>
      </w:r>
    </w:p>
  </w:footnote>
  <w:footnote w:type="continuationSeparator" w:id="0">
    <w:p w14:paraId="5B96A4FC" w14:textId="77777777" w:rsidR="00A21C42" w:rsidRDefault="00A21C42" w:rsidP="000B04D1">
      <w:pPr>
        <w:spacing w:after="0" w:line="240" w:lineRule="auto"/>
      </w:pPr>
      <w:r>
        <w:continuationSeparator/>
      </w:r>
    </w:p>
  </w:footnote>
  <w:footnote w:id="1">
    <w:p w14:paraId="0C2F7E07" w14:textId="36B75A92" w:rsidR="00601F20" w:rsidRPr="004A17FB" w:rsidRDefault="00B74942">
      <w:pPr>
        <w:pStyle w:val="FootnoteText"/>
        <w:rPr>
          <w:sz w:val="18"/>
          <w:szCs w:val="18"/>
        </w:rPr>
      </w:pPr>
      <w:r w:rsidRPr="004A17FB">
        <w:rPr>
          <w:rStyle w:val="FootnoteReference"/>
          <w:sz w:val="18"/>
          <w:szCs w:val="18"/>
        </w:rPr>
        <w:footnoteRef/>
      </w:r>
      <w:r w:rsidRPr="004A17FB">
        <w:rPr>
          <w:sz w:val="18"/>
          <w:szCs w:val="18"/>
        </w:rPr>
        <w:t xml:space="preserve"> Bunt, G., </w:t>
      </w:r>
      <w:r w:rsidR="000B506C" w:rsidRPr="004A17FB">
        <w:rPr>
          <w:sz w:val="18"/>
          <w:szCs w:val="18"/>
        </w:rPr>
        <w:t>‘Fundamentalism’, ‘Revolution’ and Muslim Politics, undate</w:t>
      </w:r>
      <w:r w:rsidR="00D43508" w:rsidRPr="004A17FB">
        <w:rPr>
          <w:sz w:val="18"/>
          <w:szCs w:val="18"/>
        </w:rPr>
        <w:t>d, p. 2-3</w:t>
      </w:r>
      <w:r w:rsidR="00EC4897" w:rsidRPr="004A17FB">
        <w:rPr>
          <w:sz w:val="18"/>
          <w:szCs w:val="18"/>
        </w:rPr>
        <w:t xml:space="preserve">, found at </w:t>
      </w:r>
      <w:hyperlink r:id="rId1" w:history="1">
        <w:r w:rsidR="00EC4ABE" w:rsidRPr="004A17FB">
          <w:rPr>
            <w:rStyle w:val="Hyperlink"/>
            <w:color w:val="auto"/>
            <w:sz w:val="18"/>
            <w:szCs w:val="18"/>
          </w:rPr>
          <w:t>https://moodle.uwtsd.ac.uk/course/view.php?id=3085</w:t>
        </w:r>
      </w:hyperlink>
      <w:r w:rsidR="00EC4ABE" w:rsidRPr="004A17FB">
        <w:rPr>
          <w:sz w:val="18"/>
          <w:szCs w:val="18"/>
        </w:rPr>
        <w:t xml:space="preserve"> last accessed 20</w:t>
      </w:r>
      <w:r w:rsidR="00EC4ABE" w:rsidRPr="004A17FB">
        <w:rPr>
          <w:sz w:val="18"/>
          <w:szCs w:val="18"/>
          <w:vertAlign w:val="superscript"/>
        </w:rPr>
        <w:t>th</w:t>
      </w:r>
      <w:r w:rsidR="00EC4ABE" w:rsidRPr="004A17FB">
        <w:rPr>
          <w:sz w:val="18"/>
          <w:szCs w:val="18"/>
        </w:rPr>
        <w:t xml:space="preserve"> September 2020.</w:t>
      </w:r>
    </w:p>
  </w:footnote>
  <w:footnote w:id="2">
    <w:p w14:paraId="1D8B979A" w14:textId="7BA46D18" w:rsidR="00601F20" w:rsidRPr="004A17FB" w:rsidRDefault="00C7025E" w:rsidP="00C7025E">
      <w:pPr>
        <w:pStyle w:val="FootnoteText"/>
        <w:rPr>
          <w:rFonts w:cstheme="minorHAnsi"/>
          <w:sz w:val="18"/>
          <w:szCs w:val="18"/>
          <w:shd w:val="clear" w:color="auto" w:fill="FFFFFF"/>
        </w:rPr>
      </w:pPr>
      <w:r w:rsidRPr="004A17FB">
        <w:rPr>
          <w:rStyle w:val="FootnoteReference"/>
          <w:sz w:val="18"/>
          <w:szCs w:val="18"/>
        </w:rPr>
        <w:footnoteRef/>
      </w:r>
      <w:r w:rsidRPr="004A17FB">
        <w:rPr>
          <w:sz w:val="18"/>
          <w:szCs w:val="18"/>
        </w:rPr>
        <w:t xml:space="preserve"> </w:t>
      </w:r>
      <w:r w:rsidR="00EF4173" w:rsidRPr="004A17FB">
        <w:rPr>
          <w:rFonts w:cstheme="minorHAnsi"/>
          <w:sz w:val="18"/>
          <w:szCs w:val="18"/>
          <w:shd w:val="clear" w:color="auto" w:fill="FFFFFF"/>
        </w:rPr>
        <w:t>Al-Anani, K.</w:t>
      </w:r>
      <w:r w:rsidR="00601F20" w:rsidRPr="004A17FB">
        <w:rPr>
          <w:rFonts w:cstheme="minorHAnsi"/>
          <w:sz w:val="18"/>
          <w:szCs w:val="18"/>
          <w:shd w:val="clear" w:color="auto" w:fill="FFFFFF"/>
        </w:rPr>
        <w:t>,</w:t>
      </w:r>
      <w:r w:rsidR="00EF4173" w:rsidRPr="004A17FB">
        <w:rPr>
          <w:rFonts w:cstheme="minorHAnsi"/>
          <w:sz w:val="18"/>
          <w:szCs w:val="18"/>
          <w:shd w:val="clear" w:color="auto" w:fill="FFFFFF"/>
        </w:rPr>
        <w:t> </w:t>
      </w:r>
      <w:r w:rsidR="00EF4173" w:rsidRPr="004A17FB">
        <w:rPr>
          <w:rFonts w:cstheme="minorHAnsi"/>
          <w:i/>
          <w:iCs/>
          <w:sz w:val="18"/>
          <w:szCs w:val="18"/>
          <w:shd w:val="clear" w:color="auto" w:fill="FFFFFF"/>
        </w:rPr>
        <w:t>Inside the Muslim Brotherhood: Religion, Identity, and Politics</w:t>
      </w:r>
      <w:r w:rsidR="00EF4173" w:rsidRPr="004A17FB">
        <w:rPr>
          <w:rFonts w:cstheme="minorHAnsi"/>
          <w:sz w:val="18"/>
          <w:szCs w:val="18"/>
          <w:shd w:val="clear" w:color="auto" w:fill="FFFFFF"/>
        </w:rPr>
        <w:t>. Religion and Global Politics. 2016</w:t>
      </w:r>
      <w:r w:rsidR="001708C8" w:rsidRPr="004A17FB">
        <w:rPr>
          <w:rFonts w:cstheme="minorHAnsi"/>
          <w:sz w:val="18"/>
          <w:szCs w:val="18"/>
          <w:shd w:val="clear" w:color="auto" w:fill="FFFFFF"/>
        </w:rPr>
        <w:t xml:space="preserve">, </w:t>
      </w:r>
      <w:r w:rsidRPr="004A17FB">
        <w:rPr>
          <w:rFonts w:cstheme="minorHAnsi"/>
          <w:sz w:val="18"/>
          <w:szCs w:val="18"/>
        </w:rPr>
        <w:t>p.1</w:t>
      </w:r>
      <w:r w:rsidR="0016046C" w:rsidRPr="004A17FB">
        <w:rPr>
          <w:rFonts w:cstheme="minorHAnsi"/>
          <w:sz w:val="18"/>
          <w:szCs w:val="18"/>
        </w:rPr>
        <w:t>4</w:t>
      </w:r>
      <w:r w:rsidR="00601F20" w:rsidRPr="004A17FB">
        <w:rPr>
          <w:rFonts w:cstheme="minorHAnsi"/>
          <w:sz w:val="18"/>
          <w:szCs w:val="18"/>
        </w:rPr>
        <w:t>, last accessed</w:t>
      </w:r>
      <w:r w:rsidR="007B19FA" w:rsidRPr="004A17FB">
        <w:rPr>
          <w:rFonts w:cstheme="minorHAnsi"/>
          <w:sz w:val="18"/>
          <w:szCs w:val="18"/>
        </w:rPr>
        <w:t xml:space="preserve"> 18</w:t>
      </w:r>
      <w:r w:rsidR="007B19FA" w:rsidRPr="004A17FB">
        <w:rPr>
          <w:rFonts w:cstheme="minorHAnsi"/>
          <w:sz w:val="18"/>
          <w:szCs w:val="18"/>
          <w:vertAlign w:val="superscript"/>
        </w:rPr>
        <w:t>th</w:t>
      </w:r>
      <w:r w:rsidR="007B19FA" w:rsidRPr="004A17FB">
        <w:rPr>
          <w:rFonts w:cstheme="minorHAnsi"/>
          <w:sz w:val="18"/>
          <w:szCs w:val="18"/>
        </w:rPr>
        <w:t xml:space="preserve"> September 2020, </w:t>
      </w:r>
      <w:r w:rsidR="00601F20" w:rsidRPr="004A17FB">
        <w:rPr>
          <w:rFonts w:cstheme="minorHAnsi"/>
          <w:sz w:val="18"/>
          <w:szCs w:val="18"/>
        </w:rPr>
        <w:t xml:space="preserve"> </w:t>
      </w:r>
      <w:hyperlink r:id="rId2" w:history="1">
        <w:r w:rsidR="00601F20" w:rsidRPr="004A17FB">
          <w:rPr>
            <w:rStyle w:val="Hyperlink"/>
            <w:rFonts w:cstheme="minorHAnsi"/>
            <w:color w:val="auto"/>
            <w:sz w:val="18"/>
            <w:szCs w:val="18"/>
            <w:shd w:val="clear" w:color="auto" w:fill="FFFFFF"/>
          </w:rPr>
          <w:t>https://whel-primo.hosted.exlibrisgroup.com/permalink/f/6s7mjt/44UWTSD_ALMA51178441040002421</w:t>
        </w:r>
      </w:hyperlink>
    </w:p>
  </w:footnote>
  <w:footnote w:id="3">
    <w:p w14:paraId="3BCFE15E" w14:textId="174B8B5D" w:rsidR="006351F9" w:rsidRPr="004A17FB" w:rsidRDefault="00C7025E" w:rsidP="00C7025E">
      <w:pPr>
        <w:pStyle w:val="FootnoteText"/>
        <w:rPr>
          <w:sz w:val="18"/>
          <w:szCs w:val="18"/>
        </w:rPr>
      </w:pPr>
      <w:r w:rsidRPr="004A17FB">
        <w:rPr>
          <w:rStyle w:val="FootnoteReference"/>
          <w:sz w:val="18"/>
          <w:szCs w:val="18"/>
        </w:rPr>
        <w:footnoteRef/>
      </w:r>
      <w:r w:rsidRPr="004A17FB">
        <w:rPr>
          <w:sz w:val="18"/>
          <w:szCs w:val="18"/>
        </w:rPr>
        <w:t xml:space="preserve"> </w:t>
      </w:r>
      <w:r w:rsidR="00601F20" w:rsidRPr="004A17FB">
        <w:rPr>
          <w:sz w:val="18"/>
          <w:szCs w:val="18"/>
        </w:rPr>
        <w:t>A</w:t>
      </w:r>
      <w:r w:rsidRPr="004A17FB">
        <w:rPr>
          <w:sz w:val="18"/>
          <w:szCs w:val="18"/>
        </w:rPr>
        <w:t xml:space="preserve">l-Anani, K., </w:t>
      </w:r>
      <w:r w:rsidR="00601F20" w:rsidRPr="004A17FB">
        <w:rPr>
          <w:sz w:val="18"/>
          <w:szCs w:val="18"/>
        </w:rPr>
        <w:t>ibid</w:t>
      </w:r>
      <w:r w:rsidRPr="004A17FB">
        <w:rPr>
          <w:sz w:val="18"/>
          <w:szCs w:val="18"/>
        </w:rPr>
        <w:t>, p.</w:t>
      </w:r>
      <w:r w:rsidR="0079439E" w:rsidRPr="004A17FB">
        <w:rPr>
          <w:sz w:val="18"/>
          <w:szCs w:val="18"/>
        </w:rPr>
        <w:t>15</w:t>
      </w:r>
    </w:p>
  </w:footnote>
  <w:footnote w:id="4">
    <w:p w14:paraId="3F7FD1F7" w14:textId="482E1F90" w:rsidR="006351F9" w:rsidRPr="004A17FB" w:rsidRDefault="00C7025E" w:rsidP="00C7025E">
      <w:pPr>
        <w:pStyle w:val="FootnoteText"/>
        <w:rPr>
          <w:sz w:val="18"/>
          <w:szCs w:val="18"/>
        </w:rPr>
      </w:pPr>
      <w:r w:rsidRPr="004A17FB">
        <w:rPr>
          <w:rStyle w:val="FootnoteReference"/>
          <w:sz w:val="18"/>
          <w:szCs w:val="18"/>
        </w:rPr>
        <w:footnoteRef/>
      </w:r>
      <w:r w:rsidRPr="004A17FB">
        <w:rPr>
          <w:sz w:val="18"/>
          <w:szCs w:val="18"/>
        </w:rPr>
        <w:t xml:space="preserve"> </w:t>
      </w:r>
      <w:r w:rsidR="00601F20" w:rsidRPr="004A17FB">
        <w:rPr>
          <w:sz w:val="18"/>
          <w:szCs w:val="18"/>
        </w:rPr>
        <w:t>Al-Anani, K., ibid, p.15</w:t>
      </w:r>
    </w:p>
  </w:footnote>
  <w:footnote w:id="5">
    <w:p w14:paraId="0A265B2E" w14:textId="2C7DBAAB" w:rsidR="006351F9" w:rsidRPr="004A17FB" w:rsidRDefault="00C7025E" w:rsidP="00C7025E">
      <w:pPr>
        <w:pStyle w:val="FootnoteText"/>
        <w:rPr>
          <w:sz w:val="18"/>
          <w:szCs w:val="18"/>
        </w:rPr>
      </w:pPr>
      <w:r w:rsidRPr="004A17FB">
        <w:rPr>
          <w:rStyle w:val="FootnoteReference"/>
          <w:sz w:val="18"/>
          <w:szCs w:val="18"/>
        </w:rPr>
        <w:footnoteRef/>
      </w:r>
      <w:r w:rsidRPr="004A17FB">
        <w:rPr>
          <w:sz w:val="18"/>
          <w:szCs w:val="18"/>
        </w:rPr>
        <w:t xml:space="preserve"> King, R., ‘Orientalism and the study of religions’, The Routledge Companion to The Study of Religion, 2</w:t>
      </w:r>
      <w:r w:rsidRPr="004A17FB">
        <w:rPr>
          <w:sz w:val="18"/>
          <w:szCs w:val="18"/>
          <w:vertAlign w:val="superscript"/>
        </w:rPr>
        <w:t>nd</w:t>
      </w:r>
      <w:r w:rsidRPr="004A17FB">
        <w:rPr>
          <w:sz w:val="18"/>
          <w:szCs w:val="18"/>
        </w:rPr>
        <w:t xml:space="preserve"> edition, Hinnells, J., Routledge, England, repr., 2010, p.300</w:t>
      </w:r>
    </w:p>
  </w:footnote>
  <w:footnote w:id="6">
    <w:p w14:paraId="0A1F9651" w14:textId="6E6F066A" w:rsidR="006351F9" w:rsidRPr="004A17FB" w:rsidRDefault="00C7025E" w:rsidP="00C7025E">
      <w:pPr>
        <w:pStyle w:val="FootnoteText"/>
        <w:rPr>
          <w:sz w:val="18"/>
          <w:szCs w:val="18"/>
        </w:rPr>
      </w:pPr>
      <w:r w:rsidRPr="004A17FB">
        <w:rPr>
          <w:rStyle w:val="FootnoteReference"/>
          <w:sz w:val="18"/>
          <w:szCs w:val="18"/>
        </w:rPr>
        <w:footnoteRef/>
      </w:r>
      <w:r w:rsidRPr="004A17FB">
        <w:rPr>
          <w:sz w:val="18"/>
          <w:szCs w:val="18"/>
        </w:rPr>
        <w:t xml:space="preserve"> </w:t>
      </w:r>
      <w:r w:rsidR="006B6B49" w:rsidRPr="004A17FB">
        <w:rPr>
          <w:sz w:val="18"/>
          <w:szCs w:val="18"/>
        </w:rPr>
        <w:t>Al-Anani, K., ibid, p.15</w:t>
      </w:r>
    </w:p>
  </w:footnote>
  <w:footnote w:id="7">
    <w:p w14:paraId="52D16496" w14:textId="3455F79C" w:rsidR="006351F9" w:rsidRPr="004A17FB" w:rsidRDefault="00A71F36">
      <w:pPr>
        <w:pStyle w:val="FootnoteText"/>
        <w:rPr>
          <w:sz w:val="18"/>
          <w:szCs w:val="18"/>
        </w:rPr>
      </w:pPr>
      <w:r w:rsidRPr="004A17FB">
        <w:rPr>
          <w:rStyle w:val="FootnoteReference"/>
          <w:sz w:val="18"/>
          <w:szCs w:val="18"/>
        </w:rPr>
        <w:footnoteRef/>
      </w:r>
      <w:r w:rsidRPr="004A17FB">
        <w:rPr>
          <w:sz w:val="18"/>
          <w:szCs w:val="18"/>
        </w:rPr>
        <w:t xml:space="preserve"> </w:t>
      </w:r>
      <w:r w:rsidR="0057655F" w:rsidRPr="004A17FB">
        <w:rPr>
          <w:sz w:val="18"/>
          <w:szCs w:val="18"/>
        </w:rPr>
        <w:t>Hrair Dekmejian, R., ‘Islam in Revolution’; Fundamentalism in the Arab World</w:t>
      </w:r>
      <w:r w:rsidR="00A96B04" w:rsidRPr="004A17FB">
        <w:rPr>
          <w:sz w:val="18"/>
          <w:szCs w:val="18"/>
        </w:rPr>
        <w:t>, 2</w:t>
      </w:r>
      <w:r w:rsidR="00A96B04" w:rsidRPr="004A17FB">
        <w:rPr>
          <w:sz w:val="18"/>
          <w:szCs w:val="18"/>
          <w:vertAlign w:val="superscript"/>
        </w:rPr>
        <w:t>nd</w:t>
      </w:r>
      <w:r w:rsidR="00A96B04" w:rsidRPr="004A17FB">
        <w:rPr>
          <w:sz w:val="18"/>
          <w:szCs w:val="18"/>
        </w:rPr>
        <w:t xml:space="preserve"> ed., Syracuse University Press</w:t>
      </w:r>
      <w:r w:rsidR="000127C6" w:rsidRPr="004A17FB">
        <w:rPr>
          <w:sz w:val="18"/>
          <w:szCs w:val="18"/>
        </w:rPr>
        <w:t>, New York,</w:t>
      </w:r>
      <w:r w:rsidR="00A96B04" w:rsidRPr="004A17FB">
        <w:rPr>
          <w:sz w:val="18"/>
          <w:szCs w:val="18"/>
        </w:rPr>
        <w:t xml:space="preserve"> 1995</w:t>
      </w:r>
      <w:r w:rsidR="00E846E0" w:rsidRPr="004A17FB">
        <w:rPr>
          <w:sz w:val="18"/>
          <w:szCs w:val="18"/>
        </w:rPr>
        <w:t>, p. 8</w:t>
      </w:r>
    </w:p>
  </w:footnote>
  <w:footnote w:id="8">
    <w:p w14:paraId="71B0735F" w14:textId="6108F31D" w:rsidR="006351F9" w:rsidRPr="004A17FB" w:rsidRDefault="00BF256F">
      <w:pPr>
        <w:pStyle w:val="FootnoteText"/>
        <w:rPr>
          <w:sz w:val="18"/>
          <w:szCs w:val="18"/>
        </w:rPr>
      </w:pPr>
      <w:r w:rsidRPr="004A17FB">
        <w:rPr>
          <w:rStyle w:val="FootnoteReference"/>
          <w:sz w:val="18"/>
          <w:szCs w:val="18"/>
        </w:rPr>
        <w:footnoteRef/>
      </w:r>
      <w:r w:rsidRPr="004A17FB">
        <w:rPr>
          <w:sz w:val="18"/>
          <w:szCs w:val="18"/>
        </w:rPr>
        <w:t xml:space="preserve"> Hrair Dekmejian, R., </w:t>
      </w:r>
      <w:r w:rsidR="006B6B49" w:rsidRPr="004A17FB">
        <w:rPr>
          <w:sz w:val="18"/>
          <w:szCs w:val="18"/>
        </w:rPr>
        <w:t xml:space="preserve">ibid, </w:t>
      </w:r>
      <w:r w:rsidR="00E846E0" w:rsidRPr="004A17FB">
        <w:rPr>
          <w:sz w:val="18"/>
          <w:szCs w:val="18"/>
        </w:rPr>
        <w:t>p.18</w:t>
      </w:r>
    </w:p>
  </w:footnote>
  <w:footnote w:id="9">
    <w:p w14:paraId="6D52E55C" w14:textId="2F637867" w:rsidR="00F05644" w:rsidRPr="004A17FB" w:rsidRDefault="00BC1DD0" w:rsidP="00BC1DD0">
      <w:pPr>
        <w:pStyle w:val="FootnoteText"/>
        <w:rPr>
          <w:sz w:val="18"/>
          <w:szCs w:val="18"/>
        </w:rPr>
      </w:pPr>
      <w:r w:rsidRPr="004A17FB">
        <w:rPr>
          <w:rStyle w:val="FootnoteReference"/>
          <w:sz w:val="18"/>
          <w:szCs w:val="18"/>
        </w:rPr>
        <w:footnoteRef/>
      </w:r>
      <w:r w:rsidRPr="004A17FB">
        <w:rPr>
          <w:sz w:val="18"/>
          <w:szCs w:val="18"/>
        </w:rPr>
        <w:t xml:space="preserve"> </w:t>
      </w:r>
      <w:r w:rsidR="00BB1E64" w:rsidRPr="004A17FB">
        <w:rPr>
          <w:rFonts w:cstheme="minorHAnsi"/>
          <w:sz w:val="18"/>
          <w:szCs w:val="18"/>
          <w:shd w:val="clear" w:color="auto" w:fill="FFFFFF"/>
        </w:rPr>
        <w:t>Ismail, S.</w:t>
      </w:r>
      <w:r w:rsidR="006351F9" w:rsidRPr="004A17FB">
        <w:rPr>
          <w:rFonts w:cstheme="minorHAnsi"/>
          <w:sz w:val="18"/>
          <w:szCs w:val="18"/>
          <w:shd w:val="clear" w:color="auto" w:fill="FFFFFF"/>
        </w:rPr>
        <w:t>,</w:t>
      </w:r>
      <w:r w:rsidR="00BB1E64" w:rsidRPr="004A17FB">
        <w:rPr>
          <w:rFonts w:cstheme="minorHAnsi"/>
          <w:sz w:val="18"/>
          <w:szCs w:val="18"/>
          <w:shd w:val="clear" w:color="auto" w:fill="FFFFFF"/>
        </w:rPr>
        <w:t xml:space="preserve"> "POLITICS OF IDENTITY - VI: Being Muslim: Islam, Islamism and Identity Politics." </w:t>
      </w:r>
      <w:r w:rsidR="00BB1E64" w:rsidRPr="004A17FB">
        <w:rPr>
          <w:rFonts w:cstheme="minorHAnsi"/>
          <w:i/>
          <w:iCs/>
          <w:sz w:val="18"/>
          <w:szCs w:val="18"/>
          <w:shd w:val="clear" w:color="auto" w:fill="FFFFFF"/>
        </w:rPr>
        <w:t>Government and Opposition (London)</w:t>
      </w:r>
      <w:r w:rsidR="00BB1E64" w:rsidRPr="004A17FB">
        <w:rPr>
          <w:rFonts w:cstheme="minorHAnsi"/>
          <w:sz w:val="18"/>
          <w:szCs w:val="18"/>
          <w:shd w:val="clear" w:color="auto" w:fill="FFFFFF"/>
        </w:rPr>
        <w:t> 39, no. 4 (2004): 614-31 last a</w:t>
      </w:r>
      <w:r w:rsidRPr="004A17FB">
        <w:rPr>
          <w:rFonts w:cstheme="minorHAnsi"/>
          <w:sz w:val="18"/>
          <w:szCs w:val="18"/>
          <w:shd w:val="clear" w:color="auto" w:fill="FFFFFF"/>
        </w:rPr>
        <w:t>ccessed 18 Sept. 2020.</w:t>
      </w:r>
      <w:r w:rsidRPr="004A17FB">
        <w:rPr>
          <w:rFonts w:cstheme="minorHAnsi"/>
          <w:sz w:val="18"/>
          <w:szCs w:val="18"/>
        </w:rPr>
        <w:t>p.616</w:t>
      </w:r>
      <w:r w:rsidR="00F05644" w:rsidRPr="004A17FB">
        <w:rPr>
          <w:rFonts w:cstheme="minorHAnsi"/>
          <w:sz w:val="18"/>
          <w:szCs w:val="18"/>
        </w:rPr>
        <w:t>,</w:t>
      </w:r>
      <w:r w:rsidR="00F05644" w:rsidRPr="004A17FB">
        <w:rPr>
          <w:sz w:val="18"/>
          <w:szCs w:val="18"/>
        </w:rPr>
        <w:t xml:space="preserve"> </w:t>
      </w:r>
      <w:hyperlink r:id="rId3" w:history="1">
        <w:r w:rsidR="00F05644" w:rsidRPr="004A17FB">
          <w:rPr>
            <w:rStyle w:val="Hyperlink"/>
            <w:color w:val="auto"/>
            <w:sz w:val="18"/>
            <w:szCs w:val="18"/>
          </w:rPr>
          <w:t>https://whel-primo.hosted.exlibrisgroup.com/permalink/f/6s7mjt/TN_cdi_jstor_primary_44483091</w:t>
        </w:r>
      </w:hyperlink>
    </w:p>
  </w:footnote>
  <w:footnote w:id="10">
    <w:p w14:paraId="12A41D4A" w14:textId="0D8F7020" w:rsidR="00E673E8" w:rsidRPr="004A17FB" w:rsidRDefault="00E673E8">
      <w:pPr>
        <w:pStyle w:val="FootnoteText"/>
        <w:rPr>
          <w:sz w:val="18"/>
          <w:szCs w:val="18"/>
        </w:rPr>
      </w:pPr>
      <w:r w:rsidRPr="004A17FB">
        <w:rPr>
          <w:rStyle w:val="FootnoteReference"/>
          <w:sz w:val="18"/>
          <w:szCs w:val="18"/>
        </w:rPr>
        <w:footnoteRef/>
      </w:r>
      <w:r w:rsidRPr="004A17FB">
        <w:rPr>
          <w:sz w:val="18"/>
          <w:szCs w:val="18"/>
        </w:rPr>
        <w:t xml:space="preserve"> </w:t>
      </w:r>
      <w:r w:rsidRPr="004A17FB">
        <w:rPr>
          <w:rFonts w:cstheme="minorHAnsi"/>
          <w:sz w:val="18"/>
          <w:szCs w:val="18"/>
          <w:shd w:val="clear" w:color="auto" w:fill="FFFFFF"/>
        </w:rPr>
        <w:t>Ismail, S</w:t>
      </w:r>
      <w:r w:rsidR="00F05644" w:rsidRPr="004A17FB">
        <w:rPr>
          <w:rFonts w:cstheme="minorHAnsi"/>
          <w:sz w:val="18"/>
          <w:szCs w:val="18"/>
          <w:shd w:val="clear" w:color="auto" w:fill="FFFFFF"/>
        </w:rPr>
        <w:t>., ibid,</w:t>
      </w:r>
      <w:r w:rsidR="006351F9" w:rsidRPr="004A17FB">
        <w:rPr>
          <w:rFonts w:cstheme="minorHAnsi"/>
          <w:sz w:val="18"/>
          <w:szCs w:val="18"/>
          <w:shd w:val="clear" w:color="auto" w:fill="FFFFFF"/>
        </w:rPr>
        <w:t xml:space="preserve"> </w:t>
      </w:r>
      <w:r w:rsidRPr="004A17FB">
        <w:rPr>
          <w:sz w:val="18"/>
          <w:szCs w:val="18"/>
        </w:rPr>
        <w:t>p.616</w:t>
      </w:r>
    </w:p>
  </w:footnote>
  <w:footnote w:id="11">
    <w:p w14:paraId="3DAA3641" w14:textId="5C65B823" w:rsidR="00431289" w:rsidRDefault="00431289" w:rsidP="00431289">
      <w:pPr>
        <w:pStyle w:val="FootnoteText"/>
      </w:pPr>
      <w:r w:rsidRPr="004A17FB">
        <w:rPr>
          <w:rStyle w:val="FootnoteReference"/>
          <w:sz w:val="18"/>
          <w:szCs w:val="18"/>
        </w:rPr>
        <w:footnoteRef/>
      </w:r>
      <w:r w:rsidRPr="004A17FB">
        <w:rPr>
          <w:sz w:val="18"/>
          <w:szCs w:val="18"/>
        </w:rPr>
        <w:t xml:space="preserve"> </w:t>
      </w:r>
      <w:r w:rsidR="006351F9" w:rsidRPr="004A17FB">
        <w:rPr>
          <w:rFonts w:cstheme="minorHAnsi"/>
          <w:sz w:val="18"/>
          <w:szCs w:val="18"/>
          <w:shd w:val="clear" w:color="auto" w:fill="FFFFFF"/>
        </w:rPr>
        <w:t xml:space="preserve">Ismail, S., ibid, </w:t>
      </w:r>
      <w:r w:rsidR="006351F9" w:rsidRPr="004A17FB">
        <w:rPr>
          <w:sz w:val="18"/>
          <w:szCs w:val="18"/>
        </w:rPr>
        <w:t>p.616</w:t>
      </w:r>
    </w:p>
  </w:footnote>
  <w:footnote w:id="12">
    <w:p w14:paraId="45F022F2" w14:textId="55774F61" w:rsidR="00431289" w:rsidRPr="00EE21E8" w:rsidRDefault="00431289" w:rsidP="00431289">
      <w:pPr>
        <w:pStyle w:val="FootnoteText"/>
        <w:rPr>
          <w:sz w:val="18"/>
          <w:szCs w:val="18"/>
        </w:rPr>
      </w:pPr>
      <w:r w:rsidRPr="00EE21E8">
        <w:rPr>
          <w:rStyle w:val="FootnoteReference"/>
          <w:sz w:val="18"/>
          <w:szCs w:val="18"/>
        </w:rPr>
        <w:footnoteRef/>
      </w:r>
      <w:r w:rsidRPr="00EE21E8">
        <w:rPr>
          <w:sz w:val="18"/>
          <w:szCs w:val="18"/>
        </w:rPr>
        <w:t xml:space="preserve"> </w:t>
      </w:r>
      <w:r w:rsidRPr="00EE21E8">
        <w:rPr>
          <w:rFonts w:cstheme="minorHAnsi"/>
          <w:sz w:val="18"/>
          <w:szCs w:val="18"/>
          <w:shd w:val="clear" w:color="auto" w:fill="FFFFFF"/>
        </w:rPr>
        <w:t>Yadav, S</w:t>
      </w:r>
      <w:r w:rsidR="00D53391" w:rsidRPr="00EE21E8">
        <w:rPr>
          <w:rFonts w:cstheme="minorHAnsi"/>
          <w:sz w:val="18"/>
          <w:szCs w:val="18"/>
          <w:shd w:val="clear" w:color="auto" w:fill="FFFFFF"/>
        </w:rPr>
        <w:t>. P</w:t>
      </w:r>
      <w:r w:rsidRPr="00EE21E8">
        <w:rPr>
          <w:rFonts w:cstheme="minorHAnsi"/>
          <w:sz w:val="18"/>
          <w:szCs w:val="18"/>
          <w:shd w:val="clear" w:color="auto" w:fill="FFFFFF"/>
        </w:rPr>
        <w:t>.</w:t>
      </w:r>
      <w:r w:rsidR="00E022BA" w:rsidRPr="00EE21E8">
        <w:rPr>
          <w:rFonts w:cstheme="minorHAnsi"/>
          <w:sz w:val="18"/>
          <w:szCs w:val="18"/>
          <w:shd w:val="clear" w:color="auto" w:fill="FFFFFF"/>
        </w:rPr>
        <w:t>,</w:t>
      </w:r>
      <w:r w:rsidRPr="00EE21E8">
        <w:rPr>
          <w:rFonts w:cstheme="minorHAnsi"/>
          <w:sz w:val="18"/>
          <w:szCs w:val="18"/>
          <w:shd w:val="clear" w:color="auto" w:fill="FFFFFF"/>
        </w:rPr>
        <w:t xml:space="preserve"> “</w:t>
      </w:r>
      <w:r w:rsidRPr="00EE21E8">
        <w:rPr>
          <w:rFonts w:cstheme="minorHAnsi"/>
          <w:sz w:val="18"/>
          <w:szCs w:val="18"/>
        </w:rPr>
        <w:t>Understanding ‘What Islamists Want:" Public Debate and Contestation in Lebanon and Yemen</w:t>
      </w:r>
      <w:r w:rsidRPr="00EE21E8">
        <w:rPr>
          <w:rFonts w:cstheme="minorHAnsi"/>
          <w:sz w:val="18"/>
          <w:szCs w:val="18"/>
          <w:shd w:val="clear" w:color="auto" w:fill="FFFFFF"/>
        </w:rPr>
        <w:t>.” </w:t>
      </w:r>
      <w:r w:rsidRPr="00EE21E8">
        <w:rPr>
          <w:rFonts w:cstheme="minorHAnsi"/>
          <w:i/>
          <w:iCs/>
          <w:sz w:val="18"/>
          <w:szCs w:val="18"/>
          <w:shd w:val="clear" w:color="auto" w:fill="FFFFFF"/>
        </w:rPr>
        <w:t>Middle East Journal</w:t>
      </w:r>
      <w:r w:rsidRPr="00EE21E8">
        <w:rPr>
          <w:rFonts w:cstheme="minorHAnsi"/>
          <w:sz w:val="18"/>
          <w:szCs w:val="18"/>
          <w:shd w:val="clear" w:color="auto" w:fill="FFFFFF"/>
        </w:rPr>
        <w:t>, vol. 64, no. 2, 2010, pp. 199–213</w:t>
      </w:r>
      <w:r w:rsidR="0034682E" w:rsidRPr="00EE21E8">
        <w:rPr>
          <w:rFonts w:cstheme="minorHAnsi"/>
          <w:sz w:val="18"/>
          <w:szCs w:val="18"/>
          <w:shd w:val="clear" w:color="auto" w:fill="FFFFFF"/>
        </w:rPr>
        <w:t>, last accessed 18</w:t>
      </w:r>
      <w:r w:rsidR="0034682E" w:rsidRPr="00EE21E8">
        <w:rPr>
          <w:rFonts w:cstheme="minorHAnsi"/>
          <w:sz w:val="18"/>
          <w:szCs w:val="18"/>
          <w:shd w:val="clear" w:color="auto" w:fill="FFFFFF"/>
          <w:vertAlign w:val="superscript"/>
        </w:rPr>
        <w:t>th</w:t>
      </w:r>
      <w:r w:rsidR="0034682E" w:rsidRPr="00EE21E8">
        <w:rPr>
          <w:rFonts w:cstheme="minorHAnsi"/>
          <w:sz w:val="18"/>
          <w:szCs w:val="18"/>
          <w:shd w:val="clear" w:color="auto" w:fill="FFFFFF"/>
        </w:rPr>
        <w:t xml:space="preserve"> September 2020, </w:t>
      </w:r>
      <w:r w:rsidRPr="00EE21E8">
        <w:rPr>
          <w:rFonts w:cstheme="minorHAnsi"/>
          <w:i/>
          <w:iCs/>
          <w:sz w:val="18"/>
          <w:szCs w:val="18"/>
          <w:shd w:val="clear" w:color="auto" w:fill="FFFFFF"/>
        </w:rPr>
        <w:t>JSTOR</w:t>
      </w:r>
      <w:r w:rsidRPr="00EE21E8">
        <w:rPr>
          <w:rFonts w:cstheme="minorHAnsi"/>
          <w:sz w:val="18"/>
          <w:szCs w:val="18"/>
          <w:shd w:val="clear" w:color="auto" w:fill="FFFFFF"/>
        </w:rPr>
        <w:t xml:space="preserve">, </w:t>
      </w:r>
      <w:hyperlink r:id="rId4" w:history="1">
        <w:r w:rsidRPr="00EE21E8">
          <w:rPr>
            <w:rStyle w:val="Hyperlink"/>
            <w:rFonts w:cstheme="minorHAnsi"/>
            <w:color w:val="auto"/>
            <w:sz w:val="18"/>
            <w:szCs w:val="18"/>
            <w:shd w:val="clear" w:color="auto" w:fill="FFFFFF"/>
          </w:rPr>
          <w:t>www.jstor.org/stable/40783040. Accessed 18 Sept. 2020</w:t>
        </w:r>
      </w:hyperlink>
      <w:r w:rsidRPr="00EE21E8">
        <w:rPr>
          <w:rFonts w:cstheme="minorHAnsi"/>
          <w:sz w:val="18"/>
          <w:szCs w:val="18"/>
          <w:shd w:val="clear" w:color="auto" w:fill="FFFFFF"/>
        </w:rPr>
        <w:t>, p.199</w:t>
      </w:r>
    </w:p>
  </w:footnote>
  <w:footnote w:id="13">
    <w:p w14:paraId="5680FDF5" w14:textId="6D22285D" w:rsidR="00431289" w:rsidRPr="00EE21E8" w:rsidRDefault="00431289" w:rsidP="00431289">
      <w:pPr>
        <w:pStyle w:val="FootnoteText"/>
        <w:rPr>
          <w:sz w:val="18"/>
          <w:szCs w:val="18"/>
        </w:rPr>
      </w:pPr>
      <w:r w:rsidRPr="00EE21E8">
        <w:rPr>
          <w:rStyle w:val="FootnoteReference"/>
          <w:sz w:val="18"/>
          <w:szCs w:val="18"/>
        </w:rPr>
        <w:footnoteRef/>
      </w:r>
      <w:r w:rsidRPr="00EE21E8">
        <w:rPr>
          <w:sz w:val="18"/>
          <w:szCs w:val="18"/>
        </w:rPr>
        <w:t xml:space="preserve"> </w:t>
      </w:r>
      <w:r w:rsidRPr="00EE21E8">
        <w:rPr>
          <w:rFonts w:cstheme="minorHAnsi"/>
          <w:sz w:val="18"/>
          <w:szCs w:val="18"/>
          <w:shd w:val="clear" w:color="auto" w:fill="FFFFFF"/>
        </w:rPr>
        <w:t>Yadav, S</w:t>
      </w:r>
      <w:r w:rsidR="00E022BA" w:rsidRPr="00EE21E8">
        <w:rPr>
          <w:rFonts w:cstheme="minorHAnsi"/>
          <w:sz w:val="18"/>
          <w:szCs w:val="18"/>
          <w:shd w:val="clear" w:color="auto" w:fill="FFFFFF"/>
        </w:rPr>
        <w:t xml:space="preserve">.P., </w:t>
      </w:r>
      <w:r w:rsidR="00D53391" w:rsidRPr="00EE21E8">
        <w:rPr>
          <w:rFonts w:cstheme="minorHAnsi"/>
          <w:sz w:val="18"/>
          <w:szCs w:val="18"/>
          <w:shd w:val="clear" w:color="auto" w:fill="FFFFFF"/>
        </w:rPr>
        <w:t>ibid</w:t>
      </w:r>
      <w:r w:rsidRPr="00EE21E8">
        <w:rPr>
          <w:rFonts w:cstheme="minorHAnsi"/>
          <w:sz w:val="18"/>
          <w:szCs w:val="18"/>
          <w:shd w:val="clear" w:color="auto" w:fill="FFFFFF"/>
        </w:rPr>
        <w:t xml:space="preserve"> p. 200</w:t>
      </w:r>
    </w:p>
  </w:footnote>
  <w:footnote w:id="14">
    <w:p w14:paraId="1055FD18" w14:textId="4B1ED5F3" w:rsidR="00396949" w:rsidRPr="00EE21E8" w:rsidRDefault="00396949">
      <w:pPr>
        <w:pStyle w:val="FootnoteText"/>
        <w:rPr>
          <w:sz w:val="18"/>
          <w:szCs w:val="18"/>
        </w:rPr>
      </w:pPr>
      <w:r w:rsidRPr="00EE21E8">
        <w:rPr>
          <w:rStyle w:val="FootnoteReference"/>
          <w:sz w:val="18"/>
          <w:szCs w:val="18"/>
        </w:rPr>
        <w:footnoteRef/>
      </w:r>
      <w:r w:rsidRPr="00EE21E8">
        <w:rPr>
          <w:sz w:val="18"/>
          <w:szCs w:val="18"/>
        </w:rPr>
        <w:t xml:space="preserve"> </w:t>
      </w:r>
      <w:r w:rsidR="00E022BA" w:rsidRPr="00EE21E8">
        <w:rPr>
          <w:rFonts w:cstheme="minorHAnsi"/>
          <w:sz w:val="18"/>
          <w:szCs w:val="18"/>
          <w:shd w:val="clear" w:color="auto" w:fill="FFFFFF"/>
        </w:rPr>
        <w:t>Yadav, S.P., ibid p. 200</w:t>
      </w:r>
    </w:p>
  </w:footnote>
  <w:footnote w:id="15">
    <w:p w14:paraId="046E5753" w14:textId="2AD4E186" w:rsidR="00AF0037" w:rsidRPr="00EE21E8" w:rsidRDefault="00AF0037">
      <w:pPr>
        <w:pStyle w:val="FootnoteText"/>
        <w:rPr>
          <w:sz w:val="18"/>
          <w:szCs w:val="18"/>
        </w:rPr>
      </w:pPr>
      <w:r w:rsidRPr="00EE21E8">
        <w:rPr>
          <w:rStyle w:val="FootnoteReference"/>
          <w:sz w:val="18"/>
          <w:szCs w:val="18"/>
        </w:rPr>
        <w:footnoteRef/>
      </w:r>
      <w:r w:rsidRPr="00EE21E8">
        <w:rPr>
          <w:sz w:val="18"/>
          <w:szCs w:val="18"/>
        </w:rPr>
        <w:t xml:space="preserve"> Eickelman, </w:t>
      </w:r>
      <w:r w:rsidR="004D7E2A" w:rsidRPr="00EE21E8">
        <w:rPr>
          <w:sz w:val="18"/>
          <w:szCs w:val="18"/>
        </w:rPr>
        <w:t>D.F., and Piscatori, J., ‘Muslim Politics’,</w:t>
      </w:r>
      <w:r w:rsidR="00AF7C27" w:rsidRPr="00EE21E8">
        <w:rPr>
          <w:sz w:val="18"/>
          <w:szCs w:val="18"/>
        </w:rPr>
        <w:t xml:space="preserve"> Princeton University Press, </w:t>
      </w:r>
      <w:r w:rsidR="00A64AC6" w:rsidRPr="00EE21E8">
        <w:rPr>
          <w:sz w:val="18"/>
          <w:szCs w:val="18"/>
        </w:rPr>
        <w:t>England, 1996, p.11</w:t>
      </w:r>
    </w:p>
  </w:footnote>
  <w:footnote w:id="16">
    <w:p w14:paraId="644CFA22" w14:textId="6A7930AD" w:rsidR="00A77FC2" w:rsidRPr="00EE21E8" w:rsidRDefault="00A77FC2">
      <w:pPr>
        <w:pStyle w:val="FootnoteText"/>
        <w:rPr>
          <w:sz w:val="18"/>
          <w:szCs w:val="18"/>
        </w:rPr>
      </w:pPr>
      <w:r w:rsidRPr="00EE21E8">
        <w:rPr>
          <w:rStyle w:val="FootnoteReference"/>
          <w:sz w:val="18"/>
          <w:szCs w:val="18"/>
        </w:rPr>
        <w:footnoteRef/>
      </w:r>
      <w:r w:rsidRPr="00EE21E8">
        <w:rPr>
          <w:sz w:val="18"/>
          <w:szCs w:val="18"/>
        </w:rPr>
        <w:t xml:space="preserve"> Eickelman, D.F., and Piscatori, J.</w:t>
      </w:r>
      <w:r w:rsidR="0034682E" w:rsidRPr="00EE21E8">
        <w:rPr>
          <w:sz w:val="18"/>
          <w:szCs w:val="18"/>
        </w:rPr>
        <w:t xml:space="preserve">, </w:t>
      </w:r>
      <w:r w:rsidR="00E022BA" w:rsidRPr="00EE21E8">
        <w:rPr>
          <w:sz w:val="18"/>
          <w:szCs w:val="18"/>
        </w:rPr>
        <w:t>ibid</w:t>
      </w:r>
      <w:r w:rsidR="0034682E" w:rsidRPr="00EE21E8">
        <w:rPr>
          <w:sz w:val="18"/>
          <w:szCs w:val="18"/>
        </w:rPr>
        <w:t xml:space="preserve">, </w:t>
      </w:r>
      <w:r w:rsidRPr="00EE21E8">
        <w:rPr>
          <w:sz w:val="18"/>
          <w:szCs w:val="18"/>
        </w:rPr>
        <w:t>p.12</w:t>
      </w:r>
    </w:p>
  </w:footnote>
  <w:footnote w:id="17">
    <w:p w14:paraId="1AF1581B" w14:textId="1E4152C1" w:rsidR="00C34704" w:rsidRPr="00EE21E8" w:rsidRDefault="00C34704">
      <w:pPr>
        <w:pStyle w:val="FootnoteText"/>
        <w:rPr>
          <w:sz w:val="18"/>
          <w:szCs w:val="18"/>
        </w:rPr>
      </w:pPr>
      <w:r w:rsidRPr="00EE21E8">
        <w:rPr>
          <w:rStyle w:val="FootnoteReference"/>
          <w:sz w:val="18"/>
          <w:szCs w:val="18"/>
        </w:rPr>
        <w:footnoteRef/>
      </w:r>
      <w:r w:rsidRPr="00EE21E8">
        <w:rPr>
          <w:sz w:val="18"/>
          <w:szCs w:val="18"/>
        </w:rPr>
        <w:t xml:space="preserve"> </w:t>
      </w:r>
      <w:r w:rsidR="0034682E" w:rsidRPr="00EE21E8">
        <w:rPr>
          <w:sz w:val="18"/>
          <w:szCs w:val="18"/>
        </w:rPr>
        <w:t>Al-Anani, K., ibid,</w:t>
      </w:r>
      <w:r w:rsidRPr="00EE21E8">
        <w:rPr>
          <w:sz w:val="18"/>
          <w:szCs w:val="18"/>
        </w:rPr>
        <w:t xml:space="preserve"> </w:t>
      </w:r>
      <w:r w:rsidR="00305B3C" w:rsidRPr="00EE21E8">
        <w:rPr>
          <w:sz w:val="18"/>
          <w:szCs w:val="18"/>
        </w:rPr>
        <w:t>p.43</w:t>
      </w:r>
    </w:p>
  </w:footnote>
  <w:footnote w:id="18">
    <w:p w14:paraId="3728F82A" w14:textId="3233C1E8" w:rsidR="00C551AA" w:rsidRPr="00EE21E8" w:rsidRDefault="00C551AA">
      <w:pPr>
        <w:pStyle w:val="FootnoteText"/>
        <w:rPr>
          <w:sz w:val="18"/>
          <w:szCs w:val="18"/>
        </w:rPr>
      </w:pPr>
      <w:r w:rsidRPr="00EE21E8">
        <w:rPr>
          <w:rStyle w:val="FootnoteReference"/>
          <w:sz w:val="18"/>
          <w:szCs w:val="18"/>
        </w:rPr>
        <w:footnoteRef/>
      </w:r>
      <w:r w:rsidRPr="00EE21E8">
        <w:rPr>
          <w:sz w:val="18"/>
          <w:szCs w:val="18"/>
        </w:rPr>
        <w:t xml:space="preserve"> </w:t>
      </w:r>
      <w:r w:rsidR="00B0235E" w:rsidRPr="00EE21E8">
        <w:rPr>
          <w:rFonts w:cstheme="minorHAnsi"/>
          <w:sz w:val="18"/>
          <w:szCs w:val="18"/>
          <w:shd w:val="clear" w:color="auto" w:fill="FFFFFF"/>
        </w:rPr>
        <w:t xml:space="preserve">Ismail, S., ibid, </w:t>
      </w:r>
      <w:r w:rsidR="00B0235E" w:rsidRPr="00EE21E8">
        <w:rPr>
          <w:sz w:val="18"/>
          <w:szCs w:val="18"/>
        </w:rPr>
        <w:t>p.617</w:t>
      </w:r>
    </w:p>
  </w:footnote>
  <w:footnote w:id="19">
    <w:p w14:paraId="4A38EB2F" w14:textId="347972A7" w:rsidR="004D0929" w:rsidRPr="00EE21E8" w:rsidRDefault="004D0929">
      <w:pPr>
        <w:pStyle w:val="FootnoteText"/>
        <w:rPr>
          <w:sz w:val="18"/>
          <w:szCs w:val="18"/>
        </w:rPr>
      </w:pPr>
      <w:r w:rsidRPr="00EE21E8">
        <w:rPr>
          <w:rStyle w:val="FootnoteReference"/>
          <w:sz w:val="18"/>
          <w:szCs w:val="18"/>
        </w:rPr>
        <w:footnoteRef/>
      </w:r>
      <w:r w:rsidRPr="00EE21E8">
        <w:rPr>
          <w:sz w:val="18"/>
          <w:szCs w:val="18"/>
        </w:rPr>
        <w:t xml:space="preserve"> </w:t>
      </w:r>
      <w:r w:rsidR="00B0235E" w:rsidRPr="00EE21E8">
        <w:rPr>
          <w:rFonts w:cstheme="minorHAnsi"/>
          <w:sz w:val="18"/>
          <w:szCs w:val="18"/>
          <w:shd w:val="clear" w:color="auto" w:fill="FFFFFF"/>
        </w:rPr>
        <w:t xml:space="preserve">Ismail, S., ibid, </w:t>
      </w:r>
      <w:r w:rsidR="00B0235E" w:rsidRPr="00EE21E8">
        <w:rPr>
          <w:sz w:val="18"/>
          <w:szCs w:val="18"/>
        </w:rPr>
        <w:t>p.617</w:t>
      </w:r>
    </w:p>
  </w:footnote>
  <w:footnote w:id="20">
    <w:p w14:paraId="13A2069E" w14:textId="023A4B8C" w:rsidR="000365E8" w:rsidRPr="00EE21E8" w:rsidRDefault="000365E8">
      <w:pPr>
        <w:pStyle w:val="FootnoteText"/>
        <w:rPr>
          <w:sz w:val="18"/>
          <w:szCs w:val="18"/>
        </w:rPr>
      </w:pPr>
      <w:r w:rsidRPr="00EE21E8">
        <w:rPr>
          <w:rStyle w:val="FootnoteReference"/>
          <w:sz w:val="18"/>
          <w:szCs w:val="18"/>
        </w:rPr>
        <w:footnoteRef/>
      </w:r>
      <w:r w:rsidRPr="00EE21E8">
        <w:rPr>
          <w:sz w:val="18"/>
          <w:szCs w:val="18"/>
        </w:rPr>
        <w:t xml:space="preserve"> </w:t>
      </w:r>
      <w:r w:rsidR="00B0235E" w:rsidRPr="00EE21E8">
        <w:rPr>
          <w:rFonts w:cstheme="minorHAnsi"/>
          <w:sz w:val="18"/>
          <w:szCs w:val="18"/>
          <w:shd w:val="clear" w:color="auto" w:fill="FFFFFF"/>
        </w:rPr>
        <w:t>Yadav, S.P., ibid p. 200</w:t>
      </w:r>
    </w:p>
  </w:footnote>
  <w:footnote w:id="21">
    <w:p w14:paraId="0A86E40B" w14:textId="4AA550A5" w:rsidR="000365E8" w:rsidRDefault="000365E8">
      <w:pPr>
        <w:pStyle w:val="FootnoteText"/>
      </w:pPr>
      <w:r w:rsidRPr="00EE21E8">
        <w:rPr>
          <w:rStyle w:val="FootnoteReference"/>
          <w:sz w:val="18"/>
          <w:szCs w:val="18"/>
        </w:rPr>
        <w:footnoteRef/>
      </w:r>
      <w:r w:rsidR="00B0235E" w:rsidRPr="00EE21E8">
        <w:rPr>
          <w:rFonts w:cstheme="minorHAnsi"/>
          <w:sz w:val="18"/>
          <w:szCs w:val="18"/>
          <w:shd w:val="clear" w:color="auto" w:fill="FFFFFF"/>
        </w:rPr>
        <w:t xml:space="preserve">Yadav, S.P., ibid, </w:t>
      </w:r>
      <w:r w:rsidRPr="00EE21E8">
        <w:rPr>
          <w:rFonts w:cstheme="minorHAnsi"/>
          <w:sz w:val="18"/>
          <w:szCs w:val="18"/>
          <w:shd w:val="clear" w:color="auto" w:fill="FFFFFF"/>
        </w:rPr>
        <w:t>p. 200-1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A0243A" w14:textId="2E044FC3" w:rsidR="00007FB2" w:rsidRDefault="00A90AAA">
    <w:pPr>
      <w:pStyle w:val="Header"/>
    </w:pPr>
    <w:r>
      <w:t>Graham Lowe 1807689</w:t>
    </w:r>
    <w:r w:rsidR="00007FB2">
      <w:ptab w:relativeTo="margin" w:alignment="center" w:leader="none"/>
    </w:r>
    <w:r w:rsidRPr="00A90AAA">
      <w:rPr>
        <w:rFonts w:cstheme="minorHAnsi"/>
        <w:color w:val="373A3C"/>
      </w:rPr>
      <w:t>TRDL7066</w:t>
    </w:r>
    <w:r>
      <w:rPr>
        <w:rFonts w:ascii="Segoe UI" w:hAnsi="Segoe UI" w:cs="Segoe UI"/>
        <w:color w:val="373A3C"/>
      </w:rPr>
      <w:t xml:space="preserve"> </w:t>
    </w:r>
    <w:r w:rsidR="005409AF" w:rsidRPr="005409AF">
      <w:rPr>
        <w:rFonts w:cstheme="minorHAnsi"/>
        <w:color w:val="373A3C"/>
      </w:rPr>
      <w:t>Assignment 2</w:t>
    </w:r>
    <w:r w:rsidR="00007FB2" w:rsidRPr="005409AF">
      <w:rPr>
        <w:rFonts w:cstheme="minorHAnsi"/>
      </w:rPr>
      <w:ptab w:relativeTo="margin" w:alignment="right" w:leader="none"/>
    </w:r>
    <w:r w:rsidR="00B845AC">
      <w:rPr>
        <w:rFonts w:cstheme="minorHAnsi"/>
      </w:rPr>
      <w:t>28</w:t>
    </w:r>
    <w:r w:rsidRPr="005409AF">
      <w:rPr>
        <w:rFonts w:cstheme="minorHAnsi"/>
        <w:vertAlign w:val="superscript"/>
      </w:rPr>
      <w:t>th</w:t>
    </w:r>
    <w:r>
      <w:t xml:space="preserve"> September 2020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30C5A98"/>
    <w:multiLevelType w:val="hybridMultilevel"/>
    <w:tmpl w:val="1A5C8FF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669D"/>
    <w:rsid w:val="00006285"/>
    <w:rsid w:val="00007FB2"/>
    <w:rsid w:val="000127C6"/>
    <w:rsid w:val="00015E22"/>
    <w:rsid w:val="00024F97"/>
    <w:rsid w:val="00033065"/>
    <w:rsid w:val="0003370F"/>
    <w:rsid w:val="000365E8"/>
    <w:rsid w:val="00044ABF"/>
    <w:rsid w:val="000603FA"/>
    <w:rsid w:val="00074063"/>
    <w:rsid w:val="0008734C"/>
    <w:rsid w:val="00094C59"/>
    <w:rsid w:val="000B04D1"/>
    <w:rsid w:val="000B506C"/>
    <w:rsid w:val="000C3D86"/>
    <w:rsid w:val="000D19F9"/>
    <w:rsid w:val="000D2AAD"/>
    <w:rsid w:val="000D2AB6"/>
    <w:rsid w:val="000D31E0"/>
    <w:rsid w:val="000E38BC"/>
    <w:rsid w:val="000E4EDD"/>
    <w:rsid w:val="001047BC"/>
    <w:rsid w:val="0010585D"/>
    <w:rsid w:val="001111A0"/>
    <w:rsid w:val="001248D9"/>
    <w:rsid w:val="00141750"/>
    <w:rsid w:val="0015791E"/>
    <w:rsid w:val="0016046C"/>
    <w:rsid w:val="00163DD0"/>
    <w:rsid w:val="001708C8"/>
    <w:rsid w:val="00175B8C"/>
    <w:rsid w:val="001A19F5"/>
    <w:rsid w:val="001A5F0D"/>
    <w:rsid w:val="001A6307"/>
    <w:rsid w:val="001E3E21"/>
    <w:rsid w:val="001E3E62"/>
    <w:rsid w:val="001F2D4A"/>
    <w:rsid w:val="0020151B"/>
    <w:rsid w:val="00207328"/>
    <w:rsid w:val="0021044D"/>
    <w:rsid w:val="00216FED"/>
    <w:rsid w:val="00222EF6"/>
    <w:rsid w:val="00241AC9"/>
    <w:rsid w:val="00251CC8"/>
    <w:rsid w:val="00252A79"/>
    <w:rsid w:val="00270E2F"/>
    <w:rsid w:val="00273B40"/>
    <w:rsid w:val="002758BE"/>
    <w:rsid w:val="00283757"/>
    <w:rsid w:val="0028730A"/>
    <w:rsid w:val="0029059A"/>
    <w:rsid w:val="0029123C"/>
    <w:rsid w:val="00297666"/>
    <w:rsid w:val="002D11F4"/>
    <w:rsid w:val="002E2808"/>
    <w:rsid w:val="002F024F"/>
    <w:rsid w:val="002F7194"/>
    <w:rsid w:val="0030055F"/>
    <w:rsid w:val="003006AB"/>
    <w:rsid w:val="0030083C"/>
    <w:rsid w:val="00305B3C"/>
    <w:rsid w:val="00314987"/>
    <w:rsid w:val="0032019F"/>
    <w:rsid w:val="00320C43"/>
    <w:rsid w:val="00322A90"/>
    <w:rsid w:val="00327946"/>
    <w:rsid w:val="003353DB"/>
    <w:rsid w:val="0034682E"/>
    <w:rsid w:val="00361414"/>
    <w:rsid w:val="00362B6E"/>
    <w:rsid w:val="003636B8"/>
    <w:rsid w:val="00372607"/>
    <w:rsid w:val="003837C1"/>
    <w:rsid w:val="00396949"/>
    <w:rsid w:val="003A0257"/>
    <w:rsid w:val="003B0B79"/>
    <w:rsid w:val="003B669B"/>
    <w:rsid w:val="003C368F"/>
    <w:rsid w:val="003C3A4E"/>
    <w:rsid w:val="003C41DF"/>
    <w:rsid w:val="003D63F1"/>
    <w:rsid w:val="003E0457"/>
    <w:rsid w:val="004029B7"/>
    <w:rsid w:val="00402E81"/>
    <w:rsid w:val="00412FD3"/>
    <w:rsid w:val="00423AC0"/>
    <w:rsid w:val="00431289"/>
    <w:rsid w:val="0043373E"/>
    <w:rsid w:val="00435DEA"/>
    <w:rsid w:val="00442708"/>
    <w:rsid w:val="004447C9"/>
    <w:rsid w:val="00454AF9"/>
    <w:rsid w:val="004665AC"/>
    <w:rsid w:val="00474D76"/>
    <w:rsid w:val="004810DA"/>
    <w:rsid w:val="004876B0"/>
    <w:rsid w:val="00487EE3"/>
    <w:rsid w:val="00490E11"/>
    <w:rsid w:val="00496025"/>
    <w:rsid w:val="004A17FB"/>
    <w:rsid w:val="004A7482"/>
    <w:rsid w:val="004D0929"/>
    <w:rsid w:val="004D7E2A"/>
    <w:rsid w:val="004E24FC"/>
    <w:rsid w:val="004F4B31"/>
    <w:rsid w:val="005042CE"/>
    <w:rsid w:val="0050456D"/>
    <w:rsid w:val="005075BB"/>
    <w:rsid w:val="00510B1E"/>
    <w:rsid w:val="005151D2"/>
    <w:rsid w:val="0052214A"/>
    <w:rsid w:val="0054023C"/>
    <w:rsid w:val="005409AF"/>
    <w:rsid w:val="00541FFE"/>
    <w:rsid w:val="00553749"/>
    <w:rsid w:val="00570B63"/>
    <w:rsid w:val="00572B1A"/>
    <w:rsid w:val="005742BB"/>
    <w:rsid w:val="0057655F"/>
    <w:rsid w:val="00586D14"/>
    <w:rsid w:val="005A1646"/>
    <w:rsid w:val="005A4D0E"/>
    <w:rsid w:val="005C122B"/>
    <w:rsid w:val="005C7C4D"/>
    <w:rsid w:val="005D5BD6"/>
    <w:rsid w:val="005D7702"/>
    <w:rsid w:val="005F5FD5"/>
    <w:rsid w:val="00601F20"/>
    <w:rsid w:val="00602EE9"/>
    <w:rsid w:val="00614D7C"/>
    <w:rsid w:val="00627270"/>
    <w:rsid w:val="006351F9"/>
    <w:rsid w:val="006401FB"/>
    <w:rsid w:val="006553A2"/>
    <w:rsid w:val="00657810"/>
    <w:rsid w:val="00677DC9"/>
    <w:rsid w:val="006B34A8"/>
    <w:rsid w:val="006B6B49"/>
    <w:rsid w:val="006C7C51"/>
    <w:rsid w:val="006D0230"/>
    <w:rsid w:val="006D1BA5"/>
    <w:rsid w:val="0070321B"/>
    <w:rsid w:val="00706A8E"/>
    <w:rsid w:val="00715BEE"/>
    <w:rsid w:val="00716042"/>
    <w:rsid w:val="00716513"/>
    <w:rsid w:val="007262E0"/>
    <w:rsid w:val="007323C8"/>
    <w:rsid w:val="00776051"/>
    <w:rsid w:val="0078083C"/>
    <w:rsid w:val="0079439E"/>
    <w:rsid w:val="007A1F65"/>
    <w:rsid w:val="007A22F4"/>
    <w:rsid w:val="007A5054"/>
    <w:rsid w:val="007B19FA"/>
    <w:rsid w:val="007B35DE"/>
    <w:rsid w:val="007C008C"/>
    <w:rsid w:val="007C39A3"/>
    <w:rsid w:val="007D17FC"/>
    <w:rsid w:val="008056C8"/>
    <w:rsid w:val="0080775E"/>
    <w:rsid w:val="00807928"/>
    <w:rsid w:val="0083112C"/>
    <w:rsid w:val="0083181D"/>
    <w:rsid w:val="00832535"/>
    <w:rsid w:val="00835CF9"/>
    <w:rsid w:val="00843EB1"/>
    <w:rsid w:val="00857A4A"/>
    <w:rsid w:val="0086379C"/>
    <w:rsid w:val="008859CA"/>
    <w:rsid w:val="00895319"/>
    <w:rsid w:val="008D3ABF"/>
    <w:rsid w:val="008E1F03"/>
    <w:rsid w:val="008F351E"/>
    <w:rsid w:val="008F65D6"/>
    <w:rsid w:val="00910B1B"/>
    <w:rsid w:val="00912C2E"/>
    <w:rsid w:val="00934EC1"/>
    <w:rsid w:val="00943E0B"/>
    <w:rsid w:val="00945097"/>
    <w:rsid w:val="00946FBA"/>
    <w:rsid w:val="009610F5"/>
    <w:rsid w:val="009A4726"/>
    <w:rsid w:val="009B2083"/>
    <w:rsid w:val="009B7163"/>
    <w:rsid w:val="009C15B2"/>
    <w:rsid w:val="009D19F5"/>
    <w:rsid w:val="009E2E20"/>
    <w:rsid w:val="009F001B"/>
    <w:rsid w:val="009F0E6D"/>
    <w:rsid w:val="009F4161"/>
    <w:rsid w:val="00A010E5"/>
    <w:rsid w:val="00A04B9F"/>
    <w:rsid w:val="00A21C42"/>
    <w:rsid w:val="00A33B72"/>
    <w:rsid w:val="00A42555"/>
    <w:rsid w:val="00A55C0A"/>
    <w:rsid w:val="00A64AC6"/>
    <w:rsid w:val="00A71F36"/>
    <w:rsid w:val="00A76245"/>
    <w:rsid w:val="00A77FC2"/>
    <w:rsid w:val="00A90AAA"/>
    <w:rsid w:val="00A96B04"/>
    <w:rsid w:val="00AB474B"/>
    <w:rsid w:val="00AC5EAA"/>
    <w:rsid w:val="00AE10FB"/>
    <w:rsid w:val="00AF0037"/>
    <w:rsid w:val="00AF6653"/>
    <w:rsid w:val="00AF7C27"/>
    <w:rsid w:val="00B001C2"/>
    <w:rsid w:val="00B0235E"/>
    <w:rsid w:val="00B03BEE"/>
    <w:rsid w:val="00B05D90"/>
    <w:rsid w:val="00B1502E"/>
    <w:rsid w:val="00B1707B"/>
    <w:rsid w:val="00B26D7A"/>
    <w:rsid w:val="00B33B20"/>
    <w:rsid w:val="00B3489D"/>
    <w:rsid w:val="00B359C2"/>
    <w:rsid w:val="00B403CD"/>
    <w:rsid w:val="00B4369A"/>
    <w:rsid w:val="00B669BD"/>
    <w:rsid w:val="00B74942"/>
    <w:rsid w:val="00B845AC"/>
    <w:rsid w:val="00B8669D"/>
    <w:rsid w:val="00B95D23"/>
    <w:rsid w:val="00B962E6"/>
    <w:rsid w:val="00BB1E64"/>
    <w:rsid w:val="00BC1DD0"/>
    <w:rsid w:val="00BD3AE2"/>
    <w:rsid w:val="00BF256F"/>
    <w:rsid w:val="00C06179"/>
    <w:rsid w:val="00C20CEC"/>
    <w:rsid w:val="00C34704"/>
    <w:rsid w:val="00C40EA6"/>
    <w:rsid w:val="00C523BA"/>
    <w:rsid w:val="00C551AA"/>
    <w:rsid w:val="00C60922"/>
    <w:rsid w:val="00C6186E"/>
    <w:rsid w:val="00C6452B"/>
    <w:rsid w:val="00C7025E"/>
    <w:rsid w:val="00C77272"/>
    <w:rsid w:val="00C94861"/>
    <w:rsid w:val="00CA1284"/>
    <w:rsid w:val="00CA1C56"/>
    <w:rsid w:val="00CA6060"/>
    <w:rsid w:val="00CA76A0"/>
    <w:rsid w:val="00CB33A3"/>
    <w:rsid w:val="00CB6F7B"/>
    <w:rsid w:val="00D03C32"/>
    <w:rsid w:val="00D341DE"/>
    <w:rsid w:val="00D3781D"/>
    <w:rsid w:val="00D37F5F"/>
    <w:rsid w:val="00D43508"/>
    <w:rsid w:val="00D53391"/>
    <w:rsid w:val="00D55629"/>
    <w:rsid w:val="00D56C89"/>
    <w:rsid w:val="00D659AB"/>
    <w:rsid w:val="00D706BD"/>
    <w:rsid w:val="00D753E7"/>
    <w:rsid w:val="00D915BF"/>
    <w:rsid w:val="00DA4F68"/>
    <w:rsid w:val="00DB14C0"/>
    <w:rsid w:val="00DC22AD"/>
    <w:rsid w:val="00DC3380"/>
    <w:rsid w:val="00DE220E"/>
    <w:rsid w:val="00DF1750"/>
    <w:rsid w:val="00DF1D73"/>
    <w:rsid w:val="00DF4C6A"/>
    <w:rsid w:val="00E022BA"/>
    <w:rsid w:val="00E05382"/>
    <w:rsid w:val="00E078F7"/>
    <w:rsid w:val="00E1074A"/>
    <w:rsid w:val="00E16F5A"/>
    <w:rsid w:val="00E17290"/>
    <w:rsid w:val="00E20B6A"/>
    <w:rsid w:val="00E2416F"/>
    <w:rsid w:val="00E45B30"/>
    <w:rsid w:val="00E47452"/>
    <w:rsid w:val="00E56749"/>
    <w:rsid w:val="00E65581"/>
    <w:rsid w:val="00E673E8"/>
    <w:rsid w:val="00E846E0"/>
    <w:rsid w:val="00E8589B"/>
    <w:rsid w:val="00EA360D"/>
    <w:rsid w:val="00EB51A8"/>
    <w:rsid w:val="00EC368C"/>
    <w:rsid w:val="00EC4897"/>
    <w:rsid w:val="00EC4ABE"/>
    <w:rsid w:val="00EC5FE3"/>
    <w:rsid w:val="00ED28CB"/>
    <w:rsid w:val="00ED5F63"/>
    <w:rsid w:val="00ED70E2"/>
    <w:rsid w:val="00EE21E8"/>
    <w:rsid w:val="00EE3E3F"/>
    <w:rsid w:val="00EF16EE"/>
    <w:rsid w:val="00EF36FE"/>
    <w:rsid w:val="00EF4173"/>
    <w:rsid w:val="00F0030C"/>
    <w:rsid w:val="00F05644"/>
    <w:rsid w:val="00F06FA2"/>
    <w:rsid w:val="00F16355"/>
    <w:rsid w:val="00F22D12"/>
    <w:rsid w:val="00F27640"/>
    <w:rsid w:val="00F32240"/>
    <w:rsid w:val="00F34AFE"/>
    <w:rsid w:val="00F53D41"/>
    <w:rsid w:val="00F55E65"/>
    <w:rsid w:val="00F836B2"/>
    <w:rsid w:val="00FB28F2"/>
    <w:rsid w:val="00FC30AD"/>
    <w:rsid w:val="00FC3717"/>
    <w:rsid w:val="00FD2BD5"/>
    <w:rsid w:val="00FD6038"/>
    <w:rsid w:val="00FD73FF"/>
    <w:rsid w:val="00FE3F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A773B5"/>
  <w15:chartTrackingRefBased/>
  <w15:docId w15:val="{3C1F8A9B-5DA4-4C3A-9CF5-0AA03A4096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A90AAA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0B04D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B04D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B04D1"/>
    <w:rPr>
      <w:vertAlign w:val="superscript"/>
    </w:rPr>
  </w:style>
  <w:style w:type="paragraph" w:styleId="ListParagraph">
    <w:name w:val="List Paragraph"/>
    <w:basedOn w:val="Normal"/>
    <w:uiPriority w:val="34"/>
    <w:qFormat/>
    <w:rsid w:val="00B03BE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858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589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07F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7FB2"/>
  </w:style>
  <w:style w:type="paragraph" w:styleId="Footer">
    <w:name w:val="footer"/>
    <w:basedOn w:val="Normal"/>
    <w:link w:val="FooterChar"/>
    <w:uiPriority w:val="99"/>
    <w:unhideWhenUsed/>
    <w:rsid w:val="00007F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7FB2"/>
  </w:style>
  <w:style w:type="character" w:customStyle="1" w:styleId="Heading3Char">
    <w:name w:val="Heading 3 Char"/>
    <w:basedOn w:val="DefaultParagraphFont"/>
    <w:link w:val="Heading3"/>
    <w:uiPriority w:val="9"/>
    <w:rsid w:val="00A90AAA"/>
    <w:rPr>
      <w:rFonts w:ascii="Times New Roman" w:eastAsia="Times New Roman" w:hAnsi="Times New Roman" w:cs="Times New Roman"/>
      <w:b/>
      <w:bCs/>
      <w:sz w:val="27"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463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hel-primo.hosted.exlibrisgroup.com/permalink/f/6s7mjt/44UWTSD_ALMA51178441040002421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jstor.org/stable/40783040%20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hel-primo.hosted.exlibrisgroup.com/permalink/f/6s7mjt/TN_cdi_jstor_primary_44483091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moodle.uwtsd.ac.uk/course/view.php?id=3085" TargetMode="Externa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hel-primo.hosted.exlibrisgroup.com/permalink/f/6s7mjt/TN_cdi_jstor_primary_44483091" TargetMode="External"/><Relationship Id="rId2" Type="http://schemas.openxmlformats.org/officeDocument/2006/relationships/hyperlink" Target="https://whel-primo.hosted.exlibrisgroup.com/permalink/f/6s7mjt/44UWTSD_ALMA51178441040002421" TargetMode="External"/><Relationship Id="rId1" Type="http://schemas.openxmlformats.org/officeDocument/2006/relationships/hyperlink" Target="https://moodle.uwtsd.ac.uk/course/view.php?id=3085" TargetMode="External"/><Relationship Id="rId4" Type="http://schemas.openxmlformats.org/officeDocument/2006/relationships/hyperlink" Target="http://www.jstor.org/stable/40783040.%20Accessed%2018%20Sept.%2020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08C627B-4BB4-4FA0-ABC1-7F65CFD58F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880</Words>
  <Characters>5019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Lowe</dc:creator>
  <cp:keywords/>
  <dc:description/>
  <cp:lastModifiedBy>Graham Lowe</cp:lastModifiedBy>
  <cp:revision>2</cp:revision>
  <dcterms:created xsi:type="dcterms:W3CDTF">2020-09-28T09:20:00Z</dcterms:created>
  <dcterms:modified xsi:type="dcterms:W3CDTF">2020-09-28T09:20:00Z</dcterms:modified>
</cp:coreProperties>
</file>