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8D05B" w14:textId="14731950" w:rsidR="005B15BE" w:rsidRDefault="00E274E7" w:rsidP="00F74F3C">
      <w:pPr>
        <w:pStyle w:val="paragraph"/>
        <w:shd w:val="clear" w:color="auto" w:fill="FFFFFF"/>
        <w:spacing w:before="0" w:beforeAutospacing="0"/>
        <w:ind w:left="360"/>
        <w:rPr>
          <w:rStyle w:val="normaltextrun"/>
          <w:rFonts w:ascii="Segoe UI" w:hAnsi="Segoe UI" w:cs="Segoe UI"/>
          <w:b/>
          <w:bCs/>
          <w:color w:val="1D2125"/>
          <w:sz w:val="23"/>
          <w:szCs w:val="23"/>
        </w:rPr>
      </w:pPr>
      <w:r w:rsidRPr="00E274E7">
        <w:rPr>
          <w:rStyle w:val="normaltextrun"/>
          <w:rFonts w:ascii="Segoe UI" w:hAnsi="Segoe UI" w:cs="Segoe UI"/>
          <w:b/>
          <w:bCs/>
          <w:color w:val="1D2125"/>
          <w:sz w:val="23"/>
          <w:szCs w:val="23"/>
        </w:rPr>
        <w:t>‘For the Other, I am seated as this inkwell is on the table; for the Other, I am leaning over the keyhole as this tree is bent by the wind. Thus for the Other I have stripped myself of my transcendence</w:t>
      </w:r>
      <w:r w:rsidR="005B15BE">
        <w:rPr>
          <w:rStyle w:val="normaltextrun"/>
          <w:rFonts w:ascii="Segoe UI" w:hAnsi="Segoe UI" w:cs="Segoe UI"/>
          <w:b/>
          <w:bCs/>
          <w:color w:val="1D2125"/>
          <w:sz w:val="23"/>
          <w:szCs w:val="23"/>
        </w:rPr>
        <w:t>’</w:t>
      </w:r>
    </w:p>
    <w:p w14:paraId="6AD6772F" w14:textId="6B017706" w:rsidR="007A59BB" w:rsidRPr="00F74F3C" w:rsidRDefault="00E274E7" w:rsidP="00F74F3C">
      <w:pPr>
        <w:pStyle w:val="paragraph"/>
        <w:shd w:val="clear" w:color="auto" w:fill="FFFFFF"/>
        <w:spacing w:before="0" w:beforeAutospacing="0"/>
        <w:ind w:left="360"/>
        <w:rPr>
          <w:rFonts w:ascii="Segoe UI" w:hAnsi="Segoe UI" w:cs="Segoe UI"/>
          <w:b/>
          <w:bCs/>
          <w:color w:val="1D2125"/>
          <w:sz w:val="23"/>
          <w:szCs w:val="23"/>
        </w:rPr>
      </w:pPr>
      <w:r w:rsidRPr="00E274E7">
        <w:rPr>
          <w:rStyle w:val="normaltextrun"/>
          <w:rFonts w:ascii="Segoe UI" w:hAnsi="Segoe UI" w:cs="Segoe UI"/>
          <w:b/>
          <w:bCs/>
          <w:color w:val="1D2125"/>
          <w:sz w:val="23"/>
          <w:szCs w:val="23"/>
        </w:rPr>
        <w:t>(Sartre, </w:t>
      </w:r>
      <w:r w:rsidRPr="00E274E7">
        <w:rPr>
          <w:rStyle w:val="Emphasis"/>
          <w:rFonts w:ascii="Segoe UI" w:hAnsi="Segoe UI" w:cs="Segoe UI"/>
          <w:b/>
          <w:bCs/>
          <w:color w:val="1D2125"/>
          <w:sz w:val="23"/>
          <w:szCs w:val="23"/>
        </w:rPr>
        <w:t>Being</w:t>
      </w:r>
      <w:r w:rsidRPr="00E274E7">
        <w:rPr>
          <w:rStyle w:val="textrun"/>
          <w:rFonts w:ascii="Segoe UI" w:hAnsi="Segoe UI" w:cs="Segoe UI"/>
          <w:b/>
          <w:bCs/>
          <w:color w:val="1D2125"/>
          <w:sz w:val="23"/>
          <w:szCs w:val="23"/>
        </w:rPr>
        <w:t> </w:t>
      </w:r>
      <w:r w:rsidRPr="00E274E7">
        <w:rPr>
          <w:rStyle w:val="Emphasis"/>
          <w:rFonts w:ascii="Segoe UI" w:hAnsi="Segoe UI" w:cs="Segoe UI"/>
          <w:b/>
          <w:bCs/>
          <w:color w:val="1D2125"/>
          <w:sz w:val="23"/>
          <w:szCs w:val="23"/>
        </w:rPr>
        <w:t>and Nothingness,</w:t>
      </w:r>
      <w:r w:rsidRPr="00E274E7">
        <w:rPr>
          <w:rStyle w:val="normaltextrun"/>
          <w:rFonts w:ascii="Segoe UI" w:hAnsi="Segoe UI" w:cs="Segoe UI"/>
          <w:b/>
          <w:bCs/>
          <w:color w:val="1D2125"/>
          <w:sz w:val="23"/>
          <w:szCs w:val="23"/>
        </w:rPr>
        <w:t xml:space="preserve"> trans. Hazel E. Barnes (Routledge: London and New York, 2003 [1943], p.286). </w:t>
      </w:r>
      <w:r w:rsidR="005B15BE">
        <w:rPr>
          <w:rStyle w:val="normaltextrun"/>
          <w:rFonts w:ascii="Segoe UI" w:hAnsi="Segoe UI" w:cs="Segoe UI"/>
          <w:b/>
          <w:bCs/>
          <w:color w:val="1D2125"/>
          <w:sz w:val="23"/>
          <w:szCs w:val="23"/>
        </w:rPr>
        <w:t>A Critical Discussion</w:t>
      </w:r>
      <w:r w:rsidRPr="00E274E7">
        <w:rPr>
          <w:rStyle w:val="normaltextrun"/>
          <w:rFonts w:ascii="Segoe UI" w:hAnsi="Segoe UI" w:cs="Segoe UI"/>
          <w:b/>
          <w:bCs/>
          <w:color w:val="1D2125"/>
          <w:sz w:val="23"/>
          <w:szCs w:val="23"/>
        </w:rPr>
        <w:t>. </w:t>
      </w:r>
    </w:p>
    <w:p w14:paraId="2A5BF0AB" w14:textId="59DE750E" w:rsidR="00B36941" w:rsidRDefault="004D1956" w:rsidP="00362C16">
      <w:pPr>
        <w:spacing w:line="360" w:lineRule="auto"/>
      </w:pPr>
      <w:r>
        <w:t xml:space="preserve">There are many ways to do philosophy, and many subjects to which philosophy can be applied. Among these methods are phenomenology and existentialism. The quote that I will discuss is a product of these methods. In order to discuss the quote critically, I will sketch some general themes of existentialism and phenomenology, draw on aspects of Sartre’s works and then give a summary of my thoughts and findings. Particular attention will be given to </w:t>
      </w:r>
      <w:r>
        <w:rPr>
          <w:i/>
          <w:iCs/>
        </w:rPr>
        <w:t xml:space="preserve">Existentialism is a Humanism, </w:t>
      </w:r>
      <w:r>
        <w:t xml:space="preserve">an essay that gives an overview of common themes in existentialism. From this work we can turn our attention to sections in </w:t>
      </w:r>
      <w:r>
        <w:rPr>
          <w:i/>
          <w:iCs/>
        </w:rPr>
        <w:t xml:space="preserve">Being and Nothingness </w:t>
      </w:r>
      <w:r>
        <w:t>with a view to analyse certain concepts, namely, being-in-itself, being-for-itself, bad faith and other common themes.</w:t>
      </w:r>
      <w:r w:rsidR="0013242A">
        <w:t xml:space="preserve"> This essay will generally avoid any metaphysical contentions, for our scope will primarily be on the practical/pragmatic elements of existentialism, rather than a thorough logical critique </w:t>
      </w:r>
      <w:r w:rsidR="0020225B">
        <w:t xml:space="preserve">on metaphysics </w:t>
      </w:r>
      <w:r w:rsidR="0013242A">
        <w:t xml:space="preserve">(for such analysis see </w:t>
      </w:r>
      <w:r w:rsidR="0013242A">
        <w:rPr>
          <w:i/>
          <w:iCs/>
        </w:rPr>
        <w:t>Two Conflicting Interpretations of Social Philosophy Alpar Losoncz 2014)</w:t>
      </w:r>
      <w:r w:rsidR="0013242A">
        <w:t xml:space="preserve">. </w:t>
      </w:r>
    </w:p>
    <w:p w14:paraId="3F338DE8" w14:textId="431B915D" w:rsidR="00674F19" w:rsidRDefault="00674F19" w:rsidP="00362C16">
      <w:pPr>
        <w:spacing w:line="360" w:lineRule="auto"/>
      </w:pPr>
      <w:r>
        <w:t>To discuss the quote, we must first understand that it is not a set of words that stand in isolation. Jean-Paul Sartre was a writer for many decades and although we cannot trace all of his thought or change in opinions, we can make some observations on other writings that can help give an overview and contextualise the quote at hand.</w:t>
      </w:r>
      <w:r w:rsidR="00844EFC">
        <w:t xml:space="preserve"> I hope the </w:t>
      </w:r>
      <w:r w:rsidR="0096621E">
        <w:t>forthcoming</w:t>
      </w:r>
      <w:r w:rsidR="00844EFC">
        <w:t xml:space="preserve"> sections will ground the reader with information that they themselves can use for their own critique and thinking.</w:t>
      </w:r>
    </w:p>
    <w:p w14:paraId="207FDFF8" w14:textId="7860B30A" w:rsidR="003C4FE1" w:rsidRDefault="0096621E" w:rsidP="00362C16">
      <w:pPr>
        <w:spacing w:line="360" w:lineRule="auto"/>
      </w:pPr>
      <w:r w:rsidRPr="00E13332">
        <w:rPr>
          <w:i/>
          <w:iCs/>
        </w:rPr>
        <w:t>Existentialism</w:t>
      </w:r>
      <w:r w:rsidR="00674F19" w:rsidRPr="00E13332">
        <w:rPr>
          <w:i/>
          <w:iCs/>
        </w:rPr>
        <w:t xml:space="preserve"> is a Humanism</w:t>
      </w:r>
      <w:r w:rsidR="00674F19">
        <w:rPr>
          <w:i/>
          <w:iCs/>
        </w:rPr>
        <w:t xml:space="preserve"> </w:t>
      </w:r>
      <w:r w:rsidR="00674F19">
        <w:t>is an essay by Jean-Paul Sartre originally published in 1946. Sartre lays out the foundations for existentialism and does so in a far more ac</w:t>
      </w:r>
      <w:r>
        <w:t>ces</w:t>
      </w:r>
      <w:r w:rsidR="00674F19">
        <w:t xml:space="preserve">sible manner than that of </w:t>
      </w:r>
      <w:r w:rsidR="00674F19" w:rsidRPr="00E13332">
        <w:rPr>
          <w:i/>
          <w:iCs/>
        </w:rPr>
        <w:t>Being and Nothingness</w:t>
      </w:r>
      <w:r w:rsidR="00674F19">
        <w:t xml:space="preserve">. ‘Sartre, like Marx before him, believed that it was the task of philosophy not only to interpret the world but also to change it’ (Existentialism and Humanism p.5). We are given the foundation for what existentialism holds, which is first and foremost that existence comes before essence </w:t>
      </w:r>
      <w:r w:rsidR="00674F19" w:rsidRPr="006657DC">
        <w:t>(</w:t>
      </w:r>
      <w:r w:rsidR="006A711E">
        <w:rPr>
          <w:i/>
          <w:iCs/>
        </w:rPr>
        <w:t xml:space="preserve">Existentialism is a Humanism </w:t>
      </w:r>
      <w:r w:rsidR="006A711E">
        <w:t>p.2</w:t>
      </w:r>
      <w:r w:rsidR="00674F19" w:rsidRPr="006657DC">
        <w:t xml:space="preserve">). </w:t>
      </w:r>
      <w:r w:rsidR="00674F19">
        <w:t xml:space="preserve">Existentialism begins with our </w:t>
      </w:r>
      <w:r w:rsidR="00674F19" w:rsidRPr="00E13332">
        <w:rPr>
          <w:i/>
          <w:iCs/>
        </w:rPr>
        <w:t>being in-the-world</w:t>
      </w:r>
      <w:r w:rsidR="00674F19">
        <w:rPr>
          <w:i/>
          <w:iCs/>
        </w:rPr>
        <w:t xml:space="preserve">, </w:t>
      </w:r>
      <w:r w:rsidR="00674F19">
        <w:t>making it a philosophy of the individual, rather than a detached study of objects. This style of philosophy is very personal. The essay focuses on man’s responsibility. We are condemned to be free according to Sartre, and man is nothing else but that which he makes of himself (</w:t>
      </w:r>
      <w:r w:rsidR="006A711E">
        <w:t>Ibid,. p.3</w:t>
      </w:r>
      <w:r w:rsidR="00674F19">
        <w:t>). ‘Thus’, Sartre says, ‘the first effect of existentialism is that it puts every man in possession of himself as he is, and places the entire responsibility for his existence sq</w:t>
      </w:r>
      <w:r w:rsidR="0069348C">
        <w:t>ua</w:t>
      </w:r>
      <w:r w:rsidR="00674F19">
        <w:t>rely upon his own shoulders’ (</w:t>
      </w:r>
      <w:r w:rsidR="006A711E">
        <w:t>ibid,. p.3</w:t>
      </w:r>
      <w:r w:rsidR="00674F19">
        <w:t>). As man is a being-for-itself, he cannot pass beyond human subjectivity. What Sartre is explaining is an ‘ethic of action and self-commitment’ (</w:t>
      </w:r>
      <w:r w:rsidR="006A711E">
        <w:t>ibid,. p.9</w:t>
      </w:r>
      <w:r w:rsidR="00674F19">
        <w:t xml:space="preserve">). By finding ourselves thrown into existence, and into a world </w:t>
      </w:r>
      <w:r w:rsidR="00674F19">
        <w:lastRenderedPageBreak/>
        <w:t>where others are burdened with freedom; it is in this inter-subjective world that man has to decide what he is and what others are (</w:t>
      </w:r>
      <w:r w:rsidR="006A711E">
        <w:t>ibid,. p.10</w:t>
      </w:r>
      <w:r w:rsidR="00674F19">
        <w:t>).</w:t>
      </w:r>
      <w:r w:rsidR="007B2EF6">
        <w:t xml:space="preserve"> In this condensed description of existentialism (3 years after </w:t>
      </w:r>
      <w:r w:rsidR="007B2EF6">
        <w:rPr>
          <w:i/>
          <w:iCs/>
        </w:rPr>
        <w:t>Being and Nothingness)</w:t>
      </w:r>
      <w:r w:rsidR="007B2EF6">
        <w:t xml:space="preserve"> Sartre, puts the philosophical ball in our court, </w:t>
      </w:r>
      <w:r w:rsidR="00EC052A">
        <w:t xml:space="preserve">so to speak </w:t>
      </w:r>
      <w:r w:rsidR="007B2EF6">
        <w:t xml:space="preserve">and places the intellectual tools in our hands, for us to make with them what we will. Later on in the essay, we will see a tension between the discussions in </w:t>
      </w:r>
      <w:r w:rsidR="007B2EF6">
        <w:rPr>
          <w:i/>
          <w:iCs/>
        </w:rPr>
        <w:t xml:space="preserve">Existentialism is a Humanism </w:t>
      </w:r>
      <w:r w:rsidR="007B2EF6">
        <w:t xml:space="preserve">and </w:t>
      </w:r>
      <w:r w:rsidR="007B2EF6">
        <w:rPr>
          <w:i/>
          <w:iCs/>
        </w:rPr>
        <w:t>Being and Nothingness (</w:t>
      </w:r>
      <w:r w:rsidR="007B2EF6">
        <w:t>Chapter 3 being-for-others).</w:t>
      </w:r>
      <w:r w:rsidR="003C4FE1">
        <w:t xml:space="preserve"> I would now like to review some </w:t>
      </w:r>
      <w:r w:rsidR="0069348C">
        <w:t xml:space="preserve">of the </w:t>
      </w:r>
      <w:r w:rsidR="003C4FE1">
        <w:t xml:space="preserve">concepts from </w:t>
      </w:r>
      <w:r w:rsidR="003C4FE1">
        <w:rPr>
          <w:i/>
          <w:iCs/>
        </w:rPr>
        <w:t xml:space="preserve">Being and </w:t>
      </w:r>
      <w:r w:rsidR="003C4FE1" w:rsidRPr="003C4FE1">
        <w:t>Nothingness</w:t>
      </w:r>
      <w:r w:rsidR="003C4FE1">
        <w:t xml:space="preserve"> that I deem to be necessary for understa</w:t>
      </w:r>
      <w:r w:rsidR="0069348C">
        <w:t>n</w:t>
      </w:r>
      <w:r w:rsidR="003C4FE1">
        <w:t>ding the quote</w:t>
      </w:r>
      <w:r w:rsidR="0069348C">
        <w:t>,</w:t>
      </w:r>
      <w:r w:rsidR="003C4FE1">
        <w:t xml:space="preserve"> to be able to draw out critical inferences.</w:t>
      </w:r>
    </w:p>
    <w:p w14:paraId="270A77EA" w14:textId="11079590" w:rsidR="009E7654" w:rsidRDefault="007A59BB" w:rsidP="00362C16">
      <w:pPr>
        <w:spacing w:line="360" w:lineRule="auto"/>
      </w:pPr>
      <w:r w:rsidRPr="003C4FE1">
        <w:t>A</w:t>
      </w:r>
      <w:r>
        <w:t xml:space="preserve"> </w:t>
      </w:r>
      <w:r w:rsidR="009E7654">
        <w:t>b</w:t>
      </w:r>
      <w:r w:rsidRPr="009E7654">
        <w:t>eing-in-itsel</w:t>
      </w:r>
      <w:r w:rsidR="00B138D1" w:rsidRPr="009E7654">
        <w:t>f</w:t>
      </w:r>
      <w:r w:rsidRPr="009E7654">
        <w:t xml:space="preserve"> </w:t>
      </w:r>
      <w:r>
        <w:t xml:space="preserve">is contingent (BN p.81). It </w:t>
      </w:r>
      <w:r>
        <w:rPr>
          <w:i/>
          <w:iCs/>
        </w:rPr>
        <w:t xml:space="preserve">is. </w:t>
      </w:r>
      <w:r w:rsidRPr="009E7654">
        <w:t>Being-in-itself</w:t>
      </w:r>
      <w:r w:rsidRPr="00B138D1">
        <w:rPr>
          <w:i/>
          <w:iCs/>
        </w:rPr>
        <w:t xml:space="preserve"> </w:t>
      </w:r>
      <w:r>
        <w:t xml:space="preserve">indicates a determined being, that of actuality. A mountain is a </w:t>
      </w:r>
      <w:r w:rsidRPr="009E7654">
        <w:t>being-in-itself</w:t>
      </w:r>
      <w:r>
        <w:t>, for its being is not an issue for it</w:t>
      </w:r>
      <w:r w:rsidR="00B138D1">
        <w:t>self</w:t>
      </w:r>
      <w:r>
        <w:t xml:space="preserve"> and its being is contingent on atomic facts.</w:t>
      </w:r>
      <w:r w:rsidR="00B138D1">
        <w:t xml:space="preserve"> If a mountain, </w:t>
      </w:r>
      <w:r w:rsidR="0069348C">
        <w:t>table,</w:t>
      </w:r>
      <w:r w:rsidR="00B138D1">
        <w:t xml:space="preserve"> or star has consciousness, it pervades our perception. Thus, we can judge these entities as entities whose being is constituted by their facticity and cannot seek to transcend or go beyond their </w:t>
      </w:r>
      <w:r w:rsidR="00B138D1" w:rsidRPr="009E7654">
        <w:t>being-in-the-world</w:t>
      </w:r>
      <w:r w:rsidR="00B138D1">
        <w:t>.</w:t>
      </w:r>
      <w:r w:rsidR="00E13332">
        <w:t xml:space="preserve"> They have a pre-determined essence.</w:t>
      </w:r>
      <w:r w:rsidR="00B138D1">
        <w:t xml:space="preserve"> On the other hand, a </w:t>
      </w:r>
      <w:r w:rsidR="00B138D1" w:rsidRPr="009E7654">
        <w:t>being-for-itself</w:t>
      </w:r>
      <w:r w:rsidR="00B138D1">
        <w:rPr>
          <w:i/>
          <w:iCs/>
        </w:rPr>
        <w:t xml:space="preserve"> </w:t>
      </w:r>
      <w:r w:rsidR="00B138D1">
        <w:t>is removed from the pre-reflective cogito that is the foundation of consciousness itself.</w:t>
      </w:r>
      <w:r w:rsidR="00946EB9">
        <w:t xml:space="preserve"> Sartre tell us:</w:t>
      </w:r>
      <w:r w:rsidR="00B138D1">
        <w:t xml:space="preserve"> ‘The for-itself is the in-itself losing itself as in-itself in order to found itself as consciousness’</w:t>
      </w:r>
      <w:r w:rsidR="00946EB9">
        <w:t xml:space="preserve"> (BN p.82). We can </w:t>
      </w:r>
      <w:r w:rsidR="0069348C">
        <w:t>conceive</w:t>
      </w:r>
      <w:r w:rsidR="00946EB9">
        <w:t xml:space="preserve"> of a being-for-itself as follows: A being-for-itself is a reflective cognition in relation to a self that is thought of as a unity. When one acts, they act </w:t>
      </w:r>
      <w:r w:rsidR="00946EB9">
        <w:rPr>
          <w:i/>
          <w:iCs/>
        </w:rPr>
        <w:t xml:space="preserve">for </w:t>
      </w:r>
      <w:r w:rsidR="00946EB9">
        <w:t>something.</w:t>
      </w:r>
      <w:r w:rsidR="009E7654">
        <w:t xml:space="preserve"> I</w:t>
      </w:r>
      <w:r w:rsidR="00946EB9">
        <w:t>n</w:t>
      </w:r>
      <w:r w:rsidR="009E7654">
        <w:t xml:space="preserve"> our</w:t>
      </w:r>
      <w:r w:rsidR="00946EB9">
        <w:t xml:space="preserve"> decision</w:t>
      </w:r>
      <w:r w:rsidR="009E7654">
        <w:t>s</w:t>
      </w:r>
      <w:r w:rsidR="00946EB9">
        <w:t xml:space="preserve"> and action</w:t>
      </w:r>
      <w:r w:rsidR="009E7654">
        <w:t>s,</w:t>
      </w:r>
      <w:r w:rsidR="00946EB9">
        <w:t xml:space="preserve"> is a motivation derived </w:t>
      </w:r>
      <w:r w:rsidR="009E7654">
        <w:t xml:space="preserve">from a being-in-itself who reflects on its being and its potential for being. Sartre’s writing on being-for-itself is reminiscent of Heiddeger’s </w:t>
      </w:r>
      <w:r w:rsidR="009E7654" w:rsidRPr="009E7654">
        <w:t>Dasein</w:t>
      </w:r>
      <w:r w:rsidR="009E7654">
        <w:rPr>
          <w:i/>
          <w:iCs/>
        </w:rPr>
        <w:t>,</w:t>
      </w:r>
      <w:r w:rsidR="009E7654">
        <w:t xml:space="preserve"> insofar as </w:t>
      </w:r>
      <w:r w:rsidR="009E7654" w:rsidRPr="009E7654">
        <w:t>Dasein</w:t>
      </w:r>
      <w:r w:rsidR="009E7654">
        <w:t xml:space="preserve">/being-for-itself are in the world, already thrown into a situation. According to </w:t>
      </w:r>
      <w:r w:rsidR="001811C4">
        <w:t>Heidegger.</w:t>
      </w:r>
      <w:r w:rsidR="009E7654">
        <w:t xml:space="preserve"> </w:t>
      </w:r>
    </w:p>
    <w:p w14:paraId="28F21868" w14:textId="105E28BE" w:rsidR="009E7654" w:rsidRDefault="009E7654" w:rsidP="00362C16">
      <w:pPr>
        <w:spacing w:line="360" w:lineRule="auto"/>
        <w:ind w:left="720"/>
      </w:pPr>
      <w:r>
        <w:t>“Dasein is mine to be in one way or another. Dasei</w:t>
      </w:r>
      <w:r w:rsidR="00D06DC7">
        <w:t>n</w:t>
      </w:r>
      <w:r>
        <w:t xml:space="preserve"> has always made some sort of decision as to the way in which it is in each case mine. That entity which in its Being has this very Being as an issue, comports itself towards its Being as its ownmost possibility”. </w:t>
      </w:r>
    </w:p>
    <w:p w14:paraId="0CA98300" w14:textId="0C9E1E03" w:rsidR="007A59BB" w:rsidRDefault="009E7654" w:rsidP="00362C16">
      <w:pPr>
        <w:spacing w:line="360" w:lineRule="auto"/>
        <w:ind w:left="720"/>
      </w:pPr>
      <w:r>
        <w:t xml:space="preserve">(Heiddeger, </w:t>
      </w:r>
      <w:r>
        <w:rPr>
          <w:i/>
          <w:iCs/>
        </w:rPr>
        <w:t>Being and Time,</w:t>
      </w:r>
      <w:r>
        <w:t xml:space="preserve"> p.68)</w:t>
      </w:r>
    </w:p>
    <w:p w14:paraId="7F8A6A9B" w14:textId="74C35A7B" w:rsidR="00B36941" w:rsidRDefault="00D06DC7" w:rsidP="00362C16">
      <w:pPr>
        <w:spacing w:line="360" w:lineRule="auto"/>
      </w:pPr>
      <w:r>
        <w:t>Responsibility and freedom are central to Sartre’s view of a being-for-itself. Elements of choice and trans</w:t>
      </w:r>
      <w:r w:rsidR="0069348C">
        <w:t>c</w:t>
      </w:r>
      <w:r>
        <w:t>endence allow such a being to go beyond ourselves. It is possible to reflect on the inward and outward possibilities of the self, as a being-in-itself, so as to have freedom to act for-itself in the face of</w:t>
      </w:r>
      <w:r w:rsidR="00E13332">
        <w:t xml:space="preserve"> its</w:t>
      </w:r>
      <w:r>
        <w:t xml:space="preserve"> thrownness and facticity. </w:t>
      </w:r>
      <w:r w:rsidR="0013242A">
        <w:t xml:space="preserve">These ideas give us our </w:t>
      </w:r>
      <w:r w:rsidR="0013242A" w:rsidRPr="00EC052A">
        <w:rPr>
          <w:i/>
          <w:iCs/>
        </w:rPr>
        <w:t>own</w:t>
      </w:r>
      <w:r w:rsidR="0013242A">
        <w:t xml:space="preserve"> keyhole to peer into and allow us to make judgements about Sartre’s writings.</w:t>
      </w:r>
    </w:p>
    <w:p w14:paraId="1C332F2F" w14:textId="5AD557A0" w:rsidR="00414340" w:rsidRDefault="00414340" w:rsidP="00362C16">
      <w:pPr>
        <w:spacing w:line="360" w:lineRule="auto"/>
      </w:pPr>
      <w:r>
        <w:t>The quote</w:t>
      </w:r>
      <w:r w:rsidR="001725D0">
        <w:t>,</w:t>
      </w:r>
      <w:r>
        <w:t xml:space="preserve"> which is central to our </w:t>
      </w:r>
      <w:r w:rsidR="001725D0">
        <w:t>discussion,</w:t>
      </w:r>
      <w:r>
        <w:t xml:space="preserve"> </w:t>
      </w:r>
      <w:r w:rsidR="001725D0">
        <w:t>is to be found</w:t>
      </w:r>
      <w:r>
        <w:t xml:space="preserve"> in Part 3 Chapter 1 of </w:t>
      </w:r>
      <w:r>
        <w:rPr>
          <w:i/>
          <w:iCs/>
        </w:rPr>
        <w:t>Being and Nothingness</w:t>
      </w:r>
      <w:r>
        <w:t xml:space="preserve">, entitled ‘Being-for-others’. This chapter brings into focus the look and gaze of other </w:t>
      </w:r>
      <w:r>
        <w:lastRenderedPageBreak/>
        <w:t xml:space="preserve">beings, eliciting themes of shame from the being-for-itself who finds himself under the gaze of an Other. By this point in the book, Sartre has already considered human reality in terms of negating conduct and the </w:t>
      </w:r>
      <w:r>
        <w:rPr>
          <w:i/>
          <w:iCs/>
        </w:rPr>
        <w:t>cogito</w:t>
      </w:r>
      <w:r>
        <w:t xml:space="preserve"> (BN p.221). In the initial page of the chapter, Sartre gives the following description of shame:</w:t>
      </w:r>
    </w:p>
    <w:p w14:paraId="3399875A" w14:textId="5010130E" w:rsidR="00414340" w:rsidRDefault="00414340" w:rsidP="00362C16">
      <w:pPr>
        <w:spacing w:line="360" w:lineRule="auto"/>
        <w:ind w:left="720"/>
      </w:pPr>
      <w:r>
        <w:t xml:space="preserve">“Through shame I have discovered an aspect of </w:t>
      </w:r>
      <w:r w:rsidRPr="00414340">
        <w:rPr>
          <w:i/>
          <w:iCs/>
        </w:rPr>
        <w:t>my</w:t>
      </w:r>
      <w:r>
        <w:t xml:space="preserve"> being. Yet although certain complex forms derived from shame can appear on the reflective plane, shame is not originally a phenomeno</w:t>
      </w:r>
      <w:r w:rsidR="001811C4">
        <w:t>n</w:t>
      </w:r>
      <w:r>
        <w:t xml:space="preserve"> of reflection. In fact</w:t>
      </w:r>
      <w:r w:rsidR="001811C4">
        <w:t>,</w:t>
      </w:r>
      <w:r>
        <w:t xml:space="preserve"> no matter what results one can obtain in solitude by the religious </w:t>
      </w:r>
      <w:r w:rsidRPr="00414340">
        <w:rPr>
          <w:i/>
          <w:iCs/>
        </w:rPr>
        <w:t>practice</w:t>
      </w:r>
      <w:r>
        <w:t xml:space="preserve"> of shame, it is in its primary structure shame </w:t>
      </w:r>
      <w:r w:rsidRPr="00414340">
        <w:rPr>
          <w:i/>
          <w:iCs/>
        </w:rPr>
        <w:t>before somebody</w:t>
      </w:r>
      <w:r>
        <w:t>”.</w:t>
      </w:r>
    </w:p>
    <w:p w14:paraId="3A1C020C" w14:textId="5F875B07" w:rsidR="00414340" w:rsidRDefault="00414340" w:rsidP="00362C16">
      <w:pPr>
        <w:spacing w:line="360" w:lineRule="auto"/>
        <w:ind w:left="720"/>
      </w:pPr>
      <w:r>
        <w:t xml:space="preserve">(BN p.221) (Original italics) </w:t>
      </w:r>
    </w:p>
    <w:p w14:paraId="55373176" w14:textId="00EFB475" w:rsidR="00414340" w:rsidRDefault="00414340" w:rsidP="00362C16">
      <w:pPr>
        <w:spacing w:line="360" w:lineRule="auto"/>
      </w:pPr>
      <w:r>
        <w:t xml:space="preserve">This ‘shame </w:t>
      </w:r>
      <w:r>
        <w:rPr>
          <w:i/>
          <w:iCs/>
        </w:rPr>
        <w:t>before somebody’</w:t>
      </w:r>
      <w:r>
        <w:t xml:space="preserve"> is the process by which an Other sees me as being-in-itself. In that moment of being observed, one’s trans</w:t>
      </w:r>
      <w:r w:rsidR="0069348C">
        <w:t>c</w:t>
      </w:r>
      <w:r>
        <w:t>endence is negated. The Other has a perception of myself</w:t>
      </w:r>
      <w:r w:rsidR="0069348C">
        <w:t xml:space="preserve"> </w:t>
      </w:r>
      <w:r>
        <w:t>and is a catalyst in my being-for-itself, by recognising me as a being-in-itself with facticity. ‘By the mere appearance of the Other, I am put in the position of passing judgement on myself as on an object, for it is as an object that I appear to the Other’</w:t>
      </w:r>
      <w:r w:rsidR="00CB3788">
        <w:t xml:space="preserve"> (</w:t>
      </w:r>
      <w:r w:rsidR="006A711E">
        <w:t>BN p.221</w:t>
      </w:r>
      <w:r w:rsidR="00CB3788">
        <w:t>)</w:t>
      </w:r>
      <w:r>
        <w:t>.</w:t>
      </w:r>
      <w:r w:rsidR="00CB3788">
        <w:t xml:space="preserve"> Through the experience of shame, one becomes aware of oneself as a being that is outside itself. The Other’s look confirms and objectifies real aspects of oneself. ‘My being-for-others is a peculiar object. It is, at one and the same time, an object that I cannot know and one of which I cannot deny that it is me’  </w:t>
      </w:r>
      <w:r w:rsidR="006A711E">
        <w:t>(V</w:t>
      </w:r>
      <w:r w:rsidR="00CB3788">
        <w:t>an der wielen</w:t>
      </w:r>
      <w:r w:rsidR="006A711E">
        <w:t xml:space="preserve"> 2014 p.69</w:t>
      </w:r>
      <w:r w:rsidR="00CB3788">
        <w:t>).</w:t>
      </w:r>
      <w:r w:rsidR="00E20E69">
        <w:t xml:space="preserve"> This </w:t>
      </w:r>
      <w:r w:rsidR="00E20E69">
        <w:rPr>
          <w:i/>
          <w:iCs/>
        </w:rPr>
        <w:t>look</w:t>
      </w:r>
      <w:r w:rsidR="00E20E69">
        <w:t xml:space="preserve"> depends on others; by the belief alone that others exist, the anxiety or awareness of the Other’s gaze does not rely on the gaze itself. </w:t>
      </w:r>
      <w:r w:rsidR="005806BC">
        <w:t>The sound of footsteps, distant noises in the bushes or a door creaking can all draw out an awareness of the Other</w:t>
      </w:r>
      <w:r w:rsidR="0069348C">
        <w:t xml:space="preserve"> </w:t>
      </w:r>
      <w:r w:rsidR="005806BC">
        <w:t>and alienate my being as a being-in-itself.</w:t>
      </w:r>
    </w:p>
    <w:p w14:paraId="73B154C9" w14:textId="7E4300D6" w:rsidR="00127D53" w:rsidRDefault="00EA5129" w:rsidP="00362C16">
      <w:pPr>
        <w:spacing w:line="360" w:lineRule="auto"/>
      </w:pPr>
      <w:r>
        <w:t>I believe that Sartre’s philosophy, along with existentialism in general, is a highly pragmatic approach. The quote which we are focusing on is a distillation of existential attitudes. Sartre succeeds in making his work simulta</w:t>
      </w:r>
      <w:r w:rsidR="0069348C">
        <w:t>neou</w:t>
      </w:r>
      <w:r>
        <w:t xml:space="preserve">sly general and particular. General insofar that existential questions can have relevance to anybody. We are all thrown into the world, and our existence </w:t>
      </w:r>
      <w:r w:rsidR="00004088">
        <w:t xml:space="preserve">is at each moment unique to that of others. Yet it succeeds in being particular and personal; for the very themes in question elicit from the reader a personal freedom and responsibility. Even through a passive ignoring of what one reads in </w:t>
      </w:r>
      <w:r w:rsidR="00004088">
        <w:rPr>
          <w:i/>
          <w:iCs/>
        </w:rPr>
        <w:t xml:space="preserve">Being and Nothingness </w:t>
      </w:r>
      <w:r w:rsidR="00004088">
        <w:t xml:space="preserve">or </w:t>
      </w:r>
      <w:r w:rsidR="00004088">
        <w:rPr>
          <w:i/>
          <w:iCs/>
        </w:rPr>
        <w:t>Existentialism is a Humanism</w:t>
      </w:r>
      <w:r w:rsidR="009A1C79">
        <w:rPr>
          <w:i/>
          <w:iCs/>
        </w:rPr>
        <w:t>,</w:t>
      </w:r>
      <w:r w:rsidR="00004088">
        <w:rPr>
          <w:i/>
          <w:iCs/>
        </w:rPr>
        <w:t xml:space="preserve"> </w:t>
      </w:r>
      <w:r w:rsidR="00004088">
        <w:t xml:space="preserve">one cannot escape the condemnation of freedom </w:t>
      </w:r>
      <w:r w:rsidR="009A1C79">
        <w:t xml:space="preserve">that comes </w:t>
      </w:r>
      <w:r w:rsidR="00004088">
        <w:t>as a being-for-itself.</w:t>
      </w:r>
    </w:p>
    <w:p w14:paraId="74AE1A93" w14:textId="42F69694" w:rsidR="009A1C79" w:rsidRPr="009A1C79" w:rsidRDefault="00004088" w:rsidP="00362C16">
      <w:pPr>
        <w:spacing w:line="360" w:lineRule="auto"/>
      </w:pPr>
      <w:r>
        <w:t xml:space="preserve">Although there is a discernible </w:t>
      </w:r>
      <w:r w:rsidR="00127D53">
        <w:t>optimism in many parts of his work, the ‘For the Other’ quote seemingly takes a different tone.</w:t>
      </w:r>
      <w:r w:rsidR="00380AD4">
        <w:t xml:space="preserve"> Existentialist philosophy allows an individual to define his own essence. One’s essence can be determined after death, by viewing the sum of their actions. In </w:t>
      </w:r>
      <w:r w:rsidR="00380AD4">
        <w:lastRenderedPageBreak/>
        <w:t>contrast, the alienating look of the other reinforces the elements of facticity and being-in-itself. For Sartre, the look gives us an experience of shame.</w:t>
      </w:r>
      <w:r w:rsidR="00AF3D08">
        <w:t xml:space="preserve"> The quote states that ‘for the Other, I am seated as this inkwell is on the table’. This is an important point because by the very fact that others exist, also as a being-for-itself, there is a sense in which our essence is not only subjectively and freely defined, but it is affected and shaped by the look of the Other.</w:t>
      </w:r>
      <w:r w:rsidR="009A1C79">
        <w:t xml:space="preserve"> The tension between freedom and anguish is summarised nicely in </w:t>
      </w:r>
      <w:r w:rsidR="009A1C79">
        <w:rPr>
          <w:i/>
          <w:iCs/>
        </w:rPr>
        <w:t>Existentialism and Humanism</w:t>
      </w:r>
      <w:r w:rsidR="009A1C79">
        <w:t>:</w:t>
      </w:r>
    </w:p>
    <w:p w14:paraId="073D75BF" w14:textId="329DAFDD" w:rsidR="009A1C79" w:rsidRDefault="009A1C79" w:rsidP="00362C16">
      <w:pPr>
        <w:spacing w:line="360" w:lineRule="auto"/>
        <w:ind w:left="720"/>
      </w:pPr>
      <w:r>
        <w:t>“Freedom is the crux of Sartre’s existentialism; it distinguishes it from all other philosophies. Freedom is conveyed as inv</w:t>
      </w:r>
      <w:r w:rsidR="0069348C">
        <w:t>i</w:t>
      </w:r>
      <w:r>
        <w:t>gorating and powerful by Sartre, but also fearful. We experience it initially th</w:t>
      </w:r>
      <w:r w:rsidR="0096621E">
        <w:t>r</w:t>
      </w:r>
      <w:r>
        <w:t xml:space="preserve">ough our anguish and we act”. </w:t>
      </w:r>
    </w:p>
    <w:p w14:paraId="15AD2612" w14:textId="54AE4C89" w:rsidR="001C7387" w:rsidRDefault="009A1C79" w:rsidP="00362C16">
      <w:pPr>
        <w:spacing w:line="360" w:lineRule="auto"/>
        <w:ind w:firstLine="720"/>
      </w:pPr>
      <w:r>
        <w:t>(</w:t>
      </w:r>
      <w:r w:rsidR="006A711E">
        <w:rPr>
          <w:i/>
          <w:iCs/>
        </w:rPr>
        <w:t>Existentialism and Humanism 2003</w:t>
      </w:r>
      <w:r>
        <w:t xml:space="preserve"> p.53)</w:t>
      </w:r>
    </w:p>
    <w:p w14:paraId="4EB1ABBA" w14:textId="2A38F1C0" w:rsidR="00C268F4" w:rsidRDefault="001C7387" w:rsidP="00362C16">
      <w:pPr>
        <w:spacing w:line="360" w:lineRule="auto"/>
      </w:pPr>
      <w:r>
        <w:t>What is offered then to the readers of Sartre is the chance to ask basic questions about our place in the world, our values and our projects. But these endeavours are not simple or without resistance. Sartre reminds us however, in the quote discussed and in other considerations (such as Bad Faith), that these liberating ideas in existentialism are accompanied by anxiety, anguish and awareness of myself not only as being-for-itself, but as an object for the Other. Our projects and freedom can be sidelined or constrained by the equally free Other.</w:t>
      </w:r>
      <w:r w:rsidR="00F74F3C">
        <w:t xml:space="preserve"> Julia Van der Wielen points out</w:t>
      </w:r>
      <w:r w:rsidR="0096621E">
        <w:t xml:space="preserve"> </w:t>
      </w:r>
      <w:r w:rsidR="00F74F3C">
        <w:t xml:space="preserve">that shame is just one consequence of the relation with the Other (Van der Wielen 2014 p.62). She questions </w:t>
      </w:r>
      <w:r w:rsidR="0096621E">
        <w:t>whether</w:t>
      </w:r>
      <w:r w:rsidR="00F74F3C">
        <w:t xml:space="preserve"> all our relations with the Other are neces</w:t>
      </w:r>
      <w:r w:rsidR="0096621E">
        <w:t>s</w:t>
      </w:r>
      <w:r w:rsidR="00F74F3C">
        <w:t>arily antagonistic, suggesting that the logical conflict of the Other can be experienced in a positive way (Ibid,. p.62)</w:t>
      </w:r>
      <w:r w:rsidR="009E01F7">
        <w:t>: ‘Pride, for instance, is an apprehension of the look in which I am satisfied with my objectivity for others’ (ibid,. p.62).</w:t>
      </w:r>
      <w:r w:rsidR="00C268F4">
        <w:t xml:space="preserve"> What I think Van der Wielen has succ</w:t>
      </w:r>
      <w:r w:rsidR="0069348C">
        <w:t>ess</w:t>
      </w:r>
      <w:r w:rsidR="00C268F4">
        <w:t>fully identified is that Sartre’s initial idea is useful, but he confines the look of the Other to the phenomeno</w:t>
      </w:r>
      <w:r w:rsidR="0069348C">
        <w:t>n</w:t>
      </w:r>
      <w:r w:rsidR="00C268F4">
        <w:t xml:space="preserve"> of shame. It is fair to say that this quote can be applied to a variety of examples</w:t>
      </w:r>
      <w:r w:rsidR="0069348C">
        <w:t xml:space="preserve">, </w:t>
      </w:r>
      <w:r w:rsidR="00C268F4">
        <w:t>where the Other gazes upon us.</w:t>
      </w:r>
      <w:r w:rsidR="0079076D">
        <w:t xml:space="preserve"> </w:t>
      </w:r>
      <w:r w:rsidR="003C4FE1">
        <w:t>Now</w:t>
      </w:r>
      <w:r w:rsidR="005B15BE">
        <w:t>,</w:t>
      </w:r>
      <w:r w:rsidR="003C4FE1">
        <w:t xml:space="preserve"> although ‘the Other has stripped myself of my trans</w:t>
      </w:r>
      <w:r w:rsidR="0069348C">
        <w:t>c</w:t>
      </w:r>
      <w:r w:rsidR="003C4FE1">
        <w:t xml:space="preserve">endence’, </w:t>
      </w:r>
      <w:r w:rsidR="005B15BE">
        <w:t>It does not follow that this is to be despised, or seen only in an essence of shame. For if I, as a being-for-itself, desire to be a good tennis player, it will only really be the case if the Other’s look defines me as a being-in-itself, a being that is good at tennis. In fact, any of our projects presuppose a world in which the Other exists, and our projects can only have concrete sense insofar as they are an object for the consciousness of the Other.</w:t>
      </w:r>
    </w:p>
    <w:p w14:paraId="499865F5" w14:textId="558E6E4E" w:rsidR="001C7387" w:rsidRPr="00C44569" w:rsidRDefault="0079076D" w:rsidP="00362C16">
      <w:pPr>
        <w:spacing w:line="360" w:lineRule="auto"/>
      </w:pPr>
      <w:r>
        <w:t>Concluding the critique of the quote we have discussed, a</w:t>
      </w:r>
      <w:r w:rsidR="00C268F4">
        <w:t xml:space="preserve">n </w:t>
      </w:r>
      <w:r w:rsidR="001811C4">
        <w:t>overly critical</w:t>
      </w:r>
      <w:r w:rsidR="00C268F4">
        <w:t xml:space="preserve"> analysis of Sartre would be to miss the point of his </w:t>
      </w:r>
      <w:r>
        <w:t xml:space="preserve">larger </w:t>
      </w:r>
      <w:r w:rsidR="00C268F4">
        <w:t xml:space="preserve">project. </w:t>
      </w:r>
      <w:r w:rsidR="0020225B">
        <w:t>Criti</w:t>
      </w:r>
      <w:r w:rsidR="001811C4">
        <w:t>c</w:t>
      </w:r>
      <w:r w:rsidR="0020225B">
        <w:t>i</w:t>
      </w:r>
      <w:r w:rsidR="001811C4">
        <w:t>s</w:t>
      </w:r>
      <w:r w:rsidR="0020225B">
        <w:t>ing Sartre requires criti</w:t>
      </w:r>
      <w:r w:rsidR="001811C4">
        <w:t>ci</w:t>
      </w:r>
      <w:r w:rsidR="0020225B">
        <w:t>s</w:t>
      </w:r>
      <w:r w:rsidR="001811C4">
        <w:t>i</w:t>
      </w:r>
      <w:r w:rsidR="0020225B">
        <w:t>ng oneself.</w:t>
      </w:r>
      <w:r>
        <w:t xml:space="preserve"> As I have mentioned previously Sartre, whether we like It or not, places the philosophical ball in our court. He demonstrates how at the same time, one is a being who can freely determine his own essence and have full responsibil</w:t>
      </w:r>
      <w:r w:rsidR="001811C4">
        <w:t>i</w:t>
      </w:r>
      <w:r>
        <w:t>ty for our projects and meaning</w:t>
      </w:r>
      <w:r w:rsidR="0096621E">
        <w:t>;</w:t>
      </w:r>
      <w:r>
        <w:t xml:space="preserve"> whilst on the other hand</w:t>
      </w:r>
      <w:r w:rsidR="0096621E">
        <w:t xml:space="preserve">, </w:t>
      </w:r>
      <w:r>
        <w:t xml:space="preserve">is in the world with </w:t>
      </w:r>
      <w:r>
        <w:lastRenderedPageBreak/>
        <w:t>other such beings who perc</w:t>
      </w:r>
      <w:r w:rsidR="001811C4">
        <w:t>ei</w:t>
      </w:r>
      <w:r>
        <w:t>ve the world subjectively. I agree in that the Other can strip away our trans</w:t>
      </w:r>
      <w:r w:rsidR="001811C4">
        <w:t>c</w:t>
      </w:r>
      <w:r>
        <w:t xml:space="preserve">endence and that for the Other I may well appear as this </w:t>
      </w:r>
      <w:r w:rsidR="001811C4">
        <w:t>iPad</w:t>
      </w:r>
      <w:r>
        <w:t xml:space="preserve"> does in front of me; determined, actual, a being-in-itself. Sartre may not have covered every point in his analysis of intersubjectivity, but to negate the practicality of this quote and the wider context of his work would itself be a shame.</w:t>
      </w:r>
      <w:r w:rsidR="00C44569">
        <w:t xml:space="preserve"> I would like to note that the Heidegger’s </w:t>
      </w:r>
      <w:r w:rsidR="00C44569">
        <w:rPr>
          <w:i/>
          <w:iCs/>
        </w:rPr>
        <w:t>Being and Time</w:t>
      </w:r>
      <w:r w:rsidR="00C44569">
        <w:t xml:space="preserve">, Merleau-Ponty’s </w:t>
      </w:r>
      <w:r w:rsidR="00C44569">
        <w:rPr>
          <w:i/>
          <w:iCs/>
        </w:rPr>
        <w:t>Phenomenology of Perception</w:t>
      </w:r>
      <w:r w:rsidR="00C44569">
        <w:t xml:space="preserve"> and Husserl’s writings on phenomenology could serve as sources for a more detailed analysis in future. Being-for-others, and considerations on intersubjectivity are an active discourse, which Sartre is no doubt a major contributor. His work will no doubt transcend itself, as existentialism and phenomenology remain subjects that are engaged to this day.</w:t>
      </w:r>
    </w:p>
    <w:p w14:paraId="11F98124" w14:textId="77777777" w:rsidR="009D4006" w:rsidRDefault="009D4006" w:rsidP="00414340"/>
    <w:p w14:paraId="2F6565E6" w14:textId="77777777" w:rsidR="009D4006" w:rsidRDefault="009D4006" w:rsidP="00414340"/>
    <w:p w14:paraId="6C85C51F" w14:textId="77777777" w:rsidR="009D4006" w:rsidRDefault="009D4006" w:rsidP="00414340"/>
    <w:sdt>
      <w:sdtPr>
        <w:rPr>
          <w:rFonts w:asciiTheme="minorHAnsi" w:eastAsiaTheme="minorEastAsia" w:hAnsiTheme="minorHAnsi" w:cstheme="minorBidi"/>
          <w:color w:val="auto"/>
          <w:kern w:val="2"/>
          <w:sz w:val="22"/>
          <w:szCs w:val="22"/>
          <w:lang w:val="en-GB" w:eastAsia="ja-JP"/>
          <w14:ligatures w14:val="standardContextual"/>
        </w:rPr>
        <w:id w:val="980040455"/>
        <w:docPartObj>
          <w:docPartGallery w:val="Bibliographies"/>
          <w:docPartUnique/>
        </w:docPartObj>
      </w:sdtPr>
      <w:sdtContent>
        <w:p w14:paraId="5C275DDC" w14:textId="65E25FA5" w:rsidR="005653F3" w:rsidRDefault="005653F3">
          <w:pPr>
            <w:pStyle w:val="Heading1"/>
          </w:pPr>
          <w:r>
            <w:t>Bibliography</w:t>
          </w:r>
        </w:p>
        <w:sdt>
          <w:sdtPr>
            <w:id w:val="111145805"/>
            <w:bibliography/>
          </w:sdtPr>
          <w:sdtContent>
            <w:p w14:paraId="2F3D7FEB" w14:textId="77777777" w:rsidR="007C7970" w:rsidRDefault="005653F3" w:rsidP="007C7970">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7C7970">
                <w:rPr>
                  <w:noProof/>
                  <w:lang w:val="en-US"/>
                </w:rPr>
                <w:t xml:space="preserve">Barrett, William. 1990. </w:t>
              </w:r>
              <w:r w:rsidR="007C7970">
                <w:rPr>
                  <w:i/>
                  <w:iCs/>
                  <w:noProof/>
                  <w:lang w:val="en-US"/>
                </w:rPr>
                <w:t>Irrational Man.</w:t>
              </w:r>
              <w:r w:rsidR="007C7970">
                <w:rPr>
                  <w:noProof/>
                  <w:lang w:val="en-US"/>
                </w:rPr>
                <w:t xml:space="preserve"> New York: Anchor Books.</w:t>
              </w:r>
            </w:p>
            <w:p w14:paraId="656139C1" w14:textId="77777777" w:rsidR="007C7970" w:rsidRDefault="007C7970" w:rsidP="007C7970">
              <w:pPr>
                <w:pStyle w:val="Bibliography"/>
                <w:ind w:left="720" w:hanging="720"/>
                <w:rPr>
                  <w:noProof/>
                  <w:lang w:val="en-US"/>
                </w:rPr>
              </w:pPr>
              <w:r>
                <w:rPr>
                  <w:noProof/>
                  <w:lang w:val="en-US"/>
                </w:rPr>
                <w:t xml:space="preserve">Collins, James. 1952. </w:t>
              </w:r>
              <w:r>
                <w:rPr>
                  <w:i/>
                  <w:iCs/>
                  <w:noProof/>
                  <w:lang w:val="en-US"/>
                </w:rPr>
                <w:t>The Existentialists: A Critical Study.</w:t>
              </w:r>
              <w:r>
                <w:rPr>
                  <w:noProof/>
                  <w:lang w:val="en-US"/>
                </w:rPr>
                <w:t xml:space="preserve"> Chicago: Fourth Gateway Printing.</w:t>
              </w:r>
            </w:p>
            <w:p w14:paraId="5DF183B8" w14:textId="77777777" w:rsidR="007C7970" w:rsidRDefault="007C7970" w:rsidP="007C7970">
              <w:pPr>
                <w:pStyle w:val="Bibliography"/>
                <w:ind w:left="720" w:hanging="720"/>
                <w:rPr>
                  <w:noProof/>
                  <w:lang w:val="en-US"/>
                </w:rPr>
              </w:pPr>
              <w:r>
                <w:rPr>
                  <w:noProof/>
                  <w:lang w:val="en-US"/>
                </w:rPr>
                <w:t xml:space="preserve">Glendinning, Simon. 1998. </w:t>
              </w:r>
              <w:r>
                <w:rPr>
                  <w:i/>
                  <w:iCs/>
                  <w:noProof/>
                  <w:lang w:val="en-US"/>
                </w:rPr>
                <w:t>On Being With Others: Heidegger, Derrida, Wittgenstein.</w:t>
              </w:r>
              <w:r>
                <w:rPr>
                  <w:noProof/>
                  <w:lang w:val="en-US"/>
                </w:rPr>
                <w:t xml:space="preserve"> 1st. London: Routledge.</w:t>
              </w:r>
            </w:p>
            <w:p w14:paraId="1557052F" w14:textId="77777777" w:rsidR="007C7970" w:rsidRDefault="007C7970" w:rsidP="007C7970">
              <w:pPr>
                <w:pStyle w:val="Bibliography"/>
                <w:ind w:left="720" w:hanging="720"/>
                <w:rPr>
                  <w:noProof/>
                  <w:lang w:val="en-US"/>
                </w:rPr>
              </w:pPr>
              <w:r>
                <w:rPr>
                  <w:noProof/>
                  <w:lang w:val="en-US"/>
                </w:rPr>
                <w:t xml:space="preserve">Grimsely, Ronald. 1960. </w:t>
              </w:r>
              <w:r>
                <w:rPr>
                  <w:i/>
                  <w:iCs/>
                  <w:noProof/>
                  <w:lang w:val="en-US"/>
                </w:rPr>
                <w:t>Existentialist Thought.</w:t>
              </w:r>
              <w:r>
                <w:rPr>
                  <w:noProof/>
                  <w:lang w:val="en-US"/>
                </w:rPr>
                <w:t xml:space="preserve"> Cardiff: University of Wales Press.</w:t>
              </w:r>
            </w:p>
            <w:p w14:paraId="466E9FA9" w14:textId="77777777" w:rsidR="007C7970" w:rsidRDefault="007C7970" w:rsidP="007C7970">
              <w:pPr>
                <w:pStyle w:val="Bibliography"/>
                <w:ind w:left="720" w:hanging="720"/>
                <w:rPr>
                  <w:noProof/>
                  <w:lang w:val="en-US"/>
                </w:rPr>
              </w:pPr>
              <w:r>
                <w:rPr>
                  <w:noProof/>
                  <w:lang w:val="en-US"/>
                </w:rPr>
                <w:t>Heidegger, Martin. 1927. "Being and Time." (Guthenberg Press).</w:t>
              </w:r>
            </w:p>
            <w:p w14:paraId="1CEFEA18" w14:textId="77777777" w:rsidR="007C7970" w:rsidRDefault="007C7970" w:rsidP="007C7970">
              <w:pPr>
                <w:pStyle w:val="Bibliography"/>
                <w:ind w:left="720" w:hanging="720"/>
                <w:rPr>
                  <w:noProof/>
                  <w:lang w:val="en-US"/>
                </w:rPr>
              </w:pPr>
              <w:r>
                <w:rPr>
                  <w:noProof/>
                  <w:lang w:val="en-US"/>
                </w:rPr>
                <w:t xml:space="preserve">Jones, Gerald, Daniel Cardinal, and Jeremy Hayward. 2003. </w:t>
              </w:r>
              <w:r>
                <w:rPr>
                  <w:i/>
                  <w:iCs/>
                  <w:noProof/>
                  <w:lang w:val="en-US"/>
                </w:rPr>
                <w:t>Existentialism and Humanism.</w:t>
              </w:r>
              <w:r>
                <w:rPr>
                  <w:noProof/>
                  <w:lang w:val="en-US"/>
                </w:rPr>
                <w:t xml:space="preserve"> London: John Murray Ltd.</w:t>
              </w:r>
            </w:p>
            <w:p w14:paraId="3AF44A13" w14:textId="77777777" w:rsidR="007C7970" w:rsidRDefault="007C7970" w:rsidP="007C7970">
              <w:pPr>
                <w:pStyle w:val="Bibliography"/>
                <w:ind w:left="720" w:hanging="720"/>
                <w:rPr>
                  <w:noProof/>
                  <w:lang w:val="en-US"/>
                </w:rPr>
              </w:pPr>
              <w:r>
                <w:rPr>
                  <w:noProof/>
                  <w:lang w:val="en-US"/>
                </w:rPr>
                <w:t xml:space="preserve">Losoncz, Alpar. 2014. "Two Conflicting Interpretations of Social Philosophy." </w:t>
              </w:r>
              <w:r>
                <w:rPr>
                  <w:i/>
                  <w:iCs/>
                  <w:noProof/>
                  <w:lang w:val="en-US"/>
                </w:rPr>
                <w:t>Institute for Philosophy and Social Theory</w:t>
              </w:r>
              <w:r>
                <w:rPr>
                  <w:noProof/>
                  <w:lang w:val="en-US"/>
                </w:rPr>
                <w:t xml:space="preserve"> 25 (2): 56-76. Accessed February 9, 2024. doi:10.2298/FID1402056L.</w:t>
              </w:r>
            </w:p>
            <w:p w14:paraId="48CA8CF3" w14:textId="77777777" w:rsidR="007C7970" w:rsidRDefault="007C7970" w:rsidP="007C7970">
              <w:pPr>
                <w:pStyle w:val="Bibliography"/>
                <w:ind w:left="720" w:hanging="720"/>
                <w:rPr>
                  <w:noProof/>
                  <w:lang w:val="en-US"/>
                </w:rPr>
              </w:pPr>
              <w:r>
                <w:rPr>
                  <w:noProof/>
                  <w:lang w:val="en-US"/>
                </w:rPr>
                <w:t xml:space="preserve">Merleau-Ponty, Maurice. 2014. </w:t>
              </w:r>
              <w:r>
                <w:rPr>
                  <w:i/>
                  <w:iCs/>
                  <w:noProof/>
                  <w:lang w:val="en-US"/>
                </w:rPr>
                <w:t>Phenomenology of Perception.</w:t>
              </w:r>
              <w:r>
                <w:rPr>
                  <w:noProof/>
                  <w:lang w:val="en-US"/>
                </w:rPr>
                <w:t xml:space="preserve"> Translated by Donald A. Landers. Oxford: Routledge.</w:t>
              </w:r>
            </w:p>
            <w:p w14:paraId="1D8E1C26" w14:textId="77777777" w:rsidR="007C7970" w:rsidRDefault="007C7970" w:rsidP="007C7970">
              <w:pPr>
                <w:pStyle w:val="Bibliography"/>
                <w:ind w:left="720" w:hanging="720"/>
                <w:rPr>
                  <w:noProof/>
                  <w:lang w:val="en-US"/>
                </w:rPr>
              </w:pPr>
              <w:r>
                <w:rPr>
                  <w:noProof/>
                  <w:lang w:val="en-US"/>
                </w:rPr>
                <w:t xml:space="preserve">Sartre, Jean-Paul. 1957. </w:t>
              </w:r>
              <w:r>
                <w:rPr>
                  <w:i/>
                  <w:iCs/>
                  <w:noProof/>
                  <w:lang w:val="en-US"/>
                </w:rPr>
                <w:t>Being and Nothingness.</w:t>
              </w:r>
              <w:r>
                <w:rPr>
                  <w:noProof/>
                  <w:lang w:val="en-US"/>
                </w:rPr>
                <w:t xml:space="preserve"> Translated by Hazel E. Barnes. London: Methuen &amp; CO LTD.</w:t>
              </w:r>
            </w:p>
            <w:p w14:paraId="6FDA976C" w14:textId="77777777" w:rsidR="007C7970" w:rsidRDefault="007C7970" w:rsidP="007C7970">
              <w:pPr>
                <w:pStyle w:val="Bibliography"/>
                <w:ind w:left="720" w:hanging="720"/>
                <w:rPr>
                  <w:noProof/>
                  <w:lang w:val="en-US"/>
                </w:rPr>
              </w:pPr>
              <w:r>
                <w:rPr>
                  <w:noProof/>
                  <w:lang w:val="en-US"/>
                </w:rPr>
                <w:t xml:space="preserve">—. 1946. "Existentialism is a Humanism." </w:t>
              </w:r>
              <w:r>
                <w:rPr>
                  <w:i/>
                  <w:iCs/>
                  <w:noProof/>
                  <w:lang w:val="en-US"/>
                </w:rPr>
                <w:t>Existentialism from Dostoyevsky to Sartre, ed.</w:t>
              </w:r>
              <w:r>
                <w:rPr>
                  <w:noProof/>
                  <w:lang w:val="en-US"/>
                </w:rPr>
                <w:t xml:space="preserve"> Edited by Walter Kaufman. Translated by Philip Mairet. Meridian Publishing Company, 1989.</w:t>
              </w:r>
            </w:p>
            <w:p w14:paraId="2FEFFE3A" w14:textId="77777777" w:rsidR="007C7970" w:rsidRDefault="007C7970" w:rsidP="007C7970">
              <w:pPr>
                <w:pStyle w:val="Bibliography"/>
                <w:ind w:left="720" w:hanging="720"/>
                <w:rPr>
                  <w:noProof/>
                  <w:lang w:val="en-US"/>
                </w:rPr>
              </w:pPr>
              <w:r>
                <w:rPr>
                  <w:noProof/>
                  <w:lang w:val="en-US"/>
                </w:rPr>
                <w:t xml:space="preserve">Van der Wielen, Julie. 2014. "The Magic of the Other: Sartre on Our Relation with Others in Ontology and Experience." </w:t>
              </w:r>
              <w:r>
                <w:rPr>
                  <w:i/>
                  <w:iCs/>
                  <w:noProof/>
                  <w:lang w:val="en-US"/>
                </w:rPr>
                <w:t>Sartre Studies International</w:t>
              </w:r>
              <w:r>
                <w:rPr>
                  <w:noProof/>
                  <w:lang w:val="en-US"/>
                </w:rPr>
                <w:t xml:space="preserve"> 20 (2): 58-75. Accessed February 9, 2024. DOI:10.3167/ssi.2014.200205.</w:t>
              </w:r>
            </w:p>
            <w:p w14:paraId="6D489E94" w14:textId="0646D191" w:rsidR="005653F3" w:rsidRDefault="005653F3" w:rsidP="007C7970">
              <w:r>
                <w:rPr>
                  <w:b/>
                  <w:bCs/>
                  <w:noProof/>
                </w:rPr>
                <w:fldChar w:fldCharType="end"/>
              </w:r>
            </w:p>
          </w:sdtContent>
        </w:sdt>
      </w:sdtContent>
    </w:sdt>
    <w:p w14:paraId="00E30BF7" w14:textId="77777777" w:rsidR="009D4006" w:rsidRPr="00414340" w:rsidRDefault="009D4006" w:rsidP="00414340"/>
    <w:sectPr w:rsidR="009D4006" w:rsidRPr="004143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76E57"/>
    <w:multiLevelType w:val="multilevel"/>
    <w:tmpl w:val="8D6496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052FD4"/>
    <w:multiLevelType w:val="hybridMultilevel"/>
    <w:tmpl w:val="F7FE8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A412E9"/>
    <w:multiLevelType w:val="hybridMultilevel"/>
    <w:tmpl w:val="8948F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0950622">
    <w:abstractNumId w:val="0"/>
  </w:num>
  <w:num w:numId="2" w16cid:durableId="1200163748">
    <w:abstractNumId w:val="2"/>
  </w:num>
  <w:num w:numId="3" w16cid:durableId="1726834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4E7"/>
    <w:rsid w:val="00004088"/>
    <w:rsid w:val="00072BFF"/>
    <w:rsid w:val="000B438B"/>
    <w:rsid w:val="00107397"/>
    <w:rsid w:val="00127D53"/>
    <w:rsid w:val="0013242A"/>
    <w:rsid w:val="00146052"/>
    <w:rsid w:val="001725D0"/>
    <w:rsid w:val="001811C4"/>
    <w:rsid w:val="001C7387"/>
    <w:rsid w:val="0020225B"/>
    <w:rsid w:val="00241694"/>
    <w:rsid w:val="0025341C"/>
    <w:rsid w:val="00262297"/>
    <w:rsid w:val="00317019"/>
    <w:rsid w:val="00362C16"/>
    <w:rsid w:val="00380AD4"/>
    <w:rsid w:val="00390531"/>
    <w:rsid w:val="003C4FE1"/>
    <w:rsid w:val="00414340"/>
    <w:rsid w:val="004B71C9"/>
    <w:rsid w:val="004D1956"/>
    <w:rsid w:val="00512358"/>
    <w:rsid w:val="005653F3"/>
    <w:rsid w:val="005806BC"/>
    <w:rsid w:val="005B15BE"/>
    <w:rsid w:val="00627751"/>
    <w:rsid w:val="006657DC"/>
    <w:rsid w:val="00674F19"/>
    <w:rsid w:val="0069348C"/>
    <w:rsid w:val="006A711E"/>
    <w:rsid w:val="00786956"/>
    <w:rsid w:val="0079076D"/>
    <w:rsid w:val="007A59BB"/>
    <w:rsid w:val="007B2EF6"/>
    <w:rsid w:val="007C7970"/>
    <w:rsid w:val="00844EFC"/>
    <w:rsid w:val="00850C0E"/>
    <w:rsid w:val="008A2CC5"/>
    <w:rsid w:val="0094000D"/>
    <w:rsid w:val="00946EB9"/>
    <w:rsid w:val="00966161"/>
    <w:rsid w:val="0096621E"/>
    <w:rsid w:val="009A1C79"/>
    <w:rsid w:val="009D4006"/>
    <w:rsid w:val="009E01F7"/>
    <w:rsid w:val="009E7654"/>
    <w:rsid w:val="00AF3D08"/>
    <w:rsid w:val="00B138D1"/>
    <w:rsid w:val="00B36941"/>
    <w:rsid w:val="00BA3FCE"/>
    <w:rsid w:val="00C13C28"/>
    <w:rsid w:val="00C268F4"/>
    <w:rsid w:val="00C44569"/>
    <w:rsid w:val="00CB3788"/>
    <w:rsid w:val="00D03C0D"/>
    <w:rsid w:val="00D06DC7"/>
    <w:rsid w:val="00D6067A"/>
    <w:rsid w:val="00DF6FE2"/>
    <w:rsid w:val="00E13332"/>
    <w:rsid w:val="00E20E69"/>
    <w:rsid w:val="00E274E7"/>
    <w:rsid w:val="00EA5129"/>
    <w:rsid w:val="00EC052A"/>
    <w:rsid w:val="00F74F3C"/>
    <w:rsid w:val="00FA3E94"/>
    <w:rsid w:val="00FD3AB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082A3"/>
  <w15:chartTrackingRefBased/>
  <w15:docId w15:val="{A3C2F216-2E5B-44E8-A6EE-730F617FB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3F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74E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textrun">
    <w:name w:val="textrun"/>
    <w:basedOn w:val="DefaultParagraphFont"/>
    <w:rsid w:val="00E274E7"/>
  </w:style>
  <w:style w:type="character" w:customStyle="1" w:styleId="normaltextrun">
    <w:name w:val="normaltextrun"/>
    <w:basedOn w:val="DefaultParagraphFont"/>
    <w:rsid w:val="00E274E7"/>
  </w:style>
  <w:style w:type="character" w:styleId="Emphasis">
    <w:name w:val="Emphasis"/>
    <w:basedOn w:val="DefaultParagraphFont"/>
    <w:uiPriority w:val="20"/>
    <w:qFormat/>
    <w:rsid w:val="00E274E7"/>
    <w:rPr>
      <w:i/>
      <w:iCs/>
    </w:rPr>
  </w:style>
  <w:style w:type="character" w:customStyle="1" w:styleId="eop">
    <w:name w:val="eop"/>
    <w:basedOn w:val="DefaultParagraphFont"/>
    <w:rsid w:val="00E274E7"/>
  </w:style>
  <w:style w:type="paragraph" w:styleId="ListParagraph">
    <w:name w:val="List Paragraph"/>
    <w:basedOn w:val="Normal"/>
    <w:uiPriority w:val="34"/>
    <w:qFormat/>
    <w:rsid w:val="00241694"/>
    <w:pPr>
      <w:ind w:left="720"/>
      <w:contextualSpacing/>
    </w:pPr>
  </w:style>
  <w:style w:type="character" w:customStyle="1" w:styleId="Heading1Char">
    <w:name w:val="Heading 1 Char"/>
    <w:basedOn w:val="DefaultParagraphFont"/>
    <w:link w:val="Heading1"/>
    <w:uiPriority w:val="9"/>
    <w:rsid w:val="005653F3"/>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565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78621">
      <w:bodyDiv w:val="1"/>
      <w:marLeft w:val="0"/>
      <w:marRight w:val="0"/>
      <w:marTop w:val="0"/>
      <w:marBottom w:val="0"/>
      <w:divBdr>
        <w:top w:val="none" w:sz="0" w:space="0" w:color="auto"/>
        <w:left w:val="none" w:sz="0" w:space="0" w:color="auto"/>
        <w:bottom w:val="none" w:sz="0" w:space="0" w:color="auto"/>
        <w:right w:val="none" w:sz="0" w:space="0" w:color="auto"/>
      </w:divBdr>
    </w:div>
    <w:div w:id="296496045">
      <w:bodyDiv w:val="1"/>
      <w:marLeft w:val="0"/>
      <w:marRight w:val="0"/>
      <w:marTop w:val="0"/>
      <w:marBottom w:val="0"/>
      <w:divBdr>
        <w:top w:val="none" w:sz="0" w:space="0" w:color="auto"/>
        <w:left w:val="none" w:sz="0" w:space="0" w:color="auto"/>
        <w:bottom w:val="none" w:sz="0" w:space="0" w:color="auto"/>
        <w:right w:val="none" w:sz="0" w:space="0" w:color="auto"/>
      </w:divBdr>
    </w:div>
    <w:div w:id="423457219">
      <w:bodyDiv w:val="1"/>
      <w:marLeft w:val="0"/>
      <w:marRight w:val="0"/>
      <w:marTop w:val="0"/>
      <w:marBottom w:val="0"/>
      <w:divBdr>
        <w:top w:val="none" w:sz="0" w:space="0" w:color="auto"/>
        <w:left w:val="none" w:sz="0" w:space="0" w:color="auto"/>
        <w:bottom w:val="none" w:sz="0" w:space="0" w:color="auto"/>
        <w:right w:val="none" w:sz="0" w:space="0" w:color="auto"/>
      </w:divBdr>
    </w:div>
    <w:div w:id="544025533">
      <w:bodyDiv w:val="1"/>
      <w:marLeft w:val="0"/>
      <w:marRight w:val="0"/>
      <w:marTop w:val="0"/>
      <w:marBottom w:val="0"/>
      <w:divBdr>
        <w:top w:val="none" w:sz="0" w:space="0" w:color="auto"/>
        <w:left w:val="none" w:sz="0" w:space="0" w:color="auto"/>
        <w:bottom w:val="none" w:sz="0" w:space="0" w:color="auto"/>
        <w:right w:val="none" w:sz="0" w:space="0" w:color="auto"/>
      </w:divBdr>
    </w:div>
    <w:div w:id="662777961">
      <w:bodyDiv w:val="1"/>
      <w:marLeft w:val="0"/>
      <w:marRight w:val="0"/>
      <w:marTop w:val="0"/>
      <w:marBottom w:val="0"/>
      <w:divBdr>
        <w:top w:val="none" w:sz="0" w:space="0" w:color="auto"/>
        <w:left w:val="none" w:sz="0" w:space="0" w:color="auto"/>
        <w:bottom w:val="none" w:sz="0" w:space="0" w:color="auto"/>
        <w:right w:val="none" w:sz="0" w:space="0" w:color="auto"/>
      </w:divBdr>
    </w:div>
    <w:div w:id="773984031">
      <w:bodyDiv w:val="1"/>
      <w:marLeft w:val="0"/>
      <w:marRight w:val="0"/>
      <w:marTop w:val="0"/>
      <w:marBottom w:val="0"/>
      <w:divBdr>
        <w:top w:val="none" w:sz="0" w:space="0" w:color="auto"/>
        <w:left w:val="none" w:sz="0" w:space="0" w:color="auto"/>
        <w:bottom w:val="none" w:sz="0" w:space="0" w:color="auto"/>
        <w:right w:val="none" w:sz="0" w:space="0" w:color="auto"/>
      </w:divBdr>
    </w:div>
    <w:div w:id="838616190">
      <w:bodyDiv w:val="1"/>
      <w:marLeft w:val="0"/>
      <w:marRight w:val="0"/>
      <w:marTop w:val="0"/>
      <w:marBottom w:val="0"/>
      <w:divBdr>
        <w:top w:val="none" w:sz="0" w:space="0" w:color="auto"/>
        <w:left w:val="none" w:sz="0" w:space="0" w:color="auto"/>
        <w:bottom w:val="none" w:sz="0" w:space="0" w:color="auto"/>
        <w:right w:val="none" w:sz="0" w:space="0" w:color="auto"/>
      </w:divBdr>
    </w:div>
    <w:div w:id="1060328729">
      <w:bodyDiv w:val="1"/>
      <w:marLeft w:val="0"/>
      <w:marRight w:val="0"/>
      <w:marTop w:val="0"/>
      <w:marBottom w:val="0"/>
      <w:divBdr>
        <w:top w:val="none" w:sz="0" w:space="0" w:color="auto"/>
        <w:left w:val="none" w:sz="0" w:space="0" w:color="auto"/>
        <w:bottom w:val="none" w:sz="0" w:space="0" w:color="auto"/>
        <w:right w:val="none" w:sz="0" w:space="0" w:color="auto"/>
      </w:divBdr>
    </w:div>
    <w:div w:id="1564872051">
      <w:bodyDiv w:val="1"/>
      <w:marLeft w:val="0"/>
      <w:marRight w:val="0"/>
      <w:marTop w:val="0"/>
      <w:marBottom w:val="0"/>
      <w:divBdr>
        <w:top w:val="none" w:sz="0" w:space="0" w:color="auto"/>
        <w:left w:val="none" w:sz="0" w:space="0" w:color="auto"/>
        <w:bottom w:val="none" w:sz="0" w:space="0" w:color="auto"/>
        <w:right w:val="none" w:sz="0" w:space="0" w:color="auto"/>
      </w:divBdr>
    </w:div>
    <w:div w:id="1633828931">
      <w:bodyDiv w:val="1"/>
      <w:marLeft w:val="0"/>
      <w:marRight w:val="0"/>
      <w:marTop w:val="0"/>
      <w:marBottom w:val="0"/>
      <w:divBdr>
        <w:top w:val="none" w:sz="0" w:space="0" w:color="auto"/>
        <w:left w:val="none" w:sz="0" w:space="0" w:color="auto"/>
        <w:bottom w:val="none" w:sz="0" w:space="0" w:color="auto"/>
        <w:right w:val="none" w:sz="0" w:space="0" w:color="auto"/>
      </w:divBdr>
    </w:div>
    <w:div w:id="1664620448">
      <w:bodyDiv w:val="1"/>
      <w:marLeft w:val="0"/>
      <w:marRight w:val="0"/>
      <w:marTop w:val="0"/>
      <w:marBottom w:val="0"/>
      <w:divBdr>
        <w:top w:val="none" w:sz="0" w:space="0" w:color="auto"/>
        <w:left w:val="none" w:sz="0" w:space="0" w:color="auto"/>
        <w:bottom w:val="none" w:sz="0" w:space="0" w:color="auto"/>
        <w:right w:val="none" w:sz="0" w:space="0" w:color="auto"/>
      </w:divBdr>
    </w:div>
    <w:div w:id="1665862832">
      <w:bodyDiv w:val="1"/>
      <w:marLeft w:val="0"/>
      <w:marRight w:val="0"/>
      <w:marTop w:val="0"/>
      <w:marBottom w:val="0"/>
      <w:divBdr>
        <w:top w:val="none" w:sz="0" w:space="0" w:color="auto"/>
        <w:left w:val="none" w:sz="0" w:space="0" w:color="auto"/>
        <w:bottom w:val="none" w:sz="0" w:space="0" w:color="auto"/>
        <w:right w:val="none" w:sz="0" w:space="0" w:color="auto"/>
      </w:divBdr>
    </w:div>
    <w:div w:id="1673681725">
      <w:bodyDiv w:val="1"/>
      <w:marLeft w:val="0"/>
      <w:marRight w:val="0"/>
      <w:marTop w:val="0"/>
      <w:marBottom w:val="0"/>
      <w:divBdr>
        <w:top w:val="none" w:sz="0" w:space="0" w:color="auto"/>
        <w:left w:val="none" w:sz="0" w:space="0" w:color="auto"/>
        <w:bottom w:val="none" w:sz="0" w:space="0" w:color="auto"/>
        <w:right w:val="none" w:sz="0" w:space="0" w:color="auto"/>
      </w:divBdr>
    </w:div>
    <w:div w:id="1720738160">
      <w:bodyDiv w:val="1"/>
      <w:marLeft w:val="0"/>
      <w:marRight w:val="0"/>
      <w:marTop w:val="0"/>
      <w:marBottom w:val="0"/>
      <w:divBdr>
        <w:top w:val="none" w:sz="0" w:space="0" w:color="auto"/>
        <w:left w:val="none" w:sz="0" w:space="0" w:color="auto"/>
        <w:bottom w:val="none" w:sz="0" w:space="0" w:color="auto"/>
        <w:right w:val="none" w:sz="0" w:space="0" w:color="auto"/>
      </w:divBdr>
    </w:div>
    <w:div w:id="1760131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Mar27</b:Tag>
    <b:SourceType>JournalArticle</b:SourceType>
    <b:Guid>{E9D2F21F-3552-47A0-B250-482CABE30260}</b:Guid>
    <b:Author>
      <b:Author>
        <b:NameList>
          <b:Person>
            <b:Last>Heidegger</b:Last>
            <b:First>Martin</b:First>
          </b:Person>
        </b:NameList>
      </b:Author>
    </b:Author>
    <b:Title>Being and Time</b:Title>
    <b:Year>1927</b:Year>
    <b:City>Berlin</b:City>
    <b:Publisher>Guthenberg Press</b:Publisher>
    <b:RefOrder>1</b:RefOrder>
  </b:Source>
  <b:Source>
    <b:Tag>Mer14</b:Tag>
    <b:SourceType>Book</b:SourceType>
    <b:Guid>{C887A804-650E-4EFD-BC17-0CE925EB697E}</b:Guid>
    <b:Author>
      <b:Author>
        <b:NameList>
          <b:Person>
            <b:Last>Merleau-Ponty</b:Last>
            <b:First>Maurice</b:First>
          </b:Person>
        </b:NameList>
      </b:Author>
      <b:Translator>
        <b:NameList>
          <b:Person>
            <b:Last>Landers</b:Last>
            <b:First>Donald</b:First>
            <b:Middle>A.</b:Middle>
          </b:Person>
        </b:NameList>
      </b:Translator>
    </b:Author>
    <b:Title>Phenomenology of Perception</b:Title>
    <b:Year>2014</b:Year>
    <b:City>Oxford</b:City>
    <b:Publisher>Routledge</b:Publisher>
    <b:RefOrder>2</b:RefOrder>
  </b:Source>
  <b:Source>
    <b:Tag>Sar57</b:Tag>
    <b:SourceType>Book</b:SourceType>
    <b:Guid>{2911856A-29B8-42F7-A273-0725654979F8}</b:Guid>
    <b:Author>
      <b:Author>
        <b:NameList>
          <b:Person>
            <b:Last>Sartre</b:Last>
            <b:First>Jean-Paul</b:First>
          </b:Person>
        </b:NameList>
      </b:Author>
      <b:Translator>
        <b:NameList>
          <b:Person>
            <b:Last>Barnes</b:Last>
            <b:First>Hazel</b:First>
            <b:Middle>E.</b:Middle>
          </b:Person>
        </b:NameList>
      </b:Translator>
    </b:Author>
    <b:Title>Being and Nothingness</b:Title>
    <b:Year>1957</b:Year>
    <b:City>London</b:City>
    <b:Publisher>Methuen &amp; CO LTD</b:Publisher>
    <b:RefOrder>3</b:RefOrder>
  </b:Source>
  <b:Source>
    <b:Tag>Jon03</b:Tag>
    <b:SourceType>Book</b:SourceType>
    <b:Guid>{20EB4F61-6F02-414B-A027-1436C076218A}</b:Guid>
    <b:Author>
      <b:Author>
        <b:NameList>
          <b:Person>
            <b:Last>Jones</b:Last>
            <b:First>Gerald</b:First>
          </b:Person>
          <b:Person>
            <b:Last>Cardinal</b:Last>
            <b:First>Daniel</b:First>
          </b:Person>
          <b:Person>
            <b:Last>Hayward</b:Last>
            <b:First>Jeremy</b:First>
          </b:Person>
        </b:NameList>
      </b:Author>
    </b:Author>
    <b:Title>Existentialism and Humanism</b:Title>
    <b:Year>2003</b:Year>
    <b:City>London</b:City>
    <b:Publisher>John Murray Ltd</b:Publisher>
    <b:RefOrder>4</b:RefOrder>
  </b:Source>
  <b:Source>
    <b:Tag>Van14</b:Tag>
    <b:SourceType>JournalArticle</b:SourceType>
    <b:Guid>{B1D29577-F949-42DB-BE9B-D6165B212E60}</b:Guid>
    <b:Title>The Magic of the Other: Sartre on Our Relation with Others in Ontology and Experience</b:Title>
    <b:Year>2014</b:Year>
    <b:JournalName>Sartre Studies International</b:JournalName>
    <b:Pages>58-75</b:Pages>
    <b:Volume>20</b:Volume>
    <b:Issue>2</b:Issue>
    <b:Author>
      <b:Author>
        <b:NameList>
          <b:Person>
            <b:Last>Van der Wielen</b:Last>
            <b:First>Julie</b:First>
          </b:Person>
        </b:NameList>
      </b:Author>
    </b:Author>
    <b:Month>Winter</b:Month>
    <b:YearAccessed>2024</b:YearAccessed>
    <b:MonthAccessed>February</b:MonthAccessed>
    <b:DayAccessed>9</b:DayAccessed>
    <b:URL>DOI:10.3167/ssi.2014.200205</b:URL>
    <b:RefOrder>5</b:RefOrder>
  </b:Source>
  <b:Source>
    <b:Tag>Los14</b:Tag>
    <b:SourceType>JournalArticle</b:SourceType>
    <b:Guid>{DE6B0DA0-3710-459F-AF1A-BD6574C428AC}</b:Guid>
    <b:Author>
      <b:Author>
        <b:NameList>
          <b:Person>
            <b:Last>Losoncz</b:Last>
            <b:First>Alpar</b:First>
          </b:Person>
        </b:NameList>
      </b:Author>
    </b:Author>
    <b:Title>Two Conflicting Interpretations of Social Philosophy</b:Title>
    <b:JournalName>Institute for Philosophy and Social Theory</b:JournalName>
    <b:Year>2014</b:Year>
    <b:Pages>56-76</b:Pages>
    <b:Volume>25</b:Volume>
    <b:Issue>2</b:Issue>
    <b:YearAccessed>2024</b:YearAccessed>
    <b:MonthAccessed>February</b:MonthAccessed>
    <b:DayAccessed>9</b:DayAccessed>
    <b:DOI>10.2298/FID1402056L</b:DOI>
    <b:RefOrder>6</b:RefOrder>
  </b:Source>
  <b:Source>
    <b:Tag>Sar</b:Tag>
    <b:SourceType>Misc</b:SourceType>
    <b:Guid>{F4B34657-AC0B-47ED-827A-B1D4C4A64EBA}</b:Guid>
    <b:Title>Existentialism is a Humanism</b:Title>
    <b:Year>1946</b:Year>
    <b:Publisher>Meridian Publishing Company, 1989</b:Publisher>
    <b:Author>
      <b:Author>
        <b:NameList>
          <b:Person>
            <b:Last>Sartre</b:Last>
            <b:First>Jean-Paul</b:First>
          </b:Person>
        </b:NameList>
      </b:Author>
      <b:Editor>
        <b:NameList>
          <b:Person>
            <b:Last>Kaufman</b:Last>
            <b:First>Walter</b:First>
          </b:Person>
        </b:NameList>
      </b:Editor>
      <b:Translator>
        <b:NameList>
          <b:Person>
            <b:Last>Mairet</b:Last>
            <b:First>Philip</b:First>
          </b:Person>
        </b:NameList>
      </b:Translator>
    </b:Author>
    <b:PublicationTitle>Existentialism from Dostoyevsky to Sartre, ed.</b:PublicationTitle>
    <b:RefOrder>7</b:RefOrder>
  </b:Source>
  <b:Source>
    <b:Tag>Sim98</b:Tag>
    <b:SourceType>Book</b:SourceType>
    <b:Guid>{054A9EE3-D644-42CA-9EAE-2250CB34319E}</b:Guid>
    <b:Title>On Being With Others: Heidegger, Derrida, Wittgenstein</b:Title>
    <b:Year>1998</b:Year>
    <b:City>London</b:City>
    <b:Publisher>Routledge</b:Publisher>
    <b:Author>
      <b:Author>
        <b:NameList>
          <b:Person>
            <b:Last>Glendinning</b:Last>
            <b:First>Simon</b:First>
          </b:Person>
        </b:NameList>
      </b:Author>
    </b:Author>
    <b:Edition>1st</b:Edition>
    <b:RefOrder>8</b:RefOrder>
  </b:Source>
  <b:Source>
    <b:Tag>Ron60</b:Tag>
    <b:SourceType>Book</b:SourceType>
    <b:Guid>{CCC7FF6F-9984-420B-87AC-34FAD977EEB0}</b:Guid>
    <b:Author>
      <b:Author>
        <b:NameList>
          <b:Person>
            <b:Last>Grimsely</b:Last>
            <b:First>Ronald</b:First>
          </b:Person>
        </b:NameList>
      </b:Author>
    </b:Author>
    <b:Title>Existentialist Thought</b:Title>
    <b:Year>1960</b:Year>
    <b:City>Cardiff</b:City>
    <b:Publisher>University of Wales Press</b:Publisher>
    <b:RefOrder>9</b:RefOrder>
  </b:Source>
  <b:Source>
    <b:Tag>Wil90</b:Tag>
    <b:SourceType>Book</b:SourceType>
    <b:Guid>{5522F5A8-3C08-4B5B-BE16-C79E5A1E67E5}</b:Guid>
    <b:Author>
      <b:Author>
        <b:NameList>
          <b:Person>
            <b:Last>Barrett</b:Last>
            <b:First>William</b:First>
          </b:Person>
        </b:NameList>
      </b:Author>
    </b:Author>
    <b:Title>Irrational Man</b:Title>
    <b:Year>1990</b:Year>
    <b:City>New York</b:City>
    <b:Publisher>Anchor Books</b:Publisher>
    <b:RefOrder>10</b:RefOrder>
  </b:Source>
  <b:Source>
    <b:Tag>Jam52</b:Tag>
    <b:SourceType>Book</b:SourceType>
    <b:Guid>{EBA85707-81FC-4F44-89BD-00BC71FCA819}</b:Guid>
    <b:Author>
      <b:Author>
        <b:NameList>
          <b:Person>
            <b:Last>Collins</b:Last>
            <b:First>James</b:First>
          </b:Person>
        </b:NameList>
      </b:Author>
    </b:Author>
    <b:Title>The Existentialists: A Critical Study</b:Title>
    <b:Year>1952</b:Year>
    <b:City>Chicago</b:City>
    <b:Publisher>Fourth Gateway Printing</b:Publisher>
    <b:RefOrder>11</b:RefOrder>
  </b:Source>
</b:Sources>
</file>

<file path=customXml/itemProps1.xml><?xml version="1.0" encoding="utf-8"?>
<ds:datastoreItem xmlns:ds="http://schemas.openxmlformats.org/officeDocument/2006/customXml" ds:itemID="{E84833EE-198C-42C8-A82A-D938BB7F6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5</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6</cp:revision>
  <dcterms:created xsi:type="dcterms:W3CDTF">2024-02-11T17:48:00Z</dcterms:created>
  <dcterms:modified xsi:type="dcterms:W3CDTF">2024-02-11T19:34:00Z</dcterms:modified>
</cp:coreProperties>
</file>