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041F86" w14:textId="77777777" w:rsidR="00461302" w:rsidRDefault="00461302" w:rsidP="000F55AE">
      <w:pPr>
        <w:spacing w:line="360" w:lineRule="auto"/>
        <w:jc w:val="both"/>
        <w:rPr>
          <w:rFonts w:ascii="Arial" w:hAnsi="Arial" w:cs="Arial"/>
          <w:b/>
        </w:rPr>
      </w:pPr>
    </w:p>
    <w:p w14:paraId="723A1485" w14:textId="77777777" w:rsidR="00461302" w:rsidRDefault="00461302" w:rsidP="00461302">
      <w:pPr>
        <w:spacing w:line="360" w:lineRule="auto"/>
        <w:ind w:left="5040"/>
        <w:jc w:val="both"/>
        <w:rPr>
          <w:rFonts w:ascii="Arial" w:hAnsi="Arial" w:cs="Arial"/>
          <w:b/>
        </w:rPr>
      </w:pPr>
      <w:r>
        <w:rPr>
          <w:rFonts w:ascii="Arial" w:hAnsi="Arial" w:cs="Arial"/>
          <w:b/>
          <w:noProof/>
        </w:rPr>
        <w:drawing>
          <wp:inline distT="0" distB="0" distL="0" distR="0" wp14:anchorId="418403AC" wp14:editId="636DA22B">
            <wp:extent cx="2487295" cy="1000125"/>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87295" cy="1000125"/>
                    </a:xfrm>
                    <a:prstGeom prst="rect">
                      <a:avLst/>
                    </a:prstGeom>
                    <a:noFill/>
                  </pic:spPr>
                </pic:pic>
              </a:graphicData>
            </a:graphic>
          </wp:inline>
        </w:drawing>
      </w: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461302" w:rsidRPr="00CF2389" w14:paraId="1844BC9A" w14:textId="77777777" w:rsidTr="00342B6A">
        <w:trPr>
          <w:trHeight w:val="179"/>
          <w:jc w:val="center"/>
        </w:trPr>
        <w:tc>
          <w:tcPr>
            <w:tcW w:w="0" w:type="auto"/>
            <w:hideMark/>
          </w:tcPr>
          <w:p w14:paraId="39321F0A" w14:textId="77777777" w:rsidR="00461302" w:rsidRPr="00CF2389" w:rsidRDefault="00461302" w:rsidP="00342B6A">
            <w:pPr>
              <w:tabs>
                <w:tab w:val="right" w:pos="2299"/>
              </w:tabs>
              <w:spacing w:line="360" w:lineRule="auto"/>
              <w:jc w:val="both"/>
              <w:rPr>
                <w:rFonts w:ascii="Arial" w:eastAsia="Times New Roman" w:hAnsi="Arial" w:cs="Arial"/>
                <w:b/>
                <w:bCs/>
                <w:sz w:val="24"/>
                <w:szCs w:val="24"/>
              </w:rPr>
            </w:pPr>
            <w:r w:rsidRPr="00CF2389">
              <w:rPr>
                <w:rFonts w:ascii="Arial" w:eastAsia="Times New Roman" w:hAnsi="Arial" w:cs="Arial"/>
                <w:b/>
                <w:bCs/>
                <w:sz w:val="24"/>
                <w:szCs w:val="24"/>
              </w:rPr>
              <w:t>Student Name:</w:t>
            </w:r>
            <w:r w:rsidRPr="00CF2389">
              <w:rPr>
                <w:rFonts w:ascii="Arial" w:eastAsia="Times New Roman" w:hAnsi="Arial" w:cs="Arial"/>
                <w:b/>
                <w:bCs/>
                <w:sz w:val="24"/>
                <w:szCs w:val="24"/>
              </w:rPr>
              <w:tab/>
            </w:r>
          </w:p>
        </w:tc>
        <w:tc>
          <w:tcPr>
            <w:tcW w:w="5825" w:type="dxa"/>
            <w:hideMark/>
          </w:tcPr>
          <w:p w14:paraId="52DD8BB0" w14:textId="0FC3E619" w:rsidR="00461302" w:rsidRPr="00CF2389" w:rsidRDefault="00461302" w:rsidP="00342B6A">
            <w:pPr>
              <w:spacing w:line="360" w:lineRule="auto"/>
              <w:jc w:val="both"/>
              <w:rPr>
                <w:rFonts w:ascii="Arial" w:eastAsia="Times New Roman" w:hAnsi="Arial" w:cs="Arial"/>
                <w:b/>
                <w:bCs/>
                <w:sz w:val="24"/>
                <w:szCs w:val="24"/>
              </w:rPr>
            </w:pPr>
            <w:r>
              <w:rPr>
                <w:rFonts w:ascii="Arial" w:eastAsia="Times New Roman" w:hAnsi="Arial" w:cs="Arial"/>
                <w:b/>
                <w:bCs/>
                <w:sz w:val="24"/>
                <w:szCs w:val="24"/>
              </w:rPr>
              <w:t>Ashfaq</w:t>
            </w:r>
            <w:r w:rsidR="009D2DA8">
              <w:rPr>
                <w:rFonts w:ascii="Arial" w:eastAsia="Times New Roman" w:hAnsi="Arial" w:cs="Arial"/>
                <w:b/>
                <w:bCs/>
                <w:sz w:val="24"/>
                <w:szCs w:val="24"/>
              </w:rPr>
              <w:t xml:space="preserve"> Mohammad</w:t>
            </w:r>
          </w:p>
        </w:tc>
      </w:tr>
      <w:tr w:rsidR="00461302" w:rsidRPr="00CF2389" w14:paraId="481949D4" w14:textId="77777777" w:rsidTr="00342B6A">
        <w:trPr>
          <w:jc w:val="center"/>
        </w:trPr>
        <w:tc>
          <w:tcPr>
            <w:tcW w:w="0" w:type="auto"/>
            <w:hideMark/>
          </w:tcPr>
          <w:p w14:paraId="2004155F" w14:textId="77777777" w:rsidR="00461302" w:rsidRPr="00CF2389" w:rsidRDefault="00461302" w:rsidP="00342B6A">
            <w:pPr>
              <w:spacing w:line="360" w:lineRule="auto"/>
              <w:jc w:val="both"/>
              <w:rPr>
                <w:rFonts w:ascii="Arial" w:eastAsia="Times New Roman" w:hAnsi="Arial" w:cs="Arial"/>
                <w:sz w:val="24"/>
                <w:szCs w:val="24"/>
              </w:rPr>
            </w:pPr>
            <w:r w:rsidRPr="00CF2389">
              <w:rPr>
                <w:rFonts w:ascii="Arial" w:eastAsia="Times New Roman" w:hAnsi="Arial" w:cs="Arial"/>
                <w:b/>
                <w:bCs/>
                <w:sz w:val="24"/>
                <w:szCs w:val="24"/>
              </w:rPr>
              <w:t>Student ID Number:</w:t>
            </w:r>
          </w:p>
        </w:tc>
        <w:tc>
          <w:tcPr>
            <w:tcW w:w="5825" w:type="dxa"/>
            <w:hideMark/>
          </w:tcPr>
          <w:p w14:paraId="57B4A48B" w14:textId="391D9BAE" w:rsidR="00461302" w:rsidRPr="00CF2389" w:rsidRDefault="009D2DA8" w:rsidP="00342B6A">
            <w:pPr>
              <w:spacing w:line="360" w:lineRule="auto"/>
              <w:jc w:val="both"/>
              <w:rPr>
                <w:rFonts w:ascii="Arial" w:eastAsia="Times New Roman" w:hAnsi="Arial" w:cs="Arial"/>
                <w:b/>
                <w:sz w:val="24"/>
                <w:szCs w:val="24"/>
              </w:rPr>
            </w:pPr>
            <w:r>
              <w:rPr>
                <w:rFonts w:ascii="Arial" w:eastAsia="Times New Roman" w:hAnsi="Arial" w:cs="Arial"/>
                <w:b/>
                <w:sz w:val="24"/>
                <w:szCs w:val="24"/>
              </w:rPr>
              <w:t>2504711</w:t>
            </w:r>
          </w:p>
        </w:tc>
      </w:tr>
      <w:tr w:rsidR="00461302" w:rsidRPr="00CF2389" w14:paraId="79300B8E" w14:textId="77777777" w:rsidTr="00342B6A">
        <w:trPr>
          <w:jc w:val="center"/>
        </w:trPr>
        <w:tc>
          <w:tcPr>
            <w:tcW w:w="0" w:type="auto"/>
            <w:hideMark/>
          </w:tcPr>
          <w:p w14:paraId="0D3221FC" w14:textId="77777777" w:rsidR="00461302" w:rsidRPr="00CF2389" w:rsidRDefault="00461302" w:rsidP="00342B6A">
            <w:pPr>
              <w:spacing w:line="360" w:lineRule="auto"/>
              <w:jc w:val="both"/>
              <w:rPr>
                <w:rFonts w:ascii="Arial" w:eastAsia="Times New Roman" w:hAnsi="Arial" w:cs="Arial"/>
                <w:sz w:val="24"/>
                <w:szCs w:val="24"/>
              </w:rPr>
            </w:pPr>
            <w:r w:rsidRPr="00CF2389">
              <w:rPr>
                <w:rFonts w:ascii="Arial" w:eastAsia="Times New Roman" w:hAnsi="Arial" w:cs="Arial"/>
                <w:b/>
                <w:bCs/>
                <w:sz w:val="24"/>
                <w:szCs w:val="24"/>
              </w:rPr>
              <w:t>Programme:</w:t>
            </w:r>
          </w:p>
        </w:tc>
        <w:tc>
          <w:tcPr>
            <w:tcW w:w="5825" w:type="dxa"/>
            <w:hideMark/>
          </w:tcPr>
          <w:p w14:paraId="574E7D76" w14:textId="77777777" w:rsidR="00461302" w:rsidRPr="00CF2389" w:rsidRDefault="00461302" w:rsidP="00342B6A">
            <w:pPr>
              <w:spacing w:line="360" w:lineRule="auto"/>
              <w:jc w:val="both"/>
              <w:rPr>
                <w:rFonts w:ascii="Arial" w:eastAsia="Times New Roman" w:hAnsi="Arial" w:cs="Arial"/>
                <w:b/>
                <w:sz w:val="24"/>
                <w:szCs w:val="24"/>
              </w:rPr>
            </w:pPr>
            <w:r w:rsidRPr="00CF2389">
              <w:rPr>
                <w:rFonts w:ascii="Arial" w:hAnsi="Arial" w:cs="Arial"/>
                <w:b/>
                <w:sz w:val="24"/>
                <w:szCs w:val="24"/>
              </w:rPr>
              <w:t>BSc Health and Social Care</w:t>
            </w:r>
          </w:p>
        </w:tc>
      </w:tr>
      <w:tr w:rsidR="00461302" w:rsidRPr="00CF2389" w14:paraId="4EFC51F6" w14:textId="77777777" w:rsidTr="00342B6A">
        <w:trPr>
          <w:jc w:val="center"/>
        </w:trPr>
        <w:tc>
          <w:tcPr>
            <w:tcW w:w="0" w:type="auto"/>
            <w:hideMark/>
          </w:tcPr>
          <w:p w14:paraId="433831CF" w14:textId="77777777" w:rsidR="00461302" w:rsidRPr="00CF2389" w:rsidRDefault="00461302" w:rsidP="00342B6A">
            <w:pPr>
              <w:spacing w:line="360" w:lineRule="auto"/>
              <w:jc w:val="both"/>
              <w:rPr>
                <w:rFonts w:ascii="Arial" w:eastAsia="Times New Roman" w:hAnsi="Arial" w:cs="Arial"/>
                <w:sz w:val="24"/>
                <w:szCs w:val="24"/>
              </w:rPr>
            </w:pPr>
            <w:r w:rsidRPr="00CF2389">
              <w:rPr>
                <w:rFonts w:ascii="Arial" w:eastAsia="Times New Roman" w:hAnsi="Arial" w:cs="Arial"/>
                <w:b/>
                <w:bCs/>
                <w:sz w:val="24"/>
                <w:szCs w:val="24"/>
              </w:rPr>
              <w:t>Module Title:</w:t>
            </w:r>
          </w:p>
        </w:tc>
        <w:tc>
          <w:tcPr>
            <w:tcW w:w="5825" w:type="dxa"/>
            <w:hideMark/>
          </w:tcPr>
          <w:p w14:paraId="5DDBA957" w14:textId="77777777" w:rsidR="00461302" w:rsidRPr="00CF2389" w:rsidRDefault="00461302" w:rsidP="00342B6A">
            <w:pPr>
              <w:spacing w:before="120" w:after="120"/>
              <w:jc w:val="both"/>
              <w:rPr>
                <w:rFonts w:ascii="Arial" w:hAnsi="Arial" w:cs="Arial"/>
                <w:b/>
                <w:sz w:val="24"/>
                <w:szCs w:val="24"/>
              </w:rPr>
            </w:pPr>
            <w:r w:rsidRPr="00CF2389">
              <w:rPr>
                <w:rFonts w:ascii="Arial" w:hAnsi="Arial" w:cs="Arial"/>
                <w:b/>
                <w:sz w:val="24"/>
                <w:szCs w:val="24"/>
              </w:rPr>
              <w:t>Principles of Health and Social Care Practice</w:t>
            </w:r>
          </w:p>
        </w:tc>
      </w:tr>
      <w:tr w:rsidR="00461302" w:rsidRPr="00CF2389" w14:paraId="5C55EFA9" w14:textId="77777777" w:rsidTr="00342B6A">
        <w:trPr>
          <w:jc w:val="center"/>
        </w:trPr>
        <w:tc>
          <w:tcPr>
            <w:tcW w:w="0" w:type="auto"/>
            <w:hideMark/>
          </w:tcPr>
          <w:p w14:paraId="40E11EA9" w14:textId="77777777" w:rsidR="00461302" w:rsidRPr="00CF2389" w:rsidRDefault="00461302" w:rsidP="00342B6A">
            <w:pPr>
              <w:spacing w:line="360" w:lineRule="auto"/>
              <w:jc w:val="both"/>
              <w:rPr>
                <w:rFonts w:ascii="Arial" w:eastAsia="Times New Roman" w:hAnsi="Arial" w:cs="Arial"/>
                <w:b/>
                <w:bCs/>
                <w:sz w:val="24"/>
                <w:szCs w:val="24"/>
              </w:rPr>
            </w:pPr>
            <w:r w:rsidRPr="00CF2389">
              <w:rPr>
                <w:rFonts w:ascii="Arial" w:eastAsia="Times New Roman" w:hAnsi="Arial" w:cs="Arial"/>
                <w:b/>
                <w:bCs/>
                <w:sz w:val="24"/>
                <w:szCs w:val="24"/>
              </w:rPr>
              <w:t>Module Code:</w:t>
            </w:r>
          </w:p>
          <w:p w14:paraId="17622080" w14:textId="77777777" w:rsidR="00461302" w:rsidRPr="00CF2389" w:rsidRDefault="00461302" w:rsidP="00342B6A">
            <w:pPr>
              <w:spacing w:line="360" w:lineRule="auto"/>
              <w:jc w:val="both"/>
              <w:rPr>
                <w:rFonts w:ascii="Arial" w:eastAsia="Times New Roman" w:hAnsi="Arial" w:cs="Arial"/>
                <w:sz w:val="24"/>
                <w:szCs w:val="24"/>
              </w:rPr>
            </w:pPr>
            <w:r w:rsidRPr="00CF2389">
              <w:rPr>
                <w:rFonts w:ascii="Arial" w:eastAsia="Times New Roman" w:hAnsi="Arial" w:cs="Arial"/>
                <w:b/>
                <w:bCs/>
                <w:sz w:val="24"/>
                <w:szCs w:val="24"/>
              </w:rPr>
              <w:t>Lecturer name:</w:t>
            </w:r>
          </w:p>
        </w:tc>
        <w:tc>
          <w:tcPr>
            <w:tcW w:w="5825" w:type="dxa"/>
            <w:hideMark/>
          </w:tcPr>
          <w:p w14:paraId="2A857F94" w14:textId="77777777" w:rsidR="00461302" w:rsidRPr="00CF2389" w:rsidRDefault="00461302" w:rsidP="00342B6A">
            <w:pPr>
              <w:spacing w:line="360" w:lineRule="auto"/>
              <w:jc w:val="both"/>
              <w:rPr>
                <w:rFonts w:ascii="Arial" w:hAnsi="Arial" w:cs="Arial"/>
                <w:b/>
                <w:sz w:val="24"/>
                <w:szCs w:val="24"/>
              </w:rPr>
            </w:pPr>
            <w:r w:rsidRPr="00CF2389">
              <w:rPr>
                <w:rFonts w:ascii="Arial" w:hAnsi="Arial" w:cs="Arial"/>
                <w:b/>
                <w:sz w:val="24"/>
                <w:szCs w:val="24"/>
              </w:rPr>
              <w:t>BMHP5016</w:t>
            </w:r>
          </w:p>
          <w:p w14:paraId="5E7C29A1" w14:textId="77777777" w:rsidR="00461302" w:rsidRPr="00CF2389" w:rsidRDefault="00461302" w:rsidP="00342B6A">
            <w:pPr>
              <w:spacing w:line="360" w:lineRule="auto"/>
              <w:jc w:val="both"/>
              <w:rPr>
                <w:rFonts w:ascii="Arial" w:eastAsia="Times New Roman" w:hAnsi="Arial" w:cs="Arial"/>
                <w:sz w:val="24"/>
                <w:szCs w:val="24"/>
              </w:rPr>
            </w:pPr>
            <w:r w:rsidRPr="00CF2389">
              <w:rPr>
                <w:rFonts w:ascii="Arial" w:hAnsi="Arial" w:cs="Arial"/>
                <w:b/>
                <w:sz w:val="24"/>
                <w:szCs w:val="24"/>
              </w:rPr>
              <w:t>Kennedy Obohwemu</w:t>
            </w:r>
          </w:p>
        </w:tc>
      </w:tr>
    </w:tbl>
    <w:p w14:paraId="67D80EFE" w14:textId="77777777" w:rsidR="00461302" w:rsidRDefault="00461302" w:rsidP="000F55AE">
      <w:pPr>
        <w:spacing w:line="360" w:lineRule="auto"/>
        <w:jc w:val="both"/>
        <w:rPr>
          <w:rFonts w:ascii="Arial" w:hAnsi="Arial" w:cs="Arial"/>
          <w:b/>
        </w:rPr>
      </w:pPr>
    </w:p>
    <w:p w14:paraId="66C415FD" w14:textId="77777777" w:rsidR="00461302" w:rsidRDefault="00461302" w:rsidP="000F55AE">
      <w:pPr>
        <w:spacing w:line="360" w:lineRule="auto"/>
        <w:jc w:val="both"/>
        <w:rPr>
          <w:rFonts w:ascii="Arial" w:hAnsi="Arial" w:cs="Arial"/>
          <w:b/>
        </w:rPr>
      </w:pPr>
    </w:p>
    <w:p w14:paraId="0B8C8473" w14:textId="77777777" w:rsidR="00461302" w:rsidRDefault="00461302" w:rsidP="000F55AE">
      <w:pPr>
        <w:spacing w:line="360" w:lineRule="auto"/>
        <w:jc w:val="both"/>
        <w:rPr>
          <w:rFonts w:ascii="Arial" w:hAnsi="Arial" w:cs="Arial"/>
          <w:b/>
        </w:rPr>
      </w:pPr>
    </w:p>
    <w:p w14:paraId="28C1D4B8" w14:textId="77777777" w:rsidR="00461302" w:rsidRDefault="00461302" w:rsidP="000F55AE">
      <w:pPr>
        <w:spacing w:line="360" w:lineRule="auto"/>
        <w:jc w:val="both"/>
        <w:rPr>
          <w:rFonts w:ascii="Arial" w:hAnsi="Arial" w:cs="Arial"/>
          <w:b/>
        </w:rPr>
      </w:pPr>
    </w:p>
    <w:p w14:paraId="2F0A5F60" w14:textId="77777777" w:rsidR="00461302" w:rsidRDefault="00461302" w:rsidP="000F55AE">
      <w:pPr>
        <w:spacing w:line="360" w:lineRule="auto"/>
        <w:jc w:val="both"/>
        <w:rPr>
          <w:rFonts w:ascii="Arial" w:hAnsi="Arial" w:cs="Arial"/>
          <w:b/>
        </w:rPr>
      </w:pPr>
    </w:p>
    <w:p w14:paraId="3BF9B91F" w14:textId="77777777" w:rsidR="00461302" w:rsidRDefault="00461302" w:rsidP="000F55AE">
      <w:pPr>
        <w:spacing w:line="360" w:lineRule="auto"/>
        <w:jc w:val="both"/>
        <w:rPr>
          <w:rFonts w:ascii="Arial" w:hAnsi="Arial" w:cs="Arial"/>
          <w:b/>
        </w:rPr>
      </w:pPr>
    </w:p>
    <w:p w14:paraId="763FAC88" w14:textId="77777777" w:rsidR="00461302" w:rsidRDefault="00461302" w:rsidP="000F55AE">
      <w:pPr>
        <w:spacing w:line="360" w:lineRule="auto"/>
        <w:jc w:val="both"/>
        <w:rPr>
          <w:rFonts w:ascii="Arial" w:hAnsi="Arial" w:cs="Arial"/>
          <w:b/>
        </w:rPr>
      </w:pPr>
    </w:p>
    <w:p w14:paraId="03CAC82F" w14:textId="77777777" w:rsidR="00461302" w:rsidRDefault="00461302" w:rsidP="000F55AE">
      <w:pPr>
        <w:spacing w:line="360" w:lineRule="auto"/>
        <w:jc w:val="both"/>
        <w:rPr>
          <w:rFonts w:ascii="Arial" w:hAnsi="Arial" w:cs="Arial"/>
          <w:b/>
        </w:rPr>
      </w:pPr>
    </w:p>
    <w:p w14:paraId="156E6069" w14:textId="77777777" w:rsidR="00461302" w:rsidRDefault="00461302" w:rsidP="000F55AE">
      <w:pPr>
        <w:spacing w:line="360" w:lineRule="auto"/>
        <w:jc w:val="both"/>
        <w:rPr>
          <w:rFonts w:ascii="Arial" w:hAnsi="Arial" w:cs="Arial"/>
          <w:b/>
        </w:rPr>
      </w:pPr>
    </w:p>
    <w:p w14:paraId="46754B80" w14:textId="77777777" w:rsidR="00461302" w:rsidRDefault="00461302" w:rsidP="000F55AE">
      <w:pPr>
        <w:spacing w:line="360" w:lineRule="auto"/>
        <w:jc w:val="both"/>
        <w:rPr>
          <w:rFonts w:ascii="Arial" w:hAnsi="Arial" w:cs="Arial"/>
          <w:b/>
        </w:rPr>
      </w:pPr>
    </w:p>
    <w:p w14:paraId="1CDE3F8D" w14:textId="77777777" w:rsidR="00461302" w:rsidRDefault="00461302" w:rsidP="000F55AE">
      <w:pPr>
        <w:spacing w:line="360" w:lineRule="auto"/>
        <w:jc w:val="both"/>
        <w:rPr>
          <w:rFonts w:ascii="Arial" w:hAnsi="Arial" w:cs="Arial"/>
          <w:b/>
        </w:rPr>
      </w:pPr>
    </w:p>
    <w:p w14:paraId="1538B3BB" w14:textId="77777777" w:rsidR="00461302" w:rsidRDefault="00461302" w:rsidP="000F55AE">
      <w:pPr>
        <w:spacing w:line="360" w:lineRule="auto"/>
        <w:jc w:val="both"/>
        <w:rPr>
          <w:rFonts w:ascii="Arial" w:hAnsi="Arial" w:cs="Arial"/>
          <w:b/>
        </w:rPr>
      </w:pPr>
    </w:p>
    <w:p w14:paraId="3B53C68E" w14:textId="77777777" w:rsidR="00461302" w:rsidRDefault="00461302" w:rsidP="000F55AE">
      <w:pPr>
        <w:spacing w:line="360" w:lineRule="auto"/>
        <w:jc w:val="both"/>
        <w:rPr>
          <w:rFonts w:ascii="Arial" w:hAnsi="Arial" w:cs="Arial"/>
          <w:b/>
        </w:rPr>
      </w:pPr>
    </w:p>
    <w:p w14:paraId="17F50337" w14:textId="77777777" w:rsidR="00461302" w:rsidRDefault="00461302" w:rsidP="000F55AE">
      <w:pPr>
        <w:spacing w:line="360" w:lineRule="auto"/>
        <w:jc w:val="both"/>
        <w:rPr>
          <w:rFonts w:ascii="Arial" w:hAnsi="Arial" w:cs="Arial"/>
          <w:b/>
        </w:rPr>
      </w:pPr>
    </w:p>
    <w:p w14:paraId="2D890F5A" w14:textId="77777777" w:rsidR="00461302" w:rsidRDefault="00461302" w:rsidP="000F55AE">
      <w:pPr>
        <w:spacing w:line="360" w:lineRule="auto"/>
        <w:jc w:val="both"/>
        <w:rPr>
          <w:rFonts w:ascii="Arial" w:hAnsi="Arial" w:cs="Arial"/>
          <w:b/>
        </w:rPr>
      </w:pPr>
    </w:p>
    <w:p w14:paraId="7E1EB646" w14:textId="77777777" w:rsidR="005A19D5" w:rsidRPr="005A19D5" w:rsidRDefault="005A19D5" w:rsidP="005A19D5">
      <w:pPr>
        <w:pStyle w:val="NormalWeb"/>
        <w:rPr>
          <w:rFonts w:ascii="Arial" w:hAnsi="Arial" w:cs="Arial"/>
        </w:rPr>
      </w:pPr>
      <w:r w:rsidRPr="005A19D5">
        <w:rPr>
          <w:rStyle w:val="Strong"/>
          <w:rFonts w:ascii="Arial" w:hAnsi="Arial" w:cs="Arial"/>
        </w:rPr>
        <w:lastRenderedPageBreak/>
        <w:t>Table of Contents</w:t>
      </w:r>
    </w:p>
    <w:p w14:paraId="7B439FAD" w14:textId="77777777" w:rsidR="005A19D5" w:rsidRPr="005A19D5" w:rsidRDefault="005A19D5" w:rsidP="005A19D5">
      <w:pPr>
        <w:pStyle w:val="NormalWeb"/>
        <w:rPr>
          <w:rFonts w:ascii="Arial" w:hAnsi="Arial" w:cs="Arial"/>
          <w:sz w:val="22"/>
          <w:szCs w:val="22"/>
        </w:rPr>
      </w:pPr>
      <w:r w:rsidRPr="005A19D5">
        <w:rPr>
          <w:rFonts w:ascii="Arial" w:hAnsi="Arial" w:cs="Arial"/>
          <w:sz w:val="22"/>
          <w:szCs w:val="22"/>
        </w:rPr>
        <w:t>Introduction ..................................</w:t>
      </w:r>
      <w:r>
        <w:rPr>
          <w:rFonts w:ascii="Arial" w:hAnsi="Arial" w:cs="Arial"/>
          <w:sz w:val="22"/>
          <w:szCs w:val="22"/>
        </w:rPr>
        <w:t>..........................................................</w:t>
      </w:r>
      <w:r w:rsidRPr="005A19D5">
        <w:rPr>
          <w:rFonts w:ascii="Arial" w:hAnsi="Arial" w:cs="Arial"/>
          <w:sz w:val="22"/>
          <w:szCs w:val="22"/>
        </w:rPr>
        <w:t>........</w:t>
      </w:r>
      <w:r>
        <w:rPr>
          <w:rFonts w:ascii="Arial" w:hAnsi="Arial" w:cs="Arial"/>
          <w:sz w:val="22"/>
          <w:szCs w:val="22"/>
        </w:rPr>
        <w:t>.............................. 3</w:t>
      </w:r>
    </w:p>
    <w:p w14:paraId="6C51A09D" w14:textId="77777777" w:rsidR="005A19D5" w:rsidRPr="005A19D5" w:rsidRDefault="005A19D5" w:rsidP="005A19D5">
      <w:pPr>
        <w:pStyle w:val="NormalWeb"/>
        <w:rPr>
          <w:rFonts w:ascii="Arial" w:hAnsi="Arial" w:cs="Arial"/>
          <w:sz w:val="22"/>
          <w:szCs w:val="22"/>
        </w:rPr>
      </w:pPr>
      <w:r w:rsidRPr="005A19D5">
        <w:rPr>
          <w:rFonts w:ascii="Arial" w:hAnsi="Arial" w:cs="Arial"/>
          <w:sz w:val="22"/>
          <w:szCs w:val="22"/>
        </w:rPr>
        <w:t>Task 1: Importance of Key Principles in Health and Social Care .....</w:t>
      </w:r>
      <w:r>
        <w:rPr>
          <w:rFonts w:ascii="Arial" w:hAnsi="Arial" w:cs="Arial"/>
          <w:sz w:val="22"/>
          <w:szCs w:val="22"/>
        </w:rPr>
        <w:t>........................................</w:t>
      </w:r>
      <w:r w:rsidRPr="005A19D5">
        <w:rPr>
          <w:rFonts w:ascii="Arial" w:hAnsi="Arial" w:cs="Arial"/>
          <w:sz w:val="22"/>
          <w:szCs w:val="22"/>
        </w:rPr>
        <w:t xml:space="preserve">... </w:t>
      </w:r>
      <w:r>
        <w:rPr>
          <w:rFonts w:ascii="Arial" w:hAnsi="Arial" w:cs="Arial"/>
          <w:sz w:val="22"/>
          <w:szCs w:val="22"/>
        </w:rPr>
        <w:t>3</w:t>
      </w:r>
    </w:p>
    <w:p w14:paraId="128B8F1D" w14:textId="77777777" w:rsidR="005A19D5" w:rsidRPr="005A19D5" w:rsidRDefault="005A19D5" w:rsidP="005A19D5">
      <w:pPr>
        <w:pStyle w:val="NormalWeb"/>
        <w:rPr>
          <w:rFonts w:ascii="Arial" w:hAnsi="Arial" w:cs="Arial"/>
          <w:sz w:val="22"/>
          <w:szCs w:val="22"/>
        </w:rPr>
      </w:pPr>
      <w:r w:rsidRPr="005A19D5">
        <w:rPr>
          <w:rFonts w:ascii="Arial" w:hAnsi="Arial" w:cs="Arial"/>
          <w:sz w:val="22"/>
          <w:szCs w:val="22"/>
        </w:rPr>
        <w:t>Task 2: Practical Application of Principles in Joan’s Story ..........</w:t>
      </w:r>
      <w:r>
        <w:rPr>
          <w:rFonts w:ascii="Arial" w:hAnsi="Arial" w:cs="Arial"/>
          <w:sz w:val="22"/>
          <w:szCs w:val="22"/>
        </w:rPr>
        <w:t>...........................................</w:t>
      </w:r>
      <w:r w:rsidRPr="005A19D5">
        <w:rPr>
          <w:rFonts w:ascii="Arial" w:hAnsi="Arial" w:cs="Arial"/>
          <w:sz w:val="22"/>
          <w:szCs w:val="22"/>
        </w:rPr>
        <w:t>..... 5</w:t>
      </w:r>
    </w:p>
    <w:p w14:paraId="0EFE0A8E" w14:textId="77777777" w:rsidR="005A19D5" w:rsidRPr="005A19D5" w:rsidRDefault="005A19D5" w:rsidP="005A19D5">
      <w:pPr>
        <w:pStyle w:val="NormalWeb"/>
        <w:rPr>
          <w:rFonts w:ascii="Arial" w:hAnsi="Arial" w:cs="Arial"/>
          <w:sz w:val="22"/>
          <w:szCs w:val="22"/>
        </w:rPr>
      </w:pPr>
      <w:r w:rsidRPr="005A19D5">
        <w:rPr>
          <w:rFonts w:ascii="Arial" w:hAnsi="Arial" w:cs="Arial"/>
          <w:sz w:val="22"/>
          <w:szCs w:val="22"/>
        </w:rPr>
        <w:t>Task 3: Self-Reflection as a Future Occupational Therapist ........</w:t>
      </w:r>
      <w:r>
        <w:rPr>
          <w:rFonts w:ascii="Arial" w:hAnsi="Arial" w:cs="Arial"/>
          <w:sz w:val="22"/>
          <w:szCs w:val="22"/>
        </w:rPr>
        <w:t>........................................</w:t>
      </w:r>
      <w:r w:rsidRPr="005A19D5">
        <w:rPr>
          <w:rFonts w:ascii="Arial" w:hAnsi="Arial" w:cs="Arial"/>
          <w:sz w:val="22"/>
          <w:szCs w:val="22"/>
        </w:rPr>
        <w:t>....... 7</w:t>
      </w:r>
    </w:p>
    <w:p w14:paraId="42E793D8" w14:textId="77777777" w:rsidR="005A19D5" w:rsidRPr="005A19D5" w:rsidRDefault="005A19D5" w:rsidP="005A19D5">
      <w:pPr>
        <w:pStyle w:val="NormalWeb"/>
        <w:rPr>
          <w:rFonts w:ascii="Arial" w:hAnsi="Arial" w:cs="Arial"/>
          <w:sz w:val="22"/>
          <w:szCs w:val="22"/>
        </w:rPr>
      </w:pPr>
      <w:r w:rsidRPr="005A19D5">
        <w:rPr>
          <w:rFonts w:ascii="Arial" w:hAnsi="Arial" w:cs="Arial"/>
          <w:sz w:val="22"/>
          <w:szCs w:val="22"/>
        </w:rPr>
        <w:t>Conclusion .............................................................</w:t>
      </w:r>
      <w:r>
        <w:rPr>
          <w:rFonts w:ascii="Arial" w:hAnsi="Arial" w:cs="Arial"/>
          <w:sz w:val="22"/>
          <w:szCs w:val="22"/>
        </w:rPr>
        <w:t>.....................................................</w:t>
      </w:r>
      <w:r w:rsidRPr="005A19D5">
        <w:rPr>
          <w:rFonts w:ascii="Arial" w:hAnsi="Arial" w:cs="Arial"/>
          <w:sz w:val="22"/>
          <w:szCs w:val="22"/>
        </w:rPr>
        <w:t>............... 10</w:t>
      </w:r>
    </w:p>
    <w:p w14:paraId="491FB064" w14:textId="77777777" w:rsidR="005A19D5" w:rsidRPr="005A19D5" w:rsidRDefault="005A19D5" w:rsidP="005A19D5">
      <w:pPr>
        <w:pStyle w:val="NormalWeb"/>
        <w:rPr>
          <w:rFonts w:ascii="Arial" w:hAnsi="Arial" w:cs="Arial"/>
          <w:sz w:val="22"/>
          <w:szCs w:val="22"/>
        </w:rPr>
      </w:pPr>
      <w:r w:rsidRPr="005A19D5">
        <w:rPr>
          <w:rFonts w:ascii="Arial" w:hAnsi="Arial" w:cs="Arial"/>
          <w:sz w:val="22"/>
          <w:szCs w:val="22"/>
        </w:rPr>
        <w:t>References ...............................................</w:t>
      </w:r>
      <w:r>
        <w:rPr>
          <w:rFonts w:ascii="Arial" w:hAnsi="Arial" w:cs="Arial"/>
          <w:sz w:val="22"/>
          <w:szCs w:val="22"/>
        </w:rPr>
        <w:t>....................................................</w:t>
      </w:r>
      <w:r w:rsidRPr="005A19D5">
        <w:rPr>
          <w:rFonts w:ascii="Arial" w:hAnsi="Arial" w:cs="Arial"/>
          <w:sz w:val="22"/>
          <w:szCs w:val="22"/>
        </w:rPr>
        <w:t>............................. 11</w:t>
      </w:r>
    </w:p>
    <w:p w14:paraId="5FBECDE2" w14:textId="77777777" w:rsidR="00461302" w:rsidRDefault="00461302" w:rsidP="000F55AE">
      <w:pPr>
        <w:spacing w:line="360" w:lineRule="auto"/>
        <w:jc w:val="both"/>
        <w:rPr>
          <w:rFonts w:ascii="Arial" w:hAnsi="Arial" w:cs="Arial"/>
          <w:b/>
        </w:rPr>
      </w:pPr>
    </w:p>
    <w:p w14:paraId="35ED43F9" w14:textId="77777777" w:rsidR="00461302" w:rsidRDefault="00461302" w:rsidP="000F55AE">
      <w:pPr>
        <w:spacing w:line="360" w:lineRule="auto"/>
        <w:jc w:val="both"/>
        <w:rPr>
          <w:rFonts w:ascii="Arial" w:hAnsi="Arial" w:cs="Arial"/>
          <w:b/>
        </w:rPr>
      </w:pPr>
    </w:p>
    <w:p w14:paraId="6A557E5F" w14:textId="77777777" w:rsidR="00461302" w:rsidRDefault="00461302" w:rsidP="000F55AE">
      <w:pPr>
        <w:spacing w:line="360" w:lineRule="auto"/>
        <w:jc w:val="both"/>
        <w:rPr>
          <w:rFonts w:ascii="Arial" w:hAnsi="Arial" w:cs="Arial"/>
          <w:b/>
        </w:rPr>
      </w:pPr>
    </w:p>
    <w:p w14:paraId="6CDDF753" w14:textId="77777777" w:rsidR="00461302" w:rsidRDefault="00461302" w:rsidP="000F55AE">
      <w:pPr>
        <w:spacing w:line="360" w:lineRule="auto"/>
        <w:jc w:val="both"/>
        <w:rPr>
          <w:rFonts w:ascii="Arial" w:hAnsi="Arial" w:cs="Arial"/>
          <w:b/>
        </w:rPr>
      </w:pPr>
    </w:p>
    <w:p w14:paraId="1A660BD0" w14:textId="77777777" w:rsidR="00461302" w:rsidRDefault="00461302" w:rsidP="000F55AE">
      <w:pPr>
        <w:spacing w:line="360" w:lineRule="auto"/>
        <w:jc w:val="both"/>
        <w:rPr>
          <w:rFonts w:ascii="Arial" w:hAnsi="Arial" w:cs="Arial"/>
          <w:b/>
        </w:rPr>
      </w:pPr>
    </w:p>
    <w:p w14:paraId="57DFEA53" w14:textId="77777777" w:rsidR="00461302" w:rsidRDefault="00461302" w:rsidP="000F55AE">
      <w:pPr>
        <w:spacing w:line="360" w:lineRule="auto"/>
        <w:jc w:val="both"/>
        <w:rPr>
          <w:rFonts w:ascii="Arial" w:hAnsi="Arial" w:cs="Arial"/>
          <w:b/>
        </w:rPr>
      </w:pPr>
    </w:p>
    <w:p w14:paraId="442D6218" w14:textId="77777777" w:rsidR="00461302" w:rsidRDefault="00461302" w:rsidP="000F55AE">
      <w:pPr>
        <w:spacing w:line="360" w:lineRule="auto"/>
        <w:jc w:val="both"/>
        <w:rPr>
          <w:rFonts w:ascii="Arial" w:hAnsi="Arial" w:cs="Arial"/>
          <w:b/>
        </w:rPr>
      </w:pPr>
    </w:p>
    <w:p w14:paraId="1C191ACC" w14:textId="77777777" w:rsidR="00461302" w:rsidRDefault="00461302" w:rsidP="000F55AE">
      <w:pPr>
        <w:spacing w:line="360" w:lineRule="auto"/>
        <w:jc w:val="both"/>
        <w:rPr>
          <w:rFonts w:ascii="Arial" w:hAnsi="Arial" w:cs="Arial"/>
          <w:b/>
        </w:rPr>
      </w:pPr>
    </w:p>
    <w:p w14:paraId="0A25C30E" w14:textId="77777777" w:rsidR="00461302" w:rsidRDefault="00461302" w:rsidP="000F55AE">
      <w:pPr>
        <w:spacing w:line="360" w:lineRule="auto"/>
        <w:jc w:val="both"/>
        <w:rPr>
          <w:rFonts w:ascii="Arial" w:hAnsi="Arial" w:cs="Arial"/>
          <w:b/>
        </w:rPr>
      </w:pPr>
    </w:p>
    <w:p w14:paraId="65B89360" w14:textId="77777777" w:rsidR="00461302" w:rsidRDefault="00461302" w:rsidP="000F55AE">
      <w:pPr>
        <w:spacing w:line="360" w:lineRule="auto"/>
        <w:jc w:val="both"/>
        <w:rPr>
          <w:rFonts w:ascii="Arial" w:hAnsi="Arial" w:cs="Arial"/>
          <w:b/>
        </w:rPr>
      </w:pPr>
    </w:p>
    <w:p w14:paraId="74FAB8EA" w14:textId="77777777" w:rsidR="00461302" w:rsidRDefault="00461302" w:rsidP="000F55AE">
      <w:pPr>
        <w:spacing w:line="360" w:lineRule="auto"/>
        <w:jc w:val="both"/>
        <w:rPr>
          <w:rFonts w:ascii="Arial" w:hAnsi="Arial" w:cs="Arial"/>
          <w:b/>
        </w:rPr>
      </w:pPr>
    </w:p>
    <w:p w14:paraId="5194F08D" w14:textId="77777777" w:rsidR="00461302" w:rsidRDefault="00461302" w:rsidP="000F55AE">
      <w:pPr>
        <w:spacing w:line="360" w:lineRule="auto"/>
        <w:jc w:val="both"/>
        <w:rPr>
          <w:rFonts w:ascii="Arial" w:hAnsi="Arial" w:cs="Arial"/>
          <w:b/>
        </w:rPr>
      </w:pPr>
    </w:p>
    <w:p w14:paraId="59DD41B0" w14:textId="77777777" w:rsidR="00461302" w:rsidRDefault="00461302" w:rsidP="000F55AE">
      <w:pPr>
        <w:spacing w:line="360" w:lineRule="auto"/>
        <w:jc w:val="both"/>
        <w:rPr>
          <w:rFonts w:ascii="Arial" w:hAnsi="Arial" w:cs="Arial"/>
          <w:b/>
        </w:rPr>
      </w:pPr>
    </w:p>
    <w:p w14:paraId="182DEF6E" w14:textId="77777777" w:rsidR="00461302" w:rsidRDefault="00461302" w:rsidP="000F55AE">
      <w:pPr>
        <w:spacing w:line="360" w:lineRule="auto"/>
        <w:jc w:val="both"/>
        <w:rPr>
          <w:rFonts w:ascii="Arial" w:hAnsi="Arial" w:cs="Arial"/>
          <w:b/>
        </w:rPr>
      </w:pPr>
    </w:p>
    <w:p w14:paraId="3547176B" w14:textId="77777777" w:rsidR="00461302" w:rsidRDefault="00461302" w:rsidP="000F55AE">
      <w:pPr>
        <w:spacing w:line="360" w:lineRule="auto"/>
        <w:jc w:val="both"/>
        <w:rPr>
          <w:rFonts w:ascii="Arial" w:hAnsi="Arial" w:cs="Arial"/>
          <w:b/>
        </w:rPr>
      </w:pPr>
    </w:p>
    <w:p w14:paraId="035A3027" w14:textId="77777777" w:rsidR="00461302" w:rsidRDefault="00461302" w:rsidP="000F55AE">
      <w:pPr>
        <w:spacing w:line="360" w:lineRule="auto"/>
        <w:jc w:val="both"/>
        <w:rPr>
          <w:rFonts w:ascii="Arial" w:hAnsi="Arial" w:cs="Arial"/>
          <w:b/>
        </w:rPr>
      </w:pPr>
    </w:p>
    <w:p w14:paraId="35F5F833" w14:textId="77777777" w:rsidR="005A19D5" w:rsidRDefault="005A19D5" w:rsidP="000F55AE">
      <w:pPr>
        <w:spacing w:line="360" w:lineRule="auto"/>
        <w:jc w:val="both"/>
        <w:rPr>
          <w:rFonts w:ascii="Arial" w:hAnsi="Arial" w:cs="Arial"/>
          <w:b/>
        </w:rPr>
      </w:pPr>
    </w:p>
    <w:p w14:paraId="383F8090" w14:textId="77777777" w:rsidR="00972BEF" w:rsidRPr="000F55AE" w:rsidRDefault="00972BEF" w:rsidP="000F55AE">
      <w:pPr>
        <w:spacing w:line="360" w:lineRule="auto"/>
        <w:jc w:val="both"/>
        <w:rPr>
          <w:rFonts w:ascii="Arial" w:hAnsi="Arial" w:cs="Arial"/>
          <w:b/>
        </w:rPr>
      </w:pPr>
      <w:r w:rsidRPr="000F55AE">
        <w:rPr>
          <w:rFonts w:ascii="Arial" w:hAnsi="Arial" w:cs="Arial"/>
          <w:b/>
        </w:rPr>
        <w:lastRenderedPageBreak/>
        <w:t>1. Introduction</w:t>
      </w:r>
    </w:p>
    <w:p w14:paraId="7733EB73" w14:textId="77777777" w:rsidR="00F91784" w:rsidRPr="008715B4" w:rsidRDefault="00972BEF" w:rsidP="008715B4">
      <w:pPr>
        <w:pStyle w:val="NormalWeb"/>
        <w:spacing w:line="360" w:lineRule="auto"/>
        <w:jc w:val="both"/>
        <w:rPr>
          <w:rFonts w:ascii="Arial" w:hAnsi="Arial" w:cs="Arial"/>
          <w:sz w:val="22"/>
          <w:szCs w:val="22"/>
        </w:rPr>
      </w:pPr>
      <w:r w:rsidRPr="008715B4">
        <w:rPr>
          <w:rFonts w:ascii="Arial" w:hAnsi="Arial" w:cs="Arial"/>
          <w:sz w:val="22"/>
          <w:szCs w:val="22"/>
        </w:rPr>
        <w:t>This report explores the concepts of person-centred care, partnership working and ethics in health and social care in the UK. It reflects on the significance of these principles, the way these principles are seen in a pract</w:t>
      </w:r>
      <w:r w:rsidR="003A0FF4" w:rsidRPr="008715B4">
        <w:rPr>
          <w:rFonts w:ascii="Arial" w:hAnsi="Arial" w:cs="Arial"/>
          <w:sz w:val="22"/>
          <w:szCs w:val="22"/>
        </w:rPr>
        <w:t xml:space="preserve">ice community and how I </w:t>
      </w:r>
      <w:r w:rsidRPr="008715B4">
        <w:rPr>
          <w:rFonts w:ascii="Arial" w:hAnsi="Arial" w:cs="Arial"/>
          <w:sz w:val="22"/>
          <w:szCs w:val="22"/>
        </w:rPr>
        <w:t xml:space="preserve">will use them as an occupational therapist. In task 1, each principle is defined and assessed, based on theory, policy and recent research. Task 2 focuses on Joan, who is a case study from the Moodle website for a woman with chronic obstructive pulmonary disease (COPD). Her low Patient Activation Measure (PAM) score identified a hidden barrier to care, uncontrolled Crohn's disease, and helped develop an action plan with her. </w:t>
      </w:r>
      <w:r w:rsidR="008715B4">
        <w:rPr>
          <w:rFonts w:ascii="Arial" w:hAnsi="Arial" w:cs="Arial"/>
          <w:sz w:val="22"/>
          <w:szCs w:val="22"/>
        </w:rPr>
        <w:t xml:space="preserve">Task 3 is a </w:t>
      </w:r>
      <w:r w:rsidR="00457AF0">
        <w:rPr>
          <w:rFonts w:ascii="Arial" w:hAnsi="Arial" w:cs="Arial"/>
          <w:sz w:val="22"/>
          <w:szCs w:val="22"/>
        </w:rPr>
        <w:t>self</w:t>
      </w:r>
      <w:r w:rsidR="00457AF0" w:rsidRPr="008715B4">
        <w:rPr>
          <w:rFonts w:ascii="Arial" w:hAnsi="Arial" w:cs="Arial"/>
          <w:sz w:val="22"/>
          <w:szCs w:val="22"/>
        </w:rPr>
        <w:t>-reflection</w:t>
      </w:r>
      <w:r w:rsidR="008715B4" w:rsidRPr="008715B4">
        <w:rPr>
          <w:rFonts w:ascii="Arial" w:hAnsi="Arial" w:cs="Arial"/>
          <w:sz w:val="22"/>
          <w:szCs w:val="22"/>
        </w:rPr>
        <w:t xml:space="preserve"> structured through Gibbs' (1988) reflective cycle </w:t>
      </w:r>
      <w:r w:rsidR="00782856" w:rsidRPr="008715B4">
        <w:rPr>
          <w:rFonts w:ascii="Arial" w:hAnsi="Arial" w:cs="Arial"/>
          <w:sz w:val="22"/>
          <w:szCs w:val="22"/>
        </w:rPr>
        <w:t>(Ghosh, Bhagat and Cox, 2022).</w:t>
      </w:r>
    </w:p>
    <w:p w14:paraId="1DDCA47F" w14:textId="77777777" w:rsidR="00972BEF" w:rsidRDefault="00972BEF" w:rsidP="000F55AE">
      <w:pPr>
        <w:spacing w:line="360" w:lineRule="auto"/>
        <w:jc w:val="both"/>
        <w:rPr>
          <w:rFonts w:ascii="Arial" w:hAnsi="Arial" w:cs="Arial"/>
          <w:b/>
        </w:rPr>
      </w:pPr>
      <w:r w:rsidRPr="000F55AE">
        <w:rPr>
          <w:rFonts w:ascii="Arial" w:hAnsi="Arial" w:cs="Arial"/>
          <w:b/>
        </w:rPr>
        <w:t>Task 1: Reflection on the importance of the principles</w:t>
      </w:r>
    </w:p>
    <w:p w14:paraId="349F7095" w14:textId="77777777" w:rsidR="00F22321" w:rsidRPr="00F22321" w:rsidRDefault="00F22321" w:rsidP="000F55AE">
      <w:pPr>
        <w:spacing w:line="360" w:lineRule="auto"/>
        <w:jc w:val="both"/>
        <w:rPr>
          <w:rFonts w:ascii="Arial" w:hAnsi="Arial" w:cs="Arial"/>
          <w:b/>
        </w:rPr>
      </w:pPr>
      <w:r w:rsidRPr="00F22321">
        <w:rPr>
          <w:rFonts w:ascii="Arial" w:hAnsi="Arial" w:cs="Arial"/>
        </w:rPr>
        <w:t>Person-centred care is care based on an individual’s identified needs and expressed wishes. In England it is a legal duty under Regulation 9 of the Health and Social Care Act 2008 (Regulated Activities) Regulations 2014: care must meet all of a person’s needs and reflect their preferences. If a preference cannot be met, providers must explain how this affects the person and consider alternatives (CQC, 2025). In occupational therapy, Ghosh, Bhagat and Cox (2022) link person-centred practice with dignity, independence and quality of life, with shared decision making at its heart. Maslow (1943) offers a useful theory here: even when physiological and safety needs are manageable, higher needs of belonging and esteem may remain unmet. Symptoms interfering with daily living must therefore be addressed first. The 6Cs (care, compassion, competence, communication, courage, commitment) also reinforce this approach</w:t>
      </w:r>
      <w:r>
        <w:rPr>
          <w:rFonts w:ascii="Arial" w:hAnsi="Arial" w:cs="Arial"/>
        </w:rPr>
        <w:t>.</w:t>
      </w:r>
    </w:p>
    <w:p w14:paraId="63AED2CD" w14:textId="77777777" w:rsidR="00F22321" w:rsidRDefault="00F22321" w:rsidP="004B7273">
      <w:pPr>
        <w:spacing w:line="360" w:lineRule="auto"/>
        <w:ind w:left="1440"/>
        <w:jc w:val="both"/>
        <w:rPr>
          <w:rFonts w:ascii="Arial" w:hAnsi="Arial" w:cs="Arial"/>
          <w:b/>
        </w:rPr>
      </w:pPr>
    </w:p>
    <w:p w14:paraId="44D9F809" w14:textId="77777777" w:rsidR="004B7273" w:rsidRDefault="00F22321" w:rsidP="004B7273">
      <w:pPr>
        <w:spacing w:line="360" w:lineRule="auto"/>
        <w:ind w:left="1440"/>
        <w:jc w:val="both"/>
        <w:rPr>
          <w:rFonts w:ascii="Arial" w:hAnsi="Arial" w:cs="Arial"/>
        </w:rPr>
      </w:pPr>
      <w:r>
        <w:rPr>
          <w:noProof/>
        </w:rPr>
        <w:drawing>
          <wp:inline distT="0" distB="0" distL="0" distR="0" wp14:anchorId="3CF59B1F" wp14:editId="170FE3C7">
            <wp:extent cx="3678555" cy="1627761"/>
            <wp:effectExtent l="0" t="0" r="0" b="0"/>
            <wp:docPr id="4" name="Picture 4" descr="6 Cs of Care: What They Are and Why They Matter - Flour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6 Cs of Care: What They Are and Why They Matter - Flouris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83620" cy="1630002"/>
                    </a:xfrm>
                    <a:prstGeom prst="rect">
                      <a:avLst/>
                    </a:prstGeom>
                    <a:noFill/>
                    <a:ln>
                      <a:noFill/>
                    </a:ln>
                  </pic:spPr>
                </pic:pic>
              </a:graphicData>
            </a:graphic>
          </wp:inline>
        </w:drawing>
      </w:r>
    </w:p>
    <w:p w14:paraId="790D4AE1" w14:textId="77777777" w:rsidR="004B7273" w:rsidRDefault="004B7273" w:rsidP="004B7273">
      <w:pPr>
        <w:spacing w:line="360" w:lineRule="auto"/>
        <w:jc w:val="both"/>
        <w:rPr>
          <w:rFonts w:ascii="Arial" w:hAnsi="Arial" w:cs="Arial"/>
        </w:rPr>
      </w:pPr>
      <w:r>
        <w:rPr>
          <w:rFonts w:ascii="Arial" w:hAnsi="Arial" w:cs="Arial"/>
        </w:rPr>
        <w:t xml:space="preserve">                                                       (</w:t>
      </w:r>
      <w:r w:rsidR="00782856">
        <w:rPr>
          <w:rFonts w:ascii="Arial" w:hAnsi="Arial" w:cs="Arial"/>
        </w:rPr>
        <w:t>Peter, 2026</w:t>
      </w:r>
      <w:r>
        <w:rPr>
          <w:rFonts w:ascii="Arial" w:hAnsi="Arial" w:cs="Arial"/>
        </w:rPr>
        <w:t xml:space="preserve">) </w:t>
      </w:r>
    </w:p>
    <w:p w14:paraId="0DFEA33C" w14:textId="77777777" w:rsidR="00972BEF" w:rsidRDefault="00972BEF" w:rsidP="004B7273">
      <w:pPr>
        <w:spacing w:line="360" w:lineRule="auto"/>
        <w:jc w:val="both"/>
        <w:rPr>
          <w:rFonts w:ascii="Arial" w:hAnsi="Arial" w:cs="Arial"/>
        </w:rPr>
      </w:pPr>
      <w:r w:rsidRPr="003A0FF4">
        <w:rPr>
          <w:rFonts w:ascii="Arial" w:hAnsi="Arial" w:cs="Arial"/>
          <w:b/>
        </w:rPr>
        <w:lastRenderedPageBreak/>
        <w:t>Partnership working</w:t>
      </w:r>
      <w:r w:rsidRPr="000F55AE">
        <w:rPr>
          <w:rFonts w:ascii="Arial" w:hAnsi="Arial" w:cs="Arial"/>
        </w:rPr>
        <w:t xml:space="preserve"> is a dynamic relationship between the person, profe</w:t>
      </w:r>
      <w:r w:rsidR="004B7273">
        <w:rPr>
          <w:rFonts w:ascii="Arial" w:hAnsi="Arial" w:cs="Arial"/>
        </w:rPr>
        <w:t>ssionals and services. CQC (2025</w:t>
      </w:r>
      <w:r w:rsidRPr="000F55AE">
        <w:rPr>
          <w:rFonts w:ascii="Arial" w:hAnsi="Arial" w:cs="Arial"/>
        </w:rPr>
        <w:t>) expects providers to collaborate with the individual. Ghosh, Bhagat and Cox (2022) highlight that in order to provide best care in the community, there is a need for cross-service and cross-team collaboration. The Health and Care Act 2022 also backs this with integrated care systems, which bring health and care organisations together to plan and deliver care. Quality is enhanced when all professionals are able to view the person as a whole. It's particularly important for those with multiple conditions cared for by multiple teams.</w:t>
      </w:r>
    </w:p>
    <w:p w14:paraId="7CC8F442" w14:textId="77777777" w:rsidR="004B7273" w:rsidRDefault="004B7273" w:rsidP="000F55AE">
      <w:pPr>
        <w:spacing w:line="360" w:lineRule="auto"/>
        <w:jc w:val="both"/>
        <w:rPr>
          <w:rFonts w:ascii="Arial" w:hAnsi="Arial" w:cs="Arial"/>
        </w:rPr>
      </w:pPr>
      <w:r w:rsidRPr="004B7273">
        <w:rPr>
          <w:rFonts w:ascii="Arial" w:hAnsi="Arial" w:cs="Arial"/>
          <w:noProof/>
        </w:rPr>
        <w:drawing>
          <wp:inline distT="0" distB="0" distL="0" distR="0" wp14:anchorId="7FF32BFA" wp14:editId="2EEB064A">
            <wp:extent cx="5713095" cy="5544820"/>
            <wp:effectExtent l="0" t="0" r="1905" b="0"/>
            <wp:docPr id="2" name="Picture 2" descr="NHS reform: Integrated Care Systems - House of Commons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HS reform: Integrated Care Systems - House of Commons Libra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3095" cy="5544820"/>
                    </a:xfrm>
                    <a:prstGeom prst="rect">
                      <a:avLst/>
                    </a:prstGeom>
                    <a:noFill/>
                    <a:ln>
                      <a:noFill/>
                    </a:ln>
                  </pic:spPr>
                </pic:pic>
              </a:graphicData>
            </a:graphic>
          </wp:inline>
        </w:drawing>
      </w:r>
    </w:p>
    <w:p w14:paraId="444F8269" w14:textId="77777777" w:rsidR="004B7273" w:rsidRPr="000F55AE" w:rsidRDefault="004B7273" w:rsidP="000F55AE">
      <w:pPr>
        <w:spacing w:line="360" w:lineRule="auto"/>
        <w:jc w:val="both"/>
        <w:rPr>
          <w:rFonts w:ascii="Arial" w:hAnsi="Arial" w:cs="Arial"/>
        </w:rPr>
      </w:pPr>
      <w:r>
        <w:rPr>
          <w:rFonts w:ascii="Arial" w:hAnsi="Arial" w:cs="Arial"/>
        </w:rPr>
        <w:t xml:space="preserve">                                                       (NHS reform, 2019)</w:t>
      </w:r>
    </w:p>
    <w:p w14:paraId="394AC87E" w14:textId="77777777" w:rsidR="00972BEF" w:rsidRPr="000F55AE" w:rsidRDefault="00972BEF" w:rsidP="000F55AE">
      <w:pPr>
        <w:spacing w:line="360" w:lineRule="auto"/>
        <w:jc w:val="both"/>
        <w:rPr>
          <w:rFonts w:ascii="Arial" w:hAnsi="Arial" w:cs="Arial"/>
        </w:rPr>
      </w:pPr>
      <w:r w:rsidRPr="003A0FF4">
        <w:rPr>
          <w:rFonts w:ascii="Arial" w:hAnsi="Arial" w:cs="Arial"/>
          <w:b/>
        </w:rPr>
        <w:lastRenderedPageBreak/>
        <w:t>Ethical practice</w:t>
      </w:r>
      <w:r w:rsidRPr="000F55AE">
        <w:rPr>
          <w:rFonts w:ascii="Arial" w:hAnsi="Arial" w:cs="Arial"/>
        </w:rPr>
        <w:t xml:space="preserve"> is professional behaviour that is shaped by accepted values. The Royal College of Occupational Therapists (RCOT, 2026) establishes the practices, behaviours and values that the occupational therapy workforce expects of themselves, and assists registrants to fulfil requirements of the Health and Care Professions Council. There is a balance to be struck between autonomy, beneficence and non-maleficence when considering ethics. Clinicians may place greater importance on their own safety judgments than older adults' wishes, resulting in clinician moral distress (MacLeod et al., 2023). In their study, older people sometimes put quality of life above safety.</w:t>
      </w:r>
    </w:p>
    <w:p w14:paraId="04FA5528" w14:textId="77777777" w:rsidR="00972BEF" w:rsidRPr="000F55AE" w:rsidRDefault="00972BEF" w:rsidP="000F55AE">
      <w:pPr>
        <w:spacing w:line="360" w:lineRule="auto"/>
        <w:jc w:val="both"/>
        <w:rPr>
          <w:rFonts w:ascii="Arial" w:hAnsi="Arial" w:cs="Arial"/>
        </w:rPr>
      </w:pPr>
      <w:r w:rsidRPr="000F55AE">
        <w:rPr>
          <w:rFonts w:ascii="Arial" w:hAnsi="Arial" w:cs="Arial"/>
        </w:rPr>
        <w:t>These principles combine to move quality from stable clinical care to what people are able to do and value. This is recognised in the Care Act 2014, which puts wellbeing at the centre of care and support, including people's control over their daily lives. The relationship between self-management and the link is illustrated. It is medical, emotional and role management, according to Kinsella and King (2024). They warn of the presumption of occupational therapist's suitability to support it being tested with an occupation-centred lens, where the person's context is taken into account.</w:t>
      </w:r>
    </w:p>
    <w:p w14:paraId="12A188AC" w14:textId="77777777" w:rsidR="00972BEF" w:rsidRPr="000F55AE" w:rsidRDefault="00972BEF" w:rsidP="000F55AE">
      <w:pPr>
        <w:spacing w:line="360" w:lineRule="auto"/>
        <w:jc w:val="both"/>
        <w:rPr>
          <w:rFonts w:ascii="Arial" w:hAnsi="Arial" w:cs="Arial"/>
        </w:rPr>
      </w:pPr>
      <w:r w:rsidRPr="000F55AE">
        <w:rPr>
          <w:rFonts w:ascii="Arial" w:hAnsi="Arial" w:cs="Arial"/>
        </w:rPr>
        <w:t>The advantages are apparent at system level. A recent meta-analysis by Anderson et al. (2022) showed that patient activation had a negative association with hospitalisation (RR 0.69) and emergency department visits (RR 0.76) in observational studies. Challenges remain. Association does not imply causation and Harper et al. (2024) did not report that PAM predicted short term healthcare use after the ED visit for older adults with mild frailty. Also, implementation requires time, communication skills and a tolerance for risk, and busy services may have difficulty with that.</w:t>
      </w:r>
    </w:p>
    <w:p w14:paraId="5A04D73E" w14:textId="77777777" w:rsidR="00972BEF" w:rsidRDefault="00972BEF" w:rsidP="000F55AE">
      <w:pPr>
        <w:spacing w:line="360" w:lineRule="auto"/>
        <w:jc w:val="both"/>
        <w:rPr>
          <w:rFonts w:ascii="Arial" w:hAnsi="Arial" w:cs="Arial"/>
          <w:b/>
        </w:rPr>
      </w:pPr>
      <w:r w:rsidRPr="000F55AE">
        <w:rPr>
          <w:rFonts w:ascii="Arial" w:hAnsi="Arial" w:cs="Arial"/>
          <w:b/>
        </w:rPr>
        <w:t>Task 2: Practical Example in Practice (Joan's Story)</w:t>
      </w:r>
    </w:p>
    <w:p w14:paraId="06C25E89" w14:textId="77777777" w:rsidR="00C74618" w:rsidRPr="00C74618" w:rsidRDefault="00C74618" w:rsidP="000F55AE">
      <w:pPr>
        <w:spacing w:line="360" w:lineRule="auto"/>
        <w:jc w:val="both"/>
        <w:rPr>
          <w:rFonts w:ascii="Arial" w:hAnsi="Arial" w:cs="Arial"/>
        </w:rPr>
      </w:pPr>
      <w:r w:rsidRPr="00C74618">
        <w:rPr>
          <w:rFonts w:ascii="Arial" w:hAnsi="Arial" w:cs="Arial"/>
        </w:rPr>
        <w:t>Joan suffers from COPD and she was having problems attending her appointments which led to emergency admission. The therapy team of Joan carried out a PAM questionnaire in order to identify the barriers.</w:t>
      </w:r>
    </w:p>
    <w:p w14:paraId="69B16EA8" w14:textId="77777777" w:rsidR="00972BEF" w:rsidRPr="000F55AE" w:rsidRDefault="00461302" w:rsidP="000F55AE">
      <w:pPr>
        <w:spacing w:line="360" w:lineRule="auto"/>
        <w:jc w:val="both"/>
        <w:rPr>
          <w:rFonts w:ascii="Arial" w:hAnsi="Arial" w:cs="Arial"/>
        </w:rPr>
      </w:pPr>
      <w:r>
        <w:rPr>
          <w:rFonts w:ascii="Arial" w:hAnsi="Arial" w:cs="Arial"/>
          <w:b/>
        </w:rPr>
        <w:t>Person-centred care:</w:t>
      </w:r>
      <w:r w:rsidR="00972BEF" w:rsidRPr="000F55AE">
        <w:rPr>
          <w:rFonts w:ascii="Arial" w:hAnsi="Arial" w:cs="Arial"/>
        </w:rPr>
        <w:t xml:space="preserve"> These missed appointments and emergency admissions may have been categorized as non-compliance if there had been a plan in place.</w:t>
      </w:r>
      <w:r w:rsidR="005A19D5">
        <w:rPr>
          <w:rFonts w:ascii="Arial" w:hAnsi="Arial" w:cs="Arial"/>
        </w:rPr>
        <w:t xml:space="preserve"> </w:t>
      </w:r>
      <w:r w:rsidR="00972BEF" w:rsidRPr="000F55AE">
        <w:rPr>
          <w:rFonts w:ascii="Arial" w:hAnsi="Arial" w:cs="Arial"/>
        </w:rPr>
        <w:t xml:space="preserve">If Joan's appointments had been missed and emergency admissions, those could have been considered non-compliance. Her therapist, however, utilized a PAM survey to gain insights into how well she could take care of herself. The score of Level 1 indicated low confidence and knowledge, so support was matched to this. She met with her patients every week, either at her office or home, where she could </w:t>
      </w:r>
      <w:r w:rsidR="00972BEF" w:rsidRPr="000F55AE">
        <w:rPr>
          <w:rFonts w:ascii="Arial" w:hAnsi="Arial" w:cs="Arial"/>
        </w:rPr>
        <w:lastRenderedPageBreak/>
        <w:t xml:space="preserve">discuss the things that concerned her. This is to meet Regulation 9, care is based on assessment of </w:t>
      </w:r>
      <w:r w:rsidR="004B7273">
        <w:rPr>
          <w:rFonts w:ascii="Arial" w:hAnsi="Arial" w:cs="Arial"/>
        </w:rPr>
        <w:t>needs and preferences (CQC, 2025</w:t>
      </w:r>
      <w:r w:rsidR="00972BEF" w:rsidRPr="000F55AE">
        <w:rPr>
          <w:rFonts w:ascii="Arial" w:hAnsi="Arial" w:cs="Arial"/>
        </w:rPr>
        <w:t>). Her main concern was that she didn't want to leave the house because of her uncontrolled Crohn's. This is a representation of Maslow's (1943) hierarchy. Physiological distress prevented her from belonging and self-actualising, but once bowel symptoms were managed, she was able to go shopping with her daughter and participate in rehab.</w:t>
      </w:r>
    </w:p>
    <w:p w14:paraId="56EF0868" w14:textId="77777777" w:rsidR="00972BEF" w:rsidRPr="000F55AE" w:rsidRDefault="00972BEF" w:rsidP="000F55AE">
      <w:pPr>
        <w:spacing w:line="360" w:lineRule="auto"/>
        <w:jc w:val="both"/>
        <w:rPr>
          <w:rFonts w:ascii="Arial" w:hAnsi="Arial" w:cs="Arial"/>
        </w:rPr>
      </w:pPr>
      <w:r w:rsidRPr="000F55AE">
        <w:rPr>
          <w:rFonts w:ascii="Arial" w:hAnsi="Arial" w:cs="Arial"/>
          <w:b/>
        </w:rPr>
        <w:t>Pa</w:t>
      </w:r>
      <w:r w:rsidR="00461302">
        <w:rPr>
          <w:rFonts w:ascii="Arial" w:hAnsi="Arial" w:cs="Arial"/>
          <w:b/>
        </w:rPr>
        <w:t>rtnership working:</w:t>
      </w:r>
      <w:r w:rsidRPr="000F55AE">
        <w:rPr>
          <w:rFonts w:ascii="Arial" w:hAnsi="Arial" w:cs="Arial"/>
        </w:rPr>
        <w:t xml:space="preserve"> Joan and the therapy team developed an action plan together, along with her GP. The GP prescribed the Crohn's and the therapy team helped the individual access pulmonary rehabilitation. Then Joan self-organized community-based rehabilitation, and became a participant not a recipient. This is the cross-service partnership given by Ghosh, Bhagat and Cox (2022). It also highlights joined up working, which is what integrated care systems in the Health and Care Act 2022 are designed to foster.</w:t>
      </w:r>
    </w:p>
    <w:p w14:paraId="2B2274C5" w14:textId="77777777" w:rsidR="00972BEF" w:rsidRPr="000F55AE" w:rsidRDefault="00461302" w:rsidP="000F55AE">
      <w:pPr>
        <w:spacing w:line="360" w:lineRule="auto"/>
        <w:jc w:val="both"/>
        <w:rPr>
          <w:rFonts w:ascii="Arial" w:hAnsi="Arial" w:cs="Arial"/>
        </w:rPr>
      </w:pPr>
      <w:r>
        <w:rPr>
          <w:rFonts w:ascii="Arial" w:hAnsi="Arial" w:cs="Arial"/>
          <w:b/>
        </w:rPr>
        <w:t>Ethical practice:</w:t>
      </w:r>
      <w:r w:rsidR="00972BEF" w:rsidRPr="000F55AE">
        <w:rPr>
          <w:rFonts w:ascii="Arial" w:hAnsi="Arial" w:cs="Arial"/>
        </w:rPr>
        <w:t xml:space="preserve"> The team was respectful of Joan's reasons and goals and did not just give her instructions. Beneficence and non-maleficence were satisfied by treating the Crohn's disease before the attendance. This is the person-led approach that MacLeod et al. (2023) are contrasting with clinicians placing more emphasis on their own safety judgements. It aligns with RCOT's (2026) guidelines of safe, effective and ethical practice.</w:t>
      </w:r>
    </w:p>
    <w:p w14:paraId="63E66E20" w14:textId="77777777" w:rsidR="00972BEF" w:rsidRPr="000F55AE" w:rsidRDefault="00461302" w:rsidP="000F55AE">
      <w:pPr>
        <w:spacing w:line="360" w:lineRule="auto"/>
        <w:jc w:val="both"/>
        <w:rPr>
          <w:rFonts w:ascii="Arial" w:hAnsi="Arial" w:cs="Arial"/>
        </w:rPr>
      </w:pPr>
      <w:r>
        <w:rPr>
          <w:rFonts w:ascii="Arial" w:hAnsi="Arial" w:cs="Arial"/>
          <w:b/>
        </w:rPr>
        <w:t>Impact:</w:t>
      </w:r>
      <w:r w:rsidR="00972BEF" w:rsidRPr="000F55AE">
        <w:rPr>
          <w:rFonts w:ascii="Arial" w:hAnsi="Arial" w:cs="Arial"/>
        </w:rPr>
        <w:t xml:space="preserve"> After seven months Joan's PAM score had increased by over 40%. In the previous year she made 6 of her 9 outpatient visits and she was admitted to hospital 2 times in the emergency room. She made 1 of 10 visits and was admitted to hospital one time in the next year. Her confidence and independence was clearly seen to increase over time, in line with the Care Act 2014 which is </w:t>
      </w:r>
      <w:r w:rsidR="005A19D5" w:rsidRPr="000F55AE">
        <w:rPr>
          <w:rFonts w:ascii="Arial" w:hAnsi="Arial" w:cs="Arial"/>
        </w:rPr>
        <w:t>focused</w:t>
      </w:r>
      <w:r w:rsidR="00972BEF" w:rsidRPr="000F55AE">
        <w:rPr>
          <w:rFonts w:ascii="Arial" w:hAnsi="Arial" w:cs="Arial"/>
        </w:rPr>
        <w:t xml:space="preserve"> on wellbeing. The professionals also ended up with fewer missed appointments, and more meaningful contact. Anderson et al. (2022) confirm the relationship between activation and reduced hospital utilization. This is a small case sample, however, and Harper et al. (2024) caution that the use of healthcare does not always match with predictions of PAM. Self-management is context-dependent, as Joan's life with Crohn's disease has changed, says Kinsella and King (2024).</w:t>
      </w:r>
    </w:p>
    <w:p w14:paraId="1A1BA32F" w14:textId="77777777" w:rsidR="00A57335" w:rsidRDefault="00461302" w:rsidP="000F55AE">
      <w:pPr>
        <w:spacing w:line="360" w:lineRule="auto"/>
        <w:jc w:val="both"/>
        <w:rPr>
          <w:rFonts w:ascii="Arial" w:hAnsi="Arial" w:cs="Arial"/>
        </w:rPr>
      </w:pPr>
      <w:r>
        <w:rPr>
          <w:rFonts w:ascii="Arial" w:hAnsi="Arial" w:cs="Arial"/>
          <w:b/>
        </w:rPr>
        <w:t>Challenges and improvements:</w:t>
      </w:r>
      <w:r w:rsidR="00972BEF" w:rsidRPr="000F55AE">
        <w:rPr>
          <w:rFonts w:ascii="Arial" w:hAnsi="Arial" w:cs="Arial"/>
        </w:rPr>
        <w:t xml:space="preserve"> Delay resulted from Joan's initial overwhelm and a concealed barrier, and staff time is required for weekly meetings. Some of these logistical enhancements are to ask Questions on a regular basis about attendance to appointments, integrating PAM with comprehensive conversations, sharing records between services, and revi</w:t>
      </w:r>
      <w:r w:rsidR="00C74618">
        <w:rPr>
          <w:rFonts w:ascii="Arial" w:hAnsi="Arial" w:cs="Arial"/>
        </w:rPr>
        <w:t>ewing outcomes at agreed places.</w:t>
      </w:r>
    </w:p>
    <w:p w14:paraId="31500895" w14:textId="77777777" w:rsidR="004B7273" w:rsidRDefault="004B7273" w:rsidP="000F55AE">
      <w:pPr>
        <w:spacing w:line="360" w:lineRule="auto"/>
        <w:jc w:val="both"/>
        <w:rPr>
          <w:rFonts w:ascii="Arial" w:hAnsi="Arial" w:cs="Arial"/>
        </w:rPr>
      </w:pPr>
    </w:p>
    <w:tbl>
      <w:tblPr>
        <w:tblStyle w:val="TableGrid"/>
        <w:tblW w:w="0" w:type="auto"/>
        <w:tblLook w:val="04A0" w:firstRow="1" w:lastRow="0" w:firstColumn="1" w:lastColumn="0" w:noHBand="0" w:noVBand="1"/>
      </w:tblPr>
      <w:tblGrid>
        <w:gridCol w:w="9350"/>
      </w:tblGrid>
      <w:tr w:rsidR="004B7273" w14:paraId="184CCECC" w14:textId="77777777" w:rsidTr="004B7273">
        <w:tc>
          <w:tcPr>
            <w:tcW w:w="9350" w:type="dxa"/>
          </w:tcPr>
          <w:tbl>
            <w:tblPr>
              <w:tblStyle w:val="TableGrid"/>
              <w:tblW w:w="0" w:type="auto"/>
              <w:tblLook w:val="04A0" w:firstRow="1" w:lastRow="0" w:firstColumn="1" w:lastColumn="0" w:noHBand="0" w:noVBand="1"/>
            </w:tblPr>
            <w:tblGrid>
              <w:gridCol w:w="1531"/>
              <w:gridCol w:w="2905"/>
              <w:gridCol w:w="2339"/>
              <w:gridCol w:w="2349"/>
            </w:tblGrid>
            <w:tr w:rsidR="004B7273" w:rsidRPr="004B7273" w14:paraId="4507F684" w14:textId="77777777" w:rsidTr="004B7273">
              <w:tc>
                <w:tcPr>
                  <w:tcW w:w="0" w:type="auto"/>
                  <w:hideMark/>
                </w:tcPr>
                <w:p w14:paraId="6666130B" w14:textId="77777777" w:rsidR="004B7273" w:rsidRPr="004B7273" w:rsidRDefault="004B7273" w:rsidP="00A57335">
                  <w:pPr>
                    <w:spacing w:line="360" w:lineRule="auto"/>
                    <w:jc w:val="both"/>
                    <w:rPr>
                      <w:rFonts w:ascii="Arial" w:eastAsia="Times New Roman" w:hAnsi="Arial" w:cs="Arial"/>
                      <w:b/>
                      <w:bCs/>
                    </w:rPr>
                  </w:pPr>
                  <w:r w:rsidRPr="004B7273">
                    <w:rPr>
                      <w:rFonts w:ascii="Arial" w:eastAsia="Times New Roman" w:hAnsi="Arial" w:cs="Arial"/>
                      <w:b/>
                      <w:bCs/>
                    </w:rPr>
                    <w:t>Principle</w:t>
                  </w:r>
                </w:p>
              </w:tc>
              <w:tc>
                <w:tcPr>
                  <w:tcW w:w="0" w:type="auto"/>
                  <w:hideMark/>
                </w:tcPr>
                <w:p w14:paraId="74F581CE" w14:textId="77777777" w:rsidR="004B7273" w:rsidRPr="004B7273" w:rsidRDefault="004B7273" w:rsidP="00A57335">
                  <w:pPr>
                    <w:spacing w:line="360" w:lineRule="auto"/>
                    <w:jc w:val="both"/>
                    <w:rPr>
                      <w:rFonts w:ascii="Arial" w:eastAsia="Times New Roman" w:hAnsi="Arial" w:cs="Arial"/>
                      <w:b/>
                      <w:bCs/>
                    </w:rPr>
                  </w:pPr>
                  <w:r w:rsidRPr="004B7273">
                    <w:rPr>
                      <w:rFonts w:ascii="Arial" w:eastAsia="Times New Roman" w:hAnsi="Arial" w:cs="Arial"/>
                      <w:b/>
                      <w:bCs/>
                    </w:rPr>
                    <w:t>Where it was shown in Joan’s story</w:t>
                  </w:r>
                </w:p>
              </w:tc>
              <w:tc>
                <w:tcPr>
                  <w:tcW w:w="0" w:type="auto"/>
                  <w:hideMark/>
                </w:tcPr>
                <w:p w14:paraId="0981C2DC" w14:textId="77777777" w:rsidR="004B7273" w:rsidRPr="004B7273" w:rsidRDefault="004B7273" w:rsidP="00A57335">
                  <w:pPr>
                    <w:spacing w:line="360" w:lineRule="auto"/>
                    <w:jc w:val="both"/>
                    <w:rPr>
                      <w:rFonts w:ascii="Arial" w:eastAsia="Times New Roman" w:hAnsi="Arial" w:cs="Arial"/>
                      <w:b/>
                      <w:bCs/>
                    </w:rPr>
                  </w:pPr>
                  <w:r w:rsidRPr="004B7273">
                    <w:rPr>
                      <w:rFonts w:ascii="Arial" w:eastAsia="Times New Roman" w:hAnsi="Arial" w:cs="Arial"/>
                      <w:b/>
                      <w:bCs/>
                    </w:rPr>
                    <w:t>Impact</w:t>
                  </w:r>
                </w:p>
              </w:tc>
              <w:tc>
                <w:tcPr>
                  <w:tcW w:w="0" w:type="auto"/>
                  <w:hideMark/>
                </w:tcPr>
                <w:p w14:paraId="521D31AF" w14:textId="77777777" w:rsidR="004B7273" w:rsidRPr="004B7273" w:rsidRDefault="004B7273" w:rsidP="00A57335">
                  <w:pPr>
                    <w:spacing w:line="360" w:lineRule="auto"/>
                    <w:jc w:val="both"/>
                    <w:rPr>
                      <w:rFonts w:ascii="Arial" w:eastAsia="Times New Roman" w:hAnsi="Arial" w:cs="Arial"/>
                      <w:b/>
                      <w:bCs/>
                    </w:rPr>
                  </w:pPr>
                  <w:r w:rsidRPr="004B7273">
                    <w:rPr>
                      <w:rFonts w:ascii="Arial" w:eastAsia="Times New Roman" w:hAnsi="Arial" w:cs="Arial"/>
                      <w:b/>
                      <w:bCs/>
                    </w:rPr>
                    <w:t>Challenge and improvement</w:t>
                  </w:r>
                </w:p>
              </w:tc>
            </w:tr>
            <w:tr w:rsidR="004B7273" w:rsidRPr="004B7273" w14:paraId="6E5A8868" w14:textId="77777777" w:rsidTr="004B7273">
              <w:tc>
                <w:tcPr>
                  <w:tcW w:w="0" w:type="auto"/>
                  <w:hideMark/>
                </w:tcPr>
                <w:p w14:paraId="5D890E07" w14:textId="77777777" w:rsidR="004B7273" w:rsidRPr="004B7273" w:rsidRDefault="004B7273" w:rsidP="00A57335">
                  <w:pPr>
                    <w:spacing w:line="360" w:lineRule="auto"/>
                    <w:jc w:val="both"/>
                    <w:rPr>
                      <w:rFonts w:ascii="Arial" w:eastAsia="Times New Roman" w:hAnsi="Arial" w:cs="Arial"/>
                    </w:rPr>
                  </w:pPr>
                  <w:r w:rsidRPr="004B7273">
                    <w:rPr>
                      <w:rFonts w:ascii="Arial" w:eastAsia="Times New Roman" w:hAnsi="Arial" w:cs="Arial"/>
                      <w:b/>
                      <w:bCs/>
                    </w:rPr>
                    <w:t>Person-centred care</w:t>
                  </w:r>
                </w:p>
              </w:tc>
              <w:tc>
                <w:tcPr>
                  <w:tcW w:w="0" w:type="auto"/>
                  <w:hideMark/>
                </w:tcPr>
                <w:p w14:paraId="6DEC07D8" w14:textId="77777777" w:rsidR="004B7273" w:rsidRPr="004B7273" w:rsidRDefault="004B7273" w:rsidP="00A57335">
                  <w:pPr>
                    <w:spacing w:line="360" w:lineRule="auto"/>
                    <w:jc w:val="both"/>
                    <w:rPr>
                      <w:rFonts w:ascii="Arial" w:eastAsia="Times New Roman" w:hAnsi="Arial" w:cs="Arial"/>
                    </w:rPr>
                  </w:pPr>
                  <w:r w:rsidRPr="004B7273">
                    <w:rPr>
                      <w:rFonts w:ascii="Arial" w:eastAsia="Times New Roman" w:hAnsi="Arial" w:cs="Arial"/>
                    </w:rPr>
                    <w:t>PAM survey and weekly meetings explor</w:t>
                  </w:r>
                  <w:r>
                    <w:rPr>
                      <w:rFonts w:ascii="Arial" w:eastAsia="Times New Roman" w:hAnsi="Arial" w:cs="Arial"/>
                    </w:rPr>
                    <w:t>ed what affected Joan (CQC, 2025</w:t>
                  </w:r>
                  <w:r w:rsidRPr="004B7273">
                    <w:rPr>
                      <w:rFonts w:ascii="Arial" w:eastAsia="Times New Roman" w:hAnsi="Arial" w:cs="Arial"/>
                    </w:rPr>
                    <w:t>). Uncontrolled Crohn’s disease was identified as the hidden barrier (Maslow, 1943).</w:t>
                  </w:r>
                </w:p>
              </w:tc>
              <w:tc>
                <w:tcPr>
                  <w:tcW w:w="0" w:type="auto"/>
                  <w:hideMark/>
                </w:tcPr>
                <w:p w14:paraId="12F5D97D" w14:textId="77777777" w:rsidR="004B7273" w:rsidRPr="004B7273" w:rsidRDefault="004B7273" w:rsidP="00A57335">
                  <w:pPr>
                    <w:spacing w:line="360" w:lineRule="auto"/>
                    <w:jc w:val="both"/>
                    <w:rPr>
                      <w:rFonts w:ascii="Arial" w:eastAsia="Times New Roman" w:hAnsi="Arial" w:cs="Arial"/>
                    </w:rPr>
                  </w:pPr>
                  <w:r w:rsidRPr="004B7273">
                    <w:rPr>
                      <w:rFonts w:ascii="Arial" w:eastAsia="Times New Roman" w:hAnsi="Arial" w:cs="Arial"/>
                    </w:rPr>
                    <w:t>Joan went shopping with her daughter and arranged rehabilitation herself.</w:t>
                  </w:r>
                </w:p>
              </w:tc>
              <w:tc>
                <w:tcPr>
                  <w:tcW w:w="0" w:type="auto"/>
                  <w:hideMark/>
                </w:tcPr>
                <w:p w14:paraId="7CA5592A" w14:textId="77777777" w:rsidR="004B7273" w:rsidRPr="004B7273" w:rsidRDefault="004B7273" w:rsidP="00A57335">
                  <w:pPr>
                    <w:spacing w:line="360" w:lineRule="auto"/>
                    <w:jc w:val="both"/>
                    <w:rPr>
                      <w:rFonts w:ascii="Arial" w:eastAsia="Times New Roman" w:hAnsi="Arial" w:cs="Arial"/>
                    </w:rPr>
                  </w:pPr>
                  <w:r w:rsidRPr="004B7273">
                    <w:rPr>
                      <w:rFonts w:ascii="Arial" w:eastAsia="Times New Roman" w:hAnsi="Arial" w:cs="Arial"/>
                    </w:rPr>
                    <w:t>Hidden barriers caused delay. Ask routinely why appointments are missed.</w:t>
                  </w:r>
                </w:p>
              </w:tc>
            </w:tr>
            <w:tr w:rsidR="004B7273" w:rsidRPr="004B7273" w14:paraId="63A14438" w14:textId="77777777" w:rsidTr="004B7273">
              <w:tc>
                <w:tcPr>
                  <w:tcW w:w="0" w:type="auto"/>
                  <w:hideMark/>
                </w:tcPr>
                <w:p w14:paraId="222FEA34" w14:textId="77777777" w:rsidR="004B7273" w:rsidRPr="004B7273" w:rsidRDefault="004B7273" w:rsidP="00A57335">
                  <w:pPr>
                    <w:spacing w:line="360" w:lineRule="auto"/>
                    <w:jc w:val="both"/>
                    <w:rPr>
                      <w:rFonts w:ascii="Arial" w:eastAsia="Times New Roman" w:hAnsi="Arial" w:cs="Arial"/>
                    </w:rPr>
                  </w:pPr>
                  <w:r w:rsidRPr="004B7273">
                    <w:rPr>
                      <w:rFonts w:ascii="Arial" w:eastAsia="Times New Roman" w:hAnsi="Arial" w:cs="Arial"/>
                      <w:b/>
                      <w:bCs/>
                    </w:rPr>
                    <w:t>Partnership working</w:t>
                  </w:r>
                </w:p>
              </w:tc>
              <w:tc>
                <w:tcPr>
                  <w:tcW w:w="0" w:type="auto"/>
                  <w:hideMark/>
                </w:tcPr>
                <w:p w14:paraId="2338A070" w14:textId="77777777" w:rsidR="004B7273" w:rsidRPr="004B7273" w:rsidRDefault="004B7273" w:rsidP="00A57335">
                  <w:pPr>
                    <w:spacing w:line="360" w:lineRule="auto"/>
                    <w:jc w:val="both"/>
                    <w:rPr>
                      <w:rFonts w:ascii="Arial" w:eastAsia="Times New Roman" w:hAnsi="Arial" w:cs="Arial"/>
                    </w:rPr>
                  </w:pPr>
                  <w:r w:rsidRPr="004B7273">
                    <w:rPr>
                      <w:rFonts w:ascii="Arial" w:eastAsia="Times New Roman" w:hAnsi="Arial" w:cs="Arial"/>
                    </w:rPr>
                    <w:t>Joan, the therapy team and her GP agreed a shared action plan. The GP managed the Crohn’s disease (Ghosh, Bhagat and Cox, 2022).</w:t>
                  </w:r>
                </w:p>
              </w:tc>
              <w:tc>
                <w:tcPr>
                  <w:tcW w:w="0" w:type="auto"/>
                  <w:hideMark/>
                </w:tcPr>
                <w:p w14:paraId="4E6FB078" w14:textId="77777777" w:rsidR="004B7273" w:rsidRPr="004B7273" w:rsidRDefault="004B7273" w:rsidP="00A57335">
                  <w:pPr>
                    <w:spacing w:line="360" w:lineRule="auto"/>
                    <w:jc w:val="both"/>
                    <w:rPr>
                      <w:rFonts w:ascii="Arial" w:eastAsia="Times New Roman" w:hAnsi="Arial" w:cs="Arial"/>
                    </w:rPr>
                  </w:pPr>
                  <w:r w:rsidRPr="004B7273">
                    <w:rPr>
                      <w:rFonts w:ascii="Arial" w:eastAsia="Times New Roman" w:hAnsi="Arial" w:cs="Arial"/>
                    </w:rPr>
                    <w:t>Joan became an active partner in her care.</w:t>
                  </w:r>
                </w:p>
              </w:tc>
              <w:tc>
                <w:tcPr>
                  <w:tcW w:w="0" w:type="auto"/>
                  <w:hideMark/>
                </w:tcPr>
                <w:p w14:paraId="2DD1C5E2" w14:textId="77777777" w:rsidR="004B7273" w:rsidRPr="004B7273" w:rsidRDefault="004B7273" w:rsidP="00A57335">
                  <w:pPr>
                    <w:spacing w:line="360" w:lineRule="auto"/>
                    <w:jc w:val="both"/>
                    <w:rPr>
                      <w:rFonts w:ascii="Arial" w:eastAsia="Times New Roman" w:hAnsi="Arial" w:cs="Arial"/>
                    </w:rPr>
                  </w:pPr>
                  <w:r w:rsidRPr="004B7273">
                    <w:rPr>
                      <w:rFonts w:ascii="Arial" w:eastAsia="Times New Roman" w:hAnsi="Arial" w:cs="Arial"/>
                    </w:rPr>
                    <w:t>Weekly meetings need staff time. Share records across services.</w:t>
                  </w:r>
                </w:p>
              </w:tc>
            </w:tr>
            <w:tr w:rsidR="004B7273" w:rsidRPr="004B7273" w14:paraId="7EE10102" w14:textId="77777777" w:rsidTr="004B7273">
              <w:tc>
                <w:tcPr>
                  <w:tcW w:w="0" w:type="auto"/>
                  <w:hideMark/>
                </w:tcPr>
                <w:p w14:paraId="3CC2FF5F" w14:textId="77777777" w:rsidR="004B7273" w:rsidRPr="004B7273" w:rsidRDefault="004B7273" w:rsidP="00A57335">
                  <w:pPr>
                    <w:spacing w:line="360" w:lineRule="auto"/>
                    <w:jc w:val="both"/>
                    <w:rPr>
                      <w:rFonts w:ascii="Arial" w:eastAsia="Times New Roman" w:hAnsi="Arial" w:cs="Arial"/>
                    </w:rPr>
                  </w:pPr>
                  <w:r w:rsidRPr="004B7273">
                    <w:rPr>
                      <w:rFonts w:ascii="Arial" w:eastAsia="Times New Roman" w:hAnsi="Arial" w:cs="Arial"/>
                      <w:b/>
                      <w:bCs/>
                    </w:rPr>
                    <w:t>Ethical practice</w:t>
                  </w:r>
                </w:p>
              </w:tc>
              <w:tc>
                <w:tcPr>
                  <w:tcW w:w="0" w:type="auto"/>
                  <w:hideMark/>
                </w:tcPr>
                <w:p w14:paraId="1FCBAFFD" w14:textId="77777777" w:rsidR="004B7273" w:rsidRPr="004B7273" w:rsidRDefault="004B7273" w:rsidP="00A57335">
                  <w:pPr>
                    <w:spacing w:line="360" w:lineRule="auto"/>
                    <w:jc w:val="both"/>
                    <w:rPr>
                      <w:rFonts w:ascii="Arial" w:eastAsia="Times New Roman" w:hAnsi="Arial" w:cs="Arial"/>
                    </w:rPr>
                  </w:pPr>
                  <w:r w:rsidRPr="004B7273">
                    <w:rPr>
                      <w:rFonts w:ascii="Arial" w:eastAsia="Times New Roman" w:hAnsi="Arial" w:cs="Arial"/>
                    </w:rPr>
                    <w:t>The team explored Joan’s reasons instead of repeating advice, respecting autonomy (MacLeod et al., 2023; RCOT, 2026).</w:t>
                  </w:r>
                </w:p>
              </w:tc>
              <w:tc>
                <w:tcPr>
                  <w:tcW w:w="0" w:type="auto"/>
                  <w:hideMark/>
                </w:tcPr>
                <w:p w14:paraId="642B3388" w14:textId="77777777" w:rsidR="004B7273" w:rsidRPr="004B7273" w:rsidRDefault="004B7273" w:rsidP="00A57335">
                  <w:pPr>
                    <w:spacing w:line="360" w:lineRule="auto"/>
                    <w:jc w:val="both"/>
                    <w:rPr>
                      <w:rFonts w:ascii="Arial" w:eastAsia="Times New Roman" w:hAnsi="Arial" w:cs="Arial"/>
                    </w:rPr>
                  </w:pPr>
                  <w:r w:rsidRPr="004B7273">
                    <w:rPr>
                      <w:rFonts w:ascii="Arial" w:eastAsia="Times New Roman" w:hAnsi="Arial" w:cs="Arial"/>
                    </w:rPr>
                    <w:t>Her confidence and independence grew.</w:t>
                  </w:r>
                </w:p>
              </w:tc>
              <w:tc>
                <w:tcPr>
                  <w:tcW w:w="0" w:type="auto"/>
                  <w:hideMark/>
                </w:tcPr>
                <w:p w14:paraId="6864D234" w14:textId="77777777" w:rsidR="004B7273" w:rsidRPr="004B7273" w:rsidRDefault="004B7273" w:rsidP="00A57335">
                  <w:pPr>
                    <w:spacing w:line="360" w:lineRule="auto"/>
                    <w:jc w:val="both"/>
                    <w:rPr>
                      <w:rFonts w:ascii="Arial" w:eastAsia="Times New Roman" w:hAnsi="Arial" w:cs="Arial"/>
                    </w:rPr>
                  </w:pPr>
                  <w:r w:rsidRPr="004B7273">
                    <w:rPr>
                      <w:rFonts w:ascii="Arial" w:eastAsia="Times New Roman" w:hAnsi="Arial" w:cs="Arial"/>
                    </w:rPr>
                    <w:t>A single case limits the evidence (Harper et al., 2024). Review outcomes at agreed points.</w:t>
                  </w:r>
                </w:p>
              </w:tc>
            </w:tr>
            <w:tr w:rsidR="004B7273" w:rsidRPr="004B7273" w14:paraId="4914B1B4" w14:textId="77777777" w:rsidTr="004B7273">
              <w:tc>
                <w:tcPr>
                  <w:tcW w:w="0" w:type="auto"/>
                  <w:hideMark/>
                </w:tcPr>
                <w:p w14:paraId="18F0AE0D" w14:textId="77777777" w:rsidR="004B7273" w:rsidRPr="004B7273" w:rsidRDefault="004B7273" w:rsidP="00A57335">
                  <w:pPr>
                    <w:spacing w:line="360" w:lineRule="auto"/>
                    <w:jc w:val="both"/>
                    <w:rPr>
                      <w:rFonts w:ascii="Arial" w:eastAsia="Times New Roman" w:hAnsi="Arial" w:cs="Arial"/>
                    </w:rPr>
                  </w:pPr>
                  <w:r w:rsidRPr="004B7273">
                    <w:rPr>
                      <w:rFonts w:ascii="Arial" w:eastAsia="Times New Roman" w:hAnsi="Arial" w:cs="Arial"/>
                      <w:b/>
                      <w:bCs/>
                    </w:rPr>
                    <w:t>Overall outcomes</w:t>
                  </w:r>
                </w:p>
              </w:tc>
              <w:tc>
                <w:tcPr>
                  <w:tcW w:w="0" w:type="auto"/>
                  <w:hideMark/>
                </w:tcPr>
                <w:p w14:paraId="6451FA2B" w14:textId="77777777" w:rsidR="004B7273" w:rsidRPr="004B7273" w:rsidRDefault="004B7273" w:rsidP="00A57335">
                  <w:pPr>
                    <w:spacing w:line="360" w:lineRule="auto"/>
                    <w:jc w:val="both"/>
                    <w:rPr>
                      <w:rFonts w:ascii="Arial" w:eastAsia="Times New Roman" w:hAnsi="Arial" w:cs="Arial"/>
                    </w:rPr>
                  </w:pPr>
                  <w:r w:rsidRPr="004B7273">
                    <w:rPr>
                      <w:rFonts w:ascii="Arial" w:eastAsia="Times New Roman" w:hAnsi="Arial" w:cs="Arial"/>
                    </w:rPr>
                    <w:t>PAM score rose by over 40% after seven months (Anderson et al., 2022).</w:t>
                  </w:r>
                </w:p>
              </w:tc>
              <w:tc>
                <w:tcPr>
                  <w:tcW w:w="0" w:type="auto"/>
                  <w:hideMark/>
                </w:tcPr>
                <w:p w14:paraId="37F72E78" w14:textId="77777777" w:rsidR="004B7273" w:rsidRPr="004B7273" w:rsidRDefault="004B7273" w:rsidP="00A57335">
                  <w:pPr>
                    <w:spacing w:line="360" w:lineRule="auto"/>
                    <w:jc w:val="both"/>
                    <w:rPr>
                      <w:rFonts w:ascii="Arial" w:eastAsia="Times New Roman" w:hAnsi="Arial" w:cs="Arial"/>
                    </w:rPr>
                  </w:pPr>
                  <w:r w:rsidRPr="004B7273">
                    <w:rPr>
                      <w:rFonts w:ascii="Arial" w:eastAsia="Times New Roman" w:hAnsi="Arial" w:cs="Arial"/>
                    </w:rPr>
                    <w:t>Outpatient attendance rose from 6 of 9 to 9 of 10. Emergency admissions fell from 2 to 1.</w:t>
                  </w:r>
                </w:p>
              </w:tc>
              <w:tc>
                <w:tcPr>
                  <w:tcW w:w="0" w:type="auto"/>
                  <w:hideMark/>
                </w:tcPr>
                <w:p w14:paraId="20BE8C2F" w14:textId="77777777" w:rsidR="004B7273" w:rsidRPr="004B7273" w:rsidRDefault="004B7273" w:rsidP="00A57335">
                  <w:pPr>
                    <w:spacing w:line="360" w:lineRule="auto"/>
                    <w:jc w:val="both"/>
                    <w:rPr>
                      <w:rFonts w:ascii="Arial" w:eastAsia="Times New Roman" w:hAnsi="Arial" w:cs="Arial"/>
                    </w:rPr>
                  </w:pPr>
                  <w:r w:rsidRPr="004B7273">
                    <w:rPr>
                      <w:rFonts w:ascii="Arial" w:eastAsia="Times New Roman" w:hAnsi="Arial" w:cs="Arial"/>
                    </w:rPr>
                    <w:t>Small numbers, so these are not proof of cause.</w:t>
                  </w:r>
                </w:p>
              </w:tc>
            </w:tr>
          </w:tbl>
          <w:p w14:paraId="39F21CEF" w14:textId="77777777" w:rsidR="004B7273" w:rsidRDefault="004B7273"/>
        </w:tc>
      </w:tr>
    </w:tbl>
    <w:p w14:paraId="55A63702" w14:textId="77777777" w:rsidR="004B7273" w:rsidRPr="000F55AE" w:rsidRDefault="004B7273" w:rsidP="000F55AE">
      <w:pPr>
        <w:spacing w:line="360" w:lineRule="auto"/>
        <w:jc w:val="both"/>
        <w:rPr>
          <w:rFonts w:ascii="Arial" w:hAnsi="Arial" w:cs="Arial"/>
        </w:rPr>
      </w:pPr>
    </w:p>
    <w:p w14:paraId="64992BD4" w14:textId="77777777" w:rsidR="00972BEF" w:rsidRPr="000F55AE" w:rsidRDefault="00972BEF" w:rsidP="000F55AE">
      <w:pPr>
        <w:spacing w:line="360" w:lineRule="auto"/>
        <w:jc w:val="both"/>
        <w:rPr>
          <w:rFonts w:ascii="Arial" w:hAnsi="Arial" w:cs="Arial"/>
          <w:b/>
        </w:rPr>
      </w:pPr>
      <w:r w:rsidRPr="000F55AE">
        <w:rPr>
          <w:rFonts w:ascii="Arial" w:hAnsi="Arial" w:cs="Arial"/>
          <w:b/>
        </w:rPr>
        <w:t>Tas</w:t>
      </w:r>
      <w:r w:rsidR="000F55AE" w:rsidRPr="000F55AE">
        <w:rPr>
          <w:rFonts w:ascii="Arial" w:hAnsi="Arial" w:cs="Arial"/>
          <w:b/>
        </w:rPr>
        <w:t>k 3: Self-Reflection as a</w:t>
      </w:r>
      <w:r w:rsidR="004B7273">
        <w:rPr>
          <w:rFonts w:ascii="Arial" w:hAnsi="Arial" w:cs="Arial"/>
          <w:b/>
        </w:rPr>
        <w:t>n</w:t>
      </w:r>
      <w:r w:rsidRPr="000F55AE">
        <w:rPr>
          <w:rFonts w:ascii="Arial" w:hAnsi="Arial" w:cs="Arial"/>
          <w:b/>
        </w:rPr>
        <w:t xml:space="preserve"> Occupational Therapist</w:t>
      </w:r>
    </w:p>
    <w:p w14:paraId="633357A1" w14:textId="77777777" w:rsidR="00972BEF" w:rsidRDefault="00972BEF" w:rsidP="000F55AE">
      <w:pPr>
        <w:spacing w:line="360" w:lineRule="auto"/>
        <w:jc w:val="both"/>
        <w:rPr>
          <w:rFonts w:ascii="Arial" w:hAnsi="Arial" w:cs="Arial"/>
        </w:rPr>
      </w:pPr>
      <w:r w:rsidRPr="000F55AE">
        <w:rPr>
          <w:rFonts w:ascii="Arial" w:hAnsi="Arial" w:cs="Arial"/>
        </w:rPr>
        <w:t>This reflection applies Gibbs' reflective cycle</w:t>
      </w:r>
      <w:r w:rsidR="008715B4">
        <w:rPr>
          <w:rFonts w:ascii="Arial" w:hAnsi="Arial" w:cs="Arial"/>
        </w:rPr>
        <w:t xml:space="preserve"> (1988)</w:t>
      </w:r>
      <w:r w:rsidRPr="000F55AE">
        <w:rPr>
          <w:rFonts w:ascii="Arial" w:hAnsi="Arial" w:cs="Arial"/>
        </w:rPr>
        <w:t xml:space="preserve"> to the planning of my application of the three principles as an occupational therapist working in the community within the UK. </w:t>
      </w:r>
    </w:p>
    <w:p w14:paraId="43B59FBE" w14:textId="77777777" w:rsidR="004B7273" w:rsidRPr="000F55AE" w:rsidRDefault="004B7273" w:rsidP="004B7273">
      <w:pPr>
        <w:spacing w:line="360" w:lineRule="auto"/>
        <w:jc w:val="both"/>
        <w:rPr>
          <w:rFonts w:ascii="Arial" w:hAnsi="Arial" w:cs="Arial"/>
        </w:rPr>
      </w:pPr>
      <w:r w:rsidRPr="004B7273">
        <w:rPr>
          <w:rFonts w:ascii="Arial" w:hAnsi="Arial" w:cs="Arial"/>
          <w:noProof/>
        </w:rPr>
        <w:lastRenderedPageBreak/>
        <w:drawing>
          <wp:inline distT="0" distB="0" distL="0" distR="0" wp14:anchorId="095D1117" wp14:editId="5265486A">
            <wp:extent cx="5667058" cy="3022060"/>
            <wp:effectExtent l="0" t="0" r="0" b="6985"/>
            <wp:docPr id="5" name="Picture 5" descr="Gibbs Reflective Cycle: A Comprehensive Guide For UK Stud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ibbs Reflective Cycle: A Comprehensive Guide For UK Stud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70901" cy="3024109"/>
                    </a:xfrm>
                    <a:prstGeom prst="rect">
                      <a:avLst/>
                    </a:prstGeom>
                    <a:noFill/>
                    <a:ln>
                      <a:noFill/>
                    </a:ln>
                  </pic:spPr>
                </pic:pic>
              </a:graphicData>
            </a:graphic>
          </wp:inline>
        </w:drawing>
      </w:r>
      <w:r>
        <w:rPr>
          <w:rFonts w:ascii="Arial" w:hAnsi="Arial" w:cs="Arial"/>
        </w:rPr>
        <w:t xml:space="preserve">            </w:t>
      </w:r>
      <w:r w:rsidR="00A57335">
        <w:rPr>
          <w:rFonts w:ascii="Arial" w:hAnsi="Arial" w:cs="Arial"/>
        </w:rPr>
        <w:t xml:space="preserve">         </w:t>
      </w:r>
    </w:p>
    <w:p w14:paraId="29BE1736" w14:textId="77777777" w:rsidR="00A57335" w:rsidRDefault="00A57335" w:rsidP="000F55AE">
      <w:pPr>
        <w:spacing w:line="360" w:lineRule="auto"/>
        <w:jc w:val="both"/>
        <w:rPr>
          <w:rFonts w:ascii="Arial" w:hAnsi="Arial" w:cs="Arial"/>
          <w:b/>
        </w:rPr>
      </w:pPr>
      <w:r>
        <w:rPr>
          <w:rFonts w:ascii="Arial" w:hAnsi="Arial" w:cs="Arial"/>
          <w:b/>
        </w:rPr>
        <w:t xml:space="preserve">                                                            (Martin, 2024)</w:t>
      </w:r>
    </w:p>
    <w:p w14:paraId="7C8D4EA0" w14:textId="77777777" w:rsidR="00477595" w:rsidRPr="00477595" w:rsidRDefault="00477595" w:rsidP="00477595">
      <w:pPr>
        <w:spacing w:line="360" w:lineRule="auto"/>
        <w:jc w:val="both"/>
        <w:rPr>
          <w:rFonts w:ascii="Arial" w:hAnsi="Arial" w:cs="Arial"/>
          <w:b/>
        </w:rPr>
      </w:pPr>
      <w:r w:rsidRPr="00477595">
        <w:rPr>
          <w:rFonts w:ascii="Arial" w:hAnsi="Arial" w:cs="Arial"/>
          <w:b/>
        </w:rPr>
        <w:t>Description</w:t>
      </w:r>
    </w:p>
    <w:p w14:paraId="540E526D" w14:textId="77777777" w:rsidR="00477595" w:rsidRPr="00477595" w:rsidRDefault="00BD2D1B" w:rsidP="00477595">
      <w:pPr>
        <w:spacing w:line="360" w:lineRule="auto"/>
        <w:jc w:val="both"/>
        <w:rPr>
          <w:rFonts w:ascii="Arial" w:hAnsi="Arial" w:cs="Arial"/>
        </w:rPr>
      </w:pPr>
      <w:r w:rsidRPr="00BD2D1B">
        <w:rPr>
          <w:rFonts w:ascii="Arial" w:hAnsi="Arial" w:cs="Arial"/>
        </w:rPr>
        <w:t>I will support a gentleman in his 60s with COPD who is finding that breathlessness limits his energy for daily routines, such as personal care and visiting his allotment</w:t>
      </w:r>
      <w:r w:rsidR="00477595" w:rsidRPr="00477595">
        <w:rPr>
          <w:rFonts w:ascii="Arial" w:hAnsi="Arial" w:cs="Arial"/>
        </w:rPr>
        <w:t>. Given that his needs span health and social care, I would certainly expect other services to be engaged and his consideration of independence and the risks of his breathlessness.</w:t>
      </w:r>
    </w:p>
    <w:p w14:paraId="447CF4A4" w14:textId="77777777" w:rsidR="00477595" w:rsidRPr="00477595" w:rsidRDefault="00477595" w:rsidP="00477595">
      <w:pPr>
        <w:spacing w:line="360" w:lineRule="auto"/>
        <w:jc w:val="both"/>
        <w:rPr>
          <w:rFonts w:ascii="Arial" w:hAnsi="Arial" w:cs="Arial"/>
          <w:b/>
        </w:rPr>
      </w:pPr>
      <w:r w:rsidRPr="00477595">
        <w:rPr>
          <w:rFonts w:ascii="Arial" w:hAnsi="Arial" w:cs="Arial"/>
          <w:b/>
        </w:rPr>
        <w:t>Feelings</w:t>
      </w:r>
    </w:p>
    <w:p w14:paraId="08C217A4" w14:textId="77777777" w:rsidR="00BD2D1B" w:rsidRPr="00BD2D1B" w:rsidRDefault="00BD2D1B" w:rsidP="00477595">
      <w:pPr>
        <w:spacing w:line="360" w:lineRule="auto"/>
        <w:jc w:val="both"/>
        <w:rPr>
          <w:rFonts w:ascii="Arial" w:hAnsi="Arial" w:cs="Arial"/>
        </w:rPr>
      </w:pPr>
      <w:r w:rsidRPr="00BD2D1B">
        <w:rPr>
          <w:rFonts w:ascii="Arial" w:hAnsi="Arial" w:cs="Arial"/>
        </w:rPr>
        <w:t xml:space="preserve">I expect to feel worried about the risks that breathlessness may pose to his health and wellbeing, and tempted to provide equipment in a rush to fix the problem. I may also feel conflicted between respecting his right to decide how he manages his personal care and my wish to keep him safe. Where other services are involved, I would feel anxious about duplicating or losing information, and uncomfortable about overstepping other professionals’ roles. </w:t>
      </w:r>
    </w:p>
    <w:p w14:paraId="19119CD0" w14:textId="77777777" w:rsidR="00477595" w:rsidRPr="00477595" w:rsidRDefault="00477595" w:rsidP="00477595">
      <w:pPr>
        <w:spacing w:line="360" w:lineRule="auto"/>
        <w:jc w:val="both"/>
        <w:rPr>
          <w:rFonts w:ascii="Arial" w:hAnsi="Arial" w:cs="Arial"/>
          <w:b/>
        </w:rPr>
      </w:pPr>
      <w:r w:rsidRPr="00477595">
        <w:rPr>
          <w:rFonts w:ascii="Arial" w:hAnsi="Arial" w:cs="Arial"/>
          <w:b/>
        </w:rPr>
        <w:t>Evaluation</w:t>
      </w:r>
    </w:p>
    <w:p w14:paraId="53B98DCF" w14:textId="77777777" w:rsidR="00477595" w:rsidRPr="00477595" w:rsidRDefault="00477595" w:rsidP="00477595">
      <w:pPr>
        <w:spacing w:line="360" w:lineRule="auto"/>
        <w:jc w:val="both"/>
        <w:rPr>
          <w:rFonts w:ascii="Arial" w:hAnsi="Arial" w:cs="Arial"/>
        </w:rPr>
      </w:pPr>
      <w:r w:rsidRPr="00477595">
        <w:rPr>
          <w:rFonts w:ascii="Arial" w:hAnsi="Arial" w:cs="Arial"/>
        </w:rPr>
        <w:t>My strengths are being curious about other people's day, having good communication in writing and respecting choice. But I usually try to solve a problem before I determine what is important to the person, which may result in equipment that he never uses. Also I only pass information to other services when a referral is made which may put him at risk of a delay in care, and it is difficult to articulate why and deal with uncertainty.</w:t>
      </w:r>
    </w:p>
    <w:p w14:paraId="10822B86" w14:textId="77777777" w:rsidR="00477595" w:rsidRPr="00477595" w:rsidRDefault="00477595" w:rsidP="00477595">
      <w:pPr>
        <w:spacing w:line="360" w:lineRule="auto"/>
        <w:jc w:val="both"/>
        <w:rPr>
          <w:rFonts w:ascii="Arial" w:hAnsi="Arial" w:cs="Arial"/>
          <w:b/>
        </w:rPr>
      </w:pPr>
      <w:r w:rsidRPr="00477595">
        <w:rPr>
          <w:rFonts w:ascii="Arial" w:hAnsi="Arial" w:cs="Arial"/>
          <w:b/>
        </w:rPr>
        <w:lastRenderedPageBreak/>
        <w:t>Analysis</w:t>
      </w:r>
    </w:p>
    <w:p w14:paraId="6CCC67AD" w14:textId="77777777" w:rsidR="00477595" w:rsidRPr="00477595" w:rsidRDefault="00477595" w:rsidP="00477595">
      <w:pPr>
        <w:spacing w:line="360" w:lineRule="auto"/>
        <w:jc w:val="both"/>
        <w:rPr>
          <w:rFonts w:ascii="Arial" w:hAnsi="Arial" w:cs="Arial"/>
        </w:rPr>
      </w:pPr>
      <w:r w:rsidRPr="00477595">
        <w:rPr>
          <w:rFonts w:ascii="Arial" w:hAnsi="Arial" w:cs="Arial"/>
        </w:rPr>
        <w:t>The need to provide person centred care is a legal requirement under Regulation 9 of the Health and Social Care Act 2008 (Regulated Activities) Regulations 2014. Care should be in line with a person's preferences and if that is not possible, providers should also clearly explain the impact and think about alternatives (CQC, 2025). It has been associated with dignity, independence and quality of life in occupational therapy and is based on shared decision making (Ghosh, Bhagat and Cox, 2022).</w:t>
      </w:r>
    </w:p>
    <w:p w14:paraId="78B25A4B" w14:textId="77777777" w:rsidR="00477595" w:rsidRPr="00477595" w:rsidRDefault="00477595" w:rsidP="00477595">
      <w:pPr>
        <w:spacing w:line="360" w:lineRule="auto"/>
        <w:jc w:val="both"/>
        <w:rPr>
          <w:rFonts w:ascii="Arial" w:hAnsi="Arial" w:cs="Arial"/>
        </w:rPr>
      </w:pPr>
      <w:r w:rsidRPr="00477595">
        <w:rPr>
          <w:rFonts w:ascii="Arial" w:hAnsi="Arial" w:cs="Arial"/>
        </w:rPr>
        <w:t>The situation that Maslow describes helps explain why he is upset and why I am upset. He fears he might not be able to breathe if he doesn't keep up his allotment, yet if he doesn't keep up his allotment, he won't have belonging and esteem. My enthusiasm to provide gear might be the solution to my own safety concerns as much as his. The principles of the 6Cs (care, compassion and communication</w:t>
      </w:r>
      <w:r w:rsidR="00BD2D1B">
        <w:rPr>
          <w:rFonts w:ascii="Arial" w:hAnsi="Arial" w:cs="Arial"/>
        </w:rPr>
        <w:t xml:space="preserve">) </w:t>
      </w:r>
      <w:r w:rsidRPr="00477595">
        <w:rPr>
          <w:rFonts w:ascii="Arial" w:hAnsi="Arial" w:cs="Arial"/>
        </w:rPr>
        <w:t>force me to try and understand him first. His well-being principle under the Care Act 2014 helps him to have control over his daily life. Kinsella and King (2024) state that self-management depends on the context of the person, so my recommendations have to be to his.</w:t>
      </w:r>
    </w:p>
    <w:p w14:paraId="6D3EF896" w14:textId="77777777" w:rsidR="00477595" w:rsidRPr="00477595" w:rsidRDefault="00477595" w:rsidP="00477595">
      <w:pPr>
        <w:spacing w:line="360" w:lineRule="auto"/>
        <w:jc w:val="both"/>
        <w:rPr>
          <w:rFonts w:ascii="Arial" w:hAnsi="Arial" w:cs="Arial"/>
        </w:rPr>
      </w:pPr>
      <w:r w:rsidRPr="00477595">
        <w:rPr>
          <w:rFonts w:ascii="Arial" w:hAnsi="Arial" w:cs="Arial"/>
        </w:rPr>
        <w:t>Partnership working is also essential for optimal community care (Ghosh, Bhagat and Cox, 2022). My practice of late contact is a breach of the 'cooperation' that providers are expected to demonstrate with the person (as outlined in the Health and Care Act 2022, which creates integrated care systems).</w:t>
      </w:r>
    </w:p>
    <w:p w14:paraId="23D390C0" w14:textId="77777777" w:rsidR="00477595" w:rsidRPr="00477595" w:rsidRDefault="00477595" w:rsidP="00477595">
      <w:pPr>
        <w:spacing w:line="360" w:lineRule="auto"/>
        <w:jc w:val="both"/>
        <w:rPr>
          <w:rFonts w:ascii="Arial" w:hAnsi="Arial" w:cs="Arial"/>
        </w:rPr>
      </w:pPr>
      <w:r w:rsidRPr="00477595">
        <w:rPr>
          <w:rFonts w:ascii="Arial" w:hAnsi="Arial" w:cs="Arial"/>
        </w:rPr>
        <w:t>Ethically, MacLeod et al (2023) suggest that clinicians tend to make safety judgements, older people make quality of life judgements and that it is important to engage in shared decision making to “live with risk”. This is a cont</w:t>
      </w:r>
      <w:r w:rsidR="00BD2D1B">
        <w:rPr>
          <w:rFonts w:ascii="Arial" w:hAnsi="Arial" w:cs="Arial"/>
        </w:rPr>
        <w:t xml:space="preserve">radiction to my gut feeling of </w:t>
      </w:r>
      <w:r w:rsidRPr="00477595">
        <w:rPr>
          <w:rFonts w:ascii="Arial" w:hAnsi="Arial" w:cs="Arial"/>
        </w:rPr>
        <w:t>remove risk. RCOT (2026) expects the safe, effective and ethical practice which I will maintain with him.</w:t>
      </w:r>
    </w:p>
    <w:p w14:paraId="0664CBC7" w14:textId="77777777" w:rsidR="00477595" w:rsidRPr="00477595" w:rsidRDefault="00477595" w:rsidP="00477595">
      <w:pPr>
        <w:spacing w:line="360" w:lineRule="auto"/>
        <w:jc w:val="both"/>
        <w:rPr>
          <w:rFonts w:ascii="Arial" w:hAnsi="Arial" w:cs="Arial"/>
          <w:b/>
        </w:rPr>
      </w:pPr>
      <w:r w:rsidRPr="00477595">
        <w:rPr>
          <w:rFonts w:ascii="Arial" w:hAnsi="Arial" w:cs="Arial"/>
          <w:b/>
        </w:rPr>
        <w:t>Conclusion</w:t>
      </w:r>
    </w:p>
    <w:p w14:paraId="63EA4358" w14:textId="77777777" w:rsidR="00477595" w:rsidRPr="00477595" w:rsidRDefault="00BD2D1B" w:rsidP="00477595">
      <w:pPr>
        <w:spacing w:line="360" w:lineRule="auto"/>
        <w:jc w:val="both"/>
        <w:rPr>
          <w:rFonts w:ascii="Arial" w:hAnsi="Arial" w:cs="Arial"/>
        </w:rPr>
      </w:pPr>
      <w:r w:rsidRPr="00BD2D1B">
        <w:rPr>
          <w:rFonts w:ascii="Arial" w:hAnsi="Arial" w:cs="Arial"/>
        </w:rPr>
        <w:t>By asking him about his allotment, I will learn why maintaining his personal care matters to him, rather than simply how he manages it</w:t>
      </w:r>
      <w:r>
        <w:t xml:space="preserve">. </w:t>
      </w:r>
      <w:r w:rsidR="00477595" w:rsidRPr="00477595">
        <w:rPr>
          <w:rFonts w:ascii="Arial" w:hAnsi="Arial" w:cs="Arial"/>
        </w:rPr>
        <w:t>I've found that my worry can lead me to make decisions too early, and that it is more ethical to share a decision about risk than to force it upon someone. Next time, I'll be in touch with services early, I'll say what I'm thinking and I'll take some risk of uncertainty.</w:t>
      </w:r>
    </w:p>
    <w:p w14:paraId="2D266DB2" w14:textId="77777777" w:rsidR="00477595" w:rsidRPr="00477595" w:rsidRDefault="00477595" w:rsidP="00477595">
      <w:pPr>
        <w:spacing w:line="360" w:lineRule="auto"/>
        <w:jc w:val="both"/>
        <w:rPr>
          <w:rFonts w:ascii="Arial" w:hAnsi="Arial" w:cs="Arial"/>
          <w:b/>
        </w:rPr>
      </w:pPr>
      <w:r w:rsidRPr="00477595">
        <w:rPr>
          <w:rFonts w:ascii="Arial" w:hAnsi="Arial" w:cs="Arial"/>
          <w:b/>
        </w:rPr>
        <w:t>Action plan</w:t>
      </w:r>
    </w:p>
    <w:p w14:paraId="364B20A1" w14:textId="77777777" w:rsidR="00477595" w:rsidRPr="00477595" w:rsidRDefault="00477595" w:rsidP="00477595">
      <w:pPr>
        <w:spacing w:line="360" w:lineRule="auto"/>
        <w:jc w:val="both"/>
        <w:rPr>
          <w:rFonts w:ascii="Arial" w:hAnsi="Arial" w:cs="Arial"/>
        </w:rPr>
      </w:pPr>
      <w:r w:rsidRPr="00477595">
        <w:rPr>
          <w:rFonts w:ascii="Arial" w:hAnsi="Arial" w:cs="Arial"/>
        </w:rPr>
        <w:lastRenderedPageBreak/>
        <w:t>I will ask him to discuss his day and try some energy saving strategies with him during the first visit. I will monitor progress at 4 weeks as he sees his level of breathlessness and engagement. I will reach out to other services within the first week, share a common plan and ask him to lead the priorities. I will also document my thinking process for risk decisions and supervision to manage uncertainty.</w:t>
      </w:r>
    </w:p>
    <w:p w14:paraId="7B2F8798" w14:textId="77777777" w:rsidR="00972BEF" w:rsidRPr="000F55AE" w:rsidRDefault="00972BEF" w:rsidP="000F55AE">
      <w:pPr>
        <w:spacing w:line="360" w:lineRule="auto"/>
        <w:jc w:val="both"/>
        <w:rPr>
          <w:rFonts w:ascii="Arial" w:hAnsi="Arial" w:cs="Arial"/>
          <w:b/>
        </w:rPr>
      </w:pPr>
      <w:r w:rsidRPr="000F55AE">
        <w:rPr>
          <w:rFonts w:ascii="Arial" w:hAnsi="Arial" w:cs="Arial"/>
          <w:b/>
        </w:rPr>
        <w:t>Conclusion</w:t>
      </w:r>
    </w:p>
    <w:p w14:paraId="6971BA84" w14:textId="77777777" w:rsidR="00972BEF" w:rsidRDefault="00972BEF" w:rsidP="000F55AE">
      <w:pPr>
        <w:spacing w:line="360" w:lineRule="auto"/>
        <w:jc w:val="both"/>
        <w:rPr>
          <w:rFonts w:ascii="Arial" w:hAnsi="Arial" w:cs="Arial"/>
        </w:rPr>
      </w:pPr>
      <w:r w:rsidRPr="000F55AE">
        <w:rPr>
          <w:rFonts w:ascii="Arial" w:hAnsi="Arial" w:cs="Arial"/>
        </w:rPr>
        <w:t xml:space="preserve">Quality in the UK health and social care sector is embedded in the principles of partnership working, ethics and person centred care. Person centred care is a way of providing support that is tailored to the needs and values of the person. Professionals and services come together in partnership working around the person. When safety and choice are at odds, autonomy and dignity are protected by ethical practice. Both Joan's story and the limits of single case evidence were illustrated by the uncovering of a hidden barrier, working in partnership, and respecting Joan's goals to improve her engagement. Task 3 demonstrated the following: When applying these principles, curiosity, clear communication and reflective supervision are required. </w:t>
      </w:r>
      <w:r w:rsidR="001B268D">
        <w:rPr>
          <w:rFonts w:ascii="Arial" w:hAnsi="Arial" w:cs="Arial"/>
        </w:rPr>
        <w:t>I will continue to develop my</w:t>
      </w:r>
      <w:r w:rsidRPr="000F55AE">
        <w:rPr>
          <w:rFonts w:ascii="Arial" w:hAnsi="Arial" w:cs="Arial"/>
        </w:rPr>
        <w:t xml:space="preserve"> skills and knowledge to provide safer and more personalised care and advance</w:t>
      </w:r>
      <w:r w:rsidR="001B268D">
        <w:rPr>
          <w:rFonts w:ascii="Arial" w:hAnsi="Arial" w:cs="Arial"/>
        </w:rPr>
        <w:t>s</w:t>
      </w:r>
      <w:r w:rsidRPr="000F55AE">
        <w:rPr>
          <w:rFonts w:ascii="Arial" w:hAnsi="Arial" w:cs="Arial"/>
        </w:rPr>
        <w:t xml:space="preserve"> as an occupational therapist.</w:t>
      </w:r>
    </w:p>
    <w:p w14:paraId="4B0D5429" w14:textId="77777777" w:rsidR="00461302" w:rsidRDefault="00461302" w:rsidP="000F55AE">
      <w:pPr>
        <w:spacing w:line="360" w:lineRule="auto"/>
        <w:jc w:val="both"/>
        <w:rPr>
          <w:rFonts w:ascii="Arial" w:hAnsi="Arial" w:cs="Arial"/>
          <w:b/>
        </w:rPr>
      </w:pPr>
    </w:p>
    <w:p w14:paraId="59628C8C" w14:textId="77777777" w:rsidR="00461302" w:rsidRDefault="00461302" w:rsidP="000F55AE">
      <w:pPr>
        <w:spacing w:line="360" w:lineRule="auto"/>
        <w:jc w:val="both"/>
        <w:rPr>
          <w:rFonts w:ascii="Arial" w:hAnsi="Arial" w:cs="Arial"/>
          <w:b/>
        </w:rPr>
      </w:pPr>
    </w:p>
    <w:p w14:paraId="34B6C707" w14:textId="77777777" w:rsidR="00461302" w:rsidRDefault="00461302" w:rsidP="000F55AE">
      <w:pPr>
        <w:spacing w:line="360" w:lineRule="auto"/>
        <w:jc w:val="both"/>
        <w:rPr>
          <w:rFonts w:ascii="Arial" w:hAnsi="Arial" w:cs="Arial"/>
          <w:b/>
        </w:rPr>
      </w:pPr>
    </w:p>
    <w:p w14:paraId="62FE2E29" w14:textId="77777777" w:rsidR="00461302" w:rsidRDefault="00461302" w:rsidP="000F55AE">
      <w:pPr>
        <w:spacing w:line="360" w:lineRule="auto"/>
        <w:jc w:val="both"/>
        <w:rPr>
          <w:rFonts w:ascii="Arial" w:hAnsi="Arial" w:cs="Arial"/>
          <w:b/>
        </w:rPr>
      </w:pPr>
    </w:p>
    <w:p w14:paraId="4C3DB3D6" w14:textId="77777777" w:rsidR="00461302" w:rsidRDefault="00461302" w:rsidP="000F55AE">
      <w:pPr>
        <w:spacing w:line="360" w:lineRule="auto"/>
        <w:jc w:val="both"/>
        <w:rPr>
          <w:rFonts w:ascii="Arial" w:hAnsi="Arial" w:cs="Arial"/>
          <w:b/>
        </w:rPr>
      </w:pPr>
    </w:p>
    <w:p w14:paraId="7628E385" w14:textId="77777777" w:rsidR="004B7273" w:rsidRDefault="004B7273" w:rsidP="000F55AE">
      <w:pPr>
        <w:spacing w:line="360" w:lineRule="auto"/>
        <w:jc w:val="both"/>
        <w:rPr>
          <w:rFonts w:ascii="Arial" w:hAnsi="Arial" w:cs="Arial"/>
          <w:b/>
        </w:rPr>
      </w:pPr>
    </w:p>
    <w:p w14:paraId="19AD49CC" w14:textId="77777777" w:rsidR="004B7273" w:rsidRDefault="004B7273" w:rsidP="000F55AE">
      <w:pPr>
        <w:spacing w:line="360" w:lineRule="auto"/>
        <w:jc w:val="both"/>
        <w:rPr>
          <w:rFonts w:ascii="Arial" w:hAnsi="Arial" w:cs="Arial"/>
          <w:b/>
        </w:rPr>
      </w:pPr>
    </w:p>
    <w:p w14:paraId="27F4E0EA" w14:textId="77777777" w:rsidR="004B7273" w:rsidRDefault="004B7273" w:rsidP="000F55AE">
      <w:pPr>
        <w:spacing w:line="360" w:lineRule="auto"/>
        <w:jc w:val="both"/>
        <w:rPr>
          <w:rFonts w:ascii="Arial" w:hAnsi="Arial" w:cs="Arial"/>
          <w:b/>
        </w:rPr>
      </w:pPr>
    </w:p>
    <w:p w14:paraId="7865479F" w14:textId="77777777" w:rsidR="004B7273" w:rsidRDefault="004B7273" w:rsidP="000F55AE">
      <w:pPr>
        <w:spacing w:line="360" w:lineRule="auto"/>
        <w:jc w:val="both"/>
        <w:rPr>
          <w:rFonts w:ascii="Arial" w:hAnsi="Arial" w:cs="Arial"/>
          <w:b/>
        </w:rPr>
      </w:pPr>
    </w:p>
    <w:p w14:paraId="60799E10" w14:textId="77777777" w:rsidR="004B7273" w:rsidRDefault="004B7273" w:rsidP="000F55AE">
      <w:pPr>
        <w:spacing w:line="360" w:lineRule="auto"/>
        <w:jc w:val="both"/>
        <w:rPr>
          <w:rFonts w:ascii="Arial" w:hAnsi="Arial" w:cs="Arial"/>
          <w:b/>
        </w:rPr>
      </w:pPr>
    </w:p>
    <w:p w14:paraId="34B1BD08" w14:textId="77777777" w:rsidR="0035051C" w:rsidRDefault="0035051C" w:rsidP="000F55AE">
      <w:pPr>
        <w:spacing w:line="360" w:lineRule="auto"/>
        <w:jc w:val="both"/>
        <w:rPr>
          <w:rFonts w:ascii="Arial" w:hAnsi="Arial" w:cs="Arial"/>
          <w:b/>
        </w:rPr>
      </w:pPr>
    </w:p>
    <w:p w14:paraId="21ADA0FE" w14:textId="77777777" w:rsidR="00F22321" w:rsidRDefault="00F22321" w:rsidP="000F55AE">
      <w:pPr>
        <w:spacing w:line="360" w:lineRule="auto"/>
        <w:jc w:val="both"/>
        <w:rPr>
          <w:rFonts w:ascii="Arial" w:hAnsi="Arial" w:cs="Arial"/>
          <w:b/>
        </w:rPr>
      </w:pPr>
    </w:p>
    <w:p w14:paraId="1D05F5E2" w14:textId="77777777" w:rsidR="00F22321" w:rsidRDefault="00F22321" w:rsidP="000F55AE">
      <w:pPr>
        <w:spacing w:line="360" w:lineRule="auto"/>
        <w:jc w:val="both"/>
        <w:rPr>
          <w:rFonts w:ascii="Arial" w:hAnsi="Arial" w:cs="Arial"/>
          <w:b/>
        </w:rPr>
      </w:pPr>
    </w:p>
    <w:p w14:paraId="08B6AF21" w14:textId="77777777" w:rsidR="00461302" w:rsidRDefault="00461302" w:rsidP="000F55AE">
      <w:pPr>
        <w:spacing w:line="360" w:lineRule="auto"/>
        <w:jc w:val="both"/>
        <w:rPr>
          <w:rFonts w:ascii="Arial" w:hAnsi="Arial" w:cs="Arial"/>
          <w:b/>
        </w:rPr>
      </w:pPr>
      <w:r w:rsidRPr="00461302">
        <w:rPr>
          <w:rFonts w:ascii="Arial" w:hAnsi="Arial" w:cs="Arial"/>
          <w:b/>
        </w:rPr>
        <w:t>REFERENCES</w:t>
      </w:r>
    </w:p>
    <w:p w14:paraId="6369382A" w14:textId="77777777" w:rsidR="004B7273" w:rsidRPr="004B7273" w:rsidRDefault="004B7273" w:rsidP="004B7273">
      <w:pPr>
        <w:pStyle w:val="NormalWeb"/>
        <w:spacing w:line="360" w:lineRule="auto"/>
        <w:jc w:val="both"/>
        <w:rPr>
          <w:rFonts w:ascii="Arial" w:hAnsi="Arial" w:cs="Arial"/>
          <w:sz w:val="22"/>
          <w:szCs w:val="22"/>
        </w:rPr>
      </w:pPr>
      <w:r w:rsidRPr="004B7273">
        <w:rPr>
          <w:rFonts w:ascii="Arial" w:hAnsi="Arial" w:cs="Arial"/>
          <w:sz w:val="22"/>
          <w:szCs w:val="22"/>
        </w:rPr>
        <w:t xml:space="preserve">Anderson, G., Rega, M.L., Casasanta, D., Graffigna, G., Damiani, G. and Barello, S. (2022) ‘The association between patient activation and healthcare resources utilization: a systematic review and meta-analysis’, </w:t>
      </w:r>
      <w:r w:rsidRPr="004B7273">
        <w:rPr>
          <w:rStyle w:val="Emphasis"/>
          <w:rFonts w:ascii="Arial" w:hAnsi="Arial" w:cs="Arial"/>
          <w:sz w:val="22"/>
          <w:szCs w:val="22"/>
        </w:rPr>
        <w:t>Public Health</w:t>
      </w:r>
      <w:r w:rsidRPr="004B7273">
        <w:rPr>
          <w:rFonts w:ascii="Arial" w:hAnsi="Arial" w:cs="Arial"/>
          <w:sz w:val="22"/>
          <w:szCs w:val="22"/>
        </w:rPr>
        <w:t xml:space="preserve">, 210, pp. 134–141. Available at: </w:t>
      </w:r>
      <w:hyperlink r:id="rId10" w:history="1">
        <w:r w:rsidRPr="004B7273">
          <w:rPr>
            <w:rStyle w:val="Hyperlink"/>
            <w:rFonts w:ascii="Arial" w:hAnsi="Arial" w:cs="Arial"/>
            <w:sz w:val="22"/>
            <w:szCs w:val="22"/>
          </w:rPr>
          <w:t>https://publires.unicatt.it/it/publications/the-association-between-patient-activation-and-healthcare-resourc/</w:t>
        </w:r>
      </w:hyperlink>
      <w:r w:rsidRPr="004B7273">
        <w:rPr>
          <w:rFonts w:ascii="Arial" w:hAnsi="Arial" w:cs="Arial"/>
          <w:sz w:val="22"/>
          <w:szCs w:val="22"/>
        </w:rPr>
        <w:t xml:space="preserve"> </w:t>
      </w:r>
    </w:p>
    <w:p w14:paraId="569C7F6B" w14:textId="77777777" w:rsidR="004B7273" w:rsidRPr="004B7273" w:rsidRDefault="004B7273" w:rsidP="004B7273">
      <w:pPr>
        <w:pStyle w:val="NormalWeb"/>
        <w:spacing w:line="360" w:lineRule="auto"/>
        <w:jc w:val="both"/>
        <w:rPr>
          <w:rFonts w:ascii="Arial" w:hAnsi="Arial" w:cs="Arial"/>
          <w:sz w:val="22"/>
          <w:szCs w:val="22"/>
        </w:rPr>
      </w:pPr>
      <w:r w:rsidRPr="004B7273">
        <w:rPr>
          <w:rFonts w:ascii="Arial" w:hAnsi="Arial" w:cs="Arial"/>
          <w:sz w:val="22"/>
          <w:szCs w:val="22"/>
        </w:rPr>
        <w:t xml:space="preserve">Care Act 2014. c. 23. Available at: </w:t>
      </w:r>
      <w:hyperlink r:id="rId11" w:history="1">
        <w:r w:rsidRPr="004B7273">
          <w:rPr>
            <w:rStyle w:val="Hyperlink"/>
            <w:rFonts w:ascii="Arial" w:hAnsi="Arial" w:cs="Arial"/>
            <w:sz w:val="22"/>
            <w:szCs w:val="22"/>
          </w:rPr>
          <w:t>https://www.legislation.gov.uk/ukpga/2014/23/contents</w:t>
        </w:r>
      </w:hyperlink>
      <w:r w:rsidRPr="004B7273">
        <w:rPr>
          <w:rFonts w:ascii="Arial" w:hAnsi="Arial" w:cs="Arial"/>
          <w:sz w:val="22"/>
          <w:szCs w:val="22"/>
        </w:rPr>
        <w:t xml:space="preserve"> </w:t>
      </w:r>
    </w:p>
    <w:p w14:paraId="4CD115BF" w14:textId="77777777" w:rsidR="004B7273" w:rsidRPr="004B7273" w:rsidRDefault="004B7273" w:rsidP="004B7273">
      <w:pPr>
        <w:pStyle w:val="NormalWeb"/>
        <w:spacing w:line="360" w:lineRule="auto"/>
        <w:jc w:val="both"/>
        <w:rPr>
          <w:rFonts w:ascii="Arial" w:hAnsi="Arial" w:cs="Arial"/>
          <w:sz w:val="22"/>
          <w:szCs w:val="22"/>
        </w:rPr>
      </w:pPr>
      <w:r w:rsidRPr="004B7273">
        <w:rPr>
          <w:rFonts w:ascii="Arial" w:hAnsi="Arial" w:cs="Arial"/>
          <w:sz w:val="22"/>
          <w:szCs w:val="22"/>
        </w:rPr>
        <w:t>Car</w:t>
      </w:r>
      <w:r>
        <w:rPr>
          <w:rFonts w:ascii="Arial" w:hAnsi="Arial" w:cs="Arial"/>
          <w:sz w:val="22"/>
          <w:szCs w:val="22"/>
        </w:rPr>
        <w:t>e Quality Commission (CQC) (2025</w:t>
      </w:r>
      <w:r w:rsidRPr="004B7273">
        <w:rPr>
          <w:rFonts w:ascii="Arial" w:hAnsi="Arial" w:cs="Arial"/>
          <w:sz w:val="22"/>
          <w:szCs w:val="22"/>
        </w:rPr>
        <w:t xml:space="preserve">) </w:t>
      </w:r>
      <w:r w:rsidRPr="004B7273">
        <w:rPr>
          <w:rStyle w:val="Emphasis"/>
          <w:rFonts w:ascii="Arial" w:hAnsi="Arial" w:cs="Arial"/>
          <w:sz w:val="22"/>
          <w:szCs w:val="22"/>
        </w:rPr>
        <w:t>Regulation 9: Person-centred care</w:t>
      </w:r>
      <w:r w:rsidRPr="004B7273">
        <w:rPr>
          <w:rFonts w:ascii="Arial" w:hAnsi="Arial" w:cs="Arial"/>
          <w:sz w:val="22"/>
          <w:szCs w:val="22"/>
        </w:rPr>
        <w:t xml:space="preserve">. Available at: </w:t>
      </w:r>
      <w:hyperlink r:id="rId12" w:history="1">
        <w:r w:rsidRPr="004B7273">
          <w:rPr>
            <w:rStyle w:val="Hyperlink"/>
            <w:rFonts w:ascii="Arial" w:hAnsi="Arial" w:cs="Arial"/>
            <w:sz w:val="22"/>
            <w:szCs w:val="22"/>
          </w:rPr>
          <w:t>https://www.cqc.org.uk/guidance-regulation/providers/regulations-service-providers-and-managers/health-social-care-act/regulation-9</w:t>
        </w:r>
      </w:hyperlink>
      <w:r w:rsidRPr="004B7273">
        <w:rPr>
          <w:rFonts w:ascii="Arial" w:hAnsi="Arial" w:cs="Arial"/>
          <w:sz w:val="22"/>
          <w:szCs w:val="22"/>
        </w:rPr>
        <w:t xml:space="preserve"> </w:t>
      </w:r>
    </w:p>
    <w:p w14:paraId="0C3C0D1E" w14:textId="77777777" w:rsidR="004B7273" w:rsidRPr="004B7273" w:rsidRDefault="004B7273" w:rsidP="004B7273">
      <w:pPr>
        <w:pStyle w:val="NormalWeb"/>
        <w:spacing w:line="360" w:lineRule="auto"/>
        <w:jc w:val="both"/>
        <w:rPr>
          <w:rFonts w:ascii="Arial" w:hAnsi="Arial" w:cs="Arial"/>
          <w:sz w:val="22"/>
          <w:szCs w:val="22"/>
        </w:rPr>
      </w:pPr>
      <w:r w:rsidRPr="004B7273">
        <w:rPr>
          <w:rFonts w:ascii="Arial" w:hAnsi="Arial" w:cs="Arial"/>
          <w:sz w:val="22"/>
          <w:szCs w:val="22"/>
        </w:rPr>
        <w:t>Ghosh, M., Bhagat, P. and Cox, D. (2022) ‘How can a person-centred approach to occupational therapy practice in the community enhance independence for people living with compl</w:t>
      </w:r>
      <w:r w:rsidR="00C74618">
        <w:rPr>
          <w:rFonts w:ascii="Arial" w:hAnsi="Arial" w:cs="Arial"/>
          <w:sz w:val="22"/>
          <w:szCs w:val="22"/>
        </w:rPr>
        <w:t>ex neurological presentations?’</w:t>
      </w:r>
      <w:r w:rsidRPr="004B7273">
        <w:rPr>
          <w:rFonts w:ascii="Arial" w:hAnsi="Arial" w:cs="Arial"/>
          <w:sz w:val="22"/>
          <w:szCs w:val="22"/>
        </w:rPr>
        <w:t xml:space="preserve"> </w:t>
      </w:r>
      <w:r w:rsidRPr="004B7273">
        <w:rPr>
          <w:rStyle w:val="Emphasis"/>
          <w:rFonts w:ascii="Arial" w:hAnsi="Arial" w:cs="Arial"/>
          <w:sz w:val="22"/>
          <w:szCs w:val="22"/>
        </w:rPr>
        <w:t>British Journal of Community Nursing</w:t>
      </w:r>
      <w:r w:rsidRPr="004B7273">
        <w:rPr>
          <w:rFonts w:ascii="Arial" w:hAnsi="Arial" w:cs="Arial"/>
          <w:sz w:val="22"/>
          <w:szCs w:val="22"/>
        </w:rPr>
        <w:t xml:space="preserve">, 27(9), pp. 426–430. doi: 10.12968/bjcn.2022.27.9.426. Available at: </w:t>
      </w:r>
      <w:hyperlink r:id="rId13" w:history="1">
        <w:r w:rsidRPr="004B7273">
          <w:rPr>
            <w:rStyle w:val="Hyperlink"/>
            <w:rFonts w:ascii="Arial" w:hAnsi="Arial" w:cs="Arial"/>
            <w:sz w:val="22"/>
            <w:szCs w:val="22"/>
          </w:rPr>
          <w:t>https://doi.org/10.12968/bjcn.2022.27.9.426</w:t>
        </w:r>
      </w:hyperlink>
      <w:r w:rsidRPr="004B7273">
        <w:rPr>
          <w:rFonts w:ascii="Arial" w:hAnsi="Arial" w:cs="Arial"/>
          <w:sz w:val="22"/>
          <w:szCs w:val="22"/>
        </w:rPr>
        <w:t xml:space="preserve"> </w:t>
      </w:r>
    </w:p>
    <w:p w14:paraId="76CFEB5F" w14:textId="77777777" w:rsidR="00B31A13" w:rsidRPr="00B31A13" w:rsidRDefault="004B7273" w:rsidP="004B7273">
      <w:pPr>
        <w:pStyle w:val="NormalWeb"/>
        <w:spacing w:line="360" w:lineRule="auto"/>
        <w:jc w:val="both"/>
        <w:rPr>
          <w:rFonts w:ascii="Arial" w:hAnsi="Arial" w:cs="Arial"/>
          <w:sz w:val="22"/>
          <w:szCs w:val="22"/>
        </w:rPr>
      </w:pPr>
      <w:r w:rsidRPr="004B7273">
        <w:rPr>
          <w:rFonts w:ascii="Arial" w:hAnsi="Arial" w:cs="Arial"/>
          <w:sz w:val="22"/>
          <w:szCs w:val="22"/>
        </w:rPr>
        <w:t xml:space="preserve">Harper, K., Williamson, M., Arendts, G., Edwards, D., Buller, B., Haak, J., Jacques, A., Barton, A., Petta, A. and Celenza, A. (2024) ‘Does patient activation matter? An examination of the relationships between patient activation and healthcare use in older adults with mild frailty after discharge from an emergency department’, </w:t>
      </w:r>
      <w:r w:rsidRPr="004B7273">
        <w:rPr>
          <w:rStyle w:val="Emphasis"/>
          <w:rFonts w:ascii="Arial" w:hAnsi="Arial" w:cs="Arial"/>
          <w:sz w:val="22"/>
          <w:szCs w:val="22"/>
        </w:rPr>
        <w:t>Australian Health Review</w:t>
      </w:r>
      <w:r w:rsidRPr="004B7273">
        <w:rPr>
          <w:rFonts w:ascii="Arial" w:hAnsi="Arial" w:cs="Arial"/>
          <w:sz w:val="22"/>
          <w:szCs w:val="22"/>
        </w:rPr>
        <w:t xml:space="preserve">. doi: 10.1071/AH24033. </w:t>
      </w:r>
      <w:r w:rsidR="00B31A13">
        <w:rPr>
          <w:rFonts w:ascii="Arial" w:hAnsi="Arial" w:cs="Arial"/>
          <w:sz w:val="22"/>
          <w:szCs w:val="22"/>
        </w:rPr>
        <w:t xml:space="preserve"> </w:t>
      </w:r>
      <w:r w:rsidR="00B31A13" w:rsidRPr="00B31A13">
        <w:rPr>
          <w:rFonts w:ascii="Arial" w:hAnsi="Arial" w:cs="Arial"/>
          <w:sz w:val="22"/>
          <w:szCs w:val="22"/>
        </w:rPr>
        <w:t xml:space="preserve">PubMed link: </w:t>
      </w:r>
      <w:hyperlink r:id="rId14" w:history="1">
        <w:r w:rsidR="00B31A13" w:rsidRPr="00B31A13">
          <w:rPr>
            <w:rStyle w:val="Hyperlink"/>
            <w:rFonts w:ascii="Arial" w:hAnsi="Arial" w:cs="Arial"/>
            <w:sz w:val="22"/>
            <w:szCs w:val="22"/>
          </w:rPr>
          <w:t>https://pubmed.ncbi.nlm.nih.gov/39183070/</w:t>
        </w:r>
      </w:hyperlink>
    </w:p>
    <w:p w14:paraId="2185938D" w14:textId="77777777" w:rsidR="004B7273" w:rsidRPr="004B7273" w:rsidRDefault="004B7273" w:rsidP="004B7273">
      <w:pPr>
        <w:pStyle w:val="NormalWeb"/>
        <w:spacing w:line="360" w:lineRule="auto"/>
        <w:jc w:val="both"/>
        <w:rPr>
          <w:rFonts w:ascii="Arial" w:hAnsi="Arial" w:cs="Arial"/>
          <w:sz w:val="22"/>
          <w:szCs w:val="22"/>
        </w:rPr>
      </w:pPr>
      <w:r w:rsidRPr="004B7273">
        <w:rPr>
          <w:rFonts w:ascii="Arial" w:hAnsi="Arial" w:cs="Arial"/>
          <w:sz w:val="22"/>
          <w:szCs w:val="22"/>
        </w:rPr>
        <w:t xml:space="preserve">Health and Care Act 2022. c. 31. Available at: </w:t>
      </w:r>
      <w:hyperlink r:id="rId15" w:history="1">
        <w:r w:rsidRPr="004B7273">
          <w:rPr>
            <w:rStyle w:val="Hyperlink"/>
            <w:rFonts w:ascii="Arial" w:hAnsi="Arial" w:cs="Arial"/>
            <w:sz w:val="22"/>
            <w:szCs w:val="22"/>
          </w:rPr>
          <w:t>https://www.legislation.gov.uk/ukpga/2022/31/contents</w:t>
        </w:r>
      </w:hyperlink>
      <w:r w:rsidRPr="004B7273">
        <w:rPr>
          <w:rFonts w:ascii="Arial" w:hAnsi="Arial" w:cs="Arial"/>
          <w:sz w:val="22"/>
          <w:szCs w:val="22"/>
        </w:rPr>
        <w:t xml:space="preserve"> </w:t>
      </w:r>
    </w:p>
    <w:p w14:paraId="1C7A3B67" w14:textId="77777777" w:rsidR="004B7273" w:rsidRPr="004B7273" w:rsidRDefault="004B7273" w:rsidP="004B7273">
      <w:pPr>
        <w:pStyle w:val="NormalWeb"/>
        <w:spacing w:line="360" w:lineRule="auto"/>
        <w:jc w:val="both"/>
        <w:rPr>
          <w:rFonts w:ascii="Arial" w:hAnsi="Arial" w:cs="Arial"/>
          <w:sz w:val="22"/>
          <w:szCs w:val="22"/>
        </w:rPr>
      </w:pPr>
      <w:r w:rsidRPr="004B7273">
        <w:rPr>
          <w:rFonts w:ascii="Arial" w:hAnsi="Arial" w:cs="Arial"/>
          <w:sz w:val="22"/>
          <w:szCs w:val="22"/>
        </w:rPr>
        <w:t xml:space="preserve">Kinsella, N. and King, J. (2024) ‘Research priority seven: what is the role of occupational therapy in supporting self-management? Developing an occupation-centred lens for research and practice’, </w:t>
      </w:r>
      <w:r w:rsidRPr="004B7273">
        <w:rPr>
          <w:rStyle w:val="Emphasis"/>
          <w:rFonts w:ascii="Arial" w:hAnsi="Arial" w:cs="Arial"/>
          <w:sz w:val="22"/>
          <w:szCs w:val="22"/>
        </w:rPr>
        <w:t>British Journal of Occupational Therapy</w:t>
      </w:r>
      <w:r w:rsidRPr="004B7273">
        <w:rPr>
          <w:rFonts w:ascii="Arial" w:hAnsi="Arial" w:cs="Arial"/>
          <w:sz w:val="22"/>
          <w:szCs w:val="22"/>
        </w:rPr>
        <w:t xml:space="preserve">, 87(8), pp. 463–465. doi: 10.1177/03080226231197312. Available at: </w:t>
      </w:r>
      <w:hyperlink r:id="rId16" w:history="1">
        <w:r w:rsidRPr="004B7273">
          <w:rPr>
            <w:rStyle w:val="Hyperlink"/>
            <w:rFonts w:ascii="Arial" w:hAnsi="Arial" w:cs="Arial"/>
            <w:sz w:val="22"/>
            <w:szCs w:val="22"/>
          </w:rPr>
          <w:t>https://doi.org/10.1177/03080226231197312</w:t>
        </w:r>
      </w:hyperlink>
      <w:r w:rsidRPr="004B7273">
        <w:rPr>
          <w:rFonts w:ascii="Arial" w:hAnsi="Arial" w:cs="Arial"/>
          <w:sz w:val="22"/>
          <w:szCs w:val="22"/>
        </w:rPr>
        <w:t xml:space="preserve"> </w:t>
      </w:r>
    </w:p>
    <w:p w14:paraId="18459438" w14:textId="77777777" w:rsidR="004B7273" w:rsidRPr="004B7273" w:rsidRDefault="004B7273" w:rsidP="004B7273">
      <w:pPr>
        <w:pStyle w:val="NormalWeb"/>
        <w:spacing w:line="360" w:lineRule="auto"/>
        <w:jc w:val="both"/>
        <w:rPr>
          <w:rFonts w:ascii="Arial" w:hAnsi="Arial" w:cs="Arial"/>
          <w:sz w:val="22"/>
          <w:szCs w:val="22"/>
        </w:rPr>
      </w:pPr>
      <w:r w:rsidRPr="004B7273">
        <w:rPr>
          <w:rFonts w:ascii="Arial" w:hAnsi="Arial" w:cs="Arial"/>
          <w:sz w:val="22"/>
          <w:szCs w:val="22"/>
        </w:rPr>
        <w:t xml:space="preserve">MacLeod, H., Veillette, N., Klein, J., Delli-Colli, N., Egan, M., Giroux, D., Kergoat, M.-J., Gingrich, S. and Provencher, V. (2023) ‘Shifting the narrative from living at risk to living with risk: validating </w:t>
      </w:r>
      <w:r w:rsidRPr="004B7273">
        <w:rPr>
          <w:rFonts w:ascii="Arial" w:hAnsi="Arial" w:cs="Arial"/>
          <w:sz w:val="22"/>
          <w:szCs w:val="22"/>
        </w:rPr>
        <w:lastRenderedPageBreak/>
        <w:t xml:space="preserve">and pilot-testing a clinical decision support tool: a mixed methods study’, </w:t>
      </w:r>
      <w:r w:rsidRPr="004B7273">
        <w:rPr>
          <w:rStyle w:val="Emphasis"/>
          <w:rFonts w:ascii="Arial" w:hAnsi="Arial" w:cs="Arial"/>
          <w:sz w:val="22"/>
          <w:szCs w:val="22"/>
        </w:rPr>
        <w:t>BMC Geriatrics</w:t>
      </w:r>
      <w:r w:rsidRPr="004B7273">
        <w:rPr>
          <w:rFonts w:ascii="Arial" w:hAnsi="Arial" w:cs="Arial"/>
          <w:sz w:val="22"/>
          <w:szCs w:val="22"/>
        </w:rPr>
        <w:t xml:space="preserve">, 23, article 338. doi: 10.1186/s12877-023-04068-w. Available at: </w:t>
      </w:r>
      <w:hyperlink r:id="rId17" w:history="1">
        <w:r w:rsidRPr="004B7273">
          <w:rPr>
            <w:rStyle w:val="Hyperlink"/>
            <w:rFonts w:ascii="Arial" w:hAnsi="Arial" w:cs="Arial"/>
            <w:sz w:val="22"/>
            <w:szCs w:val="22"/>
          </w:rPr>
          <w:t>https://doi.org/10.1186/s12877-023-04068-w</w:t>
        </w:r>
      </w:hyperlink>
      <w:r w:rsidRPr="004B7273">
        <w:rPr>
          <w:rFonts w:ascii="Arial" w:hAnsi="Arial" w:cs="Arial"/>
          <w:sz w:val="22"/>
          <w:szCs w:val="22"/>
        </w:rPr>
        <w:t xml:space="preserve"> </w:t>
      </w:r>
    </w:p>
    <w:p w14:paraId="4053EBDB" w14:textId="77777777" w:rsidR="004B7273" w:rsidRPr="004B7273" w:rsidRDefault="004B7273" w:rsidP="004B7273">
      <w:pPr>
        <w:pStyle w:val="NormalWeb"/>
        <w:spacing w:line="360" w:lineRule="auto"/>
        <w:jc w:val="both"/>
        <w:rPr>
          <w:rFonts w:ascii="Arial" w:hAnsi="Arial" w:cs="Arial"/>
          <w:sz w:val="22"/>
          <w:szCs w:val="22"/>
        </w:rPr>
      </w:pPr>
      <w:r w:rsidRPr="004B7273">
        <w:rPr>
          <w:rFonts w:ascii="Arial" w:hAnsi="Arial" w:cs="Arial"/>
          <w:sz w:val="22"/>
          <w:szCs w:val="22"/>
        </w:rPr>
        <w:t xml:space="preserve">Maslow, A.H. (1943) ‘A theory of human motivation’, </w:t>
      </w:r>
      <w:r w:rsidRPr="004B7273">
        <w:rPr>
          <w:rStyle w:val="Emphasis"/>
          <w:rFonts w:ascii="Arial" w:hAnsi="Arial" w:cs="Arial"/>
          <w:sz w:val="22"/>
          <w:szCs w:val="22"/>
        </w:rPr>
        <w:t>Psychological Review</w:t>
      </w:r>
      <w:r w:rsidRPr="004B7273">
        <w:rPr>
          <w:rFonts w:ascii="Arial" w:hAnsi="Arial" w:cs="Arial"/>
          <w:sz w:val="22"/>
          <w:szCs w:val="22"/>
        </w:rPr>
        <w:t>, 50(4), pp. 370–396. doi: 10.1037/h0054346.</w:t>
      </w:r>
    </w:p>
    <w:p w14:paraId="6E8BFD48" w14:textId="77777777" w:rsidR="004B7273" w:rsidRPr="004B7273" w:rsidRDefault="004B7273" w:rsidP="004B7273">
      <w:pPr>
        <w:pStyle w:val="NormalWeb"/>
        <w:spacing w:line="360" w:lineRule="auto"/>
        <w:jc w:val="both"/>
        <w:rPr>
          <w:rFonts w:ascii="Arial" w:hAnsi="Arial" w:cs="Arial"/>
          <w:sz w:val="22"/>
          <w:szCs w:val="22"/>
        </w:rPr>
      </w:pPr>
      <w:r w:rsidRPr="004B7273">
        <w:rPr>
          <w:rFonts w:ascii="Arial" w:hAnsi="Arial" w:cs="Arial"/>
          <w:sz w:val="22"/>
          <w:szCs w:val="22"/>
        </w:rPr>
        <w:t xml:space="preserve">Royal College of Occupational Therapists (RCOT) (2026) </w:t>
      </w:r>
      <w:r w:rsidRPr="004B7273">
        <w:rPr>
          <w:rStyle w:val="Emphasis"/>
          <w:rFonts w:ascii="Arial" w:hAnsi="Arial" w:cs="Arial"/>
          <w:sz w:val="22"/>
          <w:szCs w:val="22"/>
        </w:rPr>
        <w:t>Professional standards of practice, conduct and ethics for occupational therapy</w:t>
      </w:r>
      <w:r w:rsidRPr="004B7273">
        <w:rPr>
          <w:rFonts w:ascii="Arial" w:hAnsi="Arial" w:cs="Arial"/>
          <w:sz w:val="22"/>
          <w:szCs w:val="22"/>
        </w:rPr>
        <w:t xml:space="preserve">. London: RCOT. Available at: </w:t>
      </w:r>
      <w:hyperlink r:id="rId18" w:history="1">
        <w:r w:rsidRPr="004B7273">
          <w:rPr>
            <w:rStyle w:val="Hyperlink"/>
            <w:rFonts w:ascii="Arial" w:hAnsi="Arial" w:cs="Arial"/>
            <w:sz w:val="22"/>
            <w:szCs w:val="22"/>
          </w:rPr>
          <w:t>https://www.rcot.co.uk/explore-resources/standards-guidelines/professional-standards-conduct-ethics</w:t>
        </w:r>
      </w:hyperlink>
      <w:r w:rsidRPr="004B7273">
        <w:rPr>
          <w:rFonts w:ascii="Arial" w:hAnsi="Arial" w:cs="Arial"/>
          <w:sz w:val="22"/>
          <w:szCs w:val="22"/>
        </w:rPr>
        <w:t xml:space="preserve"> </w:t>
      </w:r>
    </w:p>
    <w:p w14:paraId="0B80B35D" w14:textId="77777777" w:rsidR="004B7273" w:rsidRPr="00461302" w:rsidRDefault="004B7273" w:rsidP="000F55AE">
      <w:pPr>
        <w:spacing w:line="360" w:lineRule="auto"/>
        <w:jc w:val="both"/>
        <w:rPr>
          <w:rFonts w:ascii="Arial" w:hAnsi="Arial" w:cs="Arial"/>
          <w:b/>
        </w:rPr>
      </w:pPr>
    </w:p>
    <w:sectPr w:rsidR="004B7273" w:rsidRPr="00461302" w:rsidSect="00461302">
      <w:footerReference w:type="default" r:id="rId19"/>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598EFC" w14:textId="77777777" w:rsidR="002675ED" w:rsidRDefault="002675ED" w:rsidP="00461302">
      <w:pPr>
        <w:spacing w:after="0" w:line="240" w:lineRule="auto"/>
      </w:pPr>
      <w:r>
        <w:separator/>
      </w:r>
    </w:p>
  </w:endnote>
  <w:endnote w:type="continuationSeparator" w:id="0">
    <w:p w14:paraId="4AB6FCDD" w14:textId="77777777" w:rsidR="002675ED" w:rsidRDefault="002675ED" w:rsidP="004613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4746208"/>
      <w:docPartObj>
        <w:docPartGallery w:val="Page Numbers (Bottom of Page)"/>
        <w:docPartUnique/>
      </w:docPartObj>
    </w:sdtPr>
    <w:sdtEndPr>
      <w:rPr>
        <w:noProof/>
      </w:rPr>
    </w:sdtEndPr>
    <w:sdtContent>
      <w:p w14:paraId="797DDF7F" w14:textId="77777777" w:rsidR="00461302" w:rsidRDefault="00461302">
        <w:pPr>
          <w:pStyle w:val="Footer"/>
          <w:jc w:val="right"/>
        </w:pPr>
        <w:r>
          <w:fldChar w:fldCharType="begin"/>
        </w:r>
        <w:r>
          <w:instrText xml:space="preserve"> PAGE   \* MERGEFORMAT </w:instrText>
        </w:r>
        <w:r>
          <w:fldChar w:fldCharType="separate"/>
        </w:r>
        <w:r w:rsidR="00EF24BC">
          <w:rPr>
            <w:noProof/>
          </w:rPr>
          <w:t>12</w:t>
        </w:r>
        <w:r>
          <w:rPr>
            <w:noProof/>
          </w:rPr>
          <w:fldChar w:fldCharType="end"/>
        </w:r>
      </w:p>
    </w:sdtContent>
  </w:sdt>
  <w:p w14:paraId="6CF41108" w14:textId="77777777" w:rsidR="00461302" w:rsidRDefault="004613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D9635D" w14:textId="77777777" w:rsidR="002675ED" w:rsidRDefault="002675ED" w:rsidP="00461302">
      <w:pPr>
        <w:spacing w:after="0" w:line="240" w:lineRule="auto"/>
      </w:pPr>
      <w:r>
        <w:separator/>
      </w:r>
    </w:p>
  </w:footnote>
  <w:footnote w:type="continuationSeparator" w:id="0">
    <w:p w14:paraId="1127AD05" w14:textId="77777777" w:rsidR="002675ED" w:rsidRDefault="002675ED" w:rsidP="004613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2BEF"/>
    <w:rsid w:val="000F55AE"/>
    <w:rsid w:val="001B268D"/>
    <w:rsid w:val="002675ED"/>
    <w:rsid w:val="002A375E"/>
    <w:rsid w:val="0035051C"/>
    <w:rsid w:val="003A0FF4"/>
    <w:rsid w:val="00457AF0"/>
    <w:rsid w:val="00461302"/>
    <w:rsid w:val="00477595"/>
    <w:rsid w:val="004B7273"/>
    <w:rsid w:val="005A19D5"/>
    <w:rsid w:val="005F504C"/>
    <w:rsid w:val="00782856"/>
    <w:rsid w:val="008715B4"/>
    <w:rsid w:val="00972BEF"/>
    <w:rsid w:val="009D2DA8"/>
    <w:rsid w:val="00A57335"/>
    <w:rsid w:val="00B31A13"/>
    <w:rsid w:val="00BD2D1B"/>
    <w:rsid w:val="00C11128"/>
    <w:rsid w:val="00C74618"/>
    <w:rsid w:val="00CC074B"/>
    <w:rsid w:val="00D27BCD"/>
    <w:rsid w:val="00EF24BC"/>
    <w:rsid w:val="00F22321"/>
    <w:rsid w:val="00F917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1AD7D"/>
  <w15:chartTrackingRefBased/>
  <w15:docId w15:val="{C1CC4D7A-1614-400F-B4CF-244C854BC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13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1302"/>
  </w:style>
  <w:style w:type="paragraph" w:styleId="Footer">
    <w:name w:val="footer"/>
    <w:basedOn w:val="Normal"/>
    <w:link w:val="FooterChar"/>
    <w:uiPriority w:val="99"/>
    <w:unhideWhenUsed/>
    <w:rsid w:val="004613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1302"/>
  </w:style>
  <w:style w:type="table" w:styleId="TableGrid">
    <w:name w:val="Table Grid"/>
    <w:basedOn w:val="TableNormal"/>
    <w:uiPriority w:val="39"/>
    <w:rsid w:val="004613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4B727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unhideWhenUsed/>
    <w:rsid w:val="004B727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4B7273"/>
    <w:rPr>
      <w:i/>
      <w:iCs/>
    </w:rPr>
  </w:style>
  <w:style w:type="character" w:styleId="Hyperlink">
    <w:name w:val="Hyperlink"/>
    <w:basedOn w:val="DefaultParagraphFont"/>
    <w:uiPriority w:val="99"/>
    <w:semiHidden/>
    <w:unhideWhenUsed/>
    <w:rsid w:val="004B7273"/>
    <w:rPr>
      <w:color w:val="0000FF"/>
      <w:u w:val="single"/>
    </w:rPr>
  </w:style>
  <w:style w:type="character" w:styleId="Strong">
    <w:name w:val="Strong"/>
    <w:basedOn w:val="DefaultParagraphFont"/>
    <w:uiPriority w:val="22"/>
    <w:qFormat/>
    <w:rsid w:val="005A19D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7215672">
      <w:bodyDiv w:val="1"/>
      <w:marLeft w:val="0"/>
      <w:marRight w:val="0"/>
      <w:marTop w:val="0"/>
      <w:marBottom w:val="0"/>
      <w:divBdr>
        <w:top w:val="none" w:sz="0" w:space="0" w:color="auto"/>
        <w:left w:val="none" w:sz="0" w:space="0" w:color="auto"/>
        <w:bottom w:val="none" w:sz="0" w:space="0" w:color="auto"/>
        <w:right w:val="none" w:sz="0" w:space="0" w:color="auto"/>
      </w:divBdr>
    </w:div>
    <w:div w:id="773743804">
      <w:bodyDiv w:val="1"/>
      <w:marLeft w:val="0"/>
      <w:marRight w:val="0"/>
      <w:marTop w:val="0"/>
      <w:marBottom w:val="0"/>
      <w:divBdr>
        <w:top w:val="none" w:sz="0" w:space="0" w:color="auto"/>
        <w:left w:val="none" w:sz="0" w:space="0" w:color="auto"/>
        <w:bottom w:val="none" w:sz="0" w:space="0" w:color="auto"/>
        <w:right w:val="none" w:sz="0" w:space="0" w:color="auto"/>
      </w:divBdr>
    </w:div>
    <w:div w:id="1561207105">
      <w:bodyDiv w:val="1"/>
      <w:marLeft w:val="0"/>
      <w:marRight w:val="0"/>
      <w:marTop w:val="0"/>
      <w:marBottom w:val="0"/>
      <w:divBdr>
        <w:top w:val="none" w:sz="0" w:space="0" w:color="auto"/>
        <w:left w:val="none" w:sz="0" w:space="0" w:color="auto"/>
        <w:bottom w:val="none" w:sz="0" w:space="0" w:color="auto"/>
        <w:right w:val="none" w:sz="0" w:space="0" w:color="auto"/>
      </w:divBdr>
    </w:div>
    <w:div w:id="2012223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2968/bjcn.2022.27.9.426" TargetMode="External"/><Relationship Id="rId18" Type="http://schemas.openxmlformats.org/officeDocument/2006/relationships/hyperlink" Target="https://www.rcot.co.uk/explore-resources/standards-guidelines/professional-standards-conduct-ethics"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hyperlink" Target="https://www.cqc.org.uk/guidance-regulation/providers/regulations-service-providers-and-managers/health-social-care-act/regulation-9" TargetMode="External"/><Relationship Id="rId17" Type="http://schemas.openxmlformats.org/officeDocument/2006/relationships/hyperlink" Target="https://doi.org/10.1186/s12877-023-04068-w" TargetMode="External"/><Relationship Id="rId2" Type="http://schemas.openxmlformats.org/officeDocument/2006/relationships/settings" Target="settings.xml"/><Relationship Id="rId16" Type="http://schemas.openxmlformats.org/officeDocument/2006/relationships/hyperlink" Target="https://doi.org/10.1177/03080226231197312"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egislation.gov.uk/ukpga/2014/23/contents" TargetMode="External"/><Relationship Id="rId5" Type="http://schemas.openxmlformats.org/officeDocument/2006/relationships/endnotes" Target="endnotes.xml"/><Relationship Id="rId15" Type="http://schemas.openxmlformats.org/officeDocument/2006/relationships/hyperlink" Target="https://www.legislation.gov.uk/ukpga/2022/31/contents" TargetMode="External"/><Relationship Id="rId10" Type="http://schemas.openxmlformats.org/officeDocument/2006/relationships/hyperlink" Target="https://publires.unicatt.it/it/publications/the-association-between-patient-activation-and-healthcare-resourc/"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pubmed.ncbi.nlm.nih.gov/39183070/?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2806</Words>
  <Characters>15998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Ashfaq Mohammad</dc:creator>
  <cp:keywords/>
  <dc:description/>
  <cp:lastModifiedBy>Ashfaq Mohammad</cp:lastModifiedBy>
  <cp:revision>3</cp:revision>
  <dcterms:created xsi:type="dcterms:W3CDTF">2026-10-24T17:41:00Z</dcterms:created>
  <dcterms:modified xsi:type="dcterms:W3CDTF">2026-10-25T18:34:00Z</dcterms:modified>
</cp:coreProperties>
</file>