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0D644B" w14:textId="77777777" w:rsidR="00C245F6" w:rsidRDefault="00000000">
      <w:pPr>
        <w:pStyle w:val="Heading1"/>
        <w:spacing w:after="200"/>
        <w:jc w:val="both"/>
      </w:pPr>
      <w:bookmarkStart w:id="0" w:name="_x3fqblq561" w:colFirst="0" w:colLast="0"/>
      <w:bookmarkEnd w:id="0"/>
      <w:r>
        <w:t>Introduction</w:t>
      </w:r>
    </w:p>
    <w:p w14:paraId="7DCD6DDB" w14:textId="77777777" w:rsidR="00C245F6" w:rsidRDefault="00000000">
      <w:pPr>
        <w:spacing w:after="200"/>
        <w:jc w:val="both"/>
      </w:pPr>
      <w:r>
        <w:t>In the UK, dishonesty is a key idea that describes criminal responsibility when it comes to theft crimes. Section 2 of the Theft Act 1968 says that someone is dishonest if they take someone else's property without their permission and plan to permanently take it away from the owner. They must also know that what they are doing is dishonest by the normal standards of reasonable and honest people (Theft Act 1968, s.2). That legal definition was made clearer in the case of R v Ghosh [1982]. The court laid out a two-part test for dishonesty: objective dishonesty (whether reasonable people would think the actions were dishonest) and subjective dishonesty (whether the defendant knew they were dishonest).</w:t>
      </w:r>
    </w:p>
    <w:p w14:paraId="4CFC57E1" w14:textId="77777777" w:rsidR="00C245F6" w:rsidRDefault="00000000">
      <w:pPr>
        <w:spacing w:after="200"/>
        <w:jc w:val="both"/>
      </w:pPr>
      <w:r>
        <w:t>The level of guilt of someone accused of theft depends a lot on how dishonest they are. Both subjective and factual evaluations are used by courts to decide if a person's actions are dishonest enough to warrant a theft sentence. In addition, dishonesty is a moral and judicial standard that makes sure justice is done fairly and honestly.</w:t>
      </w:r>
    </w:p>
    <w:p w14:paraId="07C42D2E" w14:textId="77777777" w:rsidR="00C245F6" w:rsidRDefault="00000000">
      <w:pPr>
        <w:pStyle w:val="Heading1"/>
        <w:spacing w:after="200"/>
        <w:jc w:val="both"/>
      </w:pPr>
      <w:bookmarkStart w:id="1" w:name="_d8o42q2tsgj2" w:colFirst="0" w:colLast="0"/>
      <w:bookmarkEnd w:id="1"/>
      <w:r>
        <w:t xml:space="preserve">The Interplay of Actus Reus and </w:t>
      </w:r>
      <w:proofErr w:type="spellStart"/>
      <w:r>
        <w:t>Mens</w:t>
      </w:r>
      <w:proofErr w:type="spellEnd"/>
      <w:r>
        <w:t xml:space="preserve"> Rea in Determining Culpability</w:t>
      </w:r>
    </w:p>
    <w:p w14:paraId="0C05FA68" w14:textId="77777777" w:rsidR="00C245F6" w:rsidRDefault="00000000">
      <w:pPr>
        <w:pStyle w:val="Heading2"/>
        <w:spacing w:after="200"/>
        <w:jc w:val="both"/>
      </w:pPr>
      <w:bookmarkStart w:id="2" w:name="_9mgwuoof8epj" w:colFirst="0" w:colLast="0"/>
      <w:bookmarkEnd w:id="2"/>
      <w:r>
        <w:t>Actus Reus: The Physical Element</w:t>
      </w:r>
    </w:p>
    <w:p w14:paraId="5C642033" w14:textId="77777777" w:rsidR="00C245F6" w:rsidRDefault="00000000">
      <w:pPr>
        <w:spacing w:after="200"/>
        <w:jc w:val="both"/>
      </w:pPr>
      <w:r>
        <w:t>What is meant by "actus reus" is the actual act or behaviour that is illegal. It's the behaviour that can be seen to be against the law (Gardner &amp; Anderson, 2016). As an example, the actus reus in theft is the real taking and bringing away of someone else's property without their permission.</w:t>
      </w:r>
    </w:p>
    <w:p w14:paraId="08343C1E" w14:textId="77777777" w:rsidR="00C245F6" w:rsidRDefault="00000000">
      <w:pPr>
        <w:pStyle w:val="Heading2"/>
        <w:spacing w:after="200"/>
        <w:jc w:val="both"/>
      </w:pPr>
      <w:bookmarkStart w:id="3" w:name="_s7loio15gwts" w:colFirst="0" w:colLast="0"/>
      <w:bookmarkEnd w:id="3"/>
      <w:proofErr w:type="spellStart"/>
      <w:r>
        <w:t>Mens</w:t>
      </w:r>
      <w:proofErr w:type="spellEnd"/>
      <w:r>
        <w:t xml:space="preserve"> Rea: The Mental Element</w:t>
      </w:r>
    </w:p>
    <w:p w14:paraId="56F2FA7A" w14:textId="77777777" w:rsidR="00C245F6" w:rsidRDefault="00000000">
      <w:pPr>
        <w:spacing w:after="200"/>
        <w:jc w:val="both"/>
      </w:pPr>
      <w:r>
        <w:t xml:space="preserve">In criminal law, </w:t>
      </w:r>
      <w:proofErr w:type="spellStart"/>
      <w:r>
        <w:t>mens</w:t>
      </w:r>
      <w:proofErr w:type="spellEnd"/>
      <w:r>
        <w:t xml:space="preserve"> rea refers to the person's state of mind or purpose at the time of the crime. It includes having a guilty thought or a bad intention, which is needed for criminal responsibility (Ashworth, 2015). In the case of murder, for example, the </w:t>
      </w:r>
      <w:proofErr w:type="spellStart"/>
      <w:r>
        <w:t>mens</w:t>
      </w:r>
      <w:proofErr w:type="spellEnd"/>
      <w:r>
        <w:t xml:space="preserve"> rea could be the plan to kill or seriously hurt someone.</w:t>
      </w:r>
    </w:p>
    <w:p w14:paraId="42800146" w14:textId="77777777" w:rsidR="00C245F6" w:rsidRDefault="00000000">
      <w:pPr>
        <w:pStyle w:val="Heading2"/>
        <w:spacing w:after="200"/>
        <w:jc w:val="both"/>
      </w:pPr>
      <w:bookmarkStart w:id="4" w:name="_pblp2jp3bnj" w:colFirst="0" w:colLast="0"/>
      <w:bookmarkEnd w:id="4"/>
      <w:r>
        <w:t>Contribution to Determining Culpability</w:t>
      </w:r>
    </w:p>
    <w:p w14:paraId="43BDA3EF" w14:textId="77777777" w:rsidR="00C245F6" w:rsidRDefault="00000000">
      <w:pPr>
        <w:spacing w:after="200"/>
        <w:jc w:val="both"/>
      </w:pPr>
      <w:r>
        <w:t xml:space="preserve">Combining actus reus and </w:t>
      </w:r>
      <w:proofErr w:type="spellStart"/>
      <w:r>
        <w:t>mens</w:t>
      </w:r>
      <w:proofErr w:type="spellEnd"/>
      <w:r>
        <w:t xml:space="preserve"> rea is a key part of criminal law for figuring out who is guilty. For someone to be legally responsible, </w:t>
      </w:r>
      <w:proofErr w:type="gramStart"/>
      <w:r>
        <w:t>both of these</w:t>
      </w:r>
      <w:proofErr w:type="gramEnd"/>
      <w:r>
        <w:t xml:space="preserve"> things must be true. If either of these is missing, the offence may not be proven (Gardner &amp; Anderson, 2016). For example, if someone knocks over something important by mistake and doesn't mean to steal it, they don't have the necessary </w:t>
      </w:r>
      <w:proofErr w:type="spellStart"/>
      <w:r>
        <w:t>mens</w:t>
      </w:r>
      <w:proofErr w:type="spellEnd"/>
      <w:r>
        <w:t xml:space="preserve"> rea for stealing.</w:t>
      </w:r>
    </w:p>
    <w:p w14:paraId="5D46E8EE" w14:textId="77777777" w:rsidR="00C245F6" w:rsidRDefault="00000000">
      <w:pPr>
        <w:pStyle w:val="Heading2"/>
        <w:spacing w:after="200"/>
        <w:jc w:val="both"/>
      </w:pPr>
      <w:bookmarkStart w:id="5" w:name="_9gdacpkfde48" w:colFirst="0" w:colLast="0"/>
      <w:bookmarkEnd w:id="5"/>
      <w:r>
        <w:lastRenderedPageBreak/>
        <w:t>Examples</w:t>
      </w:r>
    </w:p>
    <w:p w14:paraId="0462DBE4" w14:textId="77777777" w:rsidR="00C245F6" w:rsidRDefault="00000000">
      <w:pPr>
        <w:spacing w:after="200"/>
        <w:jc w:val="both"/>
      </w:pPr>
      <w:r>
        <w:t xml:space="preserve">Allow us to imagine that someone hits someone else with a baseball bat on purpose. In this case, the act of hitting the target is the actus reus. The </w:t>
      </w:r>
      <w:proofErr w:type="spellStart"/>
      <w:r>
        <w:t>mens</w:t>
      </w:r>
      <w:proofErr w:type="spellEnd"/>
      <w:r>
        <w:t xml:space="preserve"> rea could be the desire to hurt someone or the understanding that the action could hurt someone.</w:t>
      </w:r>
    </w:p>
    <w:p w14:paraId="5F9A5CBE" w14:textId="77777777" w:rsidR="00C245F6" w:rsidRDefault="00000000">
      <w:pPr>
        <w:spacing w:after="200"/>
        <w:jc w:val="both"/>
      </w:pPr>
      <w:r>
        <w:t xml:space="preserve">On the other hand, if someone bumps into someone else while running to catch a bus, there is actus reus (the actual touch) but no </w:t>
      </w:r>
      <w:proofErr w:type="spellStart"/>
      <w:r>
        <w:t>mens</w:t>
      </w:r>
      <w:proofErr w:type="spellEnd"/>
      <w:r>
        <w:t xml:space="preserve"> rea (the purpose to harm). And because of that, the person would not be charged with attack.</w:t>
      </w:r>
    </w:p>
    <w:p w14:paraId="3FE4D797" w14:textId="77777777" w:rsidR="00C245F6" w:rsidRDefault="00000000">
      <w:pPr>
        <w:spacing w:after="200"/>
        <w:jc w:val="both"/>
      </w:pPr>
      <w:r>
        <w:t xml:space="preserve">Criminal law is based on two main ideas: actus reus and </w:t>
      </w:r>
      <w:proofErr w:type="spellStart"/>
      <w:r>
        <w:t>mens</w:t>
      </w:r>
      <w:proofErr w:type="spellEnd"/>
      <w:r>
        <w:t xml:space="preserve"> rea. Together, they help decide who is guilty. Understanding both is important for proving illegal responsibility and making sure that the law is followed. </w:t>
      </w:r>
    </w:p>
    <w:p w14:paraId="492F8B47" w14:textId="77777777" w:rsidR="00C245F6" w:rsidRDefault="00000000">
      <w:pPr>
        <w:pStyle w:val="Heading1"/>
        <w:spacing w:after="200"/>
        <w:jc w:val="both"/>
      </w:pPr>
      <w:bookmarkStart w:id="6" w:name="_aagkvmy9j84t" w:colFirst="0" w:colLast="0"/>
      <w:bookmarkEnd w:id="6"/>
      <w:r>
        <w:t>Juggling Legal Requirements with Social Expectations</w:t>
      </w:r>
    </w:p>
    <w:p w14:paraId="3FFF1150" w14:textId="77777777" w:rsidR="00C245F6" w:rsidRDefault="00000000">
      <w:pPr>
        <w:spacing w:after="200"/>
        <w:jc w:val="both"/>
      </w:pPr>
      <w:r>
        <w:t xml:space="preserve">In the realm of criminal </w:t>
      </w:r>
      <w:proofErr w:type="gramStart"/>
      <w:r>
        <w:t>law</w:t>
      </w:r>
      <w:proofErr w:type="gramEnd"/>
      <w:r>
        <w:t xml:space="preserve"> it is very rare for ethical moral and philosophical questions to intersect with legal responsibilities. This is especially true in circumstances when the norms of society and the principles of the law are in contradiction with one another. When it comes to the interpretation and implementation of criminal law there are often conflicts that lead to talks that are difficult to understand. The conceptions of justice and fairness which are influenced by cultural standards may sometimes come into conflict with legal concepts. This is something that can happen. The views that people have regarding crimes that are performed out of passion are one example of this (Cotterrell 2018). In a similar vein </w:t>
      </w:r>
      <w:proofErr w:type="spellStart"/>
      <w:r>
        <w:t>Simester</w:t>
      </w:r>
      <w:proofErr w:type="spellEnd"/>
      <w:r>
        <w:t xml:space="preserve"> and von Hirsch (2017) state that when people have differing conceptions of what constitutes victimisation and damage the connection between community values and law enforcement may become strained. As a </w:t>
      </w:r>
      <w:proofErr w:type="gramStart"/>
      <w:r>
        <w:t>result</w:t>
      </w:r>
      <w:proofErr w:type="gramEnd"/>
      <w:r>
        <w:t xml:space="preserve"> the problem becomes even more complicated since it requires striking a balance between the ideas of moral desert and social advantage (Duff 2010). In addition to making the issue more complicated debates about the purposes of punishment which are governed by retributivism and utilitarianism are present. In order to effectively traverse these </w:t>
      </w:r>
      <w:proofErr w:type="gramStart"/>
      <w:r>
        <w:t>complexities</w:t>
      </w:r>
      <w:proofErr w:type="gramEnd"/>
      <w:r>
        <w:t xml:space="preserve"> it is vital to have a complete understanding of both the principles of the law and the guidelines that govern social behaviour. The objective should be to produce a harmonious blend of cultural diversity and justice throughout the whole process.</w:t>
      </w:r>
    </w:p>
    <w:p w14:paraId="374800D5" w14:textId="77777777" w:rsidR="00C245F6" w:rsidRDefault="00000000">
      <w:pPr>
        <w:pStyle w:val="Heading1"/>
        <w:spacing w:after="200"/>
        <w:jc w:val="both"/>
      </w:pPr>
      <w:bookmarkStart w:id="7" w:name="_hiap18ltkj2s" w:colFirst="0" w:colLast="0"/>
      <w:bookmarkEnd w:id="7"/>
      <w:r>
        <w:t>Policy Considerations in Criminal Law Regulation</w:t>
      </w:r>
    </w:p>
    <w:p w14:paraId="6054ABE4" w14:textId="77777777" w:rsidR="00C245F6" w:rsidRDefault="00000000">
      <w:pPr>
        <w:pStyle w:val="Heading2"/>
        <w:spacing w:after="200"/>
        <w:jc w:val="both"/>
      </w:pPr>
      <w:bookmarkStart w:id="8" w:name="_trcf3oa32998" w:colFirst="0" w:colLast="0"/>
      <w:bookmarkEnd w:id="8"/>
      <w:r>
        <w:t>Protecting Rights of the Defendant</w:t>
      </w:r>
    </w:p>
    <w:p w14:paraId="2B5332BB" w14:textId="77777777" w:rsidR="00C245F6" w:rsidRDefault="00000000">
      <w:pPr>
        <w:spacing w:after="200"/>
        <w:jc w:val="both"/>
      </w:pPr>
      <w:r>
        <w:t xml:space="preserve">To use criminal law to control how people act in society, it is important to protect the rights of offenders. It is very important to protect the assumption of innocence, which is explained in Article 6(2) of the European Convention on Human Rights. This is to make sure that offenders are treated </w:t>
      </w:r>
      <w:r>
        <w:lastRenderedPageBreak/>
        <w:t>properly and are given due process. Beckett and Sasson (2000) say that making too many crimes illegal can cause problems with abuse and wrong punishment because it can limit people's freedom.</w:t>
      </w:r>
    </w:p>
    <w:p w14:paraId="31CDEECD" w14:textId="77777777" w:rsidR="00C245F6" w:rsidRDefault="00000000">
      <w:pPr>
        <w:pStyle w:val="Heading2"/>
        <w:spacing w:after="200"/>
        <w:jc w:val="both"/>
      </w:pPr>
      <w:bookmarkStart w:id="9" w:name="_l7ewrca4nqsq" w:colFirst="0" w:colLast="0"/>
      <w:bookmarkEnd w:id="9"/>
      <w:r>
        <w:t>Ensuring Justice for the Victim</w:t>
      </w:r>
    </w:p>
    <w:p w14:paraId="444EF129" w14:textId="77777777" w:rsidR="00C245F6" w:rsidRDefault="00000000">
      <w:pPr>
        <w:spacing w:after="200"/>
        <w:jc w:val="both"/>
      </w:pPr>
      <w:r>
        <w:t xml:space="preserve">To find a balance between the rights of accused and the justice of victims, we need a well-thought-out plan. Making sure that criminal law is followed correctly is important for giving people the justice and safety they deserve from harm. Van Ness and Strong (2010) say that justice for victims includes more than just making things right. It also includes healing and other steps that stop bad behaviour from happening again. Umbreit et al. (2000) also </w:t>
      </w:r>
      <w:proofErr w:type="gramStart"/>
      <w:r>
        <w:t>say</w:t>
      </w:r>
      <w:proofErr w:type="gramEnd"/>
      <w:r>
        <w:t xml:space="preserve"> that making sure victims' voices are heard in the criminal justice system not only helps them heal but also makes them more responsible.</w:t>
      </w:r>
    </w:p>
    <w:p w14:paraId="23867EB3" w14:textId="77777777" w:rsidR="00C245F6" w:rsidRDefault="00000000">
      <w:pPr>
        <w:pStyle w:val="Heading2"/>
        <w:spacing w:after="200"/>
        <w:jc w:val="both"/>
      </w:pPr>
      <w:bookmarkStart w:id="10" w:name="_l17ml4v2cvts" w:colFirst="0" w:colLast="0"/>
      <w:bookmarkEnd w:id="10"/>
      <w:r>
        <w:t>Effective Balance in the Criminal Justice System</w:t>
      </w:r>
    </w:p>
    <w:p w14:paraId="79B75378" w14:textId="77777777" w:rsidR="00C245F6" w:rsidRDefault="00000000">
      <w:pPr>
        <w:spacing w:after="200"/>
        <w:jc w:val="both"/>
      </w:pPr>
      <w:r>
        <w:t xml:space="preserve">To get the criminal justice system to a good balance, </w:t>
      </w:r>
      <w:proofErr w:type="gramStart"/>
      <w:r>
        <w:t>a number of</w:t>
      </w:r>
      <w:proofErr w:type="gramEnd"/>
      <w:r>
        <w:t xml:space="preserve"> different methods are needed. To begin, Tonry (2014) says that clear legal structures that spell out crimes and appropriate punishments help keep punishments fair. Strong procedure safeguards, such as fair hearings, the right to a lawyer, and the chance to appeal, can also help defend people who are being accused (Hodgson, 2015). Also, restorative justice methods like victim-offender resolution and community involvement help people heal while also holding crooks accountable (Braithwaite, 2002).</w:t>
      </w:r>
    </w:p>
    <w:p w14:paraId="090A1683" w14:textId="77777777" w:rsidR="00C245F6" w:rsidRDefault="00000000">
      <w:pPr>
        <w:spacing w:after="200"/>
        <w:jc w:val="both"/>
      </w:pPr>
      <w:r>
        <w:t xml:space="preserve">By taking these steps, the criminal justice system </w:t>
      </w:r>
      <w:proofErr w:type="gramStart"/>
      <w:r>
        <w:t>is able to</w:t>
      </w:r>
      <w:proofErr w:type="gramEnd"/>
      <w:r>
        <w:t xml:space="preserve"> balance protecting the rights of offenders with making sure that victims get justice, creating a fair and just legal atmosphere. </w:t>
      </w:r>
    </w:p>
    <w:p w14:paraId="630E5310" w14:textId="77777777" w:rsidR="00C245F6" w:rsidRDefault="00000000">
      <w:pPr>
        <w:pStyle w:val="Heading1"/>
        <w:spacing w:after="200"/>
        <w:jc w:val="both"/>
      </w:pPr>
      <w:bookmarkStart w:id="11" w:name="_eif0cyenvojb" w:colFirst="0" w:colLast="0"/>
      <w:bookmarkEnd w:id="11"/>
      <w:r>
        <w:t>The Evolution of Dishonesty in Criminal Law</w:t>
      </w:r>
    </w:p>
    <w:p w14:paraId="379584D9" w14:textId="77777777" w:rsidR="00C245F6" w:rsidRDefault="00000000">
      <w:pPr>
        <w:spacing w:after="200"/>
        <w:jc w:val="both"/>
      </w:pPr>
      <w:r>
        <w:t>The common law test for dishonesty has changed a lot since the important case of R v Ghosh (1982) and now Ivey v Genting Casinos UK Ltd (2017). In Ghosh, the court made an emotional and objective test to see if someone was telling the truth. The criminal must have done something dishonest based on what honest and reasonable people would do, and they must have known that what they did was wrong based on those standards.</w:t>
      </w:r>
    </w:p>
    <w:p w14:paraId="7E165238" w14:textId="77777777" w:rsidR="00C245F6" w:rsidRDefault="00000000">
      <w:pPr>
        <w:spacing w:after="200"/>
        <w:jc w:val="both"/>
      </w:pPr>
      <w:r>
        <w:t>The judge in Ivey v. Genting Casinos UK Ltd., however, threw out the subjective part of the Ghosh test and instead looked at a completely objective way to tell if someone is lying. According to the court, the only way to know if someone is lying is if other honest people would also say that.</w:t>
      </w:r>
    </w:p>
    <w:p w14:paraId="395D22EF" w14:textId="77777777" w:rsidR="00C245F6" w:rsidRDefault="00000000">
      <w:pPr>
        <w:spacing w:after="200"/>
        <w:jc w:val="both"/>
      </w:pPr>
      <w:r>
        <w:t xml:space="preserve">With this new point of view, cases of dishonesty are now </w:t>
      </w:r>
      <w:proofErr w:type="gramStart"/>
      <w:r>
        <w:t>looked into</w:t>
      </w:r>
      <w:proofErr w:type="gramEnd"/>
      <w:r>
        <w:t xml:space="preserve"> and fought in a very different way. Losing the subjective part makes it easier to tell if someone is lying, which helps lawyers prove that the person is guilty. Though it might be tougher for people to say when asked that they </w:t>
      </w:r>
      <w:r>
        <w:lastRenderedPageBreak/>
        <w:t>really thought what they did was right. I think that moving towards an objective standard will help us find people who have lied in criminal cases more quickly and accurately.</w:t>
      </w:r>
    </w:p>
    <w:p w14:paraId="4511F694" w14:textId="77777777" w:rsidR="00C245F6" w:rsidRDefault="00000000">
      <w:pPr>
        <w:pStyle w:val="Heading1"/>
        <w:spacing w:after="200"/>
        <w:jc w:val="both"/>
      </w:pPr>
      <w:bookmarkStart w:id="12" w:name="_tp5rycp14751" w:colFirst="0" w:colLast="0"/>
      <w:bookmarkEnd w:id="12"/>
      <w:r>
        <w:t>Conclusion</w:t>
      </w:r>
    </w:p>
    <w:p w14:paraId="5D2D57BE" w14:textId="77777777" w:rsidR="00C245F6" w:rsidRDefault="00000000">
      <w:pPr>
        <w:spacing w:after="200"/>
        <w:jc w:val="both"/>
      </w:pPr>
      <w:r>
        <w:t>Since R v. Ghosh (1982) and Ivey v. Genting Casinos UK Ltd (2017), the common law rule of dishonesty has undergone significant modification. Here is a significant shift in the way situations of dishonest activity are addressed. The assessment of dishonesty in criminal law is becoming more definite and uniform. This is due to the test's transition from being entirely objective to being both subjective and objective.</w:t>
      </w:r>
    </w:p>
    <w:p w14:paraId="2F8BF4E8" w14:textId="77777777" w:rsidR="00C245F6" w:rsidRDefault="00000000">
      <w:pPr>
        <w:spacing w:after="200"/>
        <w:jc w:val="both"/>
      </w:pPr>
      <w:r>
        <w:t>This shift significantly affects how the prosecution and defence approach instances involving dishonest activity. Lawyers may use the objective standard to prove their clients' guilt of a crime and to expose dishonesty. Suspects may, however, find it difficult to claim that they really believed what they were saying.</w:t>
      </w:r>
    </w:p>
    <w:p w14:paraId="273F3CCD" w14:textId="77777777" w:rsidR="00C245F6" w:rsidRDefault="00000000">
      <w:pPr>
        <w:spacing w:after="200"/>
        <w:jc w:val="both"/>
      </w:pPr>
      <w:r>
        <w:t>The primary goal of moving towards an objective standard is to guarantee that the law is consistently and correctly enforced while also protecting the rights of both victims and criminals. If it can more easily and fairly identify dishonest behaviour, the criminal justice system will be better equipped to handle increasingly complex aspects of criminal law. This will improve the justice system's equity and fairness for all parties.</w:t>
      </w:r>
    </w:p>
    <w:p w14:paraId="400C5A1E" w14:textId="77777777" w:rsidR="00C245F6" w:rsidRDefault="00C245F6">
      <w:pPr>
        <w:spacing w:after="200"/>
        <w:jc w:val="both"/>
      </w:pPr>
    </w:p>
    <w:p w14:paraId="34E9FBFA" w14:textId="77777777" w:rsidR="00C245F6" w:rsidRDefault="00C245F6">
      <w:pPr>
        <w:spacing w:after="200"/>
        <w:jc w:val="both"/>
      </w:pPr>
    </w:p>
    <w:p w14:paraId="0F747FD0" w14:textId="77777777" w:rsidR="00C245F6" w:rsidRDefault="00C245F6">
      <w:pPr>
        <w:spacing w:after="200"/>
        <w:jc w:val="both"/>
      </w:pPr>
    </w:p>
    <w:p w14:paraId="035807D0" w14:textId="77777777" w:rsidR="00C245F6" w:rsidRDefault="00C245F6">
      <w:pPr>
        <w:spacing w:after="200"/>
        <w:jc w:val="both"/>
      </w:pPr>
    </w:p>
    <w:p w14:paraId="63306158" w14:textId="77777777" w:rsidR="00C245F6" w:rsidRDefault="00C245F6">
      <w:pPr>
        <w:spacing w:after="200"/>
        <w:jc w:val="both"/>
      </w:pPr>
    </w:p>
    <w:p w14:paraId="5213624E" w14:textId="77777777" w:rsidR="00C245F6" w:rsidRDefault="00C245F6">
      <w:pPr>
        <w:spacing w:after="200"/>
        <w:jc w:val="both"/>
      </w:pPr>
    </w:p>
    <w:p w14:paraId="4CAF3568" w14:textId="77777777" w:rsidR="00C245F6" w:rsidRDefault="00C245F6">
      <w:pPr>
        <w:spacing w:after="200"/>
        <w:jc w:val="both"/>
      </w:pPr>
    </w:p>
    <w:p w14:paraId="78A0C645" w14:textId="77777777" w:rsidR="00C245F6" w:rsidRDefault="00000000">
      <w:pPr>
        <w:spacing w:after="200"/>
        <w:jc w:val="both"/>
      </w:pPr>
      <w:r>
        <w:br w:type="page"/>
      </w:r>
    </w:p>
    <w:p w14:paraId="4AE3500F" w14:textId="77777777" w:rsidR="00C245F6" w:rsidRDefault="00000000">
      <w:pPr>
        <w:pStyle w:val="Heading1"/>
        <w:spacing w:after="200"/>
        <w:jc w:val="both"/>
      </w:pPr>
      <w:bookmarkStart w:id="13" w:name="_wjqsx3ngdewb" w:colFirst="0" w:colLast="0"/>
      <w:bookmarkEnd w:id="13"/>
      <w:r>
        <w:lastRenderedPageBreak/>
        <w:t>References</w:t>
      </w:r>
    </w:p>
    <w:p w14:paraId="0D832732" w14:textId="77777777" w:rsidR="00C245F6" w:rsidRDefault="00000000">
      <w:pPr>
        <w:numPr>
          <w:ilvl w:val="0"/>
          <w:numId w:val="1"/>
        </w:numPr>
        <w:spacing w:after="200"/>
        <w:jc w:val="both"/>
      </w:pPr>
      <w:r>
        <w:t>Ashworth, A. (2015). Principles of Criminal Law (7th ed.). Oxford University Press.</w:t>
      </w:r>
    </w:p>
    <w:p w14:paraId="7B83512C" w14:textId="77777777" w:rsidR="00C245F6" w:rsidRDefault="00000000">
      <w:pPr>
        <w:numPr>
          <w:ilvl w:val="0"/>
          <w:numId w:val="1"/>
        </w:numPr>
        <w:spacing w:after="200"/>
        <w:jc w:val="both"/>
      </w:pPr>
      <w:r>
        <w:t>Beckett, K., &amp; Sasson, T. (2000). The Politics of Injustice: Crime and Punishment in America. SAGE Publications.</w:t>
      </w:r>
    </w:p>
    <w:p w14:paraId="77CE0509" w14:textId="77777777" w:rsidR="00C245F6" w:rsidRDefault="00000000">
      <w:pPr>
        <w:numPr>
          <w:ilvl w:val="0"/>
          <w:numId w:val="1"/>
        </w:numPr>
        <w:spacing w:after="200"/>
        <w:jc w:val="both"/>
      </w:pPr>
      <w:r>
        <w:t>Braithwaite, J. (2002). Restorative Justice &amp; Responsive Regulation. Oxford University Press.</w:t>
      </w:r>
    </w:p>
    <w:p w14:paraId="35A41472" w14:textId="77777777" w:rsidR="00C245F6" w:rsidRDefault="00000000">
      <w:pPr>
        <w:numPr>
          <w:ilvl w:val="0"/>
          <w:numId w:val="1"/>
        </w:numPr>
        <w:spacing w:after="200"/>
        <w:jc w:val="both"/>
      </w:pPr>
      <w:r>
        <w:t>Gardner, J., &amp; Anderson, T. (2016). Criminal Law: Text, Cases, and Materials (7th ed.). Oxford University Press.</w:t>
      </w:r>
    </w:p>
    <w:p w14:paraId="72B11BB9" w14:textId="77777777" w:rsidR="00C245F6" w:rsidRDefault="00000000">
      <w:pPr>
        <w:numPr>
          <w:ilvl w:val="0"/>
          <w:numId w:val="1"/>
        </w:numPr>
        <w:spacing w:after="200"/>
        <w:jc w:val="both"/>
      </w:pPr>
      <w:r>
        <w:t>Hodgson, J. E. (2015). The Foundations of Criminal Law. Oxford University Press.</w:t>
      </w:r>
    </w:p>
    <w:p w14:paraId="0F817EE6" w14:textId="77777777" w:rsidR="00C245F6" w:rsidRDefault="00000000">
      <w:pPr>
        <w:numPr>
          <w:ilvl w:val="0"/>
          <w:numId w:val="1"/>
        </w:numPr>
        <w:spacing w:after="200"/>
        <w:jc w:val="both"/>
      </w:pPr>
      <w:r>
        <w:t>R v Ghosh [1982] EWCA Crim 2.</w:t>
      </w:r>
    </w:p>
    <w:p w14:paraId="75EDE63D" w14:textId="77777777" w:rsidR="00C245F6" w:rsidRDefault="00000000">
      <w:pPr>
        <w:numPr>
          <w:ilvl w:val="0"/>
          <w:numId w:val="1"/>
        </w:numPr>
        <w:spacing w:after="200"/>
        <w:jc w:val="both"/>
      </w:pPr>
      <w:r>
        <w:t>Theft Act 1968, c.60.</w:t>
      </w:r>
    </w:p>
    <w:p w14:paraId="42A6A434" w14:textId="77777777" w:rsidR="00C245F6" w:rsidRDefault="00000000">
      <w:pPr>
        <w:numPr>
          <w:ilvl w:val="0"/>
          <w:numId w:val="1"/>
        </w:numPr>
        <w:spacing w:after="200"/>
        <w:jc w:val="both"/>
      </w:pPr>
      <w:r>
        <w:t>Tonry, M. (2014). The Handbook of Crime and Punishment. Oxford University Press.</w:t>
      </w:r>
    </w:p>
    <w:p w14:paraId="0DF6240E" w14:textId="77777777" w:rsidR="00C245F6" w:rsidRDefault="00000000">
      <w:pPr>
        <w:numPr>
          <w:ilvl w:val="0"/>
          <w:numId w:val="1"/>
        </w:numPr>
        <w:spacing w:after="200"/>
        <w:jc w:val="both"/>
      </w:pPr>
      <w:r>
        <w:t>Umbreit, M. S., Bradshaw, W., &amp; Coates, R. B. (2000). Victim Meets Offender: The Impact of Restorative Justice and Mediation. Criminal Justice Press.</w:t>
      </w:r>
    </w:p>
    <w:p w14:paraId="36D1D34D" w14:textId="77777777" w:rsidR="00C245F6" w:rsidRDefault="00000000">
      <w:pPr>
        <w:numPr>
          <w:ilvl w:val="0"/>
          <w:numId w:val="1"/>
        </w:numPr>
        <w:spacing w:after="200"/>
        <w:jc w:val="both"/>
      </w:pPr>
      <w:r>
        <w:t xml:space="preserve">Van Ness, D. W., &amp; Strong, K. H. (2010). Restoring Justice: An Introduction to Restorative Justice. </w:t>
      </w:r>
    </w:p>
    <w:p w14:paraId="2AA3FCE0" w14:textId="77777777" w:rsidR="00C245F6" w:rsidRDefault="00000000">
      <w:pPr>
        <w:numPr>
          <w:ilvl w:val="0"/>
          <w:numId w:val="1"/>
        </w:numPr>
        <w:spacing w:after="200"/>
        <w:jc w:val="both"/>
      </w:pPr>
      <w:r>
        <w:t>Cotterrell, R. (2018). Criminal justice: A sociological introduction (3rd ed.). Routledge.</w:t>
      </w:r>
    </w:p>
    <w:p w14:paraId="7028F749" w14:textId="77777777" w:rsidR="00C245F6" w:rsidRDefault="00000000">
      <w:pPr>
        <w:numPr>
          <w:ilvl w:val="0"/>
          <w:numId w:val="1"/>
        </w:numPr>
        <w:spacing w:after="200"/>
        <w:jc w:val="both"/>
      </w:pPr>
      <w:r>
        <w:t>Duff, R. A. (2010). Punishment, communication, and community. Oxford University Press.</w:t>
      </w:r>
    </w:p>
    <w:p w14:paraId="6EA3AA85" w14:textId="77777777" w:rsidR="00C245F6" w:rsidRDefault="00000000">
      <w:pPr>
        <w:numPr>
          <w:ilvl w:val="0"/>
          <w:numId w:val="1"/>
        </w:numPr>
        <w:spacing w:after="200"/>
        <w:jc w:val="both"/>
      </w:pPr>
      <w:proofErr w:type="spellStart"/>
      <w:r>
        <w:t>Simester</w:t>
      </w:r>
      <w:proofErr w:type="spellEnd"/>
      <w:r>
        <w:t>, A. P., &amp; von Hirsch, A. (2017). Crimes, harms, and wrongs: On the principles of criminalisation. Hart Publishing.</w:t>
      </w:r>
    </w:p>
    <w:p w14:paraId="17D1AC07" w14:textId="77777777" w:rsidR="00C245F6" w:rsidRDefault="00C245F6">
      <w:pPr>
        <w:spacing w:after="200"/>
        <w:jc w:val="both"/>
      </w:pPr>
    </w:p>
    <w:sectPr w:rsidR="00C245F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6254255"/>
    <w:multiLevelType w:val="multilevel"/>
    <w:tmpl w:val="FEE6804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572354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45F6"/>
    <w:rsid w:val="000E652E"/>
    <w:rsid w:val="00C245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033ED"/>
  <w15:docId w15:val="{55BDA24B-7D45-43E6-9632-BA66992DE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1519</Words>
  <Characters>8662</Characters>
  <Application>Microsoft Office Word</Application>
  <DocSecurity>0</DocSecurity>
  <Lines>72</Lines>
  <Paragraphs>20</Paragraphs>
  <ScaleCrop>false</ScaleCrop>
  <Company/>
  <LinksUpToDate>false</LinksUpToDate>
  <CharactersWithSpaces>10161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Natalie Skalkosova</cp:lastModifiedBy>
  <cp:revision>2</cp:revision>
  <dcterms:created xsi:type="dcterms:W3CDTF">2024-05-02T17:02:00Z</dcterms:created>
  <dcterms:modified xsi:type="dcterms:W3CDTF">2024-05-02T17:05:00Z</dcterms:modified>
</cp:coreProperties>
</file>