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64AC1E7" wp14:paraId="2C078E63" wp14:textId="61FCF980">
      <w:pPr>
        <w:pStyle w:val="Normal"/>
        <w:jc w:val="center"/>
        <w:rPr>
          <w:rFonts w:ascii="Calibri" w:hAnsi="Calibri" w:eastAsia="Calibri" w:cs="Calibri" w:asciiTheme="minorAscii" w:hAnsiTheme="minorAscii" w:eastAsiaTheme="minorAscii" w:cstheme="minorAscii"/>
          <w:b w:val="1"/>
          <w:bCs w:val="1"/>
          <w:noProof w:val="0"/>
          <w:sz w:val="40"/>
          <w:szCs w:val="40"/>
          <w:lang w:val="en-US"/>
        </w:rPr>
      </w:pPr>
      <w:r w:rsidRPr="364AC1E7" w:rsidR="512D1633">
        <w:rPr>
          <w:rFonts w:ascii="Calibri" w:hAnsi="Calibri" w:eastAsia="Calibri" w:cs="Calibri" w:asciiTheme="minorAscii" w:hAnsiTheme="minorAscii" w:eastAsiaTheme="minorAscii" w:cstheme="minorAscii"/>
          <w:b w:val="1"/>
          <w:bCs w:val="1"/>
          <w:noProof w:val="0"/>
          <w:sz w:val="40"/>
          <w:szCs w:val="40"/>
          <w:lang w:val="en-US"/>
        </w:rPr>
        <w:t>Developing and Managing Individuals and Teams</w:t>
      </w:r>
    </w:p>
    <w:p w:rsidR="364AC1E7" w:rsidP="364AC1E7" w:rsidRDefault="364AC1E7" w14:paraId="26CF6837" w14:textId="7C581042">
      <w:pPr>
        <w:pStyle w:val="Heading2"/>
        <w:jc w:val="left"/>
        <w:rPr>
          <w:rFonts w:ascii="Calibri" w:hAnsi="Calibri" w:eastAsia="Calibri" w:cs="Calibri" w:asciiTheme="minorAscii" w:hAnsiTheme="minorAscii" w:eastAsiaTheme="minorAscii" w:cstheme="minorAscii"/>
          <w:b w:val="1"/>
          <w:bCs w:val="1"/>
          <w:noProof w:val="0"/>
          <w:sz w:val="40"/>
          <w:szCs w:val="40"/>
          <w:lang w:val="en-US"/>
        </w:rPr>
      </w:pPr>
    </w:p>
    <w:p w:rsidR="6D35238D" w:rsidP="364AC1E7" w:rsidRDefault="6D35238D" w14:paraId="063EC549" w14:textId="73BBBC65">
      <w:p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1F1F1F"/>
          <w:sz w:val="32"/>
          <w:szCs w:val="32"/>
          <w:lang w:val="en-US"/>
        </w:rPr>
      </w:pPr>
      <w:r w:rsidRPr="364AC1E7" w:rsidR="6D35238D">
        <w:rPr>
          <w:rFonts w:ascii="Calibri" w:hAnsi="Calibri" w:eastAsia="Calibri" w:cs="Calibri" w:asciiTheme="minorAscii" w:hAnsiTheme="minorAscii" w:eastAsiaTheme="minorAscii" w:cstheme="minorAscii"/>
          <w:b w:val="1"/>
          <w:bCs w:val="1"/>
          <w:i w:val="0"/>
          <w:iCs w:val="0"/>
          <w:caps w:val="0"/>
          <w:smallCaps w:val="0"/>
          <w:noProof w:val="0"/>
          <w:color w:val="1F1F1F"/>
          <w:sz w:val="32"/>
          <w:szCs w:val="32"/>
          <w:lang w:val="en-US"/>
        </w:rPr>
        <w:t xml:space="preserve">Introduction </w:t>
      </w:r>
    </w:p>
    <w:p w:rsidR="364AC1E7" w:rsidP="364AC1E7" w:rsidRDefault="364AC1E7" w14:paraId="0BC1DE54" w14:textId="0351E8A9">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pPr>
    </w:p>
    <w:p w:rsidR="6D35238D" w:rsidP="364AC1E7" w:rsidRDefault="6D35238D" w14:paraId="645904AA" w14:textId="475E73D1">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pPr>
      <w:r w:rsidRPr="364AC1E7" w:rsidR="6D35238D">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t xml:space="preserve">In the highly competitive retail landscape of 2026, </w:t>
      </w:r>
      <w:r w:rsidRPr="364AC1E7" w:rsidR="6D35238D">
        <w:rPr>
          <w:rFonts w:ascii="Calibri" w:hAnsi="Calibri" w:eastAsia="Calibri" w:cs="Calibri" w:asciiTheme="minorAscii" w:hAnsiTheme="minorAscii" w:eastAsiaTheme="minorAscii" w:cstheme="minorAscii"/>
          <w:b w:val="1"/>
          <w:bCs w:val="1"/>
          <w:i w:val="0"/>
          <w:iCs w:val="0"/>
          <w:caps w:val="0"/>
          <w:smallCaps w:val="0"/>
          <w:noProof w:val="0"/>
          <w:color w:val="1F1F1F"/>
          <w:sz w:val="28"/>
          <w:szCs w:val="28"/>
          <w:lang w:val="en-US"/>
        </w:rPr>
        <w:t>Strategic Human Resource Management (SHRM)</w:t>
      </w:r>
      <w:r w:rsidRPr="364AC1E7" w:rsidR="6D35238D">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t xml:space="preserve"> has transitioned from a traditional support function to a critical driver of </w:t>
      </w:r>
      <w:r w:rsidRPr="364AC1E7" w:rsidR="6D35238D">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t>organisational</w:t>
      </w:r>
      <w:r w:rsidRPr="364AC1E7" w:rsidR="6D35238D">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t xml:space="preserve"> resilience. Businesses must now navigate a complex intersection of rapid technological disruption, shifting workforce paradigms, and rigorous regulatory requirements. This report focuses on </w:t>
      </w:r>
      <w:r w:rsidRPr="364AC1E7" w:rsidR="6D35238D">
        <w:rPr>
          <w:rFonts w:ascii="Calibri" w:hAnsi="Calibri" w:eastAsia="Calibri" w:cs="Calibri" w:asciiTheme="minorAscii" w:hAnsiTheme="minorAscii" w:eastAsiaTheme="minorAscii" w:cstheme="minorAscii"/>
          <w:b w:val="1"/>
          <w:bCs w:val="1"/>
          <w:i w:val="0"/>
          <w:iCs w:val="0"/>
          <w:caps w:val="0"/>
          <w:smallCaps w:val="0"/>
          <w:noProof w:val="0"/>
          <w:color w:val="1F1F1F"/>
          <w:sz w:val="28"/>
          <w:szCs w:val="28"/>
          <w:lang w:val="en-US"/>
        </w:rPr>
        <w:t>Greggs PLC</w:t>
      </w:r>
      <w:r w:rsidRPr="364AC1E7" w:rsidR="6D35238D">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t>, a dominant force in the UK food-on-the-go sector, managing a vast network of over 2,000 outlets and a workforce exceeding 25,000 employees.</w:t>
      </w:r>
    </w:p>
    <w:p w:rsidR="6D35238D" w:rsidP="364AC1E7" w:rsidRDefault="6D35238D" w14:paraId="771BC7EE" w14:textId="328B2E51">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pPr>
      <w:r w:rsidRPr="364AC1E7" w:rsidR="6D35238D">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t xml:space="preserve">As Greggs aggressively expands its </w:t>
      </w:r>
      <w:r w:rsidRPr="364AC1E7" w:rsidR="6D35238D">
        <w:rPr>
          <w:rFonts w:ascii="Calibri" w:hAnsi="Calibri" w:eastAsia="Calibri" w:cs="Calibri" w:asciiTheme="minorAscii" w:hAnsiTheme="minorAscii" w:eastAsiaTheme="minorAscii" w:cstheme="minorAscii"/>
          <w:b w:val="1"/>
          <w:bCs w:val="1"/>
          <w:i w:val="0"/>
          <w:iCs w:val="0"/>
          <w:caps w:val="0"/>
          <w:smallCaps w:val="0"/>
          <w:noProof w:val="0"/>
          <w:color w:val="1F1F1F"/>
          <w:sz w:val="28"/>
          <w:szCs w:val="28"/>
          <w:lang w:val="en-US"/>
        </w:rPr>
        <w:t>multi-channel digital strategy</w:t>
      </w:r>
      <w:r w:rsidRPr="364AC1E7" w:rsidR="6D35238D">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t xml:space="preserve">, including advanced delivery partnerships and operational automation, it faces pivotal HR pressures. These include the necessity for </w:t>
      </w:r>
      <w:r w:rsidRPr="364AC1E7" w:rsidR="6D35238D">
        <w:rPr>
          <w:rFonts w:ascii="Calibri" w:hAnsi="Calibri" w:eastAsia="Calibri" w:cs="Calibri" w:asciiTheme="minorAscii" w:hAnsiTheme="minorAscii" w:eastAsiaTheme="minorAscii" w:cstheme="minorAscii"/>
          <w:b w:val="1"/>
          <w:bCs w:val="1"/>
          <w:i w:val="0"/>
          <w:iCs w:val="0"/>
          <w:caps w:val="0"/>
          <w:smallCaps w:val="0"/>
          <w:noProof w:val="0"/>
          <w:color w:val="1F1F1F"/>
          <w:sz w:val="28"/>
          <w:szCs w:val="28"/>
          <w:lang w:val="en-US"/>
        </w:rPr>
        <w:t>technological upskilling</w:t>
      </w:r>
      <w:r w:rsidRPr="364AC1E7" w:rsidR="6D35238D">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t xml:space="preserve">, the "war for talent" in a volatile </w:t>
      </w:r>
      <w:r w:rsidRPr="364AC1E7" w:rsidR="6D35238D">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t>labour</w:t>
      </w:r>
      <w:r w:rsidRPr="364AC1E7" w:rsidR="6D35238D">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t xml:space="preserve"> market, and the mandate for authentic </w:t>
      </w:r>
      <w:r w:rsidRPr="364AC1E7" w:rsidR="6D35238D">
        <w:rPr>
          <w:rFonts w:ascii="Calibri" w:hAnsi="Calibri" w:eastAsia="Calibri" w:cs="Calibri" w:asciiTheme="minorAscii" w:hAnsiTheme="minorAscii" w:eastAsiaTheme="minorAscii" w:cstheme="minorAscii"/>
          <w:b w:val="1"/>
          <w:bCs w:val="1"/>
          <w:i w:val="0"/>
          <w:iCs w:val="0"/>
          <w:caps w:val="0"/>
          <w:smallCaps w:val="0"/>
          <w:noProof w:val="0"/>
          <w:color w:val="1F1F1F"/>
          <w:sz w:val="28"/>
          <w:szCs w:val="28"/>
          <w:lang w:val="en-US"/>
        </w:rPr>
        <w:t>Diversity, Equity, and Inclusion (DEI)</w:t>
      </w:r>
      <w:r w:rsidRPr="364AC1E7" w:rsidR="6D35238D">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t xml:space="preserve">. The following analysis evaluates contemporary HR interventions—such as data-driven performance analytics and digital learning ecosystems—and critically examines the vital role of </w:t>
      </w:r>
      <w:r w:rsidRPr="364AC1E7" w:rsidR="6D35238D">
        <w:rPr>
          <w:rFonts w:ascii="Calibri" w:hAnsi="Calibri" w:eastAsia="Calibri" w:cs="Calibri" w:asciiTheme="minorAscii" w:hAnsiTheme="minorAscii" w:eastAsiaTheme="minorAscii" w:cstheme="minorAscii"/>
          <w:b w:val="1"/>
          <w:bCs w:val="1"/>
          <w:i w:val="0"/>
          <w:iCs w:val="0"/>
          <w:caps w:val="0"/>
          <w:smallCaps w:val="0"/>
          <w:noProof w:val="0"/>
          <w:color w:val="1F1F1F"/>
          <w:sz w:val="28"/>
          <w:szCs w:val="28"/>
          <w:lang w:val="en-US"/>
        </w:rPr>
        <w:t>departmental managers</w:t>
      </w:r>
      <w:r w:rsidRPr="364AC1E7" w:rsidR="6D35238D">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t>. It explores how these leaders act as the "implementation bridge" to ensure HR policies translate into sustainable business performance and long-term employee engagement.</w:t>
      </w:r>
    </w:p>
    <w:p w:rsidR="364AC1E7" w:rsidP="364AC1E7" w:rsidRDefault="364AC1E7" w14:paraId="2E871C4A" w14:textId="42106DEA">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pPr>
    </w:p>
    <w:p w:rsidR="364AC1E7" w:rsidP="364AC1E7" w:rsidRDefault="364AC1E7" w14:paraId="5E27814E" w14:textId="50DD96D7">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pPr>
    </w:p>
    <w:p w:rsidR="364AC1E7" w:rsidP="364AC1E7" w:rsidRDefault="364AC1E7" w14:paraId="78B4BC41" w14:textId="13C4FC26">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pPr>
    </w:p>
    <w:p w:rsidR="364AC1E7" w:rsidP="364AC1E7" w:rsidRDefault="364AC1E7" w14:paraId="4E0D2090" w14:textId="03255738">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pPr>
    </w:p>
    <w:p w:rsidR="364AC1E7" w:rsidP="364AC1E7" w:rsidRDefault="364AC1E7" w14:paraId="08C8D4BE" w14:textId="4809E406">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pPr>
    </w:p>
    <w:p w:rsidR="364AC1E7" w:rsidP="364AC1E7" w:rsidRDefault="364AC1E7" w14:paraId="64FD59B5" w14:textId="32A4EF85">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pPr>
    </w:p>
    <w:p w:rsidR="364AC1E7" w:rsidP="364AC1E7" w:rsidRDefault="364AC1E7" w14:paraId="31E7F3F7" w14:textId="03464419">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pPr>
    </w:p>
    <w:p w:rsidR="364AC1E7" w:rsidP="364AC1E7" w:rsidRDefault="364AC1E7" w14:paraId="0A59F03B" w14:textId="45BE0E91">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pPr>
    </w:p>
    <w:p w:rsidR="364AC1E7" w:rsidP="364AC1E7" w:rsidRDefault="364AC1E7" w14:paraId="73FD9FB2" w14:textId="28DACDFE">
      <w:pPr>
        <w:pStyle w:val="Heading2"/>
        <w:suppressLineNumbers w:val="0"/>
        <w:bidi w:val="0"/>
        <w:spacing w:before="0" w:beforeAutospacing="off" w:after="199" w:afterAutospacing="off" w:line="279" w:lineRule="auto"/>
        <w:ind w:left="0" w:right="0"/>
        <w:jc w:val="left"/>
        <w:rPr>
          <w:rFonts w:ascii="Times New Roman" w:hAnsi="Times New Roman" w:eastAsia="Times New Roman" w:cs="Times New Roman"/>
          <w:b w:val="1"/>
          <w:bCs w:val="1"/>
          <w:i w:val="0"/>
          <w:iCs w:val="0"/>
          <w:caps w:val="0"/>
          <w:smallCaps w:val="0"/>
          <w:noProof w:val="0"/>
          <w:color w:val="1F1F1F"/>
          <w:sz w:val="36"/>
          <w:szCs w:val="36"/>
          <w:lang w:val="en-US"/>
        </w:rPr>
      </w:pPr>
    </w:p>
    <w:p w:rsidR="6F4C7182" w:rsidP="364AC1E7" w:rsidRDefault="6F4C7182" w14:paraId="0CC3D559" w14:textId="18F2CFE6">
      <w:pPr>
        <w:spacing w:before="0" w:beforeAutospacing="off" w:after="0" w:after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1F1F1F"/>
          <w:sz w:val="32"/>
          <w:szCs w:val="32"/>
          <w:lang w:val="en-US"/>
        </w:rPr>
      </w:pPr>
      <w:r w:rsidRPr="364AC1E7" w:rsidR="6F4C7182">
        <w:rPr>
          <w:rFonts w:ascii="Calibri" w:hAnsi="Calibri" w:eastAsia="Calibri" w:cs="Calibri" w:asciiTheme="minorAscii" w:hAnsiTheme="minorAscii" w:eastAsiaTheme="minorAscii" w:cstheme="minorAscii"/>
          <w:b w:val="1"/>
          <w:bCs w:val="1"/>
          <w:i w:val="0"/>
          <w:iCs w:val="0"/>
          <w:caps w:val="0"/>
          <w:smallCaps w:val="0"/>
          <w:noProof w:val="0"/>
          <w:color w:val="1F1F1F"/>
          <w:sz w:val="32"/>
          <w:szCs w:val="32"/>
          <w:lang w:val="en-US"/>
        </w:rPr>
        <w:t xml:space="preserve">Context </w:t>
      </w:r>
    </w:p>
    <w:p w:rsidR="364AC1E7" w:rsidP="364AC1E7" w:rsidRDefault="364AC1E7" w14:paraId="0B315541" w14:textId="061EF19F">
      <w:p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1F1F1F"/>
          <w:sz w:val="28"/>
          <w:szCs w:val="28"/>
          <w:lang w:val="en-US"/>
        </w:rPr>
      </w:pPr>
    </w:p>
    <w:p w:rsidR="6F4C7182" w:rsidP="364AC1E7" w:rsidRDefault="6F4C7182" w14:paraId="3A4109D5" w14:textId="66C67C6E">
      <w:pPr>
        <w:spacing w:before="0" w:beforeAutospacing="off" w:after="0" w:afterAutospacing="off"/>
        <w:jc w:val="left"/>
      </w:pPr>
      <w:r w:rsidRPr="364AC1E7" w:rsidR="6F4C7182">
        <w:rPr>
          <w:rFonts w:ascii="Times New Roman" w:hAnsi="Times New Roman" w:eastAsia="Times New Roman" w:cs="Times New Roman"/>
          <w:b w:val="0"/>
          <w:bCs w:val="0"/>
          <w:i w:val="0"/>
          <w:iCs w:val="0"/>
          <w:caps w:val="0"/>
          <w:smallCaps w:val="0"/>
          <w:noProof w:val="0"/>
          <w:color w:val="1F1F1F"/>
          <w:sz w:val="28"/>
          <w:szCs w:val="28"/>
          <w:lang w:val="en-US"/>
        </w:rPr>
        <w:t xml:space="preserve">From its 1939 origins in Newcastle, </w:t>
      </w:r>
      <w:r w:rsidRPr="364AC1E7" w:rsidR="6F4C7182">
        <w:rPr>
          <w:rFonts w:ascii="Times New Roman" w:hAnsi="Times New Roman" w:eastAsia="Times New Roman" w:cs="Times New Roman"/>
          <w:b w:val="1"/>
          <w:bCs w:val="1"/>
          <w:i w:val="0"/>
          <w:iCs w:val="0"/>
          <w:caps w:val="0"/>
          <w:smallCaps w:val="0"/>
          <w:noProof w:val="0"/>
          <w:color w:val="1F1F1F"/>
          <w:sz w:val="28"/>
          <w:szCs w:val="28"/>
          <w:lang w:val="en-US"/>
        </w:rPr>
        <w:t>Greggs PLC</w:t>
      </w:r>
      <w:r w:rsidRPr="364AC1E7" w:rsidR="6F4C7182">
        <w:rPr>
          <w:rFonts w:ascii="Times New Roman" w:hAnsi="Times New Roman" w:eastAsia="Times New Roman" w:cs="Times New Roman"/>
          <w:b w:val="0"/>
          <w:bCs w:val="0"/>
          <w:i w:val="0"/>
          <w:iCs w:val="0"/>
          <w:caps w:val="0"/>
          <w:smallCaps w:val="0"/>
          <w:noProof w:val="0"/>
          <w:color w:val="1F1F1F"/>
          <w:sz w:val="28"/>
          <w:szCs w:val="28"/>
          <w:lang w:val="en-US"/>
        </w:rPr>
        <w:t xml:space="preserve"> has evolved into the UK’s preeminent bakery retailer, commanding a vast operational footprint of over 2,500 outlets supported by a workforce of </w:t>
      </w:r>
      <w:r w:rsidRPr="364AC1E7" w:rsidR="6F4C7182">
        <w:rPr>
          <w:rFonts w:ascii="Times New Roman" w:hAnsi="Times New Roman" w:eastAsia="Times New Roman" w:cs="Times New Roman"/>
          <w:b w:val="1"/>
          <w:bCs w:val="1"/>
          <w:i w:val="0"/>
          <w:iCs w:val="0"/>
          <w:caps w:val="0"/>
          <w:smallCaps w:val="0"/>
          <w:noProof w:val="0"/>
          <w:color w:val="1F1F1F"/>
          <w:sz w:val="28"/>
          <w:szCs w:val="28"/>
          <w:lang w:val="en-US"/>
        </w:rPr>
        <w:t>28,000+ employees</w:t>
      </w:r>
      <w:r w:rsidRPr="364AC1E7" w:rsidR="6F4C7182">
        <w:rPr>
          <w:rFonts w:ascii="Times New Roman" w:hAnsi="Times New Roman" w:eastAsia="Times New Roman" w:cs="Times New Roman"/>
          <w:b w:val="0"/>
          <w:bCs w:val="0"/>
          <w:i w:val="0"/>
          <w:iCs w:val="0"/>
          <w:caps w:val="0"/>
          <w:smallCaps w:val="0"/>
          <w:noProof w:val="0"/>
          <w:color w:val="1F1F1F"/>
          <w:sz w:val="28"/>
          <w:szCs w:val="28"/>
          <w:lang w:val="en-US"/>
        </w:rPr>
        <w:t xml:space="preserve">. In the 2026 market, Greggs occupies a unique position at the intersection of traditional high-street retail and the high-growth </w:t>
      </w:r>
      <w:r w:rsidRPr="364AC1E7" w:rsidR="6F4C7182">
        <w:rPr>
          <w:rFonts w:ascii="Times New Roman" w:hAnsi="Times New Roman" w:eastAsia="Times New Roman" w:cs="Times New Roman"/>
          <w:b w:val="1"/>
          <w:bCs w:val="1"/>
          <w:i w:val="0"/>
          <w:iCs w:val="0"/>
          <w:caps w:val="0"/>
          <w:smallCaps w:val="0"/>
          <w:noProof w:val="0"/>
          <w:color w:val="1F1F1F"/>
          <w:sz w:val="28"/>
          <w:szCs w:val="28"/>
          <w:lang w:val="en-US"/>
        </w:rPr>
        <w:t>Quick Service Restaurant (QSR)</w:t>
      </w:r>
      <w:r w:rsidRPr="364AC1E7" w:rsidR="6F4C7182">
        <w:rPr>
          <w:rFonts w:ascii="Times New Roman" w:hAnsi="Times New Roman" w:eastAsia="Times New Roman" w:cs="Times New Roman"/>
          <w:b w:val="0"/>
          <w:bCs w:val="0"/>
          <w:i w:val="0"/>
          <w:iCs w:val="0"/>
          <w:caps w:val="0"/>
          <w:smallCaps w:val="0"/>
          <w:noProof w:val="0"/>
          <w:color w:val="1F1F1F"/>
          <w:sz w:val="28"/>
          <w:szCs w:val="28"/>
          <w:lang w:val="en-US"/>
        </w:rPr>
        <w:t xml:space="preserve"> sector. This dual identity </w:t>
      </w:r>
      <w:r w:rsidRPr="364AC1E7" w:rsidR="6F4C7182">
        <w:rPr>
          <w:rFonts w:ascii="Times New Roman" w:hAnsi="Times New Roman" w:eastAsia="Times New Roman" w:cs="Times New Roman"/>
          <w:b w:val="0"/>
          <w:bCs w:val="0"/>
          <w:i w:val="0"/>
          <w:iCs w:val="0"/>
          <w:caps w:val="0"/>
          <w:smallCaps w:val="0"/>
          <w:noProof w:val="0"/>
          <w:color w:val="1F1F1F"/>
          <w:sz w:val="28"/>
          <w:szCs w:val="28"/>
          <w:lang w:val="en-US"/>
        </w:rPr>
        <w:t>necessitates</w:t>
      </w:r>
      <w:r w:rsidRPr="364AC1E7" w:rsidR="6F4C7182">
        <w:rPr>
          <w:rFonts w:ascii="Times New Roman" w:hAnsi="Times New Roman" w:eastAsia="Times New Roman" w:cs="Times New Roman"/>
          <w:b w:val="0"/>
          <w:bCs w:val="0"/>
          <w:i w:val="0"/>
          <w:iCs w:val="0"/>
          <w:caps w:val="0"/>
          <w:smallCaps w:val="0"/>
          <w:noProof w:val="0"/>
          <w:color w:val="1F1F1F"/>
          <w:sz w:val="28"/>
          <w:szCs w:val="28"/>
          <w:lang w:val="en-US"/>
        </w:rPr>
        <w:t xml:space="preserve"> a sophisticated HR infrastructure capable of managing both physical retail environments and a rapidly expanding digital ecosystem.</w:t>
      </w:r>
    </w:p>
    <w:p w:rsidR="6F4C7182" w:rsidP="364AC1E7" w:rsidRDefault="6F4C7182" w14:paraId="245BAEB6" w14:textId="397C9FC4">
      <w:pPr>
        <w:spacing w:before="0" w:beforeAutospacing="off" w:after="0" w:afterAutospacing="off"/>
        <w:jc w:val="left"/>
      </w:pPr>
      <w:r w:rsidRPr="364AC1E7" w:rsidR="6F4C7182">
        <w:rPr>
          <w:rFonts w:ascii="Times New Roman" w:hAnsi="Times New Roman" w:eastAsia="Times New Roman" w:cs="Times New Roman"/>
          <w:b w:val="0"/>
          <w:bCs w:val="0"/>
          <w:i w:val="0"/>
          <w:iCs w:val="0"/>
          <w:caps w:val="0"/>
          <w:smallCaps w:val="0"/>
          <w:noProof w:val="0"/>
          <w:color w:val="1F1F1F"/>
          <w:sz w:val="28"/>
          <w:szCs w:val="28"/>
          <w:lang w:val="en-US"/>
        </w:rPr>
        <w:t xml:space="preserve">The contemporary Greggs HR function has shifted from a transactional "personnel" model to a </w:t>
      </w:r>
      <w:r w:rsidRPr="364AC1E7" w:rsidR="6F4C7182">
        <w:rPr>
          <w:rFonts w:ascii="Times New Roman" w:hAnsi="Times New Roman" w:eastAsia="Times New Roman" w:cs="Times New Roman"/>
          <w:b w:val="1"/>
          <w:bCs w:val="1"/>
          <w:i w:val="0"/>
          <w:iCs w:val="0"/>
          <w:caps w:val="0"/>
          <w:smallCaps w:val="0"/>
          <w:noProof w:val="0"/>
          <w:color w:val="1F1F1F"/>
          <w:sz w:val="28"/>
          <w:szCs w:val="28"/>
          <w:lang w:val="en-US"/>
        </w:rPr>
        <w:t>Strategic Business Partner (SBP)</w:t>
      </w:r>
      <w:r w:rsidRPr="364AC1E7" w:rsidR="6F4C7182">
        <w:rPr>
          <w:rFonts w:ascii="Times New Roman" w:hAnsi="Times New Roman" w:eastAsia="Times New Roman" w:cs="Times New Roman"/>
          <w:b w:val="0"/>
          <w:bCs w:val="0"/>
          <w:i w:val="0"/>
          <w:iCs w:val="0"/>
          <w:caps w:val="0"/>
          <w:smallCaps w:val="0"/>
          <w:noProof w:val="0"/>
          <w:color w:val="1F1F1F"/>
          <w:sz w:val="28"/>
          <w:szCs w:val="28"/>
          <w:lang w:val="en-US"/>
        </w:rPr>
        <w:t xml:space="preserve"> framework. This evolution is driven by the need to manage a "hybrid" workforce; HR must simultaneously drive digital literacy for automated point-of-sale systems while addressing the chronic "skills gap" in traditional craft baking. Furthermore, the </w:t>
      </w:r>
      <w:r w:rsidRPr="364AC1E7" w:rsidR="6F4C7182">
        <w:rPr>
          <w:rFonts w:ascii="Times New Roman" w:hAnsi="Times New Roman" w:eastAsia="Times New Roman" w:cs="Times New Roman"/>
          <w:b w:val="0"/>
          <w:bCs w:val="0"/>
          <w:i w:val="0"/>
          <w:iCs w:val="0"/>
          <w:caps w:val="0"/>
          <w:smallCaps w:val="0"/>
          <w:noProof w:val="0"/>
          <w:color w:val="1F1F1F"/>
          <w:sz w:val="28"/>
          <w:szCs w:val="28"/>
          <w:lang w:val="en-US"/>
        </w:rPr>
        <w:t>organisation</w:t>
      </w:r>
      <w:r w:rsidRPr="364AC1E7" w:rsidR="6F4C7182">
        <w:rPr>
          <w:rFonts w:ascii="Times New Roman" w:hAnsi="Times New Roman" w:eastAsia="Times New Roman" w:cs="Times New Roman"/>
          <w:b w:val="0"/>
          <w:bCs w:val="0"/>
          <w:i w:val="0"/>
          <w:iCs w:val="0"/>
          <w:caps w:val="0"/>
          <w:smallCaps w:val="0"/>
          <w:noProof w:val="0"/>
          <w:color w:val="1F1F1F"/>
          <w:sz w:val="28"/>
          <w:szCs w:val="28"/>
          <w:lang w:val="en-US"/>
        </w:rPr>
        <w:t xml:space="preserve"> faces the strategic challenge of embedding </w:t>
      </w:r>
      <w:r w:rsidRPr="364AC1E7" w:rsidR="6F4C7182">
        <w:rPr>
          <w:rFonts w:ascii="Times New Roman" w:hAnsi="Times New Roman" w:eastAsia="Times New Roman" w:cs="Times New Roman"/>
          <w:b w:val="1"/>
          <w:bCs w:val="1"/>
          <w:i w:val="0"/>
          <w:iCs w:val="0"/>
          <w:caps w:val="0"/>
          <w:smallCaps w:val="0"/>
          <w:noProof w:val="0"/>
          <w:color w:val="1F1F1F"/>
          <w:sz w:val="28"/>
          <w:szCs w:val="28"/>
          <w:lang w:val="en-US"/>
        </w:rPr>
        <w:t>Diversity, Equity, and Inclusion (DEI)</w:t>
      </w:r>
      <w:r w:rsidRPr="364AC1E7" w:rsidR="6F4C7182">
        <w:rPr>
          <w:rFonts w:ascii="Times New Roman" w:hAnsi="Times New Roman" w:eastAsia="Times New Roman" w:cs="Times New Roman"/>
          <w:b w:val="0"/>
          <w:bCs w:val="0"/>
          <w:i w:val="0"/>
          <w:iCs w:val="0"/>
          <w:caps w:val="0"/>
          <w:smallCaps w:val="0"/>
          <w:noProof w:val="0"/>
          <w:color w:val="1F1F1F"/>
          <w:sz w:val="28"/>
          <w:szCs w:val="28"/>
          <w:lang w:val="en-US"/>
        </w:rPr>
        <w:t xml:space="preserve"> within a demographically dispersed workforce. </w:t>
      </w:r>
      <w:r w:rsidRPr="364AC1E7" w:rsidR="6F4C7182">
        <w:rPr>
          <w:rFonts w:ascii="Times New Roman" w:hAnsi="Times New Roman" w:eastAsia="Times New Roman" w:cs="Times New Roman"/>
          <w:b w:val="0"/>
          <w:bCs w:val="0"/>
          <w:i w:val="0"/>
          <w:iCs w:val="0"/>
          <w:caps w:val="0"/>
          <w:smallCaps w:val="0"/>
          <w:noProof w:val="0"/>
          <w:color w:val="1F1F1F"/>
          <w:sz w:val="28"/>
          <w:szCs w:val="28"/>
          <w:lang w:val="en-US"/>
        </w:rPr>
        <w:t>Ultimately, Greggs’</w:t>
      </w:r>
      <w:r w:rsidRPr="364AC1E7" w:rsidR="6F4C7182">
        <w:rPr>
          <w:rFonts w:ascii="Times New Roman" w:hAnsi="Times New Roman" w:eastAsia="Times New Roman" w:cs="Times New Roman"/>
          <w:b w:val="0"/>
          <w:bCs w:val="0"/>
          <w:i w:val="0"/>
          <w:iCs w:val="0"/>
          <w:caps w:val="0"/>
          <w:smallCaps w:val="0"/>
          <w:noProof w:val="0"/>
          <w:color w:val="1F1F1F"/>
          <w:sz w:val="28"/>
          <w:szCs w:val="28"/>
          <w:lang w:val="en-US"/>
        </w:rPr>
        <w:t xml:space="preserve"> HR strategy is now the primary vehicle for aligning frontline operational efficiency with the stringent requirements of the </w:t>
      </w:r>
      <w:r w:rsidRPr="364AC1E7" w:rsidR="6F4C7182">
        <w:rPr>
          <w:rFonts w:ascii="Times New Roman" w:hAnsi="Times New Roman" w:eastAsia="Times New Roman" w:cs="Times New Roman"/>
          <w:b w:val="1"/>
          <w:bCs w:val="1"/>
          <w:i w:val="0"/>
          <w:iCs w:val="0"/>
          <w:caps w:val="0"/>
          <w:smallCaps w:val="0"/>
          <w:noProof w:val="0"/>
          <w:color w:val="1F1F1F"/>
          <w:sz w:val="28"/>
          <w:szCs w:val="28"/>
          <w:lang w:val="en-US"/>
        </w:rPr>
        <w:t>Employment Rights Act 2025</w:t>
      </w:r>
      <w:r w:rsidRPr="364AC1E7" w:rsidR="6F4C7182">
        <w:rPr>
          <w:rFonts w:ascii="Times New Roman" w:hAnsi="Times New Roman" w:eastAsia="Times New Roman" w:cs="Times New Roman"/>
          <w:b w:val="0"/>
          <w:bCs w:val="0"/>
          <w:i w:val="0"/>
          <w:iCs w:val="0"/>
          <w:caps w:val="0"/>
          <w:smallCaps w:val="0"/>
          <w:noProof w:val="0"/>
          <w:color w:val="1F1F1F"/>
          <w:sz w:val="28"/>
          <w:szCs w:val="28"/>
          <w:lang w:val="en-US"/>
        </w:rPr>
        <w:t xml:space="preserve">, ensuring that </w:t>
      </w:r>
      <w:r w:rsidRPr="364AC1E7" w:rsidR="6F4C7182">
        <w:rPr>
          <w:rFonts w:ascii="Times New Roman" w:hAnsi="Times New Roman" w:eastAsia="Times New Roman" w:cs="Times New Roman"/>
          <w:b w:val="0"/>
          <w:bCs w:val="0"/>
          <w:i w:val="0"/>
          <w:iCs w:val="0"/>
          <w:caps w:val="0"/>
          <w:smallCaps w:val="0"/>
          <w:noProof w:val="0"/>
          <w:color w:val="1F1F1F"/>
          <w:sz w:val="28"/>
          <w:szCs w:val="28"/>
          <w:lang w:val="en-US"/>
        </w:rPr>
        <w:t>organisational</w:t>
      </w:r>
      <w:r w:rsidRPr="364AC1E7" w:rsidR="6F4C7182">
        <w:rPr>
          <w:rFonts w:ascii="Times New Roman" w:hAnsi="Times New Roman" w:eastAsia="Times New Roman" w:cs="Times New Roman"/>
          <w:b w:val="0"/>
          <w:bCs w:val="0"/>
          <w:i w:val="0"/>
          <w:iCs w:val="0"/>
          <w:caps w:val="0"/>
          <w:smallCaps w:val="0"/>
          <w:noProof w:val="0"/>
          <w:color w:val="1F1F1F"/>
          <w:sz w:val="28"/>
          <w:szCs w:val="28"/>
          <w:lang w:val="en-US"/>
        </w:rPr>
        <w:t xml:space="preserve"> growth is matched by legal compliance and enhanced employee engagement.</w:t>
      </w:r>
    </w:p>
    <w:p w:rsidR="364AC1E7" w:rsidP="364AC1E7" w:rsidRDefault="364AC1E7" w14:paraId="06F65922" w14:textId="7678B161">
      <w:p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1F1F1F"/>
          <w:sz w:val="28"/>
          <w:szCs w:val="28"/>
          <w:lang w:val="en-US"/>
        </w:rPr>
      </w:pPr>
    </w:p>
    <w:p w:rsidR="364AC1E7" w:rsidP="364AC1E7" w:rsidRDefault="364AC1E7" w14:paraId="7AB98841" w14:textId="4E50B83D">
      <w:p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1F1F1F"/>
          <w:sz w:val="28"/>
          <w:szCs w:val="28"/>
          <w:lang w:val="en-US"/>
        </w:rPr>
      </w:pPr>
    </w:p>
    <w:p w:rsidR="364AC1E7" w:rsidP="364AC1E7" w:rsidRDefault="364AC1E7" w14:paraId="638733B3" w14:textId="328F9A3D">
      <w:p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1F1F1F"/>
          <w:sz w:val="28"/>
          <w:szCs w:val="28"/>
          <w:lang w:val="en-US"/>
        </w:rPr>
      </w:pPr>
    </w:p>
    <w:p w:rsidR="364AC1E7" w:rsidP="364AC1E7" w:rsidRDefault="364AC1E7" w14:paraId="76E97431" w14:textId="20036C79">
      <w:p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1F1F1F"/>
          <w:sz w:val="28"/>
          <w:szCs w:val="28"/>
          <w:lang w:val="en-US"/>
        </w:rPr>
      </w:pPr>
    </w:p>
    <w:p w:rsidR="364AC1E7" w:rsidP="364AC1E7" w:rsidRDefault="364AC1E7" w14:paraId="23DF2A93" w14:textId="4EF0E45C">
      <w:p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1F1F1F"/>
          <w:sz w:val="28"/>
          <w:szCs w:val="28"/>
          <w:lang w:val="en-US"/>
        </w:rPr>
      </w:pPr>
    </w:p>
    <w:p w:rsidR="364AC1E7" w:rsidP="364AC1E7" w:rsidRDefault="364AC1E7" w14:paraId="3CD4FCAC" w14:textId="55E24428">
      <w:p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1F1F1F"/>
          <w:sz w:val="28"/>
          <w:szCs w:val="28"/>
          <w:lang w:val="en-US"/>
        </w:rPr>
      </w:pPr>
    </w:p>
    <w:p w:rsidR="364AC1E7" w:rsidP="364AC1E7" w:rsidRDefault="364AC1E7" w14:paraId="4864A0C3" w14:textId="66111AF8">
      <w:p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1F1F1F"/>
          <w:sz w:val="28"/>
          <w:szCs w:val="28"/>
          <w:lang w:val="en-US"/>
        </w:rPr>
      </w:pPr>
    </w:p>
    <w:p w:rsidR="364AC1E7" w:rsidP="364AC1E7" w:rsidRDefault="364AC1E7" w14:paraId="0969637A" w14:textId="45D1A3A3">
      <w:p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1F1F1F"/>
          <w:sz w:val="28"/>
          <w:szCs w:val="28"/>
          <w:lang w:val="en-US"/>
        </w:rPr>
      </w:pPr>
    </w:p>
    <w:p w:rsidR="364AC1E7" w:rsidP="364AC1E7" w:rsidRDefault="364AC1E7" w14:paraId="6AA13579" w14:textId="6C4459E7">
      <w:p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1F1F1F"/>
          <w:sz w:val="28"/>
          <w:szCs w:val="28"/>
          <w:lang w:val="en-US"/>
        </w:rPr>
      </w:pPr>
    </w:p>
    <w:p w:rsidR="364AC1E7" w:rsidP="364AC1E7" w:rsidRDefault="364AC1E7" w14:paraId="7ECC1325" w14:textId="0CF0E91A">
      <w:p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1F1F1F"/>
          <w:sz w:val="28"/>
          <w:szCs w:val="28"/>
          <w:lang w:val="en-US"/>
        </w:rPr>
      </w:pPr>
    </w:p>
    <w:p w:rsidR="11A660E3" w:rsidP="364AC1E7" w:rsidRDefault="11A660E3" w14:paraId="17CA1AED" w14:textId="52D7BECF">
      <w:pPr>
        <w:pStyle w:val="Normal"/>
        <w:jc w:val="left"/>
        <w:rPr>
          <w:rFonts w:ascii="Calibri" w:hAnsi="Calibri" w:eastAsia="Calibri" w:cs="Calibri" w:asciiTheme="minorAscii" w:hAnsiTheme="minorAscii" w:eastAsiaTheme="minorAscii" w:cstheme="minorAscii"/>
          <w:b w:val="1"/>
          <w:bCs w:val="1"/>
          <w:noProof w:val="0"/>
          <w:sz w:val="32"/>
          <w:szCs w:val="32"/>
          <w:lang w:val="en-US"/>
        </w:rPr>
      </w:pPr>
      <w:r w:rsidRPr="364AC1E7" w:rsidR="11A660E3">
        <w:rPr>
          <w:rFonts w:ascii="Calibri" w:hAnsi="Calibri" w:eastAsia="Calibri" w:cs="Calibri" w:asciiTheme="minorAscii" w:hAnsiTheme="minorAscii" w:eastAsiaTheme="minorAscii" w:cstheme="minorAscii"/>
          <w:b w:val="1"/>
          <w:bCs w:val="1"/>
          <w:noProof w:val="0"/>
          <w:sz w:val="32"/>
          <w:szCs w:val="32"/>
          <w:lang w:val="en-US"/>
        </w:rPr>
        <w:t xml:space="preserve">Technological Advancement </w:t>
      </w:r>
    </w:p>
    <w:p w:rsidR="11A660E3" w:rsidP="364AC1E7" w:rsidRDefault="11A660E3" w14:paraId="297558CE" w14:textId="193130C1">
      <w:pPr>
        <w:spacing w:before="240" w:beforeAutospacing="off" w:after="240" w:afterAutospacing="off"/>
        <w:jc w:val="left"/>
      </w:pPr>
      <w:r w:rsidRPr="364AC1E7" w:rsidR="11A660E3">
        <w:rPr>
          <w:rFonts w:ascii="Times New Roman" w:hAnsi="Times New Roman" w:eastAsia="Times New Roman" w:cs="Times New Roman"/>
          <w:noProof w:val="0"/>
          <w:sz w:val="28"/>
          <w:szCs w:val="28"/>
          <w:lang w:val="en-US"/>
        </w:rPr>
        <w:t xml:space="preserve">In the 2026 retail landscape, Greggs has undergone a fundamental shift toward </w:t>
      </w:r>
      <w:r w:rsidRPr="364AC1E7" w:rsidR="11A660E3">
        <w:rPr>
          <w:rFonts w:ascii="Times New Roman" w:hAnsi="Times New Roman" w:eastAsia="Times New Roman" w:cs="Times New Roman"/>
          <w:b w:val="1"/>
          <w:bCs w:val="1"/>
          <w:noProof w:val="0"/>
          <w:sz w:val="28"/>
          <w:szCs w:val="28"/>
          <w:lang w:val="en-US"/>
        </w:rPr>
        <w:t>"Retail 4.0,"</w:t>
      </w:r>
      <w:r w:rsidRPr="364AC1E7" w:rsidR="11A660E3">
        <w:rPr>
          <w:rFonts w:ascii="Times New Roman" w:hAnsi="Times New Roman" w:eastAsia="Times New Roman" w:cs="Times New Roman"/>
          <w:noProof w:val="0"/>
          <w:sz w:val="28"/>
          <w:szCs w:val="28"/>
          <w:lang w:val="en-US"/>
        </w:rPr>
        <w:t xml:space="preserve"> integrating sophisticated digital ecosystems including third-party delivery aggregators (e.g., Just Eat), automated inventory replenishment, and tablet-based workforce scheduling. As </w:t>
      </w:r>
      <w:r w:rsidRPr="364AC1E7" w:rsidR="11A660E3">
        <w:rPr>
          <w:rFonts w:ascii="Times New Roman" w:hAnsi="Times New Roman" w:eastAsia="Times New Roman" w:cs="Times New Roman"/>
          <w:b w:val="1"/>
          <w:bCs w:val="1"/>
          <w:noProof w:val="0"/>
          <w:sz w:val="28"/>
          <w:szCs w:val="28"/>
          <w:lang w:val="en-US"/>
        </w:rPr>
        <w:t>Armstrong and Taylor (2020)</w:t>
      </w:r>
      <w:r w:rsidRPr="364AC1E7" w:rsidR="11A660E3">
        <w:rPr>
          <w:rFonts w:ascii="Times New Roman" w:hAnsi="Times New Roman" w:eastAsia="Times New Roman" w:cs="Times New Roman"/>
          <w:noProof w:val="0"/>
          <w:sz w:val="28"/>
          <w:szCs w:val="28"/>
          <w:lang w:val="en-US"/>
        </w:rPr>
        <w:t xml:space="preserve"> posit, technological disruption </w:t>
      </w:r>
      <w:r w:rsidRPr="364AC1E7" w:rsidR="11A660E3">
        <w:rPr>
          <w:rFonts w:ascii="Times New Roman" w:hAnsi="Times New Roman" w:eastAsia="Times New Roman" w:cs="Times New Roman"/>
          <w:noProof w:val="0"/>
          <w:sz w:val="28"/>
          <w:szCs w:val="28"/>
          <w:lang w:val="en-US"/>
        </w:rPr>
        <w:t>necessitates</w:t>
      </w:r>
      <w:r w:rsidRPr="364AC1E7" w:rsidR="11A660E3">
        <w:rPr>
          <w:rFonts w:ascii="Times New Roman" w:hAnsi="Times New Roman" w:eastAsia="Times New Roman" w:cs="Times New Roman"/>
          <w:noProof w:val="0"/>
          <w:sz w:val="28"/>
          <w:szCs w:val="28"/>
          <w:lang w:val="en-US"/>
        </w:rPr>
        <w:t xml:space="preserve"> a proactive approach to </w:t>
      </w:r>
      <w:r w:rsidRPr="364AC1E7" w:rsidR="11A660E3">
        <w:rPr>
          <w:rFonts w:ascii="Times New Roman" w:hAnsi="Times New Roman" w:eastAsia="Times New Roman" w:cs="Times New Roman"/>
          <w:b w:val="1"/>
          <w:bCs w:val="1"/>
          <w:noProof w:val="0"/>
          <w:sz w:val="28"/>
          <w:szCs w:val="28"/>
          <w:lang w:val="en-US"/>
        </w:rPr>
        <w:t>Workforce Planning</w:t>
      </w:r>
      <w:r w:rsidRPr="364AC1E7" w:rsidR="11A660E3">
        <w:rPr>
          <w:rFonts w:ascii="Times New Roman" w:hAnsi="Times New Roman" w:eastAsia="Times New Roman" w:cs="Times New Roman"/>
          <w:noProof w:val="0"/>
          <w:sz w:val="28"/>
          <w:szCs w:val="28"/>
          <w:lang w:val="en-US"/>
        </w:rPr>
        <w:t xml:space="preserve"> to bridge emerging "Skills Gaps." For Greggs, this means frontline staff must transition from traditional retail service to becoming "digital navigators" capable of managing multi-channel orders simultaneously.</w:t>
      </w:r>
    </w:p>
    <w:p w:rsidR="11A660E3" w:rsidP="364AC1E7" w:rsidRDefault="11A660E3" w14:paraId="0757744B" w14:textId="7AF868F2">
      <w:pPr>
        <w:spacing w:before="240" w:beforeAutospacing="off" w:after="240" w:afterAutospacing="off"/>
        <w:jc w:val="left"/>
      </w:pPr>
      <w:r w:rsidRPr="364AC1E7" w:rsidR="11A660E3">
        <w:rPr>
          <w:rFonts w:ascii="Times New Roman" w:hAnsi="Times New Roman" w:eastAsia="Times New Roman" w:cs="Times New Roman"/>
          <w:noProof w:val="0"/>
          <w:sz w:val="28"/>
          <w:szCs w:val="28"/>
          <w:lang w:val="en-US"/>
        </w:rPr>
        <w:t xml:space="preserve">However, a critical HR challenge is the risk of </w:t>
      </w:r>
      <w:r w:rsidRPr="364AC1E7" w:rsidR="11A660E3">
        <w:rPr>
          <w:rFonts w:ascii="Times New Roman" w:hAnsi="Times New Roman" w:eastAsia="Times New Roman" w:cs="Times New Roman"/>
          <w:b w:val="1"/>
          <w:bCs w:val="1"/>
          <w:noProof w:val="0"/>
          <w:sz w:val="28"/>
          <w:szCs w:val="28"/>
          <w:lang w:val="en-US"/>
        </w:rPr>
        <w:t>"Digital Alienation"</w:t>
      </w:r>
      <w:r w:rsidRPr="364AC1E7" w:rsidR="11A660E3">
        <w:rPr>
          <w:rFonts w:ascii="Times New Roman" w:hAnsi="Times New Roman" w:eastAsia="Times New Roman" w:cs="Times New Roman"/>
          <w:noProof w:val="0"/>
          <w:sz w:val="28"/>
          <w:szCs w:val="28"/>
          <w:lang w:val="en-US"/>
        </w:rPr>
        <w:t xml:space="preserve"> or "Technostress," particularly among long-tenured employees. If the integration of automated Point-of-Sale (POS) systems is perceived as a surveillance tool rather than an efficiency aid, it can lead to a </w:t>
      </w:r>
      <w:r w:rsidRPr="364AC1E7" w:rsidR="11A660E3">
        <w:rPr>
          <w:rFonts w:ascii="Times New Roman" w:hAnsi="Times New Roman" w:eastAsia="Times New Roman" w:cs="Times New Roman"/>
          <w:b w:val="1"/>
          <w:bCs w:val="1"/>
          <w:noProof w:val="0"/>
          <w:sz w:val="28"/>
          <w:szCs w:val="28"/>
          <w:lang w:val="en-US"/>
        </w:rPr>
        <w:t>Psychological Contract breach</w:t>
      </w:r>
      <w:r w:rsidRPr="364AC1E7" w:rsidR="11A660E3">
        <w:rPr>
          <w:rFonts w:ascii="Times New Roman" w:hAnsi="Times New Roman" w:eastAsia="Times New Roman" w:cs="Times New Roman"/>
          <w:noProof w:val="0"/>
          <w:sz w:val="28"/>
          <w:szCs w:val="28"/>
          <w:lang w:val="en-US"/>
        </w:rPr>
        <w:t>. To mitigate this, HR must adopt a "High-Touch, High-Tech" approach, ensuring that digital transformation is supported by peer-to-peer mentoring and intuitive UX design. This ensures that technological advancement enhances productivity without eroding the "human-centric" culture that Greggs is known for.</w:t>
      </w:r>
    </w:p>
    <w:p w:rsidR="364AC1E7" w:rsidP="364AC1E7" w:rsidRDefault="364AC1E7" w14:paraId="2083520C" w14:textId="02438863">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5B1D9CC3" w14:textId="58186074">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4B7B42A0" w14:textId="60138D41">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1A5B9E92" w14:textId="3852167E">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5B3E4A7C" w14:textId="0E497499">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47C4D93A" w14:textId="34112B23">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2DD16D75" w14:textId="0722AF2E">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11A660E3" w:rsidP="364AC1E7" w:rsidRDefault="11A660E3" w14:paraId="27537F1A" w14:textId="0C6F9D8F">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r w:rsidRPr="364AC1E7" w:rsidR="11A660E3">
        <w:rPr>
          <w:rFonts w:ascii="Calibri" w:hAnsi="Calibri" w:eastAsia="Calibri" w:cs="Calibri" w:asciiTheme="minorAscii" w:hAnsiTheme="minorAscii" w:eastAsiaTheme="minorAscii" w:cstheme="minorAscii"/>
          <w:b w:val="1"/>
          <w:bCs w:val="1"/>
          <w:noProof w:val="0"/>
          <w:sz w:val="32"/>
          <w:szCs w:val="32"/>
          <w:lang w:val="en-US"/>
        </w:rPr>
        <w:t xml:space="preserve">The war for frontline Talent </w:t>
      </w:r>
    </w:p>
    <w:p w:rsidR="11A660E3" w:rsidP="364AC1E7" w:rsidRDefault="11A660E3" w14:paraId="60141DB5" w14:textId="6C27ABF8">
      <w:pPr>
        <w:spacing w:before="240" w:beforeAutospacing="off" w:after="240" w:afterAutospacing="off"/>
        <w:jc w:val="left"/>
      </w:pPr>
      <w:r w:rsidRPr="364AC1E7" w:rsidR="11A660E3">
        <w:rPr>
          <w:rFonts w:ascii="Times New Roman" w:hAnsi="Times New Roman" w:eastAsia="Times New Roman" w:cs="Times New Roman"/>
          <w:noProof w:val="0"/>
          <w:sz w:val="28"/>
          <w:szCs w:val="28"/>
          <w:lang w:val="en-US"/>
        </w:rPr>
        <w:t xml:space="preserve">The QSR (Quick Service Restaurant) sector in 2026 faces unprecedented volatility. Greggs competes in a "tight" labor market for skilled bakers and retail supervisors against both traditional supermarkets and emerging delivery-only "dark kitchens." To succeed, Greggs must move beyond transactional recruitment toward a robust </w:t>
      </w:r>
      <w:r w:rsidRPr="364AC1E7" w:rsidR="11A660E3">
        <w:rPr>
          <w:rFonts w:ascii="Times New Roman" w:hAnsi="Times New Roman" w:eastAsia="Times New Roman" w:cs="Times New Roman"/>
          <w:b w:val="1"/>
          <w:bCs w:val="1"/>
          <w:noProof w:val="0"/>
          <w:sz w:val="28"/>
          <w:szCs w:val="28"/>
          <w:lang w:val="en-US"/>
        </w:rPr>
        <w:t>Employee Value Proposition (EVP)</w:t>
      </w:r>
      <w:r w:rsidRPr="364AC1E7" w:rsidR="11A660E3">
        <w:rPr>
          <w:rFonts w:ascii="Times New Roman" w:hAnsi="Times New Roman" w:eastAsia="Times New Roman" w:cs="Times New Roman"/>
          <w:noProof w:val="0"/>
          <w:sz w:val="28"/>
          <w:szCs w:val="28"/>
          <w:lang w:val="en-US"/>
        </w:rPr>
        <w:t xml:space="preserve">. According to the </w:t>
      </w:r>
      <w:r w:rsidRPr="364AC1E7" w:rsidR="11A660E3">
        <w:rPr>
          <w:rFonts w:ascii="Times New Roman" w:hAnsi="Times New Roman" w:eastAsia="Times New Roman" w:cs="Times New Roman"/>
          <w:b w:val="1"/>
          <w:bCs w:val="1"/>
          <w:noProof w:val="0"/>
          <w:sz w:val="28"/>
          <w:szCs w:val="28"/>
          <w:lang w:val="en-US"/>
        </w:rPr>
        <w:t>CIPD (2023)</w:t>
      </w:r>
      <w:r w:rsidRPr="364AC1E7" w:rsidR="11A660E3">
        <w:rPr>
          <w:rFonts w:ascii="Times New Roman" w:hAnsi="Times New Roman" w:eastAsia="Times New Roman" w:cs="Times New Roman"/>
          <w:noProof w:val="0"/>
          <w:sz w:val="28"/>
          <w:szCs w:val="28"/>
          <w:lang w:val="en-US"/>
        </w:rPr>
        <w:t>, modern workers prioritize "Total Rewards"—a combination of competitive pay, flexible working arrangements, and psychological well-being.</w:t>
      </w:r>
    </w:p>
    <w:p w:rsidR="11A660E3" w:rsidP="364AC1E7" w:rsidRDefault="11A660E3" w14:paraId="54D94628" w14:textId="00F0EF45">
      <w:pPr>
        <w:spacing w:before="240" w:beforeAutospacing="off" w:after="240" w:afterAutospacing="off"/>
        <w:jc w:val="left"/>
      </w:pPr>
      <w:r w:rsidRPr="364AC1E7" w:rsidR="11A660E3">
        <w:rPr>
          <w:rFonts w:ascii="Times New Roman" w:hAnsi="Times New Roman" w:eastAsia="Times New Roman" w:cs="Times New Roman"/>
          <w:noProof w:val="0"/>
          <w:sz w:val="28"/>
          <w:szCs w:val="28"/>
          <w:lang w:val="en-US"/>
        </w:rPr>
        <w:t xml:space="preserve">Greggs’ strategic focus on </w:t>
      </w:r>
      <w:r w:rsidRPr="364AC1E7" w:rsidR="11A660E3">
        <w:rPr>
          <w:rFonts w:ascii="Times New Roman" w:hAnsi="Times New Roman" w:eastAsia="Times New Roman" w:cs="Times New Roman"/>
          <w:b w:val="1"/>
          <w:bCs w:val="1"/>
          <w:noProof w:val="0"/>
          <w:sz w:val="28"/>
          <w:szCs w:val="28"/>
          <w:lang w:val="en-US"/>
        </w:rPr>
        <w:t>internal talent pipelines</w:t>
      </w:r>
      <w:r w:rsidRPr="364AC1E7" w:rsidR="11A660E3">
        <w:rPr>
          <w:rFonts w:ascii="Times New Roman" w:hAnsi="Times New Roman" w:eastAsia="Times New Roman" w:cs="Times New Roman"/>
          <w:noProof w:val="0"/>
          <w:sz w:val="28"/>
          <w:szCs w:val="28"/>
          <w:lang w:val="en-US"/>
        </w:rPr>
        <w:t xml:space="preserve"> and apprenticeship standards acts as a vital retention anchor. By offering "Lifetime Learning" pathways, the HR department fosters </w:t>
      </w:r>
      <w:r w:rsidRPr="364AC1E7" w:rsidR="11A660E3">
        <w:rPr>
          <w:rFonts w:ascii="Times New Roman" w:hAnsi="Times New Roman" w:eastAsia="Times New Roman" w:cs="Times New Roman"/>
          <w:b w:val="1"/>
          <w:bCs w:val="1"/>
          <w:noProof w:val="0"/>
          <w:sz w:val="28"/>
          <w:szCs w:val="28"/>
          <w:lang w:val="en-US"/>
        </w:rPr>
        <w:t>Affective Commitment</w:t>
      </w:r>
      <w:r w:rsidRPr="364AC1E7" w:rsidR="11A660E3">
        <w:rPr>
          <w:rFonts w:ascii="Times New Roman" w:hAnsi="Times New Roman" w:eastAsia="Times New Roman" w:cs="Times New Roman"/>
          <w:noProof w:val="0"/>
          <w:sz w:val="28"/>
          <w:szCs w:val="28"/>
          <w:lang w:val="en-US"/>
        </w:rPr>
        <w:t xml:space="preserve"> (emotional attachment to the firm). However, at Level 5 analysis, we must acknowledge that retention is not solely about benefits; it is about </w:t>
      </w:r>
      <w:r w:rsidRPr="364AC1E7" w:rsidR="11A660E3">
        <w:rPr>
          <w:rFonts w:ascii="Times New Roman" w:hAnsi="Times New Roman" w:eastAsia="Times New Roman" w:cs="Times New Roman"/>
          <w:b w:val="1"/>
          <w:bCs w:val="1"/>
          <w:noProof w:val="0"/>
          <w:sz w:val="28"/>
          <w:szCs w:val="28"/>
          <w:lang w:val="en-US"/>
        </w:rPr>
        <w:t>Career Pathing</w:t>
      </w:r>
      <w:r w:rsidRPr="364AC1E7" w:rsidR="11A660E3">
        <w:rPr>
          <w:rFonts w:ascii="Times New Roman" w:hAnsi="Times New Roman" w:eastAsia="Times New Roman" w:cs="Times New Roman"/>
          <w:noProof w:val="0"/>
          <w:sz w:val="28"/>
          <w:szCs w:val="28"/>
          <w:lang w:val="en-US"/>
        </w:rPr>
        <w:t>. HR must utilize "People Analytics" to identify turnover "hotspots" in specific regions and deploy targeted interventions, such as leadership development for store managers, to stabilize the workforce and reduce the significant costs associated with employee churn.</w:t>
      </w:r>
    </w:p>
    <w:p w:rsidR="364AC1E7" w:rsidP="364AC1E7" w:rsidRDefault="364AC1E7" w14:paraId="47FF9CCE" w14:textId="0822CA36">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1501EC5B" w14:textId="5407906E">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140E2728" w14:textId="0AB873D8">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4FAE2062" w14:textId="2B171EB5">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4CB4981E" w14:textId="0EC6AA61">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121409FF" w14:textId="63C75B52">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3D9E5C92" w14:textId="2DB2028E">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12EEA10D" w14:textId="338D937C">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11A660E3" w:rsidP="364AC1E7" w:rsidRDefault="11A660E3" w14:paraId="02A922A9" w14:textId="69407CEB">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r w:rsidRPr="364AC1E7" w:rsidR="11A660E3">
        <w:rPr>
          <w:rFonts w:ascii="Calibri" w:hAnsi="Calibri" w:eastAsia="Calibri" w:cs="Calibri" w:asciiTheme="minorAscii" w:hAnsiTheme="minorAscii" w:eastAsiaTheme="minorAscii" w:cstheme="minorAscii"/>
          <w:b w:val="1"/>
          <w:bCs w:val="1"/>
          <w:noProof w:val="0"/>
          <w:sz w:val="32"/>
          <w:szCs w:val="32"/>
          <w:lang w:val="en-US"/>
        </w:rPr>
        <w:t xml:space="preserve">Diversity, Equality, and Inclusion </w:t>
      </w:r>
    </w:p>
    <w:p w:rsidR="11A660E3" w:rsidP="364AC1E7" w:rsidRDefault="11A660E3" w14:paraId="7F14B825" w14:textId="1E3ED9F3">
      <w:pPr>
        <w:spacing w:before="240" w:beforeAutospacing="off" w:after="240" w:afterAutospacing="off"/>
        <w:jc w:val="left"/>
      </w:pPr>
      <w:r w:rsidRPr="364AC1E7" w:rsidR="11A660E3">
        <w:rPr>
          <w:rFonts w:ascii="Times New Roman" w:hAnsi="Times New Roman" w:eastAsia="Times New Roman" w:cs="Times New Roman"/>
          <w:noProof w:val="0"/>
          <w:sz w:val="28"/>
          <w:szCs w:val="28"/>
          <w:lang w:val="en-US"/>
        </w:rPr>
        <w:t xml:space="preserve">For an organization with over 25,000 employees, DEI is no longer a "box-ticking" exercise but a driver of </w:t>
      </w:r>
      <w:r w:rsidRPr="364AC1E7" w:rsidR="11A660E3">
        <w:rPr>
          <w:rFonts w:ascii="Times New Roman" w:hAnsi="Times New Roman" w:eastAsia="Times New Roman" w:cs="Times New Roman"/>
          <w:b w:val="1"/>
          <w:bCs w:val="1"/>
          <w:noProof w:val="0"/>
          <w:sz w:val="28"/>
          <w:szCs w:val="28"/>
          <w:lang w:val="en-US"/>
        </w:rPr>
        <w:t>Sustainable Business Performance</w:t>
      </w:r>
      <w:r w:rsidRPr="364AC1E7" w:rsidR="11A660E3">
        <w:rPr>
          <w:rFonts w:ascii="Times New Roman" w:hAnsi="Times New Roman" w:eastAsia="Times New Roman" w:cs="Times New Roman"/>
          <w:noProof w:val="0"/>
          <w:sz w:val="28"/>
          <w:szCs w:val="28"/>
          <w:lang w:val="en-US"/>
        </w:rPr>
        <w:t xml:space="preserve">. Greggs’ workforce is a demographic mirror of its diverse UK customer base. </w:t>
      </w:r>
      <w:r w:rsidRPr="364AC1E7" w:rsidR="11A660E3">
        <w:rPr>
          <w:rFonts w:ascii="Times New Roman" w:hAnsi="Times New Roman" w:eastAsia="Times New Roman" w:cs="Times New Roman"/>
          <w:b w:val="1"/>
          <w:bCs w:val="1"/>
          <w:noProof w:val="0"/>
          <w:sz w:val="28"/>
          <w:szCs w:val="28"/>
          <w:lang w:val="en-US"/>
        </w:rPr>
        <w:t>Shen et al. (2021)</w:t>
      </w:r>
      <w:r w:rsidRPr="364AC1E7" w:rsidR="11A660E3">
        <w:rPr>
          <w:rFonts w:ascii="Times New Roman" w:hAnsi="Times New Roman" w:eastAsia="Times New Roman" w:cs="Times New Roman"/>
          <w:noProof w:val="0"/>
          <w:sz w:val="28"/>
          <w:szCs w:val="28"/>
          <w:lang w:val="en-US"/>
        </w:rPr>
        <w:t xml:space="preserve"> argue that diverse teams are more innovative and better equipped to understand multifaceted consumer needs.</w:t>
      </w:r>
    </w:p>
    <w:p w:rsidR="11A660E3" w:rsidP="364AC1E7" w:rsidRDefault="11A660E3" w14:paraId="510851C8" w14:textId="4647BA17">
      <w:pPr>
        <w:spacing w:before="240" w:beforeAutospacing="off" w:after="240" w:afterAutospacing="off"/>
        <w:jc w:val="left"/>
      </w:pPr>
      <w:r w:rsidRPr="364AC1E7" w:rsidR="11A660E3">
        <w:rPr>
          <w:rFonts w:ascii="Times New Roman" w:hAnsi="Times New Roman" w:eastAsia="Times New Roman" w:cs="Times New Roman"/>
          <w:noProof w:val="0"/>
          <w:sz w:val="28"/>
          <w:szCs w:val="28"/>
          <w:lang w:val="en-US"/>
        </w:rPr>
        <w:t xml:space="preserve">However, the strategic challenge for Greggs is ensuring that DEI moves from corporate headquarters to the "shop floor." This requires addressing </w:t>
      </w:r>
      <w:r w:rsidRPr="364AC1E7" w:rsidR="11A660E3">
        <w:rPr>
          <w:rFonts w:ascii="Times New Roman" w:hAnsi="Times New Roman" w:eastAsia="Times New Roman" w:cs="Times New Roman"/>
          <w:b w:val="1"/>
          <w:bCs w:val="1"/>
          <w:noProof w:val="0"/>
          <w:sz w:val="28"/>
          <w:szCs w:val="28"/>
          <w:lang w:val="en-US"/>
        </w:rPr>
        <w:t>Structural Equity</w:t>
      </w:r>
      <w:r w:rsidRPr="364AC1E7" w:rsidR="11A660E3">
        <w:rPr>
          <w:rFonts w:ascii="Times New Roman" w:hAnsi="Times New Roman" w:eastAsia="Times New Roman" w:cs="Times New Roman"/>
          <w:noProof w:val="0"/>
          <w:sz w:val="28"/>
          <w:szCs w:val="28"/>
          <w:lang w:val="en-US"/>
        </w:rPr>
        <w:t xml:space="preserve">—ensuring that part-time or minority staff have equal access to </w:t>
      </w:r>
      <w:r w:rsidRPr="364AC1E7" w:rsidR="11A660E3">
        <w:rPr>
          <w:rFonts w:ascii="Times New Roman" w:hAnsi="Times New Roman" w:eastAsia="Times New Roman" w:cs="Times New Roman"/>
          <w:noProof w:val="0"/>
          <w:sz w:val="28"/>
          <w:szCs w:val="28"/>
          <w:lang w:val="en-US"/>
        </w:rPr>
        <w:t>management</w:t>
      </w:r>
      <w:r w:rsidRPr="364AC1E7" w:rsidR="11A660E3">
        <w:rPr>
          <w:rFonts w:ascii="Times New Roman" w:hAnsi="Times New Roman" w:eastAsia="Times New Roman" w:cs="Times New Roman"/>
          <w:noProof w:val="0"/>
          <w:sz w:val="28"/>
          <w:szCs w:val="28"/>
          <w:lang w:val="en-US"/>
        </w:rPr>
        <w:t xml:space="preserve"> fast-track programs. HR’s role is to </w:t>
      </w:r>
      <w:r w:rsidRPr="364AC1E7" w:rsidR="11A660E3">
        <w:rPr>
          <w:rFonts w:ascii="Times New Roman" w:hAnsi="Times New Roman" w:eastAsia="Times New Roman" w:cs="Times New Roman"/>
          <w:noProof w:val="0"/>
          <w:sz w:val="28"/>
          <w:szCs w:val="28"/>
          <w:lang w:val="en-US"/>
        </w:rPr>
        <w:t>facilitate</w:t>
      </w:r>
      <w:r w:rsidRPr="364AC1E7" w:rsidR="11A660E3">
        <w:rPr>
          <w:rFonts w:ascii="Times New Roman" w:hAnsi="Times New Roman" w:eastAsia="Times New Roman" w:cs="Times New Roman"/>
          <w:noProof w:val="0"/>
          <w:sz w:val="28"/>
          <w:szCs w:val="28"/>
          <w:lang w:val="en-US"/>
        </w:rPr>
        <w:t xml:space="preserve"> </w:t>
      </w:r>
      <w:r w:rsidRPr="364AC1E7" w:rsidR="11A660E3">
        <w:rPr>
          <w:rFonts w:ascii="Times New Roman" w:hAnsi="Times New Roman" w:eastAsia="Times New Roman" w:cs="Times New Roman"/>
          <w:b w:val="1"/>
          <w:bCs w:val="1"/>
          <w:noProof w:val="0"/>
          <w:sz w:val="28"/>
          <w:szCs w:val="28"/>
          <w:lang w:val="en-US"/>
        </w:rPr>
        <w:t>Inclusive Leadership training</w:t>
      </w:r>
      <w:r w:rsidRPr="364AC1E7" w:rsidR="11A660E3">
        <w:rPr>
          <w:rFonts w:ascii="Times New Roman" w:hAnsi="Times New Roman" w:eastAsia="Times New Roman" w:cs="Times New Roman"/>
          <w:noProof w:val="0"/>
          <w:sz w:val="28"/>
          <w:szCs w:val="28"/>
          <w:lang w:val="en-US"/>
        </w:rPr>
        <w:t xml:space="preserve"> for all area managers to dismantle unconscious bias in performance appraisals. By formalizing staff networks (e.g., LGBTQ+, BAME, and Disability networks), Greggs creates a feedback loop that informs policy, ensuring that "Inclusion" is a lived experience that enhances employee morale and reduces legal risks associated with the </w:t>
      </w:r>
      <w:r w:rsidRPr="364AC1E7" w:rsidR="11A660E3">
        <w:rPr>
          <w:rFonts w:ascii="Times New Roman" w:hAnsi="Times New Roman" w:eastAsia="Times New Roman" w:cs="Times New Roman"/>
          <w:b w:val="1"/>
          <w:bCs w:val="1"/>
          <w:noProof w:val="0"/>
          <w:sz w:val="28"/>
          <w:szCs w:val="28"/>
          <w:lang w:val="en-US"/>
        </w:rPr>
        <w:t>Equality Act 2010</w:t>
      </w:r>
      <w:r w:rsidRPr="364AC1E7" w:rsidR="11A660E3">
        <w:rPr>
          <w:rFonts w:ascii="Times New Roman" w:hAnsi="Times New Roman" w:eastAsia="Times New Roman" w:cs="Times New Roman"/>
          <w:noProof w:val="0"/>
          <w:sz w:val="28"/>
          <w:szCs w:val="28"/>
          <w:lang w:val="en-US"/>
        </w:rPr>
        <w:t>.</w:t>
      </w:r>
    </w:p>
    <w:p w:rsidR="364AC1E7" w:rsidP="364AC1E7" w:rsidRDefault="364AC1E7" w14:paraId="4E4FC7C5" w14:textId="7827E2FF">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1C42FD4C" w14:textId="38D38E7D">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71A6A9AA" w14:textId="52042E91">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440CAC51" w14:textId="20405B5B">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2A60DEB9" w14:textId="7D56988B">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2E74AF51" w14:textId="27D4F15B">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14CB0C94" w14:textId="7ED30489">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123469F1" w14:textId="4379C543">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3B5B83F6" w14:textId="470E0D7E">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78591513" w:rsidP="364AC1E7" w:rsidRDefault="78591513" w14:paraId="0045C94B" w14:textId="5629F3C7">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6"/>
          <w:szCs w:val="36"/>
          <w:lang w:val="en-US"/>
        </w:rPr>
      </w:pPr>
      <w:r w:rsidRPr="364AC1E7" w:rsidR="78591513">
        <w:rPr>
          <w:rFonts w:ascii="Calibri" w:hAnsi="Calibri" w:eastAsia="Calibri" w:cs="Calibri" w:asciiTheme="minorAscii" w:hAnsiTheme="minorAscii" w:eastAsiaTheme="minorAscii" w:cstheme="minorAscii"/>
          <w:b w:val="1"/>
          <w:bCs w:val="1"/>
          <w:noProof w:val="0"/>
          <w:sz w:val="36"/>
          <w:szCs w:val="36"/>
          <w:lang w:val="en-US"/>
        </w:rPr>
        <w:t xml:space="preserve">Evaluation of Contemporary HR Practice </w:t>
      </w:r>
    </w:p>
    <w:p w:rsidR="78591513" w:rsidP="364AC1E7" w:rsidRDefault="78591513" w14:paraId="7D0CD727" w14:textId="35F5B712">
      <w:pPr>
        <w:spacing w:before="240" w:beforeAutospacing="off" w:after="240" w:afterAutospacing="off"/>
        <w:jc w:val="left"/>
      </w:pPr>
      <w:r w:rsidRPr="364AC1E7" w:rsidR="78591513">
        <w:rPr>
          <w:rFonts w:ascii="Times New Roman" w:hAnsi="Times New Roman" w:eastAsia="Times New Roman" w:cs="Times New Roman"/>
          <w:noProof w:val="0"/>
          <w:sz w:val="28"/>
          <w:szCs w:val="28"/>
          <w:lang w:val="en-US"/>
        </w:rPr>
        <w:t xml:space="preserve">Greggs increasingly </w:t>
      </w:r>
      <w:r w:rsidRPr="364AC1E7" w:rsidR="78591513">
        <w:rPr>
          <w:rFonts w:ascii="Times New Roman" w:hAnsi="Times New Roman" w:eastAsia="Times New Roman" w:cs="Times New Roman"/>
          <w:noProof w:val="0"/>
          <w:sz w:val="28"/>
          <w:szCs w:val="28"/>
          <w:lang w:val="en-US"/>
        </w:rPr>
        <w:t>leverages</w:t>
      </w:r>
      <w:r w:rsidRPr="364AC1E7" w:rsidR="78591513">
        <w:rPr>
          <w:rFonts w:ascii="Times New Roman" w:hAnsi="Times New Roman" w:eastAsia="Times New Roman" w:cs="Times New Roman"/>
          <w:noProof w:val="0"/>
          <w:sz w:val="28"/>
          <w:szCs w:val="28"/>
          <w:lang w:val="en-US"/>
        </w:rPr>
        <w:t xml:space="preserve"> </w:t>
      </w:r>
      <w:r w:rsidRPr="364AC1E7" w:rsidR="78591513">
        <w:rPr>
          <w:rFonts w:ascii="Times New Roman" w:hAnsi="Times New Roman" w:eastAsia="Times New Roman" w:cs="Times New Roman"/>
          <w:b w:val="1"/>
          <w:bCs w:val="1"/>
          <w:noProof w:val="0"/>
          <w:sz w:val="28"/>
          <w:szCs w:val="28"/>
          <w:lang w:val="en-US"/>
        </w:rPr>
        <w:t>People Analytics</w:t>
      </w:r>
      <w:r w:rsidRPr="364AC1E7" w:rsidR="78591513">
        <w:rPr>
          <w:rFonts w:ascii="Times New Roman" w:hAnsi="Times New Roman" w:eastAsia="Times New Roman" w:cs="Times New Roman"/>
          <w:noProof w:val="0"/>
          <w:sz w:val="28"/>
          <w:szCs w:val="28"/>
          <w:lang w:val="en-US"/>
        </w:rPr>
        <w:t xml:space="preserve"> to transition from reactive staffing to proactive "Workforce </w:t>
      </w:r>
      <w:r w:rsidRPr="364AC1E7" w:rsidR="78591513">
        <w:rPr>
          <w:rFonts w:ascii="Times New Roman" w:hAnsi="Times New Roman" w:eastAsia="Times New Roman" w:cs="Times New Roman"/>
          <w:noProof w:val="0"/>
          <w:sz w:val="28"/>
          <w:szCs w:val="28"/>
          <w:lang w:val="en-US"/>
        </w:rPr>
        <w:t>Optimisation</w:t>
      </w:r>
      <w:r w:rsidRPr="364AC1E7" w:rsidR="78591513">
        <w:rPr>
          <w:rFonts w:ascii="Times New Roman" w:hAnsi="Times New Roman" w:eastAsia="Times New Roman" w:cs="Times New Roman"/>
          <w:noProof w:val="0"/>
          <w:sz w:val="28"/>
          <w:szCs w:val="28"/>
          <w:lang w:val="en-US"/>
        </w:rPr>
        <w:t xml:space="preserve">." By integrating data from Point-of-Sale (POS) systems with HRIS attendance records, the organization can predict peak demand periods with high granularity. </w:t>
      </w:r>
      <w:r w:rsidRPr="364AC1E7" w:rsidR="78591513">
        <w:rPr>
          <w:rFonts w:ascii="Times New Roman" w:hAnsi="Times New Roman" w:eastAsia="Times New Roman" w:cs="Times New Roman"/>
          <w:b w:val="1"/>
          <w:bCs w:val="1"/>
          <w:noProof w:val="0"/>
          <w:sz w:val="28"/>
          <w:szCs w:val="28"/>
          <w:lang w:val="en-US"/>
        </w:rPr>
        <w:t>Dessler (2020)</w:t>
      </w:r>
      <w:r w:rsidRPr="364AC1E7" w:rsidR="78591513">
        <w:rPr>
          <w:rFonts w:ascii="Times New Roman" w:hAnsi="Times New Roman" w:eastAsia="Times New Roman" w:cs="Times New Roman"/>
          <w:noProof w:val="0"/>
          <w:sz w:val="28"/>
          <w:szCs w:val="28"/>
          <w:lang w:val="en-US"/>
        </w:rPr>
        <w:t xml:space="preserve"> argues that such data-driven decision-making minimizes "</w:t>
      </w:r>
      <w:r w:rsidRPr="364AC1E7" w:rsidR="78591513">
        <w:rPr>
          <w:rFonts w:ascii="Times New Roman" w:hAnsi="Times New Roman" w:eastAsia="Times New Roman" w:cs="Times New Roman"/>
          <w:noProof w:val="0"/>
          <w:sz w:val="28"/>
          <w:szCs w:val="28"/>
          <w:lang w:val="en-US"/>
        </w:rPr>
        <w:t>labour</w:t>
      </w:r>
      <w:r w:rsidRPr="364AC1E7" w:rsidR="78591513">
        <w:rPr>
          <w:rFonts w:ascii="Times New Roman" w:hAnsi="Times New Roman" w:eastAsia="Times New Roman" w:cs="Times New Roman"/>
          <w:noProof w:val="0"/>
          <w:sz w:val="28"/>
          <w:szCs w:val="28"/>
          <w:lang w:val="en-US"/>
        </w:rPr>
        <w:t xml:space="preserve"> leakage" and maximizes operational throughput. For Greggs, this means ensuring that high-footfall "commuter" stores are never under-resourced during morning peaks.</w:t>
      </w:r>
    </w:p>
    <w:p w:rsidR="78591513" w:rsidP="364AC1E7" w:rsidRDefault="78591513" w14:paraId="41635289" w14:textId="20A54765">
      <w:pPr>
        <w:spacing w:before="240" w:beforeAutospacing="off" w:after="240" w:afterAutospacing="off"/>
        <w:jc w:val="left"/>
      </w:pPr>
      <w:r w:rsidRPr="364AC1E7" w:rsidR="78591513">
        <w:rPr>
          <w:rFonts w:ascii="Times New Roman" w:hAnsi="Times New Roman" w:eastAsia="Times New Roman" w:cs="Times New Roman"/>
          <w:b w:val="1"/>
          <w:bCs w:val="1"/>
          <w:noProof w:val="0"/>
          <w:sz w:val="28"/>
          <w:szCs w:val="28"/>
          <w:lang w:val="en-US"/>
        </w:rPr>
        <w:t>Evaluation:</w:t>
      </w:r>
      <w:r w:rsidRPr="364AC1E7" w:rsidR="78591513">
        <w:rPr>
          <w:rFonts w:ascii="Times New Roman" w:hAnsi="Times New Roman" w:eastAsia="Times New Roman" w:cs="Times New Roman"/>
          <w:noProof w:val="0"/>
          <w:sz w:val="28"/>
          <w:szCs w:val="28"/>
          <w:lang w:val="en-US"/>
        </w:rPr>
        <w:t xml:space="preserve"> While the efficiency gains are undeniable, a critical risk is the emergence of </w:t>
      </w:r>
      <w:r w:rsidRPr="364AC1E7" w:rsidR="78591513">
        <w:rPr>
          <w:rFonts w:ascii="Times New Roman" w:hAnsi="Times New Roman" w:eastAsia="Times New Roman" w:cs="Times New Roman"/>
          <w:b w:val="1"/>
          <w:bCs w:val="1"/>
          <w:noProof w:val="0"/>
          <w:sz w:val="28"/>
          <w:szCs w:val="28"/>
          <w:lang w:val="en-US"/>
        </w:rPr>
        <w:t>"Algorithmic Management"</w:t>
      </w:r>
      <w:r w:rsidRPr="364AC1E7" w:rsidR="78591513">
        <w:rPr>
          <w:rFonts w:ascii="Times New Roman" w:hAnsi="Times New Roman" w:eastAsia="Times New Roman" w:cs="Times New Roman"/>
          <w:noProof w:val="0"/>
          <w:sz w:val="28"/>
          <w:szCs w:val="28"/>
          <w:lang w:val="en-US"/>
        </w:rPr>
        <w:t xml:space="preserve">—where staff feel monitored by metrics rather than managed by people. To maintain the </w:t>
      </w:r>
      <w:r w:rsidRPr="364AC1E7" w:rsidR="78591513">
        <w:rPr>
          <w:rFonts w:ascii="Times New Roman" w:hAnsi="Times New Roman" w:eastAsia="Times New Roman" w:cs="Times New Roman"/>
          <w:b w:val="1"/>
          <w:bCs w:val="1"/>
          <w:noProof w:val="0"/>
          <w:sz w:val="28"/>
          <w:szCs w:val="28"/>
          <w:lang w:val="en-US"/>
        </w:rPr>
        <w:t>Psychological Contract</w:t>
      </w:r>
      <w:r w:rsidRPr="364AC1E7" w:rsidR="78591513">
        <w:rPr>
          <w:rFonts w:ascii="Times New Roman" w:hAnsi="Times New Roman" w:eastAsia="Times New Roman" w:cs="Times New Roman"/>
          <w:noProof w:val="0"/>
          <w:sz w:val="28"/>
          <w:szCs w:val="28"/>
          <w:lang w:val="en-US"/>
        </w:rPr>
        <w:t>, Greggs integrates a "Human-in-the-Loop" approach, allowing store managers the autonomy to override automated schedules based on local staff well-being needs. Level 5 analysis suggests that for analytics to be sustainable, they must be used as a tool for "empowerment" (identifying where staff need more support) rather than just "compliance."</w:t>
      </w:r>
    </w:p>
    <w:p w:rsidR="78591513" w:rsidP="364AC1E7" w:rsidRDefault="78591513" w14:paraId="0AE71BC2" w14:textId="4C9E8EA9">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r w:rsidRPr="364AC1E7" w:rsidR="78591513">
        <w:rPr>
          <w:rFonts w:ascii="Calibri" w:hAnsi="Calibri" w:eastAsia="Calibri" w:cs="Calibri" w:asciiTheme="minorAscii" w:hAnsiTheme="minorAscii" w:eastAsiaTheme="minorAscii" w:cstheme="minorAscii"/>
          <w:b w:val="1"/>
          <w:bCs w:val="1"/>
          <w:noProof w:val="0"/>
          <w:sz w:val="32"/>
          <w:szCs w:val="32"/>
          <w:lang w:val="en-US"/>
        </w:rPr>
        <w:t xml:space="preserve">Microlearning and the </w:t>
      </w:r>
      <w:r w:rsidRPr="364AC1E7" w:rsidR="78591513">
        <w:rPr>
          <w:rFonts w:ascii="Calibri" w:hAnsi="Calibri" w:eastAsia="Calibri" w:cs="Calibri" w:asciiTheme="minorAscii" w:hAnsiTheme="minorAscii" w:eastAsiaTheme="minorAscii" w:cstheme="minorAscii"/>
          <w:b w:val="1"/>
          <w:bCs w:val="1"/>
          <w:noProof w:val="0"/>
          <w:sz w:val="32"/>
          <w:szCs w:val="32"/>
          <w:lang w:val="en-US"/>
        </w:rPr>
        <w:t>EduMe</w:t>
      </w:r>
      <w:r w:rsidRPr="364AC1E7" w:rsidR="78591513">
        <w:rPr>
          <w:rFonts w:ascii="Calibri" w:hAnsi="Calibri" w:eastAsia="Calibri" w:cs="Calibri" w:asciiTheme="minorAscii" w:hAnsiTheme="minorAscii" w:eastAsiaTheme="minorAscii" w:cstheme="minorAscii"/>
          <w:b w:val="1"/>
          <w:bCs w:val="1"/>
          <w:noProof w:val="0"/>
          <w:sz w:val="32"/>
          <w:szCs w:val="32"/>
          <w:lang w:val="en-US"/>
        </w:rPr>
        <w:t xml:space="preserve"> Digital </w:t>
      </w:r>
      <w:r w:rsidRPr="364AC1E7" w:rsidR="78591513">
        <w:rPr>
          <w:rFonts w:ascii="Calibri" w:hAnsi="Calibri" w:eastAsia="Calibri" w:cs="Calibri" w:asciiTheme="minorAscii" w:hAnsiTheme="minorAscii" w:eastAsiaTheme="minorAscii" w:cstheme="minorAscii"/>
          <w:b w:val="1"/>
          <w:bCs w:val="1"/>
          <w:noProof w:val="0"/>
          <w:sz w:val="32"/>
          <w:szCs w:val="32"/>
          <w:lang w:val="en-US"/>
        </w:rPr>
        <w:t>Ecosystem</w:t>
      </w:r>
    </w:p>
    <w:p w:rsidR="78591513" w:rsidP="364AC1E7" w:rsidRDefault="78591513" w14:paraId="63BD560A" w14:textId="6DAC8B22">
      <w:pPr>
        <w:spacing w:before="240" w:beforeAutospacing="off" w:after="240" w:afterAutospacing="off"/>
        <w:jc w:val="left"/>
      </w:pPr>
      <w:r w:rsidRPr="364AC1E7" w:rsidR="78591513">
        <w:rPr>
          <w:rFonts w:ascii="Times New Roman" w:hAnsi="Times New Roman" w:eastAsia="Times New Roman" w:cs="Times New Roman"/>
          <w:noProof w:val="0"/>
          <w:sz w:val="28"/>
          <w:szCs w:val="28"/>
          <w:lang w:val="en-US"/>
        </w:rPr>
        <w:t xml:space="preserve">Given that </w:t>
      </w:r>
      <w:r w:rsidRPr="364AC1E7" w:rsidR="78591513">
        <w:rPr>
          <w:rFonts w:ascii="Times New Roman" w:hAnsi="Times New Roman" w:eastAsia="Times New Roman" w:cs="Times New Roman"/>
          <w:noProof w:val="0"/>
          <w:sz w:val="28"/>
          <w:szCs w:val="28"/>
          <w:lang w:val="en-US"/>
        </w:rPr>
        <w:t>the majority of</w:t>
      </w:r>
      <w:r w:rsidRPr="364AC1E7" w:rsidR="78591513">
        <w:rPr>
          <w:rFonts w:ascii="Times New Roman" w:hAnsi="Times New Roman" w:eastAsia="Times New Roman" w:cs="Times New Roman"/>
          <w:noProof w:val="0"/>
          <w:sz w:val="28"/>
          <w:szCs w:val="28"/>
          <w:lang w:val="en-US"/>
        </w:rPr>
        <w:t xml:space="preserve"> Greggs’ 28,000 employees are "deskless" and store-based, traditional classroom training is geographically and financially unfeasible. Consequently, Greggs utilizes </w:t>
      </w:r>
      <w:r w:rsidRPr="364AC1E7" w:rsidR="78591513">
        <w:rPr>
          <w:rFonts w:ascii="Times New Roman" w:hAnsi="Times New Roman" w:eastAsia="Times New Roman" w:cs="Times New Roman"/>
          <w:b w:val="1"/>
          <w:bCs w:val="1"/>
          <w:noProof w:val="0"/>
          <w:sz w:val="28"/>
          <w:szCs w:val="28"/>
          <w:lang w:val="en-US"/>
        </w:rPr>
        <w:t>Microlearning</w:t>
      </w:r>
      <w:r w:rsidRPr="364AC1E7" w:rsidR="78591513">
        <w:rPr>
          <w:rFonts w:ascii="Times New Roman" w:hAnsi="Times New Roman" w:eastAsia="Times New Roman" w:cs="Times New Roman"/>
          <w:noProof w:val="0"/>
          <w:sz w:val="28"/>
          <w:szCs w:val="28"/>
          <w:lang w:val="en-US"/>
        </w:rPr>
        <w:t xml:space="preserve"> delivered via mobile platforms (such as </w:t>
      </w:r>
      <w:r w:rsidRPr="364AC1E7" w:rsidR="78591513">
        <w:rPr>
          <w:rFonts w:ascii="Times New Roman" w:hAnsi="Times New Roman" w:eastAsia="Times New Roman" w:cs="Times New Roman"/>
          <w:i w:val="1"/>
          <w:iCs w:val="1"/>
          <w:noProof w:val="0"/>
          <w:sz w:val="28"/>
          <w:szCs w:val="28"/>
          <w:lang w:val="en-US"/>
        </w:rPr>
        <w:t>eduMe</w:t>
      </w:r>
      <w:r w:rsidRPr="364AC1E7" w:rsidR="78591513">
        <w:rPr>
          <w:rFonts w:ascii="Times New Roman" w:hAnsi="Times New Roman" w:eastAsia="Times New Roman" w:cs="Times New Roman"/>
          <w:noProof w:val="0"/>
          <w:sz w:val="28"/>
          <w:szCs w:val="28"/>
          <w:lang w:val="en-US"/>
        </w:rPr>
        <w:t xml:space="preserve">). These modules provide "just-in-time" training on food safety, vegan </w:t>
      </w:r>
      <w:r w:rsidRPr="364AC1E7" w:rsidR="78591513">
        <w:rPr>
          <w:rFonts w:ascii="Times New Roman" w:hAnsi="Times New Roman" w:eastAsia="Times New Roman" w:cs="Times New Roman"/>
          <w:noProof w:val="0"/>
          <w:sz w:val="28"/>
          <w:szCs w:val="28"/>
          <w:lang w:val="en-US"/>
        </w:rPr>
        <w:t>range</w:t>
      </w:r>
      <w:r w:rsidRPr="364AC1E7" w:rsidR="78591513">
        <w:rPr>
          <w:rFonts w:ascii="Times New Roman" w:hAnsi="Times New Roman" w:eastAsia="Times New Roman" w:cs="Times New Roman"/>
          <w:noProof w:val="0"/>
          <w:sz w:val="28"/>
          <w:szCs w:val="28"/>
          <w:lang w:val="en-US"/>
        </w:rPr>
        <w:t xml:space="preserve"> ingredients, and DEI standards.</w:t>
      </w:r>
    </w:p>
    <w:p w:rsidR="78591513" w:rsidP="364AC1E7" w:rsidRDefault="78591513" w14:paraId="1671A1EB" w14:textId="531A3F6B">
      <w:pPr>
        <w:spacing w:before="240" w:beforeAutospacing="off" w:after="240" w:afterAutospacing="off"/>
        <w:jc w:val="left"/>
      </w:pPr>
      <w:r w:rsidRPr="364AC1E7" w:rsidR="78591513">
        <w:rPr>
          <w:rFonts w:ascii="Times New Roman" w:hAnsi="Times New Roman" w:eastAsia="Times New Roman" w:cs="Times New Roman"/>
          <w:b w:val="1"/>
          <w:bCs w:val="1"/>
          <w:noProof w:val="0"/>
          <w:sz w:val="28"/>
          <w:szCs w:val="28"/>
          <w:lang w:val="en-US"/>
        </w:rPr>
        <w:t>Evaluation:</w:t>
      </w:r>
      <w:r w:rsidRPr="364AC1E7" w:rsidR="78591513">
        <w:rPr>
          <w:rFonts w:ascii="Times New Roman" w:hAnsi="Times New Roman" w:eastAsia="Times New Roman" w:cs="Times New Roman"/>
          <w:noProof w:val="0"/>
          <w:sz w:val="28"/>
          <w:szCs w:val="28"/>
          <w:lang w:val="en-US"/>
        </w:rPr>
        <w:t xml:space="preserve"> The scalability of this contemporary practice is its greatest strength. However, </w:t>
      </w:r>
      <w:r w:rsidRPr="364AC1E7" w:rsidR="78591513">
        <w:rPr>
          <w:rFonts w:ascii="Times New Roman" w:hAnsi="Times New Roman" w:eastAsia="Times New Roman" w:cs="Times New Roman"/>
          <w:b w:val="1"/>
          <w:bCs w:val="1"/>
          <w:noProof w:val="0"/>
          <w:sz w:val="28"/>
          <w:szCs w:val="28"/>
          <w:lang w:val="en-US"/>
        </w:rPr>
        <w:t>Social Exchange Theory</w:t>
      </w:r>
      <w:r w:rsidRPr="364AC1E7" w:rsidR="78591513">
        <w:rPr>
          <w:rFonts w:ascii="Times New Roman" w:hAnsi="Times New Roman" w:eastAsia="Times New Roman" w:cs="Times New Roman"/>
          <w:noProof w:val="0"/>
          <w:sz w:val="28"/>
          <w:szCs w:val="28"/>
          <w:lang w:val="en-US"/>
        </w:rPr>
        <w:t xml:space="preserve"> posits that loyalty is built through perceived organizational investment. If training is purely digital and "bite-sized," employees may perceive it as a transactional requirement rather than genuine career development. To counter this, Greggs employs a </w:t>
      </w:r>
      <w:r w:rsidRPr="364AC1E7" w:rsidR="78591513">
        <w:rPr>
          <w:rFonts w:ascii="Times New Roman" w:hAnsi="Times New Roman" w:eastAsia="Times New Roman" w:cs="Times New Roman"/>
          <w:b w:val="1"/>
          <w:bCs w:val="1"/>
          <w:noProof w:val="0"/>
          <w:sz w:val="28"/>
          <w:szCs w:val="28"/>
          <w:lang w:val="en-US"/>
        </w:rPr>
        <w:t>Blended Learning</w:t>
      </w:r>
      <w:r w:rsidRPr="364AC1E7" w:rsidR="78591513">
        <w:rPr>
          <w:rFonts w:ascii="Times New Roman" w:hAnsi="Times New Roman" w:eastAsia="Times New Roman" w:cs="Times New Roman"/>
          <w:noProof w:val="0"/>
          <w:sz w:val="28"/>
          <w:szCs w:val="28"/>
          <w:lang w:val="en-US"/>
        </w:rPr>
        <w:t xml:space="preserve"> model, where digital badges are reinforced by "On-the-Job" (OTJ) coaching from area supervisors. This ensures that the "Ability" component of the </w:t>
      </w:r>
      <w:r w:rsidRPr="364AC1E7" w:rsidR="78591513">
        <w:rPr>
          <w:rFonts w:ascii="Times New Roman" w:hAnsi="Times New Roman" w:eastAsia="Times New Roman" w:cs="Times New Roman"/>
          <w:b w:val="1"/>
          <w:bCs w:val="1"/>
          <w:noProof w:val="0"/>
          <w:sz w:val="28"/>
          <w:szCs w:val="28"/>
          <w:lang w:val="en-US"/>
        </w:rPr>
        <w:t>AMO (Ability, Motivation, Opportunity)</w:t>
      </w:r>
      <w:r w:rsidRPr="364AC1E7" w:rsidR="78591513">
        <w:rPr>
          <w:rFonts w:ascii="Times New Roman" w:hAnsi="Times New Roman" w:eastAsia="Times New Roman" w:cs="Times New Roman"/>
          <w:noProof w:val="0"/>
          <w:sz w:val="28"/>
          <w:szCs w:val="28"/>
          <w:lang w:val="en-US"/>
        </w:rPr>
        <w:t xml:space="preserve"> framework is supported by human mentorship, leading to higher knowledge retention and a stronger sense of belonging.</w:t>
      </w:r>
    </w:p>
    <w:p w:rsidR="19247B41" w:rsidP="364AC1E7" w:rsidRDefault="19247B41" w14:paraId="0ECDD547" w14:textId="798A4692">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6"/>
          <w:szCs w:val="36"/>
          <w:lang w:val="en-US"/>
        </w:rPr>
      </w:pPr>
      <w:r w:rsidRPr="364AC1E7" w:rsidR="19247B41">
        <w:rPr>
          <w:rFonts w:ascii="Calibri" w:hAnsi="Calibri" w:eastAsia="Calibri" w:cs="Calibri" w:asciiTheme="minorAscii" w:hAnsiTheme="minorAscii" w:eastAsiaTheme="minorAscii" w:cstheme="minorAscii"/>
          <w:b w:val="1"/>
          <w:bCs w:val="1"/>
          <w:noProof w:val="0"/>
          <w:sz w:val="36"/>
          <w:szCs w:val="36"/>
          <w:lang w:val="en-US"/>
        </w:rPr>
        <w:t xml:space="preserve">Structural DEI and </w:t>
      </w:r>
      <w:r w:rsidRPr="364AC1E7" w:rsidR="19247B41">
        <w:rPr>
          <w:rFonts w:ascii="Calibri" w:hAnsi="Calibri" w:eastAsia="Calibri" w:cs="Calibri" w:asciiTheme="minorAscii" w:hAnsiTheme="minorAscii" w:eastAsiaTheme="minorAscii" w:cstheme="minorAscii"/>
          <w:b w:val="1"/>
          <w:bCs w:val="1"/>
          <w:noProof w:val="0"/>
          <w:sz w:val="36"/>
          <w:szCs w:val="36"/>
          <w:lang w:val="en-US"/>
        </w:rPr>
        <w:t>Accountability</w:t>
      </w:r>
      <w:r w:rsidRPr="364AC1E7" w:rsidR="19247B41">
        <w:rPr>
          <w:rFonts w:ascii="Calibri" w:hAnsi="Calibri" w:eastAsia="Calibri" w:cs="Calibri" w:asciiTheme="minorAscii" w:hAnsiTheme="minorAscii" w:eastAsiaTheme="minorAscii" w:cstheme="minorAscii"/>
          <w:b w:val="1"/>
          <w:bCs w:val="1"/>
          <w:noProof w:val="0"/>
          <w:sz w:val="36"/>
          <w:szCs w:val="36"/>
          <w:lang w:val="en-US"/>
        </w:rPr>
        <w:t xml:space="preserve"> Frameworks </w:t>
      </w:r>
    </w:p>
    <w:p w:rsidR="78591513" w:rsidP="364AC1E7" w:rsidRDefault="78591513" w14:paraId="2C7B2481" w14:textId="35988583">
      <w:pPr>
        <w:spacing w:before="240" w:beforeAutospacing="off" w:after="240" w:afterAutospacing="off"/>
        <w:jc w:val="left"/>
      </w:pPr>
      <w:r w:rsidRPr="364AC1E7" w:rsidR="78591513">
        <w:rPr>
          <w:rFonts w:ascii="Times New Roman" w:hAnsi="Times New Roman" w:eastAsia="Times New Roman" w:cs="Times New Roman"/>
          <w:noProof w:val="0"/>
          <w:sz w:val="28"/>
          <w:szCs w:val="28"/>
          <w:lang w:val="en-US"/>
        </w:rPr>
        <w:t xml:space="preserve">Contemporary DEI at Greggs has moved beyond symbolic gestures toward </w:t>
      </w:r>
      <w:r w:rsidRPr="364AC1E7" w:rsidR="78591513">
        <w:rPr>
          <w:rFonts w:ascii="Times New Roman" w:hAnsi="Times New Roman" w:eastAsia="Times New Roman" w:cs="Times New Roman"/>
          <w:b w:val="1"/>
          <w:bCs w:val="1"/>
          <w:noProof w:val="0"/>
          <w:sz w:val="28"/>
          <w:szCs w:val="28"/>
          <w:lang w:val="en-US"/>
        </w:rPr>
        <w:t>Structural Equity</w:t>
      </w:r>
      <w:r w:rsidRPr="364AC1E7" w:rsidR="78591513">
        <w:rPr>
          <w:rFonts w:ascii="Times New Roman" w:hAnsi="Times New Roman" w:eastAsia="Times New Roman" w:cs="Times New Roman"/>
          <w:noProof w:val="0"/>
          <w:sz w:val="28"/>
          <w:szCs w:val="28"/>
          <w:lang w:val="en-US"/>
        </w:rPr>
        <w:t xml:space="preserve">. Key interventions include </w:t>
      </w:r>
      <w:r w:rsidRPr="364AC1E7" w:rsidR="78591513">
        <w:rPr>
          <w:rFonts w:ascii="Times New Roman" w:hAnsi="Times New Roman" w:eastAsia="Times New Roman" w:cs="Times New Roman"/>
          <w:b w:val="1"/>
          <w:bCs w:val="1"/>
          <w:noProof w:val="0"/>
          <w:sz w:val="28"/>
          <w:szCs w:val="28"/>
          <w:lang w:val="en-US"/>
        </w:rPr>
        <w:t>"Blind Recruitment"</w:t>
      </w:r>
      <w:r w:rsidRPr="364AC1E7" w:rsidR="78591513">
        <w:rPr>
          <w:rFonts w:ascii="Times New Roman" w:hAnsi="Times New Roman" w:eastAsia="Times New Roman" w:cs="Times New Roman"/>
          <w:noProof w:val="0"/>
          <w:sz w:val="28"/>
          <w:szCs w:val="28"/>
          <w:lang w:val="en-US"/>
        </w:rPr>
        <w:t xml:space="preserve"> for management roles and the use of </w:t>
      </w:r>
      <w:r w:rsidRPr="364AC1E7" w:rsidR="78591513">
        <w:rPr>
          <w:rFonts w:ascii="Times New Roman" w:hAnsi="Times New Roman" w:eastAsia="Times New Roman" w:cs="Times New Roman"/>
          <w:b w:val="1"/>
          <w:bCs w:val="1"/>
          <w:noProof w:val="0"/>
          <w:sz w:val="28"/>
          <w:szCs w:val="28"/>
          <w:lang w:val="en-US"/>
        </w:rPr>
        <w:t>Staff Networks</w:t>
      </w:r>
      <w:r w:rsidRPr="364AC1E7" w:rsidR="78591513">
        <w:rPr>
          <w:rFonts w:ascii="Times New Roman" w:hAnsi="Times New Roman" w:eastAsia="Times New Roman" w:cs="Times New Roman"/>
          <w:noProof w:val="0"/>
          <w:sz w:val="28"/>
          <w:szCs w:val="28"/>
          <w:lang w:val="en-US"/>
        </w:rPr>
        <w:t xml:space="preserve"> (e.g., </w:t>
      </w:r>
      <w:r w:rsidRPr="364AC1E7" w:rsidR="78591513">
        <w:rPr>
          <w:rFonts w:ascii="Times New Roman" w:hAnsi="Times New Roman" w:eastAsia="Times New Roman" w:cs="Times New Roman"/>
          <w:i w:val="1"/>
          <w:iCs w:val="1"/>
          <w:noProof w:val="0"/>
          <w:sz w:val="28"/>
          <w:szCs w:val="28"/>
          <w:lang w:val="en-US"/>
        </w:rPr>
        <w:t>Greggs Equality Hub</w:t>
      </w:r>
      <w:r w:rsidRPr="364AC1E7" w:rsidR="78591513">
        <w:rPr>
          <w:rFonts w:ascii="Times New Roman" w:hAnsi="Times New Roman" w:eastAsia="Times New Roman" w:cs="Times New Roman"/>
          <w:noProof w:val="0"/>
          <w:sz w:val="28"/>
          <w:szCs w:val="28"/>
          <w:lang w:val="en-US"/>
        </w:rPr>
        <w:t xml:space="preserve">) to inform policy. </w:t>
      </w:r>
      <w:r w:rsidRPr="364AC1E7" w:rsidR="78591513">
        <w:rPr>
          <w:rFonts w:ascii="Times New Roman" w:hAnsi="Times New Roman" w:eastAsia="Times New Roman" w:cs="Times New Roman"/>
          <w:b w:val="1"/>
          <w:bCs w:val="1"/>
          <w:noProof w:val="0"/>
          <w:sz w:val="28"/>
          <w:szCs w:val="28"/>
          <w:lang w:val="en-US"/>
        </w:rPr>
        <w:t>Shen et al. (2021)</w:t>
      </w:r>
      <w:r w:rsidRPr="364AC1E7" w:rsidR="78591513">
        <w:rPr>
          <w:rFonts w:ascii="Times New Roman" w:hAnsi="Times New Roman" w:eastAsia="Times New Roman" w:cs="Times New Roman"/>
          <w:noProof w:val="0"/>
          <w:sz w:val="28"/>
          <w:szCs w:val="28"/>
          <w:lang w:val="en-US"/>
        </w:rPr>
        <w:t xml:space="preserve"> emphasize that structural interventions are necessary to dismantle unconscious bias that manual "gut-feeling" hiring often perpetuates.</w:t>
      </w:r>
    </w:p>
    <w:p w:rsidR="78591513" w:rsidP="364AC1E7" w:rsidRDefault="78591513" w14:paraId="50715EA8" w14:textId="7D976FE3">
      <w:pPr>
        <w:spacing w:before="240" w:beforeAutospacing="off" w:after="240" w:afterAutospacing="off"/>
        <w:jc w:val="left"/>
      </w:pPr>
      <w:r w:rsidRPr="364AC1E7" w:rsidR="78591513">
        <w:rPr>
          <w:rFonts w:ascii="Times New Roman" w:hAnsi="Times New Roman" w:eastAsia="Times New Roman" w:cs="Times New Roman"/>
          <w:b w:val="1"/>
          <w:bCs w:val="1"/>
          <w:noProof w:val="0"/>
          <w:sz w:val="28"/>
          <w:szCs w:val="28"/>
          <w:lang w:val="en-US"/>
        </w:rPr>
        <w:t>Evaluation:</w:t>
      </w:r>
      <w:r w:rsidRPr="364AC1E7" w:rsidR="78591513">
        <w:rPr>
          <w:rFonts w:ascii="Times New Roman" w:hAnsi="Times New Roman" w:eastAsia="Times New Roman" w:cs="Times New Roman"/>
          <w:noProof w:val="0"/>
          <w:sz w:val="28"/>
          <w:szCs w:val="28"/>
          <w:lang w:val="en-US"/>
        </w:rPr>
        <w:t xml:space="preserve"> The efficacy of these practices is contingent upon </w:t>
      </w:r>
      <w:r w:rsidRPr="364AC1E7" w:rsidR="78591513">
        <w:rPr>
          <w:rFonts w:ascii="Times New Roman" w:hAnsi="Times New Roman" w:eastAsia="Times New Roman" w:cs="Times New Roman"/>
          <w:b w:val="1"/>
          <w:bCs w:val="1"/>
          <w:noProof w:val="0"/>
          <w:sz w:val="28"/>
          <w:szCs w:val="28"/>
          <w:lang w:val="en-US"/>
        </w:rPr>
        <w:t>Managerial Accountability</w:t>
      </w:r>
      <w:r w:rsidRPr="364AC1E7" w:rsidR="78591513">
        <w:rPr>
          <w:rFonts w:ascii="Times New Roman" w:hAnsi="Times New Roman" w:eastAsia="Times New Roman" w:cs="Times New Roman"/>
          <w:noProof w:val="0"/>
          <w:sz w:val="28"/>
          <w:szCs w:val="28"/>
          <w:lang w:val="en-US"/>
        </w:rPr>
        <w:t>. A common failure in large retailers is "Decoupling," where corporate DEI goals are ignored on the shop floor. Greggs mitigates this by linking store managers' Performance Appraisals to "Inclusion Metrics," such as the diversity of internal promotions. By making DEI a Key Performance Indicator (KPI), Greggs ensures that equity is treated with the same operational urgency as waste reduction or sales targets, thereby fostering a more resilient and representative workforce.</w:t>
      </w:r>
    </w:p>
    <w:p w:rsidR="48F98ED9" w:rsidP="364AC1E7" w:rsidRDefault="48F98ED9" w14:paraId="2C7CF3F0" w14:textId="030BFB8C">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6"/>
          <w:szCs w:val="36"/>
          <w:lang w:val="en-US"/>
        </w:rPr>
      </w:pPr>
      <w:r w:rsidRPr="364AC1E7" w:rsidR="48F98ED9">
        <w:rPr>
          <w:rFonts w:ascii="Calibri" w:hAnsi="Calibri" w:eastAsia="Calibri" w:cs="Calibri" w:asciiTheme="minorAscii" w:hAnsiTheme="minorAscii" w:eastAsiaTheme="minorAscii" w:cstheme="minorAscii"/>
          <w:b w:val="1"/>
          <w:bCs w:val="1"/>
          <w:noProof w:val="0"/>
          <w:sz w:val="36"/>
          <w:szCs w:val="36"/>
          <w:lang w:val="en-US"/>
        </w:rPr>
        <w:t>Synthesis of Contemporary Practices</w:t>
      </w:r>
    </w:p>
    <w:p w:rsidR="78591513" w:rsidP="364AC1E7" w:rsidRDefault="78591513" w14:paraId="3A725D53" w14:textId="6A91B3EF">
      <w:pPr>
        <w:spacing w:before="240" w:beforeAutospacing="off" w:after="240" w:afterAutospacing="off"/>
        <w:jc w:val="left"/>
      </w:pPr>
      <w:r w:rsidRPr="364AC1E7" w:rsidR="78591513">
        <w:rPr>
          <w:rFonts w:ascii="Times New Roman" w:hAnsi="Times New Roman" w:eastAsia="Times New Roman" w:cs="Times New Roman"/>
          <w:noProof w:val="0"/>
          <w:sz w:val="28"/>
          <w:szCs w:val="28"/>
          <w:lang w:val="en-US"/>
        </w:rPr>
        <w:t xml:space="preserve">When evaluated holistically, these practices form a </w:t>
      </w:r>
      <w:r w:rsidRPr="364AC1E7" w:rsidR="78591513">
        <w:rPr>
          <w:rFonts w:ascii="Times New Roman" w:hAnsi="Times New Roman" w:eastAsia="Times New Roman" w:cs="Times New Roman"/>
          <w:b w:val="1"/>
          <w:bCs w:val="1"/>
          <w:noProof w:val="0"/>
          <w:sz w:val="28"/>
          <w:szCs w:val="28"/>
          <w:lang w:val="en-US"/>
        </w:rPr>
        <w:t>High-Performance Work System (HPWS)</w:t>
      </w:r>
      <w:r w:rsidRPr="364AC1E7" w:rsidR="78591513">
        <w:rPr>
          <w:rFonts w:ascii="Times New Roman" w:hAnsi="Times New Roman" w:eastAsia="Times New Roman" w:cs="Times New Roman"/>
          <w:noProof w:val="0"/>
          <w:sz w:val="28"/>
          <w:szCs w:val="28"/>
          <w:lang w:val="en-US"/>
        </w:rPr>
        <w:t xml:space="preserve">. People Analytics provides the data, Microlearning provides the skills, and DEI frameworks provide the inclusive culture necessary to </w:t>
      </w:r>
      <w:r w:rsidRPr="364AC1E7" w:rsidR="78591513">
        <w:rPr>
          <w:rFonts w:ascii="Times New Roman" w:hAnsi="Times New Roman" w:eastAsia="Times New Roman" w:cs="Times New Roman"/>
          <w:noProof w:val="0"/>
          <w:sz w:val="28"/>
          <w:szCs w:val="28"/>
          <w:lang w:val="en-US"/>
        </w:rPr>
        <w:t>retain</w:t>
      </w:r>
      <w:r w:rsidRPr="364AC1E7" w:rsidR="78591513">
        <w:rPr>
          <w:rFonts w:ascii="Times New Roman" w:hAnsi="Times New Roman" w:eastAsia="Times New Roman" w:cs="Times New Roman"/>
          <w:noProof w:val="0"/>
          <w:sz w:val="28"/>
          <w:szCs w:val="28"/>
          <w:lang w:val="en-US"/>
        </w:rPr>
        <w:t xml:space="preserve"> talent. However, the successful "synthesis" of these tools relies on </w:t>
      </w:r>
      <w:r w:rsidRPr="364AC1E7" w:rsidR="78591513">
        <w:rPr>
          <w:rFonts w:ascii="Times New Roman" w:hAnsi="Times New Roman" w:eastAsia="Times New Roman" w:cs="Times New Roman"/>
          <w:b w:val="1"/>
          <w:bCs w:val="1"/>
          <w:noProof w:val="0"/>
          <w:sz w:val="28"/>
          <w:szCs w:val="28"/>
          <w:lang w:val="en-US"/>
        </w:rPr>
        <w:t>Managerial Capability</w:t>
      </w:r>
      <w:r w:rsidRPr="364AC1E7" w:rsidR="78591513">
        <w:rPr>
          <w:rFonts w:ascii="Times New Roman" w:hAnsi="Times New Roman" w:eastAsia="Times New Roman" w:cs="Times New Roman"/>
          <w:noProof w:val="0"/>
          <w:sz w:val="28"/>
          <w:szCs w:val="28"/>
          <w:lang w:val="en-US"/>
        </w:rPr>
        <w:t xml:space="preserve">. Without managers who can interpret data empathetically or </w:t>
      </w:r>
      <w:r w:rsidRPr="364AC1E7" w:rsidR="78591513">
        <w:rPr>
          <w:rFonts w:ascii="Times New Roman" w:hAnsi="Times New Roman" w:eastAsia="Times New Roman" w:cs="Times New Roman"/>
          <w:noProof w:val="0"/>
          <w:sz w:val="28"/>
          <w:szCs w:val="28"/>
          <w:lang w:val="en-US"/>
        </w:rPr>
        <w:t>facilitate</w:t>
      </w:r>
      <w:r w:rsidRPr="364AC1E7" w:rsidR="78591513">
        <w:rPr>
          <w:rFonts w:ascii="Times New Roman" w:hAnsi="Times New Roman" w:eastAsia="Times New Roman" w:cs="Times New Roman"/>
          <w:noProof w:val="0"/>
          <w:sz w:val="28"/>
          <w:szCs w:val="28"/>
          <w:lang w:val="en-US"/>
        </w:rPr>
        <w:t xml:space="preserve"> inclusive environments, these contemporary practices </w:t>
      </w:r>
      <w:r w:rsidRPr="364AC1E7" w:rsidR="78591513">
        <w:rPr>
          <w:rFonts w:ascii="Times New Roman" w:hAnsi="Times New Roman" w:eastAsia="Times New Roman" w:cs="Times New Roman"/>
          <w:noProof w:val="0"/>
          <w:sz w:val="28"/>
          <w:szCs w:val="28"/>
          <w:lang w:val="en-US"/>
        </w:rPr>
        <w:t>remain</w:t>
      </w:r>
      <w:r w:rsidRPr="364AC1E7" w:rsidR="78591513">
        <w:rPr>
          <w:rFonts w:ascii="Times New Roman" w:hAnsi="Times New Roman" w:eastAsia="Times New Roman" w:cs="Times New Roman"/>
          <w:noProof w:val="0"/>
          <w:sz w:val="28"/>
          <w:szCs w:val="28"/>
          <w:lang w:val="en-US"/>
        </w:rPr>
        <w:t xml:space="preserve"> "dead letters" on a policy document. Therefore, the integration of these tools must be supported by continuous leadership development to ensure they result in the "Sustainable Business Performance" </w:t>
      </w:r>
      <w:r w:rsidRPr="364AC1E7" w:rsidR="78591513">
        <w:rPr>
          <w:rFonts w:ascii="Times New Roman" w:hAnsi="Times New Roman" w:eastAsia="Times New Roman" w:cs="Times New Roman"/>
          <w:noProof w:val="0"/>
          <w:sz w:val="28"/>
          <w:szCs w:val="28"/>
          <w:lang w:val="en-US"/>
        </w:rPr>
        <w:t>required</w:t>
      </w:r>
      <w:r w:rsidRPr="364AC1E7" w:rsidR="78591513">
        <w:rPr>
          <w:rFonts w:ascii="Times New Roman" w:hAnsi="Times New Roman" w:eastAsia="Times New Roman" w:cs="Times New Roman"/>
          <w:noProof w:val="0"/>
          <w:sz w:val="28"/>
          <w:szCs w:val="28"/>
          <w:lang w:val="en-US"/>
        </w:rPr>
        <w:t xml:space="preserve"> for 2026.</w:t>
      </w:r>
    </w:p>
    <w:p w:rsidR="364AC1E7" w:rsidP="364AC1E7" w:rsidRDefault="364AC1E7" w14:paraId="39C3603D" w14:textId="02F80624">
      <w:pPr>
        <w:spacing w:before="240" w:beforeAutospacing="off" w:after="240" w:afterAutospacing="off"/>
        <w:jc w:val="left"/>
        <w:rPr>
          <w:rFonts w:ascii="Times New Roman" w:hAnsi="Times New Roman" w:eastAsia="Times New Roman" w:cs="Times New Roman"/>
          <w:noProof w:val="0"/>
          <w:sz w:val="28"/>
          <w:szCs w:val="28"/>
          <w:lang w:val="en-US"/>
        </w:rPr>
      </w:pPr>
    </w:p>
    <w:p w:rsidR="13968E0C" w:rsidP="364AC1E7" w:rsidRDefault="13968E0C" w14:paraId="4EA89B63" w14:textId="58688F93">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r w:rsidRPr="364AC1E7" w:rsidR="13968E0C">
        <w:rPr>
          <w:rFonts w:ascii="Calibri" w:hAnsi="Calibri" w:eastAsia="Calibri" w:cs="Calibri" w:asciiTheme="minorAscii" w:hAnsiTheme="minorAscii" w:eastAsiaTheme="minorAscii" w:cstheme="minorAscii"/>
          <w:b w:val="1"/>
          <w:bCs w:val="1"/>
          <w:noProof w:val="0"/>
          <w:sz w:val="32"/>
          <w:szCs w:val="32"/>
          <w:lang w:val="en-US"/>
        </w:rPr>
        <w:t xml:space="preserve">Critical Evaluation of Management Role in Implementation </w:t>
      </w:r>
    </w:p>
    <w:p w:rsidR="13968E0C" w:rsidP="364AC1E7" w:rsidRDefault="13968E0C" w14:paraId="67E9A071" w14:textId="5FA67883">
      <w:pPr>
        <w:spacing w:before="240" w:beforeAutospacing="off" w:after="240" w:afterAutospacing="off"/>
        <w:jc w:val="left"/>
      </w:pPr>
      <w:r w:rsidRPr="364AC1E7" w:rsidR="13968E0C">
        <w:rPr>
          <w:rFonts w:ascii="Times New Roman" w:hAnsi="Times New Roman" w:eastAsia="Times New Roman" w:cs="Times New Roman"/>
          <w:noProof w:val="0"/>
          <w:sz w:val="28"/>
          <w:szCs w:val="28"/>
          <w:lang w:val="en-US"/>
        </w:rPr>
        <w:t xml:space="preserve">At Greggs PLC, the transition from centralized HR policy to shop-floor reality is mediated entirely by departmental and store managers. These individuals act as "HR Gatekeepers," </w:t>
      </w:r>
      <w:r w:rsidRPr="364AC1E7" w:rsidR="13968E0C">
        <w:rPr>
          <w:rFonts w:ascii="Times New Roman" w:hAnsi="Times New Roman" w:eastAsia="Times New Roman" w:cs="Times New Roman"/>
          <w:noProof w:val="0"/>
          <w:sz w:val="28"/>
          <w:szCs w:val="28"/>
          <w:lang w:val="en-US"/>
        </w:rPr>
        <w:t>possessing</w:t>
      </w:r>
      <w:r w:rsidRPr="364AC1E7" w:rsidR="13968E0C">
        <w:rPr>
          <w:rFonts w:ascii="Times New Roman" w:hAnsi="Times New Roman" w:eastAsia="Times New Roman" w:cs="Times New Roman"/>
          <w:noProof w:val="0"/>
          <w:sz w:val="28"/>
          <w:szCs w:val="28"/>
          <w:lang w:val="en-US"/>
        </w:rPr>
        <w:t xml:space="preserve"> the power to either catalyze or constrain the effectiveness of strategic initiatives.</w:t>
      </w:r>
    </w:p>
    <w:p w:rsidR="13968E0C" w:rsidP="364AC1E7" w:rsidRDefault="13968E0C" w14:paraId="488D3D65" w14:textId="522ED28B">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r w:rsidRPr="364AC1E7" w:rsidR="13968E0C">
        <w:rPr>
          <w:rFonts w:ascii="Calibri" w:hAnsi="Calibri" w:eastAsia="Calibri" w:cs="Calibri" w:asciiTheme="minorAscii" w:hAnsiTheme="minorAscii" w:eastAsiaTheme="minorAscii" w:cstheme="minorAscii"/>
          <w:b w:val="1"/>
          <w:bCs w:val="1"/>
          <w:noProof w:val="0"/>
          <w:sz w:val="32"/>
          <w:szCs w:val="32"/>
          <w:lang w:val="en-US"/>
        </w:rPr>
        <w:t xml:space="preserve">Policy Practice Gap </w:t>
      </w:r>
    </w:p>
    <w:p w:rsidR="13968E0C" w:rsidP="364AC1E7" w:rsidRDefault="13968E0C" w14:paraId="0A7B0DDA" w14:textId="5FFA64FA">
      <w:pPr>
        <w:spacing w:before="240" w:beforeAutospacing="off" w:after="240" w:afterAutospacing="off"/>
        <w:jc w:val="left"/>
      </w:pPr>
      <w:r w:rsidRPr="364AC1E7" w:rsidR="13968E0C">
        <w:rPr>
          <w:rFonts w:ascii="Times New Roman" w:hAnsi="Times New Roman" w:eastAsia="Times New Roman" w:cs="Times New Roman"/>
          <w:noProof w:val="0"/>
          <w:sz w:val="28"/>
          <w:szCs w:val="28"/>
          <w:lang w:val="en-US"/>
        </w:rPr>
        <w:t xml:space="preserve">A significant risk in high-volume retail is the </w:t>
      </w:r>
      <w:r w:rsidRPr="364AC1E7" w:rsidR="13968E0C">
        <w:rPr>
          <w:rFonts w:ascii="Times New Roman" w:hAnsi="Times New Roman" w:eastAsia="Times New Roman" w:cs="Times New Roman"/>
          <w:b w:val="1"/>
          <w:bCs w:val="1"/>
          <w:noProof w:val="0"/>
          <w:sz w:val="28"/>
          <w:szCs w:val="28"/>
          <w:lang w:val="en-US"/>
        </w:rPr>
        <w:t>"Policy–Practice Gap,"</w:t>
      </w:r>
      <w:r w:rsidRPr="364AC1E7" w:rsidR="13968E0C">
        <w:rPr>
          <w:rFonts w:ascii="Times New Roman" w:hAnsi="Times New Roman" w:eastAsia="Times New Roman" w:cs="Times New Roman"/>
          <w:noProof w:val="0"/>
          <w:sz w:val="28"/>
          <w:szCs w:val="28"/>
          <w:lang w:val="en-US"/>
        </w:rPr>
        <w:t xml:space="preserve"> where sophisticated HR strategies designed at the corporate level fail to materialize due to operational "Role Overload." Managers often face a conflict between meeting immediate sales targets and finding time for staff to complete digital upskilling modules.</w:t>
      </w:r>
    </w:p>
    <w:p w:rsidR="13968E0C" w:rsidP="364AC1E7" w:rsidRDefault="13968E0C" w14:paraId="0C49ACF6" w14:textId="1A6A8456">
      <w:pPr>
        <w:spacing w:before="240" w:beforeAutospacing="off" w:after="240" w:afterAutospacing="off"/>
        <w:jc w:val="left"/>
      </w:pPr>
      <w:r w:rsidRPr="364AC1E7" w:rsidR="13968E0C">
        <w:rPr>
          <w:rFonts w:ascii="Times New Roman" w:hAnsi="Times New Roman" w:eastAsia="Times New Roman" w:cs="Times New Roman"/>
          <w:noProof w:val="0"/>
          <w:sz w:val="28"/>
          <w:szCs w:val="28"/>
          <w:lang w:val="en-US"/>
        </w:rPr>
        <w:t xml:space="preserve">However, the </w:t>
      </w:r>
      <w:r w:rsidRPr="364AC1E7" w:rsidR="13968E0C">
        <w:rPr>
          <w:rFonts w:ascii="Times New Roman" w:hAnsi="Times New Roman" w:eastAsia="Times New Roman" w:cs="Times New Roman"/>
          <w:b w:val="1"/>
          <w:bCs w:val="1"/>
          <w:noProof w:val="0"/>
          <w:sz w:val="28"/>
          <w:szCs w:val="28"/>
          <w:lang w:val="en-US"/>
        </w:rPr>
        <w:t>Employment Rights Act 2025</w:t>
      </w:r>
      <w:r w:rsidRPr="364AC1E7" w:rsidR="13968E0C">
        <w:rPr>
          <w:rFonts w:ascii="Times New Roman" w:hAnsi="Times New Roman" w:eastAsia="Times New Roman" w:cs="Times New Roman"/>
          <w:noProof w:val="0"/>
          <w:sz w:val="28"/>
          <w:szCs w:val="28"/>
          <w:lang w:val="en-US"/>
        </w:rPr>
        <w:t xml:space="preserve"> has heightened the stakes for compliance. Managers no longer have the luxury of treating HR as a "secondary" task. For example, failing to implement flexible working requests or ignoring subtle exclusionary behaviors in a diverse team can now result in significant legal and financial liability for the firm. As </w:t>
      </w:r>
      <w:r w:rsidRPr="364AC1E7" w:rsidR="13968E0C">
        <w:rPr>
          <w:rFonts w:ascii="Times New Roman" w:hAnsi="Times New Roman" w:eastAsia="Times New Roman" w:cs="Times New Roman"/>
          <w:b w:val="1"/>
          <w:bCs w:val="1"/>
          <w:noProof w:val="0"/>
          <w:sz w:val="28"/>
          <w:szCs w:val="28"/>
          <w:lang w:val="en-US"/>
        </w:rPr>
        <w:t>Khilji and Wang (2006)</w:t>
      </w:r>
      <w:r w:rsidRPr="364AC1E7" w:rsidR="13968E0C">
        <w:rPr>
          <w:rFonts w:ascii="Times New Roman" w:hAnsi="Times New Roman" w:eastAsia="Times New Roman" w:cs="Times New Roman"/>
          <w:noProof w:val="0"/>
          <w:sz w:val="28"/>
          <w:szCs w:val="28"/>
          <w:lang w:val="en-US"/>
        </w:rPr>
        <w:t xml:space="preserve"> suggest, the "Intended" HR policy is irrelevant if the "Implemented" HR practice is inconsistent. Therefore, Greggs' managers must shift from transactional supervision to </w:t>
      </w:r>
      <w:r w:rsidRPr="364AC1E7" w:rsidR="13968E0C">
        <w:rPr>
          <w:rFonts w:ascii="Times New Roman" w:hAnsi="Times New Roman" w:eastAsia="Times New Roman" w:cs="Times New Roman"/>
          <w:b w:val="1"/>
          <w:bCs w:val="1"/>
          <w:noProof w:val="0"/>
          <w:sz w:val="28"/>
          <w:szCs w:val="28"/>
          <w:lang w:val="en-US"/>
        </w:rPr>
        <w:t>Transformational Leadership</w:t>
      </w:r>
      <w:r w:rsidRPr="364AC1E7" w:rsidR="13968E0C">
        <w:rPr>
          <w:rFonts w:ascii="Times New Roman" w:hAnsi="Times New Roman" w:eastAsia="Times New Roman" w:cs="Times New Roman"/>
          <w:noProof w:val="0"/>
          <w:sz w:val="28"/>
          <w:szCs w:val="28"/>
          <w:lang w:val="en-US"/>
        </w:rPr>
        <w:t>, ensuring that the "human" element of the brand remains intact amidst increasing automation.</w:t>
      </w:r>
    </w:p>
    <w:p w:rsidR="364AC1E7" w:rsidP="364AC1E7" w:rsidRDefault="364AC1E7" w14:paraId="47C012F3" w14:textId="3E2A003B">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12A3D54D" w14:textId="542F6E50">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1846DC0D" w14:textId="4A5F8E10">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6A6EADAC" w14:textId="1F6617C2">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364AC1E7" w:rsidP="364AC1E7" w:rsidRDefault="364AC1E7" w14:paraId="7499A3EF" w14:textId="5D04108E">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p>
    <w:p w:rsidR="13968E0C" w:rsidP="364AC1E7" w:rsidRDefault="13968E0C" w14:paraId="518928EB" w14:textId="7DCC6BF1">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r w:rsidRPr="364AC1E7" w:rsidR="13968E0C">
        <w:rPr>
          <w:rFonts w:ascii="Calibri" w:hAnsi="Calibri" w:eastAsia="Calibri" w:cs="Calibri" w:asciiTheme="minorAscii" w:hAnsiTheme="minorAscii" w:eastAsiaTheme="minorAscii" w:cstheme="minorAscii"/>
          <w:b w:val="1"/>
          <w:bCs w:val="1"/>
          <w:noProof w:val="0"/>
          <w:sz w:val="32"/>
          <w:szCs w:val="32"/>
          <w:lang w:val="en-US"/>
        </w:rPr>
        <w:t xml:space="preserve">Driving Urgency through Accountability </w:t>
      </w:r>
    </w:p>
    <w:p w:rsidR="13968E0C" w:rsidP="364AC1E7" w:rsidRDefault="13968E0C" w14:paraId="45DC73D3" w14:textId="54873660">
      <w:pPr>
        <w:spacing w:before="240" w:beforeAutospacing="off" w:after="240" w:afterAutospacing="off"/>
        <w:jc w:val="left"/>
      </w:pPr>
      <w:r w:rsidRPr="364AC1E7" w:rsidR="13968E0C">
        <w:rPr>
          <w:rFonts w:ascii="Times New Roman" w:hAnsi="Times New Roman" w:eastAsia="Times New Roman" w:cs="Times New Roman"/>
          <w:noProof w:val="0"/>
          <w:sz w:val="28"/>
          <w:szCs w:val="28"/>
          <w:lang w:val="en-US"/>
        </w:rPr>
        <w:t xml:space="preserve">To ensure that contemporary practices are not sidelined, Greggs has moved toward a model of </w:t>
      </w:r>
      <w:r w:rsidRPr="364AC1E7" w:rsidR="13968E0C">
        <w:rPr>
          <w:rFonts w:ascii="Times New Roman" w:hAnsi="Times New Roman" w:eastAsia="Times New Roman" w:cs="Times New Roman"/>
          <w:b w:val="1"/>
          <w:bCs w:val="1"/>
          <w:noProof w:val="0"/>
          <w:sz w:val="28"/>
          <w:szCs w:val="28"/>
          <w:lang w:val="en-US"/>
        </w:rPr>
        <w:t>Distributed HR Responsibility</w:t>
      </w:r>
      <w:r w:rsidRPr="364AC1E7" w:rsidR="13968E0C">
        <w:rPr>
          <w:rFonts w:ascii="Times New Roman" w:hAnsi="Times New Roman" w:eastAsia="Times New Roman" w:cs="Times New Roman"/>
          <w:noProof w:val="0"/>
          <w:sz w:val="28"/>
          <w:szCs w:val="28"/>
          <w:lang w:val="en-US"/>
        </w:rPr>
        <w:t xml:space="preserve">. Managers are now held accountable via the </w:t>
      </w:r>
      <w:r w:rsidRPr="364AC1E7" w:rsidR="13968E0C">
        <w:rPr>
          <w:rFonts w:ascii="Times New Roman" w:hAnsi="Times New Roman" w:eastAsia="Times New Roman" w:cs="Times New Roman"/>
          <w:b w:val="1"/>
          <w:bCs w:val="1"/>
          <w:noProof w:val="0"/>
          <w:sz w:val="28"/>
          <w:szCs w:val="28"/>
          <w:lang w:val="en-US"/>
        </w:rPr>
        <w:t>AMO Framework (Ability, Motivation, Opportunity)</w:t>
      </w:r>
      <w:r w:rsidRPr="364AC1E7" w:rsidR="13968E0C">
        <w:rPr>
          <w:rFonts w:ascii="Times New Roman" w:hAnsi="Times New Roman" w:eastAsia="Times New Roman" w:cs="Times New Roman"/>
          <w:noProof w:val="0"/>
          <w:sz w:val="28"/>
          <w:szCs w:val="28"/>
          <w:lang w:val="en-US"/>
        </w:rPr>
        <w:t xml:space="preserve">. They must not only ensure that staff have the </w:t>
      </w:r>
      <w:r w:rsidRPr="364AC1E7" w:rsidR="13968E0C">
        <w:rPr>
          <w:rFonts w:ascii="Times New Roman" w:hAnsi="Times New Roman" w:eastAsia="Times New Roman" w:cs="Times New Roman"/>
          <w:i w:val="1"/>
          <w:iCs w:val="1"/>
          <w:noProof w:val="0"/>
          <w:sz w:val="28"/>
          <w:szCs w:val="28"/>
          <w:lang w:val="en-US"/>
        </w:rPr>
        <w:t>Ability</w:t>
      </w:r>
      <w:r w:rsidRPr="364AC1E7" w:rsidR="13968E0C">
        <w:rPr>
          <w:rFonts w:ascii="Times New Roman" w:hAnsi="Times New Roman" w:eastAsia="Times New Roman" w:cs="Times New Roman"/>
          <w:noProof w:val="0"/>
          <w:sz w:val="28"/>
          <w:szCs w:val="28"/>
          <w:lang w:val="en-US"/>
        </w:rPr>
        <w:t xml:space="preserve"> (through training) but also the </w:t>
      </w:r>
      <w:r w:rsidRPr="364AC1E7" w:rsidR="13968E0C">
        <w:rPr>
          <w:rFonts w:ascii="Times New Roman" w:hAnsi="Times New Roman" w:eastAsia="Times New Roman" w:cs="Times New Roman"/>
          <w:i w:val="1"/>
          <w:iCs w:val="1"/>
          <w:noProof w:val="0"/>
          <w:sz w:val="28"/>
          <w:szCs w:val="28"/>
          <w:lang w:val="en-US"/>
        </w:rPr>
        <w:t>Opportunity</w:t>
      </w:r>
      <w:r w:rsidRPr="364AC1E7" w:rsidR="13968E0C">
        <w:rPr>
          <w:rFonts w:ascii="Times New Roman" w:hAnsi="Times New Roman" w:eastAsia="Times New Roman" w:cs="Times New Roman"/>
          <w:noProof w:val="0"/>
          <w:sz w:val="28"/>
          <w:szCs w:val="28"/>
          <w:lang w:val="en-US"/>
        </w:rPr>
        <w:t xml:space="preserve"> and </w:t>
      </w:r>
      <w:r w:rsidRPr="364AC1E7" w:rsidR="13968E0C">
        <w:rPr>
          <w:rFonts w:ascii="Times New Roman" w:hAnsi="Times New Roman" w:eastAsia="Times New Roman" w:cs="Times New Roman"/>
          <w:i w:val="1"/>
          <w:iCs w:val="1"/>
          <w:noProof w:val="0"/>
          <w:sz w:val="28"/>
          <w:szCs w:val="28"/>
          <w:lang w:val="en-US"/>
        </w:rPr>
        <w:t>Motivation</w:t>
      </w:r>
      <w:r w:rsidRPr="364AC1E7" w:rsidR="13968E0C">
        <w:rPr>
          <w:rFonts w:ascii="Times New Roman" w:hAnsi="Times New Roman" w:eastAsia="Times New Roman" w:cs="Times New Roman"/>
          <w:noProof w:val="0"/>
          <w:sz w:val="28"/>
          <w:szCs w:val="28"/>
          <w:lang w:val="en-US"/>
        </w:rPr>
        <w:t xml:space="preserve"> to engage with new systems.</w:t>
      </w:r>
    </w:p>
    <w:p w:rsidR="13968E0C" w:rsidP="364AC1E7" w:rsidRDefault="13968E0C" w14:paraId="7C1EA2F4" w14:textId="37D0E2C6">
      <w:pPr>
        <w:spacing w:before="240" w:beforeAutospacing="off" w:after="240" w:afterAutospacing="off"/>
        <w:jc w:val="left"/>
      </w:pPr>
      <w:r w:rsidRPr="364AC1E7" w:rsidR="13968E0C">
        <w:rPr>
          <w:rFonts w:ascii="Times New Roman" w:hAnsi="Times New Roman" w:eastAsia="Times New Roman" w:cs="Times New Roman"/>
          <w:noProof w:val="0"/>
          <w:sz w:val="28"/>
          <w:szCs w:val="28"/>
          <w:lang w:val="en-US"/>
        </w:rPr>
        <w:t xml:space="preserve">The </w:t>
      </w:r>
      <w:r w:rsidRPr="364AC1E7" w:rsidR="13968E0C">
        <w:rPr>
          <w:rFonts w:ascii="Times New Roman" w:hAnsi="Times New Roman" w:eastAsia="Times New Roman" w:cs="Times New Roman"/>
          <w:b w:val="1"/>
          <w:bCs w:val="1"/>
          <w:noProof w:val="0"/>
          <w:sz w:val="28"/>
          <w:szCs w:val="28"/>
          <w:lang w:val="en-US"/>
        </w:rPr>
        <w:t>urgency</w:t>
      </w:r>
      <w:r w:rsidRPr="364AC1E7" w:rsidR="13968E0C">
        <w:rPr>
          <w:rFonts w:ascii="Times New Roman" w:hAnsi="Times New Roman" w:eastAsia="Times New Roman" w:cs="Times New Roman"/>
          <w:noProof w:val="0"/>
          <w:sz w:val="28"/>
          <w:szCs w:val="28"/>
          <w:lang w:val="en-US"/>
        </w:rPr>
        <w:t xml:space="preserve"> of this implementation is driven by the 2026 labor market volatility. If a store manager fails to prioritize "Stay Interviews" or address "Digital Alienation" immediately, the resulting turnover disrupts the entire supply chain and increases recruitment overheads. To combat this, Greggs has integrated </w:t>
      </w:r>
      <w:r w:rsidRPr="364AC1E7" w:rsidR="13968E0C">
        <w:rPr>
          <w:rFonts w:ascii="Times New Roman" w:hAnsi="Times New Roman" w:eastAsia="Times New Roman" w:cs="Times New Roman"/>
          <w:b w:val="1"/>
          <w:bCs w:val="1"/>
          <w:noProof w:val="0"/>
          <w:sz w:val="28"/>
          <w:szCs w:val="28"/>
          <w:lang w:val="en-US"/>
        </w:rPr>
        <w:t>Inclusion and Retention KPIs</w:t>
      </w:r>
      <w:r w:rsidRPr="364AC1E7" w:rsidR="13968E0C">
        <w:rPr>
          <w:rFonts w:ascii="Times New Roman" w:hAnsi="Times New Roman" w:eastAsia="Times New Roman" w:cs="Times New Roman"/>
          <w:noProof w:val="0"/>
          <w:sz w:val="28"/>
          <w:szCs w:val="28"/>
          <w:lang w:val="en-US"/>
        </w:rPr>
        <w:t xml:space="preserve"> into managerial appraisals. By linking a manager’s own career progression to their team’s DEI outcomes and training completion rates, the organization ensures that HR objectives are treated with the same operational rigor as waste management or stock control.</w:t>
      </w:r>
    </w:p>
    <w:p w:rsidR="13968E0C" w:rsidP="364AC1E7" w:rsidRDefault="13968E0C" w14:paraId="6D0822EE" w14:textId="5A937B20">
      <w:pPr>
        <w:spacing w:before="240" w:beforeAutospacing="off" w:after="240" w:afterAutospacing="off"/>
        <w:jc w:val="left"/>
        <w:rPr>
          <w:rFonts w:ascii="Calibri" w:hAnsi="Calibri" w:eastAsia="Calibri" w:cs="Calibri" w:asciiTheme="minorAscii" w:hAnsiTheme="minorAscii" w:eastAsiaTheme="minorAscii" w:cstheme="minorAscii"/>
          <w:b w:val="1"/>
          <w:bCs w:val="1"/>
          <w:noProof w:val="0"/>
          <w:sz w:val="32"/>
          <w:szCs w:val="32"/>
          <w:lang w:val="en-US"/>
        </w:rPr>
      </w:pPr>
      <w:r w:rsidRPr="364AC1E7" w:rsidR="13968E0C">
        <w:rPr>
          <w:rFonts w:ascii="Calibri" w:hAnsi="Calibri" w:eastAsia="Calibri" w:cs="Calibri" w:asciiTheme="minorAscii" w:hAnsiTheme="minorAscii" w:eastAsiaTheme="minorAscii" w:cstheme="minorAscii"/>
          <w:b w:val="1"/>
          <w:bCs w:val="1"/>
          <w:noProof w:val="0"/>
          <w:sz w:val="32"/>
          <w:szCs w:val="32"/>
          <w:lang w:val="en-US"/>
        </w:rPr>
        <w:t xml:space="preserve">The Manager as Cultural Steward </w:t>
      </w:r>
    </w:p>
    <w:p w:rsidR="13968E0C" w:rsidP="364AC1E7" w:rsidRDefault="13968E0C" w14:paraId="6A8E674C" w14:textId="27D2093C">
      <w:pPr>
        <w:spacing w:before="240" w:beforeAutospacing="off" w:after="240" w:afterAutospacing="off"/>
        <w:jc w:val="left"/>
      </w:pPr>
      <w:r w:rsidRPr="364AC1E7" w:rsidR="13968E0C">
        <w:rPr>
          <w:rFonts w:ascii="Times New Roman" w:hAnsi="Times New Roman" w:eastAsia="Times New Roman" w:cs="Times New Roman"/>
          <w:noProof w:val="0"/>
          <w:sz w:val="28"/>
          <w:szCs w:val="28"/>
          <w:lang w:val="en-US"/>
        </w:rPr>
        <w:t xml:space="preserve">Level 5 evaluation confirms that managers at Greggs are essentially "Cultural Stewards." They must contextually interpret </w:t>
      </w:r>
      <w:r w:rsidRPr="364AC1E7" w:rsidR="13968E0C">
        <w:rPr>
          <w:rFonts w:ascii="Times New Roman" w:hAnsi="Times New Roman" w:eastAsia="Times New Roman" w:cs="Times New Roman"/>
          <w:b w:val="1"/>
          <w:bCs w:val="1"/>
          <w:noProof w:val="0"/>
          <w:sz w:val="28"/>
          <w:szCs w:val="28"/>
          <w:lang w:val="en-US"/>
        </w:rPr>
        <w:t>People Analytics</w:t>
      </w:r>
      <w:r w:rsidRPr="364AC1E7" w:rsidR="13968E0C">
        <w:rPr>
          <w:rFonts w:ascii="Times New Roman" w:hAnsi="Times New Roman" w:eastAsia="Times New Roman" w:cs="Times New Roman"/>
          <w:noProof w:val="0"/>
          <w:sz w:val="28"/>
          <w:szCs w:val="28"/>
          <w:lang w:val="en-US"/>
        </w:rPr>
        <w:t xml:space="preserve">; for instance, understanding that a dip in a team member's productivity might require a well-being intervention rather than a disciplinary one. By embedding HR strategies into daily huddles and shift handovers, managers ensure that technology and inclusion frameworks are not viewed as "extra work" but as the foundation of </w:t>
      </w:r>
      <w:r w:rsidRPr="364AC1E7" w:rsidR="13968E0C">
        <w:rPr>
          <w:rFonts w:ascii="Times New Roman" w:hAnsi="Times New Roman" w:eastAsia="Times New Roman" w:cs="Times New Roman"/>
          <w:b w:val="1"/>
          <w:bCs w:val="1"/>
          <w:noProof w:val="0"/>
          <w:sz w:val="28"/>
          <w:szCs w:val="28"/>
          <w:lang w:val="en-US"/>
        </w:rPr>
        <w:t>Sustainable Business Performance</w:t>
      </w:r>
      <w:r w:rsidRPr="364AC1E7" w:rsidR="13968E0C">
        <w:rPr>
          <w:rFonts w:ascii="Times New Roman" w:hAnsi="Times New Roman" w:eastAsia="Times New Roman" w:cs="Times New Roman"/>
          <w:noProof w:val="0"/>
          <w:sz w:val="28"/>
          <w:szCs w:val="28"/>
          <w:lang w:val="en-US"/>
        </w:rPr>
        <w:t xml:space="preserve">. Their proactive engagement is the final, and most critical, link in the SHRM chain, ensuring Greggs </w:t>
      </w:r>
      <w:r w:rsidRPr="364AC1E7" w:rsidR="13968E0C">
        <w:rPr>
          <w:rFonts w:ascii="Times New Roman" w:hAnsi="Times New Roman" w:eastAsia="Times New Roman" w:cs="Times New Roman"/>
          <w:noProof w:val="0"/>
          <w:sz w:val="28"/>
          <w:szCs w:val="28"/>
          <w:lang w:val="en-US"/>
        </w:rPr>
        <w:t>remains</w:t>
      </w:r>
      <w:r w:rsidRPr="364AC1E7" w:rsidR="13968E0C">
        <w:rPr>
          <w:rFonts w:ascii="Times New Roman" w:hAnsi="Times New Roman" w:eastAsia="Times New Roman" w:cs="Times New Roman"/>
          <w:noProof w:val="0"/>
          <w:sz w:val="28"/>
          <w:szCs w:val="28"/>
          <w:lang w:val="en-US"/>
        </w:rPr>
        <w:t xml:space="preserve"> an "Employer of Choice" in a hyper-competitive UK retail sector.</w:t>
      </w:r>
    </w:p>
    <w:p w:rsidR="364AC1E7" w:rsidP="364AC1E7" w:rsidRDefault="364AC1E7" w14:paraId="4BAA78AD" w14:textId="4CDDB27F">
      <w:pPr>
        <w:spacing w:before="240" w:beforeAutospacing="off" w:after="240" w:afterAutospacing="off"/>
        <w:jc w:val="left"/>
        <w:rPr>
          <w:rFonts w:ascii="Times New Roman" w:hAnsi="Times New Roman" w:eastAsia="Times New Roman" w:cs="Times New Roman"/>
          <w:noProof w:val="0"/>
          <w:sz w:val="28"/>
          <w:szCs w:val="28"/>
          <w:lang w:val="en-US"/>
        </w:rPr>
      </w:pPr>
    </w:p>
    <w:p w:rsidR="364AC1E7" w:rsidP="364AC1E7" w:rsidRDefault="364AC1E7" w14:paraId="2B3CD60C" w14:textId="46A23259">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1F1F1F"/>
          <w:sz w:val="28"/>
          <w:szCs w:val="28"/>
          <w:lang w:val="en-US"/>
        </w:rPr>
      </w:pPr>
    </w:p>
    <w:p w:rsidR="364AC1E7" w:rsidP="364AC1E7" w:rsidRDefault="364AC1E7" w14:paraId="3D3BCFA1" w14:textId="31EB166B">
      <w:pPr>
        <w:jc w:val="left"/>
      </w:pPr>
    </w:p>
    <w:p w:rsidR="364AC1E7" w:rsidP="364AC1E7" w:rsidRDefault="364AC1E7" w14:paraId="2F92F1A8" w14:textId="3894EC4A">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F1F1F"/>
          <w:sz w:val="28"/>
          <w:szCs w:val="28"/>
          <w:lang w:val="en-US"/>
        </w:rPr>
      </w:pPr>
    </w:p>
    <w:p w:rsidR="19106A55" w:rsidP="364AC1E7" w:rsidRDefault="19106A55" w14:paraId="4D8C80FC" w14:textId="68963AF4">
      <w:pPr>
        <w:spacing w:before="240" w:beforeAutospacing="off" w:after="240" w:afterAutospacing="off"/>
        <w:jc w:val="left"/>
        <w:rPr>
          <w:rFonts w:ascii="Calibri" w:hAnsi="Calibri" w:eastAsia="Calibri" w:cs="Calibri"/>
          <w:b w:val="1"/>
          <w:bCs w:val="1"/>
          <w:noProof w:val="0"/>
          <w:sz w:val="36"/>
          <w:szCs w:val="36"/>
          <w:lang w:val="en-US"/>
        </w:rPr>
      </w:pPr>
      <w:r w:rsidRPr="364AC1E7" w:rsidR="19106A55">
        <w:rPr>
          <w:rFonts w:ascii="Calibri" w:hAnsi="Calibri" w:eastAsia="Calibri" w:cs="Calibri"/>
          <w:b w:val="1"/>
          <w:bCs w:val="1"/>
          <w:noProof w:val="0"/>
          <w:sz w:val="36"/>
          <w:szCs w:val="36"/>
          <w:lang w:val="en-US"/>
        </w:rPr>
        <w:t xml:space="preserve">Conclusion and Strategic Recommendations </w:t>
      </w:r>
    </w:p>
    <w:p w:rsidR="19106A55" w:rsidP="364AC1E7" w:rsidRDefault="19106A55" w14:paraId="14881AB4" w14:textId="5F5926EC">
      <w:pPr>
        <w:spacing w:before="240" w:beforeAutospacing="off" w:after="240" w:afterAutospacing="off"/>
        <w:jc w:val="left"/>
      </w:pPr>
      <w:r w:rsidRPr="364AC1E7" w:rsidR="19106A55">
        <w:rPr>
          <w:rFonts w:ascii="Calibri" w:hAnsi="Calibri" w:eastAsia="Calibri" w:cs="Calibri"/>
          <w:noProof w:val="0"/>
          <w:sz w:val="28"/>
          <w:szCs w:val="28"/>
          <w:lang w:val="en-US"/>
        </w:rPr>
        <w:t xml:space="preserve">In 2026, </w:t>
      </w:r>
      <w:r w:rsidRPr="364AC1E7" w:rsidR="19106A55">
        <w:rPr>
          <w:rFonts w:ascii="Calibri" w:hAnsi="Calibri" w:eastAsia="Calibri" w:cs="Calibri"/>
          <w:b w:val="1"/>
          <w:bCs w:val="1"/>
          <w:noProof w:val="0"/>
          <w:sz w:val="28"/>
          <w:szCs w:val="28"/>
          <w:lang w:val="en-US"/>
        </w:rPr>
        <w:t>Greggs PLC</w:t>
      </w:r>
      <w:r w:rsidRPr="364AC1E7" w:rsidR="19106A55">
        <w:rPr>
          <w:rFonts w:ascii="Calibri" w:hAnsi="Calibri" w:eastAsia="Calibri" w:cs="Calibri"/>
          <w:noProof w:val="0"/>
          <w:sz w:val="28"/>
          <w:szCs w:val="28"/>
          <w:lang w:val="en-US"/>
        </w:rPr>
        <w:t xml:space="preserve"> stands as a prime example of an organization navigating the "high-tech, high-touch" retail paradox. This report has </w:t>
      </w:r>
      <w:r w:rsidRPr="364AC1E7" w:rsidR="19106A55">
        <w:rPr>
          <w:rFonts w:ascii="Calibri" w:hAnsi="Calibri" w:eastAsia="Calibri" w:cs="Calibri"/>
          <w:noProof w:val="0"/>
          <w:sz w:val="28"/>
          <w:szCs w:val="28"/>
          <w:lang w:val="en-US"/>
        </w:rPr>
        <w:t>demonstrated</w:t>
      </w:r>
      <w:r w:rsidRPr="364AC1E7" w:rsidR="19106A55">
        <w:rPr>
          <w:rFonts w:ascii="Calibri" w:hAnsi="Calibri" w:eastAsia="Calibri" w:cs="Calibri"/>
          <w:noProof w:val="0"/>
          <w:sz w:val="28"/>
          <w:szCs w:val="28"/>
          <w:lang w:val="en-US"/>
        </w:rPr>
        <w:t xml:space="preserve"> that while technological integration and workforce analytics provide a framework for efficiency, they must be balanced with human-centric HR strategies to </w:t>
      </w:r>
      <w:r w:rsidRPr="364AC1E7" w:rsidR="19106A55">
        <w:rPr>
          <w:rFonts w:ascii="Calibri" w:hAnsi="Calibri" w:eastAsia="Calibri" w:cs="Calibri"/>
          <w:noProof w:val="0"/>
          <w:sz w:val="28"/>
          <w:szCs w:val="28"/>
          <w:lang w:val="en-US"/>
        </w:rPr>
        <w:t>maintain</w:t>
      </w:r>
      <w:r w:rsidRPr="364AC1E7" w:rsidR="19106A55">
        <w:rPr>
          <w:rFonts w:ascii="Calibri" w:hAnsi="Calibri" w:eastAsia="Calibri" w:cs="Calibri"/>
          <w:noProof w:val="0"/>
          <w:sz w:val="28"/>
          <w:szCs w:val="28"/>
          <w:lang w:val="en-US"/>
        </w:rPr>
        <w:t xml:space="preserve"> the </w:t>
      </w:r>
      <w:r w:rsidRPr="364AC1E7" w:rsidR="19106A55">
        <w:rPr>
          <w:rFonts w:ascii="Calibri" w:hAnsi="Calibri" w:eastAsia="Calibri" w:cs="Calibri"/>
          <w:b w:val="1"/>
          <w:bCs w:val="1"/>
          <w:noProof w:val="0"/>
          <w:sz w:val="28"/>
          <w:szCs w:val="28"/>
          <w:lang w:val="en-US"/>
        </w:rPr>
        <w:t>Psychological Contract</w:t>
      </w:r>
      <w:r w:rsidRPr="364AC1E7" w:rsidR="19106A55">
        <w:rPr>
          <w:rFonts w:ascii="Calibri" w:hAnsi="Calibri" w:eastAsia="Calibri" w:cs="Calibri"/>
          <w:noProof w:val="0"/>
          <w:sz w:val="28"/>
          <w:szCs w:val="28"/>
          <w:lang w:val="en-US"/>
        </w:rPr>
        <w:t xml:space="preserve">. Success in the modern QSR sector requires more than just digital investment; it </w:t>
      </w:r>
      <w:r w:rsidRPr="364AC1E7" w:rsidR="19106A55">
        <w:rPr>
          <w:rFonts w:ascii="Calibri" w:hAnsi="Calibri" w:eastAsia="Calibri" w:cs="Calibri"/>
          <w:noProof w:val="0"/>
          <w:sz w:val="28"/>
          <w:szCs w:val="28"/>
          <w:lang w:val="en-US"/>
        </w:rPr>
        <w:t>necessitates</w:t>
      </w:r>
      <w:r w:rsidRPr="364AC1E7" w:rsidR="19106A55">
        <w:rPr>
          <w:rFonts w:ascii="Calibri" w:hAnsi="Calibri" w:eastAsia="Calibri" w:cs="Calibri"/>
          <w:noProof w:val="0"/>
          <w:sz w:val="28"/>
          <w:szCs w:val="28"/>
          <w:lang w:val="en-US"/>
        </w:rPr>
        <w:t xml:space="preserve"> a culture of </w:t>
      </w:r>
      <w:r w:rsidRPr="364AC1E7" w:rsidR="19106A55">
        <w:rPr>
          <w:rFonts w:ascii="Calibri" w:hAnsi="Calibri" w:eastAsia="Calibri" w:cs="Calibri"/>
          <w:b w:val="1"/>
          <w:bCs w:val="1"/>
          <w:noProof w:val="0"/>
          <w:sz w:val="28"/>
          <w:szCs w:val="28"/>
          <w:lang w:val="en-US"/>
        </w:rPr>
        <w:t>Structural Equity</w:t>
      </w:r>
      <w:r w:rsidRPr="364AC1E7" w:rsidR="19106A55">
        <w:rPr>
          <w:rFonts w:ascii="Calibri" w:hAnsi="Calibri" w:eastAsia="Calibri" w:cs="Calibri"/>
          <w:noProof w:val="0"/>
          <w:sz w:val="28"/>
          <w:szCs w:val="28"/>
          <w:lang w:val="en-US"/>
        </w:rPr>
        <w:t xml:space="preserve"> and continuous development. As </w:t>
      </w:r>
      <w:r w:rsidRPr="364AC1E7" w:rsidR="19106A55">
        <w:rPr>
          <w:rFonts w:ascii="Calibri" w:hAnsi="Calibri" w:eastAsia="Calibri" w:cs="Calibri"/>
          <w:noProof w:val="0"/>
          <w:sz w:val="28"/>
          <w:szCs w:val="28"/>
          <w:lang w:val="en-US"/>
        </w:rPr>
        <w:t>established</w:t>
      </w:r>
      <w:r w:rsidRPr="364AC1E7" w:rsidR="19106A55">
        <w:rPr>
          <w:rFonts w:ascii="Calibri" w:hAnsi="Calibri" w:eastAsia="Calibri" w:cs="Calibri"/>
          <w:noProof w:val="0"/>
          <w:sz w:val="28"/>
          <w:szCs w:val="28"/>
          <w:lang w:val="en-US"/>
        </w:rPr>
        <w:t xml:space="preserve">, the departmental manager is the vital linchpin in this process. By bridging the </w:t>
      </w:r>
      <w:r w:rsidRPr="364AC1E7" w:rsidR="19106A55">
        <w:rPr>
          <w:rFonts w:ascii="Calibri" w:hAnsi="Calibri" w:eastAsia="Calibri" w:cs="Calibri"/>
          <w:b w:val="1"/>
          <w:bCs w:val="1"/>
          <w:noProof w:val="0"/>
          <w:sz w:val="28"/>
          <w:szCs w:val="28"/>
          <w:lang w:val="en-US"/>
        </w:rPr>
        <w:t>Policy–Practice Gap</w:t>
      </w:r>
      <w:r w:rsidRPr="364AC1E7" w:rsidR="19106A55">
        <w:rPr>
          <w:rFonts w:ascii="Calibri" w:hAnsi="Calibri" w:eastAsia="Calibri" w:cs="Calibri"/>
          <w:noProof w:val="0"/>
          <w:sz w:val="28"/>
          <w:szCs w:val="28"/>
          <w:lang w:val="en-US"/>
        </w:rPr>
        <w:t xml:space="preserve">, these leaders ensure that Greggs' strategic HR initiatives translate into a motivated workforce, legal compliance under the </w:t>
      </w:r>
      <w:r w:rsidRPr="364AC1E7" w:rsidR="19106A55">
        <w:rPr>
          <w:rFonts w:ascii="Calibri" w:hAnsi="Calibri" w:eastAsia="Calibri" w:cs="Calibri"/>
          <w:b w:val="1"/>
          <w:bCs w:val="1"/>
          <w:noProof w:val="0"/>
          <w:sz w:val="28"/>
          <w:szCs w:val="28"/>
          <w:lang w:val="en-US"/>
        </w:rPr>
        <w:t>Employment Rights Act 2025</w:t>
      </w:r>
      <w:r w:rsidRPr="364AC1E7" w:rsidR="19106A55">
        <w:rPr>
          <w:rFonts w:ascii="Calibri" w:hAnsi="Calibri" w:eastAsia="Calibri" w:cs="Calibri"/>
          <w:noProof w:val="0"/>
          <w:sz w:val="28"/>
          <w:szCs w:val="28"/>
          <w:lang w:val="en-US"/>
        </w:rPr>
        <w:t xml:space="preserve">, </w:t>
      </w:r>
      <w:r w:rsidRPr="364AC1E7" w:rsidR="19106A55">
        <w:rPr>
          <w:rFonts w:ascii="Calibri" w:hAnsi="Calibri" w:eastAsia="Calibri" w:cs="Calibri"/>
          <w:noProof w:val="0"/>
          <w:sz w:val="28"/>
          <w:szCs w:val="28"/>
          <w:lang w:val="en-US"/>
        </w:rPr>
        <w:t>and ultimately, sustainable</w:t>
      </w:r>
      <w:r w:rsidRPr="364AC1E7" w:rsidR="19106A55">
        <w:rPr>
          <w:rFonts w:ascii="Calibri" w:hAnsi="Calibri" w:eastAsia="Calibri" w:cs="Calibri"/>
          <w:noProof w:val="0"/>
          <w:sz w:val="28"/>
          <w:szCs w:val="28"/>
          <w:lang w:val="en-US"/>
        </w:rPr>
        <w:t xml:space="preserve"> business performance in a volatile market.</w:t>
      </w:r>
    </w:p>
    <w:p w:rsidR="364AC1E7" w:rsidP="364AC1E7" w:rsidRDefault="364AC1E7" w14:paraId="0C5CBBB1" w14:textId="5569D020">
      <w:pPr>
        <w:spacing w:before="240" w:beforeAutospacing="off" w:after="240" w:afterAutospacing="off"/>
        <w:jc w:val="left"/>
        <w:rPr>
          <w:rFonts w:ascii="Calibri" w:hAnsi="Calibri" w:eastAsia="Calibri" w:cs="Calibri"/>
          <w:noProof w:val="0"/>
          <w:sz w:val="28"/>
          <w:szCs w:val="28"/>
          <w:lang w:val="en-US"/>
        </w:rPr>
      </w:pPr>
    </w:p>
    <w:p w:rsidR="19106A55" w:rsidP="364AC1E7" w:rsidRDefault="19106A55" w14:paraId="0C4FA8F5" w14:textId="17D123B1">
      <w:pPr>
        <w:spacing w:before="240" w:beforeAutospacing="off" w:after="240" w:afterAutospacing="off"/>
        <w:jc w:val="left"/>
      </w:pPr>
      <w:r w:rsidRPr="364AC1E7" w:rsidR="19106A55">
        <w:rPr>
          <w:rFonts w:ascii="Calibri" w:hAnsi="Calibri" w:eastAsia="Calibri" w:cs="Calibri"/>
          <w:noProof w:val="0"/>
          <w:sz w:val="28"/>
          <w:szCs w:val="28"/>
          <w:lang w:val="en-US"/>
        </w:rPr>
        <w:t>To further enhance workforce capability and ensure long-term sustainability, the following mechanisms for personnel development are recommended:</w:t>
      </w:r>
    </w:p>
    <w:p w:rsidR="19106A55" w:rsidP="364AC1E7" w:rsidRDefault="19106A55" w14:paraId="4366384B" w14:textId="20A6D106">
      <w:pPr>
        <w:pStyle w:val="ListParagraph"/>
        <w:numPr>
          <w:ilvl w:val="0"/>
          <w:numId w:val="1"/>
        </w:numPr>
        <w:spacing w:before="240" w:beforeAutospacing="off" w:after="240" w:afterAutospacing="off"/>
        <w:jc w:val="left"/>
        <w:rPr>
          <w:rFonts w:ascii="Calibri" w:hAnsi="Calibri" w:eastAsia="Calibri" w:cs="Calibri"/>
          <w:noProof w:val="0"/>
          <w:sz w:val="28"/>
          <w:szCs w:val="28"/>
          <w:lang w:val="en-US"/>
        </w:rPr>
      </w:pPr>
      <w:r w:rsidRPr="364AC1E7" w:rsidR="19106A55">
        <w:rPr>
          <w:rFonts w:ascii="Calibri" w:hAnsi="Calibri" w:eastAsia="Calibri" w:cs="Calibri"/>
          <w:b w:val="1"/>
          <w:bCs w:val="1"/>
          <w:noProof w:val="0"/>
          <w:sz w:val="28"/>
          <w:szCs w:val="28"/>
          <w:lang w:val="en-US"/>
        </w:rPr>
        <w:t>Hybrid Mentorship Ecosystems:</w:t>
      </w:r>
      <w:r w:rsidRPr="364AC1E7" w:rsidR="19106A55">
        <w:rPr>
          <w:rFonts w:ascii="Calibri" w:hAnsi="Calibri" w:eastAsia="Calibri" w:cs="Calibri"/>
          <w:noProof w:val="0"/>
          <w:sz w:val="28"/>
          <w:szCs w:val="28"/>
          <w:lang w:val="en-US"/>
        </w:rPr>
        <w:t xml:space="preserve"> Greggs should formalize a "Digital Buddy" system, pairing tech-proficient staff with long-tenured employees to support microlearning adoption. This mitigates </w:t>
      </w:r>
      <w:r w:rsidRPr="364AC1E7" w:rsidR="19106A55">
        <w:rPr>
          <w:rFonts w:ascii="Calibri" w:hAnsi="Calibri" w:eastAsia="Calibri" w:cs="Calibri"/>
          <w:b w:val="1"/>
          <w:bCs w:val="1"/>
          <w:noProof w:val="0"/>
          <w:sz w:val="28"/>
          <w:szCs w:val="28"/>
          <w:lang w:val="en-US"/>
        </w:rPr>
        <w:t>"Digital Alienation"</w:t>
      </w:r>
      <w:r w:rsidRPr="364AC1E7" w:rsidR="19106A55">
        <w:rPr>
          <w:rFonts w:ascii="Calibri" w:hAnsi="Calibri" w:eastAsia="Calibri" w:cs="Calibri"/>
          <w:noProof w:val="0"/>
          <w:sz w:val="28"/>
          <w:szCs w:val="28"/>
          <w:lang w:val="en-US"/>
        </w:rPr>
        <w:t xml:space="preserve"> while fostering cross-generational knowledge transfer.</w:t>
      </w:r>
    </w:p>
    <w:p w:rsidR="19106A55" w:rsidP="364AC1E7" w:rsidRDefault="19106A55" w14:paraId="30B38B38" w14:textId="08EB5711">
      <w:pPr>
        <w:pStyle w:val="ListParagraph"/>
        <w:numPr>
          <w:ilvl w:val="0"/>
          <w:numId w:val="1"/>
        </w:numPr>
        <w:spacing w:before="240" w:beforeAutospacing="off" w:after="240" w:afterAutospacing="off"/>
        <w:jc w:val="left"/>
        <w:rPr>
          <w:rFonts w:ascii="Calibri" w:hAnsi="Calibri" w:eastAsia="Calibri" w:cs="Calibri"/>
          <w:noProof w:val="0"/>
          <w:sz w:val="28"/>
          <w:szCs w:val="28"/>
          <w:lang w:val="en-US"/>
        </w:rPr>
      </w:pPr>
      <w:r w:rsidRPr="364AC1E7" w:rsidR="19106A55">
        <w:rPr>
          <w:rFonts w:ascii="Calibri" w:hAnsi="Calibri" w:eastAsia="Calibri" w:cs="Calibri"/>
          <w:b w:val="1"/>
          <w:bCs w:val="1"/>
          <w:noProof w:val="0"/>
          <w:sz w:val="28"/>
          <w:szCs w:val="28"/>
          <w:lang w:val="en-US"/>
        </w:rPr>
        <w:t>Performance-Linked Accountability:</w:t>
      </w:r>
      <w:r w:rsidRPr="364AC1E7" w:rsidR="19106A55">
        <w:rPr>
          <w:rFonts w:ascii="Calibri" w:hAnsi="Calibri" w:eastAsia="Calibri" w:cs="Calibri"/>
          <w:noProof w:val="0"/>
          <w:sz w:val="28"/>
          <w:szCs w:val="28"/>
          <w:lang w:val="en-US"/>
        </w:rPr>
        <w:t xml:space="preserve"> Store managers' Key Performance Indicators (KPIs) should be recalibrated to weigh </w:t>
      </w:r>
      <w:r w:rsidRPr="364AC1E7" w:rsidR="19106A55">
        <w:rPr>
          <w:rFonts w:ascii="Calibri" w:hAnsi="Calibri" w:eastAsia="Calibri" w:cs="Calibri"/>
          <w:b w:val="1"/>
          <w:bCs w:val="1"/>
          <w:noProof w:val="0"/>
          <w:sz w:val="28"/>
          <w:szCs w:val="28"/>
          <w:lang w:val="en-US"/>
        </w:rPr>
        <w:t>retention and DEI satisfaction scores</w:t>
      </w:r>
      <w:r w:rsidRPr="364AC1E7" w:rsidR="19106A55">
        <w:rPr>
          <w:rFonts w:ascii="Calibri" w:hAnsi="Calibri" w:eastAsia="Calibri" w:cs="Calibri"/>
          <w:noProof w:val="0"/>
          <w:sz w:val="28"/>
          <w:szCs w:val="28"/>
          <w:lang w:val="en-US"/>
        </w:rPr>
        <w:t xml:space="preserve"> equally with sales targets. This creates the operational "urgency" required to move HR policy into daily practice.</w:t>
      </w:r>
    </w:p>
    <w:p w:rsidR="19106A55" w:rsidP="364AC1E7" w:rsidRDefault="19106A55" w14:paraId="5207475B" w14:textId="6B940A8B">
      <w:pPr>
        <w:pStyle w:val="ListParagraph"/>
        <w:numPr>
          <w:ilvl w:val="0"/>
          <w:numId w:val="1"/>
        </w:numPr>
        <w:spacing w:before="240" w:beforeAutospacing="off" w:after="240" w:afterAutospacing="off"/>
        <w:jc w:val="left"/>
        <w:rPr>
          <w:rFonts w:ascii="Calibri" w:hAnsi="Calibri" w:eastAsia="Calibri" w:cs="Calibri"/>
          <w:noProof w:val="0"/>
          <w:sz w:val="28"/>
          <w:szCs w:val="28"/>
          <w:lang w:val="en-US"/>
        </w:rPr>
      </w:pPr>
      <w:r w:rsidRPr="364AC1E7" w:rsidR="19106A55">
        <w:rPr>
          <w:rFonts w:ascii="Calibri" w:hAnsi="Calibri" w:eastAsia="Calibri" w:cs="Calibri"/>
          <w:b w:val="1"/>
          <w:bCs w:val="1"/>
          <w:noProof w:val="0"/>
          <w:sz w:val="28"/>
          <w:szCs w:val="28"/>
          <w:lang w:val="en-US"/>
        </w:rPr>
        <w:t>Transparent "Career Pathing" Portals:</w:t>
      </w:r>
      <w:r w:rsidRPr="364AC1E7" w:rsidR="19106A55">
        <w:rPr>
          <w:rFonts w:ascii="Calibri" w:hAnsi="Calibri" w:eastAsia="Calibri" w:cs="Calibri"/>
          <w:noProof w:val="0"/>
          <w:sz w:val="28"/>
          <w:szCs w:val="28"/>
          <w:lang w:val="en-US"/>
        </w:rPr>
        <w:t xml:space="preserve"> Utilize the existing digital app to provide employees with clear, visual maps of internal promotion routes and the specific competencies required for advancement. This empowers staff to take ownership of their development, directly improving long-term retention.</w:t>
      </w:r>
    </w:p>
    <w:p w:rsidR="3FC34FB0" w:rsidP="364AC1E7" w:rsidRDefault="3FC34FB0" w14:paraId="2F513E0D" w14:textId="7D237D93">
      <w:pPr>
        <w:pStyle w:val="Normal"/>
        <w:rPr>
          <w:b w:val="1"/>
          <w:bCs w:val="1"/>
          <w:noProof w:val="0"/>
          <w:sz w:val="32"/>
          <w:szCs w:val="32"/>
          <w:lang w:val="en-US"/>
        </w:rPr>
      </w:pPr>
      <w:r w:rsidRPr="364AC1E7" w:rsidR="3FC34FB0">
        <w:rPr>
          <w:b w:val="1"/>
          <w:bCs w:val="1"/>
          <w:noProof w:val="0"/>
          <w:sz w:val="32"/>
          <w:szCs w:val="32"/>
          <w:lang w:val="en-US"/>
        </w:rPr>
        <w:t xml:space="preserve">Reference List </w:t>
      </w:r>
    </w:p>
    <w:p w:rsidR="3FC34FB0" w:rsidP="364AC1E7" w:rsidRDefault="3FC34FB0" w14:paraId="0B961D48" w14:textId="1BFCE285">
      <w:pPr>
        <w:pStyle w:val="ListParagraph"/>
        <w:numPr>
          <w:ilvl w:val="0"/>
          <w:numId w:val="2"/>
        </w:numPr>
        <w:spacing w:before="240" w:beforeAutospacing="off" w:after="240" w:afterAutospacing="off"/>
        <w:jc w:val="left"/>
        <w:rPr>
          <w:rFonts w:ascii="Calibri" w:hAnsi="Calibri" w:eastAsia="Calibri" w:cs="Calibri"/>
          <w:noProof w:val="0"/>
          <w:sz w:val="28"/>
          <w:szCs w:val="28"/>
          <w:lang w:val="en-US"/>
        </w:rPr>
      </w:pPr>
      <w:r w:rsidRPr="364AC1E7" w:rsidR="3FC34FB0">
        <w:rPr>
          <w:rFonts w:ascii="Calibri" w:hAnsi="Calibri" w:eastAsia="Calibri" w:cs="Calibri"/>
          <w:b w:val="1"/>
          <w:bCs w:val="1"/>
          <w:noProof w:val="0"/>
          <w:sz w:val="28"/>
          <w:szCs w:val="28"/>
          <w:lang w:val="en-US"/>
        </w:rPr>
        <w:t>Armstrong, M. and Taylor, S. (2020)</w:t>
      </w:r>
      <w:r w:rsidRPr="364AC1E7" w:rsidR="3FC34FB0">
        <w:rPr>
          <w:rFonts w:ascii="Calibri" w:hAnsi="Calibri" w:eastAsia="Calibri" w:cs="Calibri"/>
          <w:noProof w:val="0"/>
          <w:sz w:val="28"/>
          <w:szCs w:val="28"/>
          <w:lang w:val="en-US"/>
        </w:rPr>
        <w:t xml:space="preserve"> </w:t>
      </w:r>
      <w:r w:rsidRPr="364AC1E7" w:rsidR="3FC34FB0">
        <w:rPr>
          <w:rFonts w:ascii="Calibri" w:hAnsi="Calibri" w:eastAsia="Calibri" w:cs="Calibri"/>
          <w:i w:val="1"/>
          <w:iCs w:val="1"/>
          <w:noProof w:val="0"/>
          <w:sz w:val="28"/>
          <w:szCs w:val="28"/>
          <w:lang w:val="en-US"/>
        </w:rPr>
        <w:t>Armstrong's Handbook of Human Resource Management Practice</w:t>
      </w:r>
      <w:r w:rsidRPr="364AC1E7" w:rsidR="3FC34FB0">
        <w:rPr>
          <w:rFonts w:ascii="Calibri" w:hAnsi="Calibri" w:eastAsia="Calibri" w:cs="Calibri"/>
          <w:noProof w:val="0"/>
          <w:sz w:val="28"/>
          <w:szCs w:val="28"/>
          <w:lang w:val="en-US"/>
        </w:rPr>
        <w:t>. 15th edn. London: Kogan Page.</w:t>
      </w:r>
    </w:p>
    <w:p w:rsidR="3FC34FB0" w:rsidP="364AC1E7" w:rsidRDefault="3FC34FB0" w14:paraId="4BE1BFF8" w14:textId="34F9B784">
      <w:pPr>
        <w:pStyle w:val="ListParagraph"/>
        <w:numPr>
          <w:ilvl w:val="0"/>
          <w:numId w:val="2"/>
        </w:numPr>
        <w:spacing w:before="240" w:beforeAutospacing="off" w:after="240" w:afterAutospacing="off"/>
        <w:jc w:val="left"/>
        <w:rPr>
          <w:rFonts w:ascii="Calibri" w:hAnsi="Calibri" w:eastAsia="Calibri" w:cs="Calibri"/>
          <w:noProof w:val="0"/>
          <w:sz w:val="28"/>
          <w:szCs w:val="28"/>
          <w:lang w:val="en-US"/>
        </w:rPr>
      </w:pPr>
      <w:r w:rsidRPr="364AC1E7" w:rsidR="3FC34FB0">
        <w:rPr>
          <w:rFonts w:ascii="Calibri" w:hAnsi="Calibri" w:eastAsia="Calibri" w:cs="Calibri"/>
          <w:b w:val="1"/>
          <w:bCs w:val="1"/>
          <w:noProof w:val="0"/>
          <w:sz w:val="28"/>
          <w:szCs w:val="28"/>
          <w:lang w:val="en-US"/>
        </w:rPr>
        <w:t>CIPD (2023)</w:t>
      </w:r>
      <w:r w:rsidRPr="364AC1E7" w:rsidR="3FC34FB0">
        <w:rPr>
          <w:rFonts w:ascii="Calibri" w:hAnsi="Calibri" w:eastAsia="Calibri" w:cs="Calibri"/>
          <w:noProof w:val="0"/>
          <w:sz w:val="28"/>
          <w:szCs w:val="28"/>
          <w:lang w:val="en-US"/>
        </w:rPr>
        <w:t xml:space="preserve"> </w:t>
      </w:r>
      <w:r w:rsidRPr="364AC1E7" w:rsidR="3FC34FB0">
        <w:rPr>
          <w:rFonts w:ascii="Calibri" w:hAnsi="Calibri" w:eastAsia="Calibri" w:cs="Calibri"/>
          <w:i w:val="1"/>
          <w:iCs w:val="1"/>
          <w:noProof w:val="0"/>
          <w:sz w:val="28"/>
          <w:szCs w:val="28"/>
          <w:lang w:val="en-US"/>
        </w:rPr>
        <w:t>Labour Market Outlook: Views from Employers</w:t>
      </w:r>
      <w:r w:rsidRPr="364AC1E7" w:rsidR="3FC34FB0">
        <w:rPr>
          <w:rFonts w:ascii="Calibri" w:hAnsi="Calibri" w:eastAsia="Calibri" w:cs="Calibri"/>
          <w:noProof w:val="0"/>
          <w:sz w:val="28"/>
          <w:szCs w:val="28"/>
          <w:lang w:val="en-US"/>
        </w:rPr>
        <w:t xml:space="preserve">. [online] Available at: </w:t>
      </w:r>
      <w:hyperlink r:id="Rf97b9c0f3453422b">
        <w:r w:rsidRPr="364AC1E7" w:rsidR="3FC34FB0">
          <w:rPr>
            <w:rStyle w:val="Hyperlink"/>
            <w:rFonts w:ascii="Calibri" w:hAnsi="Calibri" w:eastAsia="Calibri" w:cs="Calibri"/>
            <w:noProof w:val="0"/>
            <w:sz w:val="28"/>
            <w:szCs w:val="28"/>
            <w:lang w:val="en-US"/>
          </w:rPr>
          <w:t>https://www.cipd.org</w:t>
        </w:r>
      </w:hyperlink>
      <w:r w:rsidRPr="364AC1E7" w:rsidR="3FC34FB0">
        <w:rPr>
          <w:rFonts w:ascii="Calibri" w:hAnsi="Calibri" w:eastAsia="Calibri" w:cs="Calibri"/>
          <w:noProof w:val="0"/>
          <w:sz w:val="28"/>
          <w:szCs w:val="28"/>
          <w:lang w:val="en-US"/>
        </w:rPr>
        <w:t xml:space="preserve"> [Accessed 11 March 2026].</w:t>
      </w:r>
    </w:p>
    <w:p w:rsidR="3FC34FB0" w:rsidP="364AC1E7" w:rsidRDefault="3FC34FB0" w14:paraId="0B39520B" w14:textId="1703BCCD">
      <w:pPr>
        <w:pStyle w:val="ListParagraph"/>
        <w:numPr>
          <w:ilvl w:val="0"/>
          <w:numId w:val="2"/>
        </w:numPr>
        <w:spacing w:before="240" w:beforeAutospacing="off" w:after="240" w:afterAutospacing="off"/>
        <w:jc w:val="left"/>
        <w:rPr>
          <w:rFonts w:ascii="Calibri" w:hAnsi="Calibri" w:eastAsia="Calibri" w:cs="Calibri"/>
          <w:noProof w:val="0"/>
          <w:sz w:val="28"/>
          <w:szCs w:val="28"/>
          <w:lang w:val="en-US"/>
        </w:rPr>
      </w:pPr>
      <w:r w:rsidRPr="364AC1E7" w:rsidR="3FC34FB0">
        <w:rPr>
          <w:rFonts w:ascii="Calibri" w:hAnsi="Calibri" w:eastAsia="Calibri" w:cs="Calibri"/>
          <w:b w:val="1"/>
          <w:bCs w:val="1"/>
          <w:noProof w:val="0"/>
          <w:sz w:val="28"/>
          <w:szCs w:val="28"/>
          <w:lang w:val="en-US"/>
        </w:rPr>
        <w:t>Dessler, G. (2020)</w:t>
      </w:r>
      <w:r w:rsidRPr="364AC1E7" w:rsidR="3FC34FB0">
        <w:rPr>
          <w:rFonts w:ascii="Calibri" w:hAnsi="Calibri" w:eastAsia="Calibri" w:cs="Calibri"/>
          <w:noProof w:val="0"/>
          <w:sz w:val="28"/>
          <w:szCs w:val="28"/>
          <w:lang w:val="en-US"/>
        </w:rPr>
        <w:t xml:space="preserve"> </w:t>
      </w:r>
      <w:r w:rsidRPr="364AC1E7" w:rsidR="3FC34FB0">
        <w:rPr>
          <w:rFonts w:ascii="Calibri" w:hAnsi="Calibri" w:eastAsia="Calibri" w:cs="Calibri"/>
          <w:i w:val="1"/>
          <w:iCs w:val="1"/>
          <w:noProof w:val="0"/>
          <w:sz w:val="28"/>
          <w:szCs w:val="28"/>
          <w:lang w:val="en-US"/>
        </w:rPr>
        <w:t>Human Resource Management</w:t>
      </w:r>
      <w:r w:rsidRPr="364AC1E7" w:rsidR="3FC34FB0">
        <w:rPr>
          <w:rFonts w:ascii="Calibri" w:hAnsi="Calibri" w:eastAsia="Calibri" w:cs="Calibri"/>
          <w:noProof w:val="0"/>
          <w:sz w:val="28"/>
          <w:szCs w:val="28"/>
          <w:lang w:val="en-US"/>
        </w:rPr>
        <w:t>. 16th edn. Harlow: Pearson.</w:t>
      </w:r>
    </w:p>
    <w:p w:rsidR="3FC34FB0" w:rsidP="364AC1E7" w:rsidRDefault="3FC34FB0" w14:paraId="23CE94AC" w14:textId="480407D9">
      <w:pPr>
        <w:pStyle w:val="ListParagraph"/>
        <w:numPr>
          <w:ilvl w:val="0"/>
          <w:numId w:val="2"/>
        </w:numPr>
        <w:spacing w:before="240" w:beforeAutospacing="off" w:after="240" w:afterAutospacing="off"/>
        <w:jc w:val="left"/>
        <w:rPr>
          <w:rFonts w:ascii="Calibri" w:hAnsi="Calibri" w:eastAsia="Calibri" w:cs="Calibri"/>
          <w:noProof w:val="0"/>
          <w:sz w:val="28"/>
          <w:szCs w:val="28"/>
          <w:lang w:val="en-US"/>
        </w:rPr>
      </w:pPr>
      <w:r w:rsidRPr="364AC1E7" w:rsidR="3FC34FB0">
        <w:rPr>
          <w:rFonts w:ascii="Calibri" w:hAnsi="Calibri" w:eastAsia="Calibri" w:cs="Calibri"/>
          <w:b w:val="1"/>
          <w:bCs w:val="1"/>
          <w:noProof w:val="0"/>
          <w:sz w:val="28"/>
          <w:szCs w:val="28"/>
          <w:lang w:val="en-US"/>
        </w:rPr>
        <w:t>Greggs PLC (2026)</w:t>
      </w:r>
      <w:r w:rsidRPr="364AC1E7" w:rsidR="3FC34FB0">
        <w:rPr>
          <w:rFonts w:ascii="Calibri" w:hAnsi="Calibri" w:eastAsia="Calibri" w:cs="Calibri"/>
          <w:noProof w:val="0"/>
          <w:sz w:val="28"/>
          <w:szCs w:val="28"/>
          <w:lang w:val="en-US"/>
        </w:rPr>
        <w:t xml:space="preserve"> </w:t>
      </w:r>
      <w:r w:rsidRPr="364AC1E7" w:rsidR="3FC34FB0">
        <w:rPr>
          <w:rFonts w:ascii="Calibri" w:hAnsi="Calibri" w:eastAsia="Calibri" w:cs="Calibri"/>
          <w:i w:val="1"/>
          <w:iCs w:val="1"/>
          <w:noProof w:val="0"/>
          <w:sz w:val="28"/>
          <w:szCs w:val="28"/>
          <w:lang w:val="en-US"/>
        </w:rPr>
        <w:t>Employee Training and Development: Internal Reports</w:t>
      </w:r>
      <w:r w:rsidRPr="364AC1E7" w:rsidR="3FC34FB0">
        <w:rPr>
          <w:rFonts w:ascii="Calibri" w:hAnsi="Calibri" w:eastAsia="Calibri" w:cs="Calibri"/>
          <w:noProof w:val="0"/>
          <w:sz w:val="28"/>
          <w:szCs w:val="28"/>
          <w:lang w:val="en-US"/>
        </w:rPr>
        <w:t xml:space="preserve">. [online] Available at: </w:t>
      </w:r>
      <w:hyperlink r:id="R67f40efd920c4880">
        <w:r w:rsidRPr="364AC1E7" w:rsidR="3FC34FB0">
          <w:rPr>
            <w:rStyle w:val="Hyperlink"/>
            <w:rFonts w:ascii="Calibri" w:hAnsi="Calibri" w:eastAsia="Calibri" w:cs="Calibri"/>
            <w:noProof w:val="0"/>
            <w:sz w:val="28"/>
            <w:szCs w:val="28"/>
            <w:lang w:val="en-US"/>
          </w:rPr>
          <w:t>https://www.greggs.co.uk</w:t>
        </w:r>
      </w:hyperlink>
      <w:r w:rsidRPr="364AC1E7" w:rsidR="3FC34FB0">
        <w:rPr>
          <w:rFonts w:ascii="Calibri" w:hAnsi="Calibri" w:eastAsia="Calibri" w:cs="Calibri"/>
          <w:noProof w:val="0"/>
          <w:sz w:val="28"/>
          <w:szCs w:val="28"/>
          <w:lang w:val="en-US"/>
        </w:rPr>
        <w:t xml:space="preserve"> [Accessed 11 March 2026].</w:t>
      </w:r>
    </w:p>
    <w:p w:rsidR="3FC34FB0" w:rsidP="364AC1E7" w:rsidRDefault="3FC34FB0" w14:paraId="757FA3E7" w14:textId="669E4AFF">
      <w:pPr>
        <w:pStyle w:val="ListParagraph"/>
        <w:numPr>
          <w:ilvl w:val="0"/>
          <w:numId w:val="2"/>
        </w:numPr>
        <w:spacing w:before="240" w:beforeAutospacing="off" w:after="240" w:afterAutospacing="off"/>
        <w:jc w:val="left"/>
        <w:rPr>
          <w:rFonts w:ascii="Calibri" w:hAnsi="Calibri" w:eastAsia="Calibri" w:cs="Calibri"/>
          <w:noProof w:val="0"/>
          <w:sz w:val="28"/>
          <w:szCs w:val="28"/>
          <w:lang w:val="en-US"/>
        </w:rPr>
      </w:pPr>
      <w:r w:rsidRPr="364AC1E7" w:rsidR="3FC34FB0">
        <w:rPr>
          <w:rFonts w:ascii="Calibri" w:hAnsi="Calibri" w:eastAsia="Calibri" w:cs="Calibri"/>
          <w:b w:val="1"/>
          <w:bCs w:val="1"/>
          <w:noProof w:val="0"/>
          <w:sz w:val="28"/>
          <w:szCs w:val="28"/>
          <w:lang w:val="en-US"/>
        </w:rPr>
        <w:t>Hill Dickinson (2025)</w:t>
      </w:r>
      <w:r w:rsidRPr="364AC1E7" w:rsidR="3FC34FB0">
        <w:rPr>
          <w:rFonts w:ascii="Calibri" w:hAnsi="Calibri" w:eastAsia="Calibri" w:cs="Calibri"/>
          <w:noProof w:val="0"/>
          <w:sz w:val="28"/>
          <w:szCs w:val="28"/>
          <w:lang w:val="en-US"/>
        </w:rPr>
        <w:t xml:space="preserve"> </w:t>
      </w:r>
      <w:r w:rsidRPr="364AC1E7" w:rsidR="3FC34FB0">
        <w:rPr>
          <w:rFonts w:ascii="Calibri" w:hAnsi="Calibri" w:eastAsia="Calibri" w:cs="Calibri"/>
          <w:i w:val="1"/>
          <w:iCs w:val="1"/>
          <w:noProof w:val="0"/>
          <w:sz w:val="28"/>
          <w:szCs w:val="28"/>
          <w:lang w:val="en-US"/>
        </w:rPr>
        <w:t>Understanding Day One Rights: The Employment Law Bill and Retail</w:t>
      </w:r>
      <w:r w:rsidRPr="364AC1E7" w:rsidR="3FC34FB0">
        <w:rPr>
          <w:rFonts w:ascii="Calibri" w:hAnsi="Calibri" w:eastAsia="Calibri" w:cs="Calibri"/>
          <w:noProof w:val="0"/>
          <w:sz w:val="28"/>
          <w:szCs w:val="28"/>
          <w:lang w:val="en-US"/>
        </w:rPr>
        <w:t xml:space="preserve">. [online] Available at: </w:t>
      </w:r>
      <w:hyperlink r:id="Re11c53ddf8c44aca">
        <w:r w:rsidRPr="364AC1E7" w:rsidR="3FC34FB0">
          <w:rPr>
            <w:rStyle w:val="Hyperlink"/>
            <w:rFonts w:ascii="Calibri" w:hAnsi="Calibri" w:eastAsia="Calibri" w:cs="Calibri"/>
            <w:noProof w:val="0"/>
            <w:sz w:val="28"/>
            <w:szCs w:val="28"/>
            <w:lang w:val="en-US"/>
          </w:rPr>
          <w:t>https://www.hilldickinson.com</w:t>
        </w:r>
      </w:hyperlink>
      <w:r w:rsidRPr="364AC1E7" w:rsidR="3FC34FB0">
        <w:rPr>
          <w:rFonts w:ascii="Calibri" w:hAnsi="Calibri" w:eastAsia="Calibri" w:cs="Calibri"/>
          <w:noProof w:val="0"/>
          <w:sz w:val="28"/>
          <w:szCs w:val="28"/>
          <w:lang w:val="en-US"/>
        </w:rPr>
        <w:t xml:space="preserve"> [Accessed 11 March 2026].</w:t>
      </w:r>
    </w:p>
    <w:p w:rsidR="3FC34FB0" w:rsidP="364AC1E7" w:rsidRDefault="3FC34FB0" w14:paraId="79300465" w14:textId="564F27D5">
      <w:pPr>
        <w:pStyle w:val="ListParagraph"/>
        <w:numPr>
          <w:ilvl w:val="0"/>
          <w:numId w:val="2"/>
        </w:numPr>
        <w:spacing w:before="240" w:beforeAutospacing="off" w:after="240" w:afterAutospacing="off"/>
        <w:jc w:val="left"/>
        <w:rPr>
          <w:rFonts w:ascii="Calibri" w:hAnsi="Calibri" w:eastAsia="Calibri" w:cs="Calibri"/>
          <w:noProof w:val="0"/>
          <w:sz w:val="28"/>
          <w:szCs w:val="28"/>
          <w:lang w:val="en-US"/>
        </w:rPr>
      </w:pPr>
      <w:r w:rsidRPr="364AC1E7" w:rsidR="3FC34FB0">
        <w:rPr>
          <w:rFonts w:ascii="Calibri" w:hAnsi="Calibri" w:eastAsia="Calibri" w:cs="Calibri"/>
          <w:b w:val="1"/>
          <w:bCs w:val="1"/>
          <w:noProof w:val="0"/>
          <w:sz w:val="28"/>
          <w:szCs w:val="28"/>
          <w:lang w:val="en-US"/>
        </w:rPr>
        <w:t>Khilji, S.E. and Wang, X. (2006)</w:t>
      </w:r>
      <w:r w:rsidRPr="364AC1E7" w:rsidR="3FC34FB0">
        <w:rPr>
          <w:rFonts w:ascii="Calibri" w:hAnsi="Calibri" w:eastAsia="Calibri" w:cs="Calibri"/>
          <w:noProof w:val="0"/>
          <w:sz w:val="28"/>
          <w:szCs w:val="28"/>
          <w:lang w:val="en-US"/>
        </w:rPr>
        <w:t xml:space="preserve"> 'Intended and implemented HRM: The missing linchpin in strategic human resource management research', </w:t>
      </w:r>
      <w:r w:rsidRPr="364AC1E7" w:rsidR="3FC34FB0">
        <w:rPr>
          <w:rFonts w:ascii="Calibri" w:hAnsi="Calibri" w:eastAsia="Calibri" w:cs="Calibri"/>
          <w:i w:val="1"/>
          <w:iCs w:val="1"/>
          <w:noProof w:val="0"/>
          <w:sz w:val="28"/>
          <w:szCs w:val="28"/>
          <w:lang w:val="en-US"/>
        </w:rPr>
        <w:t>International Journal of Human Resource Management</w:t>
      </w:r>
      <w:r w:rsidRPr="364AC1E7" w:rsidR="3FC34FB0">
        <w:rPr>
          <w:rFonts w:ascii="Calibri" w:hAnsi="Calibri" w:eastAsia="Calibri" w:cs="Calibri"/>
          <w:noProof w:val="0"/>
          <w:sz w:val="28"/>
          <w:szCs w:val="28"/>
          <w:lang w:val="en-US"/>
        </w:rPr>
        <w:t>, 17(7), pp. 1177–1195.</w:t>
      </w:r>
    </w:p>
    <w:p w:rsidR="3FC34FB0" w:rsidP="364AC1E7" w:rsidRDefault="3FC34FB0" w14:paraId="5DD971CB" w14:textId="3BE119A5">
      <w:pPr>
        <w:pStyle w:val="ListParagraph"/>
        <w:numPr>
          <w:ilvl w:val="0"/>
          <w:numId w:val="2"/>
        </w:numPr>
        <w:spacing w:before="240" w:beforeAutospacing="off" w:after="240" w:afterAutospacing="off"/>
        <w:jc w:val="left"/>
        <w:rPr>
          <w:rFonts w:ascii="Calibri" w:hAnsi="Calibri" w:eastAsia="Calibri" w:cs="Calibri"/>
          <w:noProof w:val="0"/>
          <w:sz w:val="28"/>
          <w:szCs w:val="28"/>
          <w:lang w:val="en-US"/>
        </w:rPr>
      </w:pPr>
      <w:r w:rsidRPr="364AC1E7" w:rsidR="3FC34FB0">
        <w:rPr>
          <w:rFonts w:ascii="Calibri" w:hAnsi="Calibri" w:eastAsia="Calibri" w:cs="Calibri"/>
          <w:b w:val="1"/>
          <w:bCs w:val="1"/>
          <w:noProof w:val="0"/>
          <w:sz w:val="28"/>
          <w:szCs w:val="28"/>
          <w:lang w:val="en-US"/>
        </w:rPr>
        <w:t>Shen, J., Chanda, A., D’Netto, B. and Monga, M. (2021)</w:t>
      </w:r>
      <w:r w:rsidRPr="364AC1E7" w:rsidR="3FC34FB0">
        <w:rPr>
          <w:rFonts w:ascii="Calibri" w:hAnsi="Calibri" w:eastAsia="Calibri" w:cs="Calibri"/>
          <w:noProof w:val="0"/>
          <w:sz w:val="28"/>
          <w:szCs w:val="28"/>
          <w:lang w:val="en-US"/>
        </w:rPr>
        <w:t xml:space="preserve"> ‘High-performance work systems and organisational performance: A critical review’, </w:t>
      </w:r>
      <w:r w:rsidRPr="364AC1E7" w:rsidR="3FC34FB0">
        <w:rPr>
          <w:rFonts w:ascii="Calibri" w:hAnsi="Calibri" w:eastAsia="Calibri" w:cs="Calibri"/>
          <w:i w:val="1"/>
          <w:iCs w:val="1"/>
          <w:noProof w:val="0"/>
          <w:sz w:val="28"/>
          <w:szCs w:val="28"/>
          <w:lang w:val="en-US"/>
        </w:rPr>
        <w:t>Human Resource Management</w:t>
      </w:r>
      <w:r w:rsidRPr="364AC1E7" w:rsidR="3FC34FB0">
        <w:rPr>
          <w:rFonts w:ascii="Calibri" w:hAnsi="Calibri" w:eastAsia="Calibri" w:cs="Calibri"/>
          <w:noProof w:val="0"/>
          <w:sz w:val="28"/>
          <w:szCs w:val="28"/>
          <w:lang w:val="en-US"/>
        </w:rPr>
        <w:t>, 60(4), pp. 453–468.</w:t>
      </w:r>
    </w:p>
    <w:p w:rsidR="364AC1E7" w:rsidP="364AC1E7" w:rsidRDefault="364AC1E7" w14:paraId="5CEE7E5B" w14:textId="0BDCD7FC">
      <w:pPr>
        <w:pStyle w:val="Normal"/>
        <w:jc w:val="left"/>
        <w:rPr>
          <w:rFonts w:ascii="Calibri" w:hAnsi="Calibri" w:eastAsia="Calibri" w:cs="Calibri" w:asciiTheme="minorAscii" w:hAnsiTheme="minorAscii" w:eastAsiaTheme="minorAscii" w:cstheme="minorAscii"/>
          <w:b w:val="1"/>
          <w:bCs w:val="1"/>
          <w:noProof w:val="0"/>
          <w:sz w:val="28"/>
          <w:szCs w:val="28"/>
          <w:lang w:val="en-US"/>
        </w:rPr>
      </w:pPr>
    </w:p>
    <w:sectPr>
      <w:pgSz w:w="12240" w:h="15840" w:orient="portrait"/>
      <w:pgMar w:top="1440" w:right="1440" w:bottom="1440" w:left="1440" w:header="720" w:footer="720" w:gutter="0"/>
      <w:cols w:space="720"/>
      <w:docGrid w:linePitch="360"/>
      <w:headerReference w:type="default" r:id="R8f0f89490981470a"/>
      <w:footerReference w:type="default" r:id="Re16e53be5721466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64AC1E7" w:rsidTr="364AC1E7" w14:paraId="508D03BF">
      <w:trPr>
        <w:trHeight w:val="300"/>
      </w:trPr>
      <w:tc>
        <w:tcPr>
          <w:tcW w:w="3120" w:type="dxa"/>
          <w:tcMar/>
        </w:tcPr>
        <w:p w:rsidR="364AC1E7" w:rsidP="364AC1E7" w:rsidRDefault="364AC1E7" w14:paraId="07743B56" w14:textId="59E0611C">
          <w:pPr>
            <w:pStyle w:val="Header"/>
            <w:bidi w:val="0"/>
            <w:ind w:left="-115"/>
            <w:jc w:val="left"/>
          </w:pPr>
        </w:p>
      </w:tc>
      <w:tc>
        <w:tcPr>
          <w:tcW w:w="3120" w:type="dxa"/>
          <w:tcMar/>
        </w:tcPr>
        <w:p w:rsidR="364AC1E7" w:rsidP="364AC1E7" w:rsidRDefault="364AC1E7" w14:paraId="7AA4CFA4" w14:textId="19FD3524">
          <w:pPr>
            <w:pStyle w:val="Header"/>
            <w:bidi w:val="0"/>
            <w:jc w:val="center"/>
          </w:pPr>
        </w:p>
      </w:tc>
      <w:tc>
        <w:tcPr>
          <w:tcW w:w="3120" w:type="dxa"/>
          <w:tcMar/>
        </w:tcPr>
        <w:p w:rsidR="364AC1E7" w:rsidP="364AC1E7" w:rsidRDefault="364AC1E7" w14:paraId="420A57D0" w14:textId="7DB3A307">
          <w:pPr>
            <w:pStyle w:val="Header"/>
            <w:bidi w:val="0"/>
            <w:ind w:right="-115"/>
            <w:jc w:val="right"/>
          </w:pPr>
        </w:p>
      </w:tc>
    </w:tr>
  </w:tbl>
  <w:p w:rsidR="364AC1E7" w:rsidP="364AC1E7" w:rsidRDefault="364AC1E7" w14:paraId="5EB11255" w14:textId="248D4DE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64AC1E7" w:rsidTr="364AC1E7" w14:paraId="158CFE96">
      <w:trPr>
        <w:trHeight w:val="300"/>
      </w:trPr>
      <w:tc>
        <w:tcPr>
          <w:tcW w:w="3120" w:type="dxa"/>
          <w:tcMar/>
        </w:tcPr>
        <w:p w:rsidR="364AC1E7" w:rsidP="364AC1E7" w:rsidRDefault="364AC1E7" w14:paraId="12D71FAB" w14:textId="1C8339DD">
          <w:pPr>
            <w:pStyle w:val="Header"/>
            <w:bidi w:val="0"/>
            <w:ind w:left="-115"/>
            <w:jc w:val="center"/>
          </w:pPr>
          <w:r w:rsidR="364AC1E7">
            <w:rPr/>
            <w:t xml:space="preserve">Bianca Stefan </w:t>
          </w:r>
        </w:p>
        <w:p w:rsidR="364AC1E7" w:rsidP="364AC1E7" w:rsidRDefault="364AC1E7" w14:paraId="0BBC8196" w14:textId="0B14DB11">
          <w:pPr>
            <w:pStyle w:val="Header"/>
            <w:bidi w:val="0"/>
            <w:ind w:left="-115"/>
            <w:jc w:val="center"/>
          </w:pPr>
          <w:r w:rsidR="364AC1E7">
            <w:rPr/>
            <w:t>2410076</w:t>
          </w:r>
        </w:p>
      </w:tc>
      <w:tc>
        <w:tcPr>
          <w:tcW w:w="3120" w:type="dxa"/>
          <w:tcMar/>
        </w:tcPr>
        <w:p w:rsidR="364AC1E7" w:rsidP="364AC1E7" w:rsidRDefault="364AC1E7" w14:paraId="62D33C5F" w14:textId="3227608A">
          <w:pPr>
            <w:pStyle w:val="Header"/>
            <w:bidi w:val="0"/>
            <w:jc w:val="center"/>
            <w:rPr>
              <w:rFonts w:ascii="Calibri" w:hAnsi="Calibri" w:eastAsia="Calibri" w:cs="Calibri" w:asciiTheme="minorAscii" w:hAnsiTheme="minorAscii" w:eastAsiaTheme="minorAscii" w:cstheme="minorAscii"/>
              <w:b w:val="0"/>
              <w:bCs w:val="0"/>
              <w:noProof w:val="0"/>
              <w:sz w:val="22"/>
              <w:szCs w:val="22"/>
              <w:lang w:val="en-US"/>
            </w:rPr>
          </w:pPr>
          <w:r w:rsidRPr="364AC1E7" w:rsidR="364AC1E7">
            <w:rPr>
              <w:rFonts w:ascii="Calibri" w:hAnsi="Calibri" w:eastAsia="Calibri" w:cs="Calibri" w:asciiTheme="minorAscii" w:hAnsiTheme="minorAscii" w:eastAsiaTheme="minorAscii" w:cstheme="minorAscii"/>
              <w:b w:val="0"/>
              <w:bCs w:val="0"/>
              <w:noProof w:val="0"/>
              <w:sz w:val="22"/>
              <w:szCs w:val="22"/>
              <w:lang w:val="en-US"/>
            </w:rPr>
            <w:t>BA (Hons) Leadership and Management Skills for the Workplace</w:t>
          </w:r>
        </w:p>
      </w:tc>
      <w:tc>
        <w:tcPr>
          <w:tcW w:w="3120" w:type="dxa"/>
          <w:tcMar/>
        </w:tcPr>
        <w:p w:rsidR="364AC1E7" w:rsidP="364AC1E7" w:rsidRDefault="364AC1E7" w14:paraId="39129E8E" w14:textId="1B37EA64">
          <w:pPr>
            <w:pStyle w:val="Header"/>
            <w:bidi w:val="0"/>
            <w:ind w:right="-115"/>
            <w:jc w:val="center"/>
          </w:pPr>
          <w:r w:rsidR="364AC1E7">
            <w:rPr/>
            <w:t xml:space="preserve">Doreen Nyaa </w:t>
          </w:r>
          <w:r w:rsidR="364AC1E7">
            <w:rPr/>
            <w:t>Amundam</w:t>
          </w:r>
          <w:r w:rsidR="364AC1E7">
            <w:rPr/>
            <w:t xml:space="preserve"> </w:t>
          </w:r>
        </w:p>
      </w:tc>
    </w:tr>
  </w:tbl>
  <w:p w:rsidR="364AC1E7" w:rsidP="364AC1E7" w:rsidRDefault="364AC1E7" w14:paraId="12FC68E1" w14:textId="72977A97">
    <w:pPr>
      <w:pStyle w:val="Header"/>
      <w:bidi w:val="0"/>
    </w:pPr>
  </w:p>
</w:hdr>
</file>

<file path=word/numbering.xml><?xml version="1.0" encoding="utf-8"?>
<w:numbering xmlns:w="http://schemas.openxmlformats.org/wordprocessingml/2006/main">
  <w:abstractNum xmlns:w="http://schemas.openxmlformats.org/wordprocessingml/2006/main" w:abstractNumId="2">
    <w:nsid w:val="6eb649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e9083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53B8AF"/>
    <w:rsid w:val="0552452F"/>
    <w:rsid w:val="0829CF54"/>
    <w:rsid w:val="11A660E3"/>
    <w:rsid w:val="13968E0C"/>
    <w:rsid w:val="13AC4E5E"/>
    <w:rsid w:val="19106A55"/>
    <w:rsid w:val="19247B41"/>
    <w:rsid w:val="1D24DB3E"/>
    <w:rsid w:val="234AB267"/>
    <w:rsid w:val="26A50E64"/>
    <w:rsid w:val="2A2B0661"/>
    <w:rsid w:val="30F86E8A"/>
    <w:rsid w:val="3253B8AF"/>
    <w:rsid w:val="364AC1E7"/>
    <w:rsid w:val="3BCF0598"/>
    <w:rsid w:val="3D89F1D5"/>
    <w:rsid w:val="3FC34FB0"/>
    <w:rsid w:val="48F98ED9"/>
    <w:rsid w:val="4AC23904"/>
    <w:rsid w:val="50BD5B98"/>
    <w:rsid w:val="512D1633"/>
    <w:rsid w:val="55E31C65"/>
    <w:rsid w:val="58F7BA6E"/>
    <w:rsid w:val="5F7ECC03"/>
    <w:rsid w:val="65FBD2B5"/>
    <w:rsid w:val="6D35238D"/>
    <w:rsid w:val="6F4C7182"/>
    <w:rsid w:val="6FDBC133"/>
    <w:rsid w:val="72DE97B7"/>
    <w:rsid w:val="74C1E182"/>
    <w:rsid w:val="78591513"/>
    <w:rsid w:val="7FB9CB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3B8AF"/>
  <w15:chartTrackingRefBased/>
  <w15:docId w15:val="{999E89DF-4320-45C8-B77B-C53A5D9CCA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64AC1E7"/>
    <w:pPr>
      <w:tabs>
        <w:tab w:val="center" w:leader="none" w:pos="4680"/>
        <w:tab w:val="right" w:leader="none" w:pos="9360"/>
      </w:tabs>
      <w:spacing w:after="0" w:line="240" w:lineRule="auto"/>
    </w:pPr>
  </w:style>
  <w:style w:type="paragraph" w:styleId="Footer">
    <w:uiPriority w:val="99"/>
    <w:name w:val="footer"/>
    <w:basedOn w:val="Normal"/>
    <w:unhideWhenUsed/>
    <w:rsid w:val="364AC1E7"/>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364AC1E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64AC1E7"/>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64AC1E7"/>
    <w:pPr>
      <w:spacing/>
      <w:ind w:left="720"/>
      <w:contextualSpacing/>
    </w:pPr>
  </w:style>
  <w:style w:type="character" w:styleId="Hyperlink">
    <w:uiPriority w:val="99"/>
    <w:name w:val="Hyperlink"/>
    <w:basedOn w:val="DefaultParagraphFont"/>
    <w:unhideWhenUsed/>
    <w:rsid w:val="364AC1E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ipd.org/" TargetMode="External" Id="Rf97b9c0f3453422b" /><Relationship Type="http://schemas.openxmlformats.org/officeDocument/2006/relationships/hyperlink" Target="https://www.greggs.co.uk/" TargetMode="External" Id="R67f40efd920c4880" /><Relationship Type="http://schemas.openxmlformats.org/officeDocument/2006/relationships/hyperlink" Target="https://www.hilldickinson.com/" TargetMode="External" Id="Re11c53ddf8c44aca" /><Relationship Type="http://schemas.openxmlformats.org/officeDocument/2006/relationships/header" Target="header.xml" Id="R8f0f89490981470a" /><Relationship Type="http://schemas.openxmlformats.org/officeDocument/2006/relationships/footer" Target="footer.xml" Id="Re16e53be57214667" /><Relationship Type="http://schemas.openxmlformats.org/officeDocument/2006/relationships/numbering" Target="numbering.xml" Id="R2d24f23f55d94be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2026-03-11T11:40:57.2338478Z</dcterms:created>
  <dcterms:modified xsi:type="dcterms:W3CDTF">2026-03-11T12:01:02.0512168Z</dcterms:modified>
  <dc:creator>Bianca Stefan (2410076)</dc:creator>
  <lastModifiedBy>Bianca Stefan (2410076)</lastModifiedBy>
</coreProperties>
</file>