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20173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8A24422" wp14:editId="041CD7D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F27796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8752423" w14:textId="77777777" w:rsidTr="00A406E5">
        <w:tc>
          <w:tcPr>
            <w:tcW w:w="9922" w:type="dxa"/>
            <w:shd w:val="clear" w:color="auto" w:fill="C0C0C0"/>
          </w:tcPr>
          <w:p w14:paraId="1869A89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0F81B8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7AC28B5" w14:textId="77777777" w:rsidTr="008F1308">
        <w:tc>
          <w:tcPr>
            <w:tcW w:w="2093" w:type="dxa"/>
            <w:shd w:val="pct15" w:color="auto" w:fill="auto"/>
          </w:tcPr>
          <w:p w14:paraId="3945929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167930" w14:textId="67B85EB4"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4374EC">
              <w:rPr>
                <w:rFonts w:ascii="Arial" w:hAnsi="Arial" w:cs="Arial"/>
                <w:b/>
                <w:sz w:val="22"/>
                <w:szCs w:val="22"/>
              </w:rPr>
              <w:t>Aimee Passmore</w:t>
            </w:r>
          </w:p>
        </w:tc>
        <w:tc>
          <w:tcPr>
            <w:tcW w:w="2268" w:type="dxa"/>
            <w:shd w:val="clear" w:color="auto" w:fill="D9D9D9"/>
          </w:tcPr>
          <w:p w14:paraId="2233EC5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FED7DE" w14:textId="62AE0EF3" w:rsidR="003B3F9D" w:rsidRPr="00A406E5" w:rsidRDefault="004374EC" w:rsidP="001E57C1">
            <w:pPr>
              <w:spacing w:before="120" w:after="120"/>
              <w:jc w:val="both"/>
              <w:rPr>
                <w:rFonts w:ascii="Arial" w:hAnsi="Arial" w:cs="Arial"/>
                <w:b/>
                <w:sz w:val="22"/>
                <w:szCs w:val="22"/>
              </w:rPr>
            </w:pPr>
            <w:r>
              <w:rPr>
                <w:rFonts w:ascii="Arial" w:hAnsi="Arial" w:cs="Arial"/>
                <w:b/>
                <w:sz w:val="22"/>
                <w:szCs w:val="22"/>
              </w:rPr>
              <w:t>1804231</w:t>
            </w:r>
          </w:p>
        </w:tc>
      </w:tr>
      <w:tr w:rsidR="00DB116D" w:rsidRPr="00A406E5" w14:paraId="34B4D59F" w14:textId="77777777" w:rsidTr="00A406E5">
        <w:tc>
          <w:tcPr>
            <w:tcW w:w="2093" w:type="dxa"/>
            <w:shd w:val="pct15" w:color="auto" w:fill="auto"/>
          </w:tcPr>
          <w:p w14:paraId="42A25F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255182" w14:textId="77777777" w:rsidR="00DB116D" w:rsidRPr="00A406E5" w:rsidRDefault="00F63C8B" w:rsidP="00E51AAC">
            <w:pPr>
              <w:spacing w:before="120" w:after="120"/>
              <w:jc w:val="both"/>
              <w:rPr>
                <w:rFonts w:ascii="Arial" w:hAnsi="Arial" w:cs="Arial"/>
                <w:b/>
                <w:sz w:val="22"/>
                <w:szCs w:val="22"/>
              </w:rPr>
            </w:pPr>
            <w:r>
              <w:rPr>
                <w:rFonts w:ascii="Arial" w:hAnsi="Arial" w:cs="Arial"/>
                <w:b/>
                <w:sz w:val="22"/>
                <w:szCs w:val="22"/>
              </w:rPr>
              <w:t>Secondary PGCE</w:t>
            </w:r>
          </w:p>
        </w:tc>
      </w:tr>
      <w:tr w:rsidR="008F1308" w:rsidRPr="00A406E5" w14:paraId="069728E3" w14:textId="77777777" w:rsidTr="00A628CC">
        <w:tc>
          <w:tcPr>
            <w:tcW w:w="2093" w:type="dxa"/>
            <w:shd w:val="pct15" w:color="auto" w:fill="auto"/>
          </w:tcPr>
          <w:p w14:paraId="1874161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8806EAF" w14:textId="77777777" w:rsidR="00F63C8B" w:rsidRPr="00F63C8B" w:rsidRDefault="00F63C8B" w:rsidP="00F63C8B">
            <w:pPr>
              <w:pStyle w:val="NormalWeb"/>
              <w:rPr>
                <w:sz w:val="22"/>
                <w:szCs w:val="22"/>
              </w:rPr>
            </w:pPr>
            <w:r w:rsidRPr="00F63C8B">
              <w:rPr>
                <w:rFonts w:ascii="Arial" w:hAnsi="Arial" w:cs="Arial"/>
                <w:b/>
                <w:bCs/>
                <w:sz w:val="22"/>
                <w:szCs w:val="22"/>
              </w:rPr>
              <w:t xml:space="preserve">Curriculum Development and Enhancement </w:t>
            </w:r>
          </w:p>
          <w:p w14:paraId="322312DB" w14:textId="77777777" w:rsidR="008F1308" w:rsidRPr="00F63C8B" w:rsidRDefault="008F1308" w:rsidP="00E51AAC">
            <w:pPr>
              <w:spacing w:before="120" w:after="120"/>
              <w:jc w:val="both"/>
              <w:rPr>
                <w:rFonts w:ascii="Arial" w:hAnsi="Arial" w:cs="Arial"/>
                <w:b/>
                <w:sz w:val="22"/>
                <w:szCs w:val="22"/>
              </w:rPr>
            </w:pPr>
          </w:p>
        </w:tc>
      </w:tr>
      <w:tr w:rsidR="00B84B5B" w:rsidRPr="00A406E5" w14:paraId="55BA7AD7" w14:textId="77777777" w:rsidTr="008F1308">
        <w:tc>
          <w:tcPr>
            <w:tcW w:w="2093" w:type="dxa"/>
            <w:shd w:val="pct15" w:color="auto" w:fill="auto"/>
          </w:tcPr>
          <w:p w14:paraId="7008515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24B439" w14:textId="77777777" w:rsidR="00B84B5B" w:rsidRPr="00A406E5" w:rsidRDefault="00F63C8B" w:rsidP="00152E9D">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14:paraId="3D22A4E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1C3216" w14:textId="77777777" w:rsidR="00B84B5B" w:rsidRPr="00A406E5" w:rsidRDefault="00F63C8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12924DD" w14:textId="77777777" w:rsidTr="008F1308">
        <w:tc>
          <w:tcPr>
            <w:tcW w:w="2093" w:type="dxa"/>
            <w:shd w:val="pct15" w:color="auto" w:fill="auto"/>
          </w:tcPr>
          <w:p w14:paraId="6E0765E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CDCC93A" w14:textId="77777777" w:rsidR="00DB116D" w:rsidRPr="00A406E5" w:rsidRDefault="00F63C8B" w:rsidP="00E51AAC">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14:paraId="2D2071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09D6499" w14:textId="77777777" w:rsidR="00DB116D" w:rsidRPr="00A406E5" w:rsidRDefault="00DB116D" w:rsidP="00E51AAC">
            <w:pPr>
              <w:spacing w:before="120" w:after="120"/>
              <w:jc w:val="both"/>
              <w:rPr>
                <w:rFonts w:ascii="Arial" w:hAnsi="Arial" w:cs="Arial"/>
                <w:b/>
                <w:sz w:val="22"/>
                <w:szCs w:val="22"/>
              </w:rPr>
            </w:pPr>
          </w:p>
        </w:tc>
      </w:tr>
      <w:tr w:rsidR="00DB116D" w:rsidRPr="00A406E5" w14:paraId="58EF55DF" w14:textId="77777777" w:rsidTr="008F1308">
        <w:tc>
          <w:tcPr>
            <w:tcW w:w="2093" w:type="dxa"/>
            <w:shd w:val="pct15" w:color="auto" w:fill="auto"/>
          </w:tcPr>
          <w:p w14:paraId="6277FF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095EEE5" w14:textId="77777777" w:rsidR="00F63C8B" w:rsidRDefault="00F63C8B" w:rsidP="00F63C8B">
            <w:pPr>
              <w:pStyle w:val="NormalWeb"/>
            </w:pPr>
            <w:r>
              <w:rPr>
                <w:rFonts w:ascii="Arial" w:hAnsi="Arial" w:cs="Arial"/>
                <w:b/>
                <w:bCs/>
                <w:sz w:val="22"/>
                <w:szCs w:val="22"/>
              </w:rPr>
              <w:t xml:space="preserve">Research Study including Ethics Form </w:t>
            </w:r>
          </w:p>
          <w:p w14:paraId="02FA9E43"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6396265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24A9635" w14:textId="77777777" w:rsidR="00F63C8B" w:rsidRDefault="00F63C8B" w:rsidP="00F63C8B">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52712042" w14:textId="77777777" w:rsidR="00DB116D" w:rsidRPr="00A406E5" w:rsidRDefault="00DB116D" w:rsidP="00E51AAC">
            <w:pPr>
              <w:spacing w:before="120" w:after="120"/>
              <w:jc w:val="both"/>
              <w:rPr>
                <w:rFonts w:ascii="Arial" w:hAnsi="Arial" w:cs="Arial"/>
                <w:b/>
                <w:sz w:val="22"/>
                <w:szCs w:val="22"/>
              </w:rPr>
            </w:pPr>
          </w:p>
        </w:tc>
      </w:tr>
      <w:tr w:rsidR="00B84B5B" w:rsidRPr="00A406E5" w14:paraId="57299C12" w14:textId="77777777" w:rsidTr="008F1308">
        <w:tc>
          <w:tcPr>
            <w:tcW w:w="2093" w:type="dxa"/>
            <w:shd w:val="pct15" w:color="auto" w:fill="auto"/>
          </w:tcPr>
          <w:p w14:paraId="70BE3A4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CCFAA90" w14:textId="77777777" w:rsidR="00F63C8B" w:rsidRDefault="00F63C8B" w:rsidP="00F63C8B">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55CF2343"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0688B01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D8014D" w14:textId="77777777" w:rsidR="00F63C8B" w:rsidRDefault="00F63C8B" w:rsidP="00F63C8B">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14:paraId="2DB6C17D" w14:textId="77777777" w:rsidR="00B84B5B" w:rsidRPr="00A406E5" w:rsidRDefault="00B84B5B" w:rsidP="005F0579">
            <w:pPr>
              <w:spacing w:before="120" w:after="120"/>
              <w:jc w:val="both"/>
              <w:rPr>
                <w:rFonts w:ascii="Arial" w:hAnsi="Arial" w:cs="Arial"/>
                <w:b/>
                <w:sz w:val="22"/>
                <w:szCs w:val="22"/>
              </w:rPr>
            </w:pPr>
          </w:p>
        </w:tc>
      </w:tr>
      <w:tr w:rsidR="00152E9D" w:rsidRPr="00A406E5" w14:paraId="4D6607D7" w14:textId="77777777" w:rsidTr="00A406E5">
        <w:tc>
          <w:tcPr>
            <w:tcW w:w="2093" w:type="dxa"/>
            <w:shd w:val="pct15" w:color="auto" w:fill="auto"/>
          </w:tcPr>
          <w:p w14:paraId="7255393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80517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C2FAE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206F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2E66D6C" w14:textId="77777777" w:rsidTr="00A406E5">
        <w:tc>
          <w:tcPr>
            <w:tcW w:w="2093" w:type="dxa"/>
            <w:shd w:val="pct15" w:color="auto" w:fill="auto"/>
          </w:tcPr>
          <w:p w14:paraId="5E4792F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ADE72C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D00B15C" w14:textId="77777777" w:rsidR="0028204E" w:rsidRPr="00A406E5" w:rsidRDefault="0028204E" w:rsidP="00DB116D">
      <w:pPr>
        <w:rPr>
          <w:rFonts w:ascii="Arial" w:hAnsi="Arial" w:cs="Arial"/>
          <w:sz w:val="32"/>
        </w:rPr>
      </w:pPr>
    </w:p>
    <w:p w14:paraId="3EA0EA31" w14:textId="0FA1A429" w:rsidR="00152E9D" w:rsidRDefault="00152E9D" w:rsidP="00DB116D">
      <w:pPr>
        <w:rPr>
          <w:rFonts w:ascii="Arial" w:hAnsi="Arial" w:cs="Arial"/>
          <w:sz w:val="32"/>
        </w:rPr>
      </w:pPr>
    </w:p>
    <w:p w14:paraId="4723663A" w14:textId="341594CA" w:rsidR="004374EC" w:rsidRDefault="004374EC" w:rsidP="00DB116D">
      <w:pPr>
        <w:rPr>
          <w:rFonts w:ascii="Arial" w:hAnsi="Arial" w:cs="Arial"/>
          <w:sz w:val="32"/>
        </w:rPr>
      </w:pPr>
    </w:p>
    <w:p w14:paraId="3AF9DB6E" w14:textId="1E63E0D5" w:rsidR="004374EC" w:rsidRDefault="004374EC" w:rsidP="00DB116D">
      <w:pPr>
        <w:rPr>
          <w:rFonts w:ascii="Arial" w:hAnsi="Arial" w:cs="Arial"/>
          <w:sz w:val="32"/>
        </w:rPr>
      </w:pPr>
    </w:p>
    <w:p w14:paraId="78B504FF" w14:textId="538D9EA0" w:rsidR="004374EC" w:rsidRDefault="004374EC" w:rsidP="00DB116D">
      <w:pPr>
        <w:rPr>
          <w:rFonts w:ascii="Arial" w:hAnsi="Arial" w:cs="Arial"/>
          <w:sz w:val="32"/>
        </w:rPr>
      </w:pPr>
    </w:p>
    <w:p w14:paraId="7B0B40DB" w14:textId="77777777" w:rsidR="004374EC" w:rsidRPr="00A406E5" w:rsidRDefault="004374EC" w:rsidP="00DB116D">
      <w:pPr>
        <w:rPr>
          <w:rFonts w:ascii="Arial" w:hAnsi="Arial" w:cs="Arial"/>
          <w:sz w:val="32"/>
        </w:rPr>
      </w:pPr>
      <w:bookmarkStart w:id="0" w:name="_GoBack"/>
      <w:bookmarkEnd w:id="0"/>
    </w:p>
    <w:p w14:paraId="26E0C128" w14:textId="77777777" w:rsidR="004374EC" w:rsidRPr="004374EC" w:rsidRDefault="004374EC" w:rsidP="004374EC">
      <w:pPr>
        <w:rPr>
          <w:rFonts w:ascii="Calibri" w:hAnsi="Calibri"/>
          <w:b/>
          <w:sz w:val="24"/>
          <w:szCs w:val="24"/>
          <w:u w:val="single"/>
        </w:rPr>
      </w:pPr>
      <w:r w:rsidRPr="004374EC">
        <w:rPr>
          <w:rFonts w:ascii="Calibri" w:hAnsi="Calibri"/>
          <w:b/>
          <w:sz w:val="24"/>
          <w:szCs w:val="24"/>
          <w:u w:val="single"/>
        </w:rPr>
        <w:lastRenderedPageBreak/>
        <w:t>Curriculum development and enhancement- Aimee Passmore</w:t>
      </w:r>
    </w:p>
    <w:p w14:paraId="175EE1E4" w14:textId="77777777" w:rsidR="004374EC" w:rsidRPr="004374EC" w:rsidRDefault="004374EC" w:rsidP="004374EC">
      <w:pPr>
        <w:rPr>
          <w:rFonts w:ascii="Calibri" w:hAnsi="Calibri"/>
          <w:sz w:val="24"/>
          <w:szCs w:val="24"/>
          <w:u w:val="single"/>
        </w:rPr>
      </w:pPr>
    </w:p>
    <w:p w14:paraId="2E0CB0CF" w14:textId="77777777" w:rsidR="004374EC" w:rsidRPr="004374EC" w:rsidRDefault="004374EC" w:rsidP="004374EC">
      <w:pPr>
        <w:rPr>
          <w:rFonts w:ascii="Calibri" w:hAnsi="Calibri"/>
          <w:sz w:val="24"/>
          <w:szCs w:val="24"/>
          <w:u w:val="single"/>
        </w:rPr>
      </w:pPr>
      <w:r w:rsidRPr="004374EC">
        <w:rPr>
          <w:rFonts w:ascii="Calibri" w:hAnsi="Calibri"/>
          <w:sz w:val="24"/>
          <w:szCs w:val="24"/>
          <w:u w:val="single"/>
        </w:rPr>
        <w:t xml:space="preserve">Introduction </w:t>
      </w:r>
    </w:p>
    <w:p w14:paraId="37E7CBE4" w14:textId="77777777" w:rsidR="004374EC" w:rsidRPr="004374EC" w:rsidRDefault="004374EC" w:rsidP="004374EC">
      <w:pPr>
        <w:rPr>
          <w:rFonts w:ascii="Calibri" w:hAnsi="Calibri"/>
          <w:sz w:val="24"/>
          <w:szCs w:val="24"/>
        </w:rPr>
      </w:pPr>
      <w:r w:rsidRPr="004374EC">
        <w:rPr>
          <w:rFonts w:ascii="Calibri" w:hAnsi="Calibri"/>
          <w:sz w:val="24"/>
          <w:szCs w:val="24"/>
        </w:rPr>
        <w:t>During this essay I will be exploring the importance of scientific literacy within the classroom and its importance in enabling pupils to answer exam questions. I will be focusing on using inference techniques; in particular, inference squares to improve pupils’ responses to Programme of International Student Assessment (PISA) style questions. PISA testing aims to assess pupils between 15 and 16 years of age on their ability to apply their skills and key knowledge in unfamiliar contexts.</w:t>
      </w:r>
    </w:p>
    <w:p w14:paraId="5285C9BC" w14:textId="77777777" w:rsidR="004374EC" w:rsidRPr="004374EC" w:rsidRDefault="004374EC" w:rsidP="004374EC">
      <w:pPr>
        <w:rPr>
          <w:rFonts w:ascii="Calibri" w:hAnsi="Calibri"/>
          <w:sz w:val="24"/>
          <w:szCs w:val="24"/>
        </w:rPr>
      </w:pPr>
      <w:r w:rsidRPr="004374EC">
        <w:rPr>
          <w:rFonts w:ascii="Calibri" w:hAnsi="Calibri"/>
          <w:sz w:val="24"/>
          <w:szCs w:val="24"/>
        </w:rPr>
        <w:t>The school in which my research was carried out, School X, is an 11-16 school with approximately 1,250 pupils currently enrolled. The school has a higher than average proportion of pupils entitled to free school meals (FSM) (17.4%) and 40% of pupils are on the Special Educational Needs (SEN) Register, this is significantly higher than the national average which lies around 22.9%.</w:t>
      </w:r>
    </w:p>
    <w:p w14:paraId="71991E51" w14:textId="77777777" w:rsidR="004374EC" w:rsidRPr="004374EC" w:rsidRDefault="004374EC" w:rsidP="004374EC">
      <w:pPr>
        <w:rPr>
          <w:rFonts w:ascii="Calibri" w:hAnsi="Calibri"/>
          <w:sz w:val="24"/>
          <w:szCs w:val="24"/>
        </w:rPr>
      </w:pPr>
      <w:r w:rsidRPr="004374EC">
        <w:rPr>
          <w:rFonts w:ascii="Calibri" w:hAnsi="Calibri"/>
          <w:sz w:val="24"/>
          <w:szCs w:val="24"/>
        </w:rPr>
        <w:t>The class involved in my study, Class Y, consists of a year 7 class expected to obtain C/D grades at GCSE level. There are 28 pupils on the class register and 2 of these pupils are FSM and 4 pupils have some form of additional learning need (ALN); One pupil has dyslexia, 2 require additional literacy support and one pupil has behavioural, social and emotional difficulties (BSED).</w:t>
      </w:r>
    </w:p>
    <w:p w14:paraId="1A2CEE48" w14:textId="77777777" w:rsidR="004374EC" w:rsidRPr="004374EC" w:rsidRDefault="004374EC" w:rsidP="004374EC">
      <w:pPr>
        <w:rPr>
          <w:rFonts w:ascii="Calibri" w:hAnsi="Calibri"/>
          <w:sz w:val="24"/>
          <w:szCs w:val="24"/>
          <w:u w:val="single"/>
        </w:rPr>
      </w:pPr>
    </w:p>
    <w:p w14:paraId="48BE0684" w14:textId="77777777" w:rsidR="004374EC" w:rsidRPr="004374EC" w:rsidRDefault="004374EC" w:rsidP="004374EC">
      <w:pPr>
        <w:rPr>
          <w:rFonts w:ascii="Calibri" w:hAnsi="Calibri"/>
          <w:sz w:val="24"/>
          <w:szCs w:val="24"/>
          <w:u w:val="single"/>
        </w:rPr>
      </w:pPr>
      <w:r w:rsidRPr="004374EC">
        <w:rPr>
          <w:rFonts w:ascii="Calibri" w:hAnsi="Calibri"/>
          <w:sz w:val="24"/>
          <w:szCs w:val="24"/>
          <w:u w:val="single"/>
        </w:rPr>
        <w:t xml:space="preserve">Literature Review </w:t>
      </w:r>
    </w:p>
    <w:p w14:paraId="3D0CBEEF" w14:textId="77777777" w:rsidR="004374EC" w:rsidRPr="004374EC" w:rsidRDefault="004374EC" w:rsidP="004374EC">
      <w:pPr>
        <w:rPr>
          <w:rFonts w:ascii="Calibri" w:hAnsi="Calibri"/>
          <w:sz w:val="24"/>
          <w:szCs w:val="24"/>
        </w:rPr>
      </w:pPr>
      <w:r w:rsidRPr="004374EC">
        <w:rPr>
          <w:rFonts w:ascii="Calibri" w:hAnsi="Calibri"/>
          <w:sz w:val="24"/>
          <w:szCs w:val="24"/>
        </w:rPr>
        <w:t>The importance of literacy skills is highlighted by the Literacy and Numeracy Framework (LNF), published in 2013. The LNF states that literacy is to be implemented across all subjects of the curriculum. Teachers are expected to integrate literacy tasks into their lessons in order to ensure progression of all learners in their ability to apply literacy skills in every subject.  The OECD stresses the link between scientific literacy, environmental concerns and growth of the economy. Therefore, highlighting the importance of all citizens learning the skills required to tackle science related issues in everyday life.</w:t>
      </w:r>
    </w:p>
    <w:p w14:paraId="2D05AD85" w14:textId="77777777" w:rsidR="004374EC" w:rsidRPr="004374EC" w:rsidRDefault="004374EC" w:rsidP="004374EC">
      <w:pPr>
        <w:rPr>
          <w:rFonts w:ascii="Calibri" w:hAnsi="Calibri"/>
          <w:sz w:val="24"/>
          <w:szCs w:val="24"/>
        </w:rPr>
      </w:pPr>
      <w:r w:rsidRPr="004374EC">
        <w:rPr>
          <w:rFonts w:ascii="Calibri" w:hAnsi="Calibri"/>
          <w:sz w:val="24"/>
          <w:szCs w:val="24"/>
        </w:rPr>
        <w:t>This study will focus on strand 3 of the LNF- Reading. Pupils are required to use reading strategies and comprehension skills in order to answer a set of multiple-choice PISA questions.</w:t>
      </w:r>
    </w:p>
    <w:p w14:paraId="4DDE80DC" w14:textId="77777777" w:rsidR="004374EC" w:rsidRPr="004374EC" w:rsidRDefault="004374EC" w:rsidP="004374EC">
      <w:pPr>
        <w:rPr>
          <w:rFonts w:ascii="Calibri" w:hAnsi="Calibri"/>
          <w:sz w:val="24"/>
          <w:szCs w:val="24"/>
        </w:rPr>
      </w:pPr>
      <w:r w:rsidRPr="004374EC">
        <w:rPr>
          <w:rFonts w:ascii="Calibri" w:hAnsi="Calibri"/>
          <w:sz w:val="24"/>
          <w:szCs w:val="24"/>
        </w:rPr>
        <w:t>International testing is a useful tool in aiding the decision making for educational development and enhancement (Bybee and McCrae, 2011).  It is a tool which can highlight strengths and failings within a country’s educational system and result in tailored adjustments in order to improve these areas of weakness and improve pupil attainment. The Programme for International Student Assessment (PISA), launched in 1997, is one of the most highly regarded international tests and collects data from 72 countries.</w:t>
      </w:r>
    </w:p>
    <w:p w14:paraId="6C0264F1" w14:textId="77777777" w:rsidR="004374EC" w:rsidRPr="004374EC" w:rsidRDefault="004374EC" w:rsidP="004374EC">
      <w:pPr>
        <w:rPr>
          <w:rFonts w:ascii="Calibri" w:hAnsi="Calibri"/>
          <w:sz w:val="24"/>
          <w:szCs w:val="24"/>
        </w:rPr>
      </w:pPr>
      <w:r w:rsidRPr="004374EC">
        <w:rPr>
          <w:rFonts w:ascii="Calibri" w:hAnsi="Calibri"/>
          <w:sz w:val="24"/>
          <w:szCs w:val="24"/>
        </w:rPr>
        <w:t xml:space="preserve">Angel Gurria, secretary general of the OECD (Organisation for Economic Co-operation and Development) describes PISA as ‘the world’s premier yardstick’ to be used as a comparison tool for the appraisal of school systems across the globe and stresses that every country has the ability to use PISA as a basis to improve their educational systems (OECD, 2018). However, Griffin (2015) argues that Pisa only gives a ‘snapshot’ of the achievement of 15-year olds and therefore should not be fixated over. This view is shared by </w:t>
      </w:r>
      <w:proofErr w:type="spellStart"/>
      <w:r w:rsidRPr="004374EC">
        <w:rPr>
          <w:rFonts w:ascii="Calibri" w:hAnsi="Calibri"/>
          <w:sz w:val="24"/>
          <w:szCs w:val="24"/>
        </w:rPr>
        <w:t>Tienken</w:t>
      </w:r>
      <w:proofErr w:type="spellEnd"/>
      <w:r w:rsidRPr="004374EC">
        <w:rPr>
          <w:rFonts w:ascii="Calibri" w:hAnsi="Calibri"/>
          <w:sz w:val="24"/>
          <w:szCs w:val="24"/>
        </w:rPr>
        <w:t xml:space="preserve"> (2014) who believes PISA rankings are unimportant and do not have the ability to give educators significant insights into how prepared students are to enter the world of work.</w:t>
      </w:r>
    </w:p>
    <w:p w14:paraId="32E75668" w14:textId="77777777" w:rsidR="004374EC" w:rsidRPr="004374EC" w:rsidRDefault="004374EC" w:rsidP="004374EC">
      <w:pPr>
        <w:rPr>
          <w:rFonts w:ascii="Calibri" w:hAnsi="Calibri"/>
          <w:sz w:val="24"/>
          <w:szCs w:val="24"/>
        </w:rPr>
      </w:pPr>
      <w:r w:rsidRPr="004374EC">
        <w:rPr>
          <w:rFonts w:ascii="Calibri" w:hAnsi="Calibri"/>
          <w:sz w:val="24"/>
          <w:szCs w:val="24"/>
        </w:rPr>
        <w:t>Standardized testing is one of the most useful tools for implementing educational reform and improvement (</w:t>
      </w:r>
      <w:proofErr w:type="spellStart"/>
      <w:r w:rsidRPr="004374EC">
        <w:rPr>
          <w:rFonts w:ascii="Calibri" w:hAnsi="Calibri"/>
          <w:sz w:val="24"/>
          <w:szCs w:val="24"/>
        </w:rPr>
        <w:t>Schleicher</w:t>
      </w:r>
      <w:proofErr w:type="spellEnd"/>
      <w:r w:rsidRPr="004374EC">
        <w:rPr>
          <w:rFonts w:ascii="Calibri" w:hAnsi="Calibri"/>
          <w:sz w:val="24"/>
          <w:szCs w:val="24"/>
        </w:rPr>
        <w:t xml:space="preserve">, 2007). </w:t>
      </w:r>
      <w:proofErr w:type="spellStart"/>
      <w:r w:rsidRPr="004374EC">
        <w:rPr>
          <w:rFonts w:ascii="Calibri" w:hAnsi="Calibri"/>
          <w:sz w:val="24"/>
          <w:szCs w:val="24"/>
        </w:rPr>
        <w:t>Schleicher</w:t>
      </w:r>
      <w:proofErr w:type="spellEnd"/>
      <w:r w:rsidRPr="004374EC">
        <w:rPr>
          <w:rFonts w:ascii="Calibri" w:hAnsi="Calibri"/>
          <w:sz w:val="24"/>
          <w:szCs w:val="24"/>
        </w:rPr>
        <w:t xml:space="preserve"> argues that although PISA </w:t>
      </w:r>
      <w:proofErr w:type="spellStart"/>
      <w:r w:rsidRPr="004374EC">
        <w:rPr>
          <w:rFonts w:ascii="Calibri" w:hAnsi="Calibri"/>
          <w:sz w:val="24"/>
          <w:szCs w:val="24"/>
        </w:rPr>
        <w:t>can not</w:t>
      </w:r>
      <w:proofErr w:type="spellEnd"/>
      <w:r w:rsidRPr="004374EC">
        <w:rPr>
          <w:rFonts w:ascii="Calibri" w:hAnsi="Calibri"/>
          <w:sz w:val="24"/>
          <w:szCs w:val="24"/>
        </w:rPr>
        <w:t xml:space="preserve"> assess all of the skills which might be useful for young people to possess in order to become successful citizens, it does act as a reasonable predictor. It is important to have an international comparison of the skills PISA does assess, but imperative not to forget that the range of skills not being tested for could show a completely different trend in results. </w:t>
      </w:r>
    </w:p>
    <w:p w14:paraId="6FEA9A23" w14:textId="77777777" w:rsidR="004374EC" w:rsidRPr="004374EC" w:rsidRDefault="004374EC" w:rsidP="004374EC">
      <w:pPr>
        <w:rPr>
          <w:rFonts w:ascii="Calibri" w:hAnsi="Calibri"/>
          <w:sz w:val="24"/>
          <w:szCs w:val="24"/>
        </w:rPr>
      </w:pPr>
    </w:p>
    <w:p w14:paraId="16282010" w14:textId="77777777" w:rsidR="004374EC" w:rsidRPr="004374EC" w:rsidRDefault="004374EC" w:rsidP="004374EC">
      <w:pPr>
        <w:rPr>
          <w:rFonts w:ascii="Calibri" w:hAnsi="Calibri"/>
          <w:color w:val="FF0000"/>
          <w:sz w:val="24"/>
          <w:szCs w:val="24"/>
        </w:rPr>
      </w:pPr>
      <w:r w:rsidRPr="004374EC">
        <w:rPr>
          <w:rFonts w:ascii="Calibri" w:hAnsi="Calibri"/>
          <w:sz w:val="24"/>
          <w:szCs w:val="24"/>
        </w:rPr>
        <w:t>The National assembly for Wales describes PISA testing as an assessment of pupils’ ability to apply both skills and knowledge to a range of ‘Real-life’ scenarios (</w:t>
      </w:r>
      <w:proofErr w:type="spellStart"/>
      <w:r w:rsidRPr="004374EC">
        <w:rPr>
          <w:rFonts w:ascii="Calibri" w:hAnsi="Calibri"/>
          <w:sz w:val="24"/>
          <w:szCs w:val="24"/>
        </w:rPr>
        <w:t>Senedd</w:t>
      </w:r>
      <w:proofErr w:type="spellEnd"/>
      <w:r w:rsidRPr="004374EC">
        <w:rPr>
          <w:rFonts w:ascii="Calibri" w:hAnsi="Calibri"/>
          <w:sz w:val="24"/>
          <w:szCs w:val="24"/>
        </w:rPr>
        <w:t xml:space="preserve"> Research, 2017). </w:t>
      </w:r>
      <w:r w:rsidRPr="004374EC">
        <w:rPr>
          <w:rFonts w:ascii="Calibri" w:hAnsi="Calibri"/>
          <w:color w:val="000000" w:themeColor="text1"/>
          <w:sz w:val="24"/>
          <w:szCs w:val="24"/>
        </w:rPr>
        <w:t>The United Kingdom underperforms in PISA testing annually and the most recent testing in 2015 (which had a particular science focus) ranked the united kingdom in 23</w:t>
      </w:r>
      <w:r w:rsidRPr="004374EC">
        <w:rPr>
          <w:rFonts w:ascii="Calibri" w:hAnsi="Calibri"/>
          <w:color w:val="000000" w:themeColor="text1"/>
          <w:sz w:val="24"/>
          <w:szCs w:val="24"/>
          <w:vertAlign w:val="superscript"/>
        </w:rPr>
        <w:t>rd</w:t>
      </w:r>
      <w:r w:rsidRPr="004374EC">
        <w:rPr>
          <w:rFonts w:ascii="Calibri" w:hAnsi="Calibri"/>
          <w:color w:val="000000" w:themeColor="text1"/>
          <w:sz w:val="24"/>
          <w:szCs w:val="24"/>
        </w:rPr>
        <w:t xml:space="preserve"> place out of 70 nations </w:t>
      </w:r>
      <w:r w:rsidRPr="004374EC">
        <w:rPr>
          <w:rFonts w:ascii="Calibri" w:hAnsi="Calibri"/>
          <w:sz w:val="24"/>
          <w:szCs w:val="24"/>
        </w:rPr>
        <w:t xml:space="preserve">(OECD 2016). </w:t>
      </w:r>
    </w:p>
    <w:p w14:paraId="1C62B64B" w14:textId="77777777" w:rsidR="004374EC" w:rsidRPr="004374EC" w:rsidRDefault="004374EC" w:rsidP="004374EC">
      <w:pPr>
        <w:rPr>
          <w:rFonts w:ascii="Calibri" w:hAnsi="Calibri"/>
          <w:color w:val="FF0000"/>
          <w:sz w:val="24"/>
          <w:szCs w:val="24"/>
        </w:rPr>
      </w:pPr>
      <w:r w:rsidRPr="004374EC">
        <w:rPr>
          <w:rFonts w:ascii="Calibri" w:hAnsi="Calibri"/>
          <w:color w:val="000000" w:themeColor="text1"/>
          <w:sz w:val="24"/>
          <w:szCs w:val="24"/>
        </w:rPr>
        <w:lastRenderedPageBreak/>
        <w:t xml:space="preserve">Within the United Kingdom, Wales is the lowest scoring nation, with England, Scotland and Northern Ireland scoring significantly higher in reading, mathematics and science in the PISA testing 2015 </w:t>
      </w:r>
      <w:r w:rsidRPr="004374EC">
        <w:rPr>
          <w:rFonts w:ascii="Calibri" w:hAnsi="Calibri"/>
          <w:sz w:val="24"/>
          <w:szCs w:val="24"/>
        </w:rPr>
        <w:t>(</w:t>
      </w:r>
      <w:proofErr w:type="spellStart"/>
      <w:r w:rsidRPr="004374EC">
        <w:rPr>
          <w:rFonts w:ascii="Calibri" w:hAnsi="Calibri"/>
          <w:sz w:val="24"/>
          <w:szCs w:val="24"/>
        </w:rPr>
        <w:t>Senedd</w:t>
      </w:r>
      <w:proofErr w:type="spellEnd"/>
      <w:r w:rsidRPr="004374EC">
        <w:rPr>
          <w:rFonts w:ascii="Calibri" w:hAnsi="Calibri"/>
          <w:sz w:val="24"/>
          <w:szCs w:val="24"/>
        </w:rPr>
        <w:t xml:space="preserve"> research, 2017). </w:t>
      </w:r>
    </w:p>
    <w:p w14:paraId="11F822BB" w14:textId="77777777" w:rsidR="004374EC" w:rsidRPr="004374EC" w:rsidRDefault="004374EC" w:rsidP="004374EC">
      <w:pPr>
        <w:rPr>
          <w:rFonts w:ascii="Calibri" w:hAnsi="Calibri"/>
          <w:color w:val="000000" w:themeColor="text1"/>
          <w:sz w:val="24"/>
          <w:szCs w:val="24"/>
        </w:rPr>
      </w:pPr>
      <w:r w:rsidRPr="004374EC">
        <w:rPr>
          <w:rFonts w:ascii="Calibri" w:hAnsi="Calibri"/>
          <w:color w:val="000000" w:themeColor="text1"/>
          <w:sz w:val="24"/>
          <w:szCs w:val="24"/>
        </w:rPr>
        <w:t xml:space="preserve">Rees and Taylor, </w:t>
      </w:r>
      <w:r w:rsidRPr="004374EC">
        <w:rPr>
          <w:rFonts w:ascii="Calibri" w:hAnsi="Calibri"/>
          <w:sz w:val="24"/>
          <w:szCs w:val="24"/>
        </w:rPr>
        <w:t xml:space="preserve">(2014) </w:t>
      </w:r>
      <w:r w:rsidRPr="004374EC">
        <w:rPr>
          <w:rFonts w:ascii="Calibri" w:hAnsi="Calibri"/>
          <w:color w:val="000000" w:themeColor="text1"/>
          <w:sz w:val="24"/>
          <w:szCs w:val="24"/>
        </w:rPr>
        <w:t>cited a quote from Michael Gove that stated how Welsh children were ‘falling behind’ other children in the UK due to the Welsh Government’s reluctance to transform the Welsh educational system. Rees and Taylor point out that Mr Gove’s viewpoint is not accurate as transformation or ‘reform’ exists in several forms and although Welsh Government have decided not to follow the same procedures as the English Government, that doesn’t make them any less effective. It is also argued that the way in which academic success is measured fails to take into account the health and wellbeing of the students. Evidence is cited from the Millennium Cohort Study (MCS) of 19,000 individuals born between 2000 and 2001. MCS found that Welsh children scored much higher than English on wellbeing and attitudes to learning. They believe that less emphasis should be placed on comparing Welsh attainment with that of other regions or countries and more emphasis should be placed on monitoring Wales’ progression over time.</w:t>
      </w:r>
    </w:p>
    <w:p w14:paraId="77591E59" w14:textId="77777777" w:rsidR="004374EC" w:rsidRPr="004374EC" w:rsidRDefault="004374EC" w:rsidP="004374EC">
      <w:pPr>
        <w:rPr>
          <w:rFonts w:ascii="Calibri" w:hAnsi="Calibri"/>
          <w:sz w:val="24"/>
          <w:szCs w:val="24"/>
        </w:rPr>
      </w:pPr>
      <w:r w:rsidRPr="004374EC">
        <w:rPr>
          <w:rFonts w:ascii="Calibri" w:hAnsi="Calibri"/>
          <w:sz w:val="24"/>
          <w:szCs w:val="24"/>
        </w:rPr>
        <w:t xml:space="preserve">A sample size of 540,000 students are selected to represent 72 nations worldwide. An attempt is made to select a sample of students which is representative of all students in each nation. These students are selected firstly by using stratified sampling techniques to select schools in each of the areas participating. Then, within the selected </w:t>
      </w:r>
      <w:proofErr w:type="spellStart"/>
      <w:r w:rsidRPr="004374EC">
        <w:rPr>
          <w:rFonts w:ascii="Calibri" w:hAnsi="Calibri"/>
          <w:sz w:val="24"/>
          <w:szCs w:val="24"/>
        </w:rPr>
        <w:t>schools</w:t>
      </w:r>
      <w:proofErr w:type="spellEnd"/>
      <w:r w:rsidRPr="004374EC">
        <w:rPr>
          <w:rFonts w:ascii="Calibri" w:hAnsi="Calibri"/>
          <w:sz w:val="24"/>
          <w:szCs w:val="24"/>
        </w:rPr>
        <w:t xml:space="preserve"> 35 students are randomly selected to undergo a 2-hour computer-based assessment (OECR,2015). </w:t>
      </w:r>
    </w:p>
    <w:p w14:paraId="30EE21F0" w14:textId="77777777" w:rsidR="004374EC" w:rsidRPr="004374EC" w:rsidRDefault="004374EC" w:rsidP="004374EC">
      <w:pPr>
        <w:rPr>
          <w:rFonts w:ascii="Calibri" w:hAnsi="Calibri"/>
          <w:sz w:val="24"/>
          <w:szCs w:val="24"/>
        </w:rPr>
      </w:pPr>
      <w:r w:rsidRPr="004374EC">
        <w:rPr>
          <w:rFonts w:ascii="Calibri" w:hAnsi="Calibri"/>
          <w:sz w:val="24"/>
          <w:szCs w:val="24"/>
        </w:rPr>
        <w:t>Although this sampling method seems to give a random sample of pupils to participate, the small number of students selected could result in a biased representation of the school or even the nations’ performance, therefore effecting the validity of results (Freitas et al., 2015). Freitas et al.  (2015), studied Portugal’s performance in PISA assessments between 2000 and 2012. They highlighted that there were significant differences between the actual Portuguese population and that from which a sample was taken in the PISA selection process. They then incorporated post-stratified weights on the obtained PISA results to take into account issues such as actual population size and distribution and found that the results obtained were statistically different to those released by PISA. Although this study highlights issues in the validity of PISA testing, it only looks at one of the 72 participating countries, it would be beneficial to repeat this study using a larger sample of countries to see whether these issues can be related to other regions or if they lie with Portugal alone.</w:t>
      </w:r>
    </w:p>
    <w:p w14:paraId="3A98B35A" w14:textId="77777777" w:rsidR="004374EC" w:rsidRPr="004374EC" w:rsidRDefault="004374EC" w:rsidP="004374EC">
      <w:pPr>
        <w:rPr>
          <w:rFonts w:ascii="Calibri" w:hAnsi="Calibri"/>
          <w:sz w:val="24"/>
          <w:szCs w:val="24"/>
        </w:rPr>
      </w:pPr>
      <w:r w:rsidRPr="004374EC">
        <w:rPr>
          <w:rFonts w:ascii="Calibri" w:hAnsi="Calibri"/>
          <w:sz w:val="24"/>
          <w:szCs w:val="24"/>
        </w:rPr>
        <w:t xml:space="preserve">Whilst </w:t>
      </w:r>
      <w:proofErr w:type="spellStart"/>
      <w:r w:rsidRPr="004374EC">
        <w:rPr>
          <w:rFonts w:ascii="Calibri" w:hAnsi="Calibri"/>
          <w:sz w:val="24"/>
          <w:szCs w:val="24"/>
        </w:rPr>
        <w:t>analyzing</w:t>
      </w:r>
      <w:proofErr w:type="spellEnd"/>
      <w:r w:rsidRPr="004374EC">
        <w:rPr>
          <w:rFonts w:ascii="Calibri" w:hAnsi="Calibri"/>
          <w:sz w:val="24"/>
          <w:szCs w:val="24"/>
        </w:rPr>
        <w:t xml:space="preserve"> the PISA 2006 scores, Huang et al. (2014) discovered that one of the main contributors towards differences in Canada, China and the USA was the difference in curriculum content which was covered in these countries. This suggests that regardless of an individual’s ability to apply knowledge to different situations, if the knowledge possessed is different to other students participating, it is difficult to make a comparison. Validity of results are therefore affected.</w:t>
      </w:r>
    </w:p>
    <w:p w14:paraId="0F256242" w14:textId="77777777" w:rsidR="004374EC" w:rsidRPr="004374EC" w:rsidRDefault="004374EC" w:rsidP="004374EC">
      <w:pPr>
        <w:rPr>
          <w:rFonts w:ascii="Calibri" w:hAnsi="Calibri"/>
          <w:sz w:val="24"/>
          <w:szCs w:val="24"/>
        </w:rPr>
      </w:pPr>
    </w:p>
    <w:p w14:paraId="28373A4C" w14:textId="77777777" w:rsidR="004374EC" w:rsidRPr="004374EC" w:rsidRDefault="004374EC" w:rsidP="004374EC">
      <w:pPr>
        <w:rPr>
          <w:rFonts w:ascii="Calibri" w:hAnsi="Calibri"/>
          <w:sz w:val="24"/>
          <w:szCs w:val="24"/>
        </w:rPr>
      </w:pPr>
      <w:r w:rsidRPr="004374EC">
        <w:rPr>
          <w:rFonts w:ascii="Calibri" w:hAnsi="Calibri"/>
          <w:color w:val="FF0000"/>
          <w:sz w:val="24"/>
          <w:szCs w:val="24"/>
        </w:rPr>
        <w:t xml:space="preserve"> </w:t>
      </w:r>
      <w:r w:rsidRPr="004374EC">
        <w:rPr>
          <w:rFonts w:ascii="Calibri" w:hAnsi="Calibri"/>
          <w:sz w:val="24"/>
          <w:szCs w:val="24"/>
        </w:rPr>
        <w:t>It is also important to note that the pupils are required to complete the tests digitally, on a computer. Although many schools around the globe have the ability to provide computer-based lessons to students, those in underdeveloped countries, or even those pupils in who come from deprived backgrounds in more developed countries might be at a disadvantage due to less access to computers at home, more research needs to be done to evaluate these effects</w:t>
      </w:r>
      <w:r w:rsidRPr="004374EC">
        <w:rPr>
          <w:rFonts w:ascii="Calibri" w:hAnsi="Calibri"/>
          <w:color w:val="FF0000"/>
          <w:sz w:val="24"/>
          <w:szCs w:val="24"/>
        </w:rPr>
        <w:t xml:space="preserve"> </w:t>
      </w:r>
      <w:r w:rsidRPr="004374EC">
        <w:rPr>
          <w:rFonts w:ascii="Calibri" w:hAnsi="Calibri"/>
          <w:sz w:val="24"/>
          <w:szCs w:val="24"/>
        </w:rPr>
        <w:t>(Rodrigues et al. 2017).</w:t>
      </w:r>
    </w:p>
    <w:p w14:paraId="69C4318D" w14:textId="77777777" w:rsidR="004374EC" w:rsidRPr="004374EC" w:rsidRDefault="004374EC" w:rsidP="004374EC">
      <w:pPr>
        <w:rPr>
          <w:rFonts w:ascii="Calibri" w:hAnsi="Calibri"/>
          <w:color w:val="000000" w:themeColor="text1"/>
          <w:sz w:val="24"/>
          <w:szCs w:val="24"/>
        </w:rPr>
      </w:pPr>
      <w:r w:rsidRPr="004374EC">
        <w:rPr>
          <w:rFonts w:ascii="Calibri" w:hAnsi="Calibri"/>
          <w:color w:val="000000" w:themeColor="text1"/>
          <w:sz w:val="24"/>
          <w:szCs w:val="24"/>
        </w:rPr>
        <w:t>Many countries have utilised their disappointing scores as motivation to undergo reform and better their standard of education. For example, Israel undertook a range educational changes in order to improve their PISA ranking, after a disappointing result in 2000 (GSE, 2015). These changes included implementing literacy and problem-solving skills into their mathematics, science and reading curriculum. The result was Israel’s PISA scores steadily improving in each subject area in each testing cycle between the years 2000 and 2012 (GSE, 2015).  Although a focus on literacy was only one of a number of changes integrated by the Israeli education system, it is interesting to consider the effects literacy has on pupil attainment in these assessments.</w:t>
      </w:r>
    </w:p>
    <w:p w14:paraId="26ADD40D" w14:textId="77777777" w:rsidR="004374EC" w:rsidRPr="004374EC" w:rsidRDefault="004374EC" w:rsidP="004374EC">
      <w:pPr>
        <w:rPr>
          <w:rFonts w:ascii="Calibri" w:hAnsi="Calibri"/>
          <w:color w:val="000000" w:themeColor="text1"/>
          <w:sz w:val="24"/>
          <w:szCs w:val="24"/>
        </w:rPr>
      </w:pPr>
      <w:r w:rsidRPr="004374EC">
        <w:rPr>
          <w:rFonts w:ascii="Calibri" w:hAnsi="Calibri"/>
          <w:color w:val="000000" w:themeColor="text1"/>
          <w:sz w:val="24"/>
          <w:szCs w:val="24"/>
        </w:rPr>
        <w:t xml:space="preserve">As the PISA assessment paper needs to be translated into the appropriate languages for each country participating, it is possible that language problems can arise. </w:t>
      </w:r>
      <w:r w:rsidRPr="004374EC">
        <w:rPr>
          <w:rFonts w:ascii="Calibri" w:hAnsi="Calibri"/>
          <w:sz w:val="24"/>
          <w:szCs w:val="24"/>
        </w:rPr>
        <w:t xml:space="preserve">El </w:t>
      </w:r>
      <w:proofErr w:type="spellStart"/>
      <w:r w:rsidRPr="004374EC">
        <w:rPr>
          <w:rFonts w:ascii="Calibri" w:hAnsi="Calibri"/>
          <w:sz w:val="24"/>
          <w:szCs w:val="24"/>
        </w:rPr>
        <w:t>Masri</w:t>
      </w:r>
      <w:proofErr w:type="spellEnd"/>
      <w:r w:rsidRPr="004374EC">
        <w:rPr>
          <w:rFonts w:ascii="Calibri" w:hAnsi="Calibri"/>
          <w:sz w:val="24"/>
          <w:szCs w:val="24"/>
        </w:rPr>
        <w:t xml:space="preserve">, 2016 (Cited in Zhao, 2014) found </w:t>
      </w:r>
      <w:r w:rsidRPr="004374EC">
        <w:rPr>
          <w:rFonts w:ascii="Calibri" w:hAnsi="Calibri"/>
          <w:sz w:val="24"/>
          <w:szCs w:val="24"/>
        </w:rPr>
        <w:lastRenderedPageBreak/>
        <w:t>that versions of the PISA assessment in Arabic, English and French all varied in difficulty. Zhao suggests using a computer program to analyse the texts as they are written in order to minimise any effects that could appear when translating.</w:t>
      </w:r>
    </w:p>
    <w:p w14:paraId="75ACCACA" w14:textId="77777777" w:rsidR="004374EC" w:rsidRPr="004374EC" w:rsidRDefault="004374EC" w:rsidP="004374EC">
      <w:pPr>
        <w:rPr>
          <w:rFonts w:ascii="Calibri" w:hAnsi="Calibri"/>
          <w:color w:val="FF0000"/>
          <w:sz w:val="24"/>
          <w:szCs w:val="24"/>
        </w:rPr>
      </w:pPr>
      <w:r w:rsidRPr="004374EC">
        <w:rPr>
          <w:rFonts w:ascii="Calibri" w:hAnsi="Calibri"/>
          <w:color w:val="000000" w:themeColor="text1"/>
          <w:sz w:val="24"/>
          <w:szCs w:val="24"/>
        </w:rPr>
        <w:t>Clarke, 1991, stresses the importance of “visual organisers” as an aid for students to structure their thoughts and consolidate their knowledge when answering questions. Inference squares provide learners with an opportunity to break down their knowledge into more easily digestible chunks which can then be used to assist answering questions to their best ability (</w:t>
      </w:r>
      <w:r w:rsidRPr="004374EC">
        <w:rPr>
          <w:rFonts w:ascii="Calibri" w:hAnsi="Calibri"/>
          <w:sz w:val="24"/>
          <w:szCs w:val="24"/>
        </w:rPr>
        <w:t>Clarke, 1991).</w:t>
      </w:r>
    </w:p>
    <w:p w14:paraId="00EC9FF2" w14:textId="77777777" w:rsidR="004374EC" w:rsidRPr="004374EC" w:rsidRDefault="004374EC" w:rsidP="004374EC">
      <w:pPr>
        <w:rPr>
          <w:rFonts w:ascii="Calibri" w:hAnsi="Calibri"/>
          <w:color w:val="000000" w:themeColor="text1"/>
          <w:sz w:val="24"/>
          <w:szCs w:val="24"/>
        </w:rPr>
      </w:pPr>
      <w:r w:rsidRPr="004374EC">
        <w:rPr>
          <w:rFonts w:ascii="Calibri" w:hAnsi="Calibri"/>
          <w:color w:val="000000" w:themeColor="text1"/>
          <w:sz w:val="24"/>
          <w:szCs w:val="24"/>
        </w:rPr>
        <w:t xml:space="preserve">When looking directly at scientific literacy it is important to distinguish what is meant by the term. John Durant, in his 2009 paper ‘What is Scientific literacy’ concludes that It is an understanding of how science works rather than the quantity of science knowledge retained </w:t>
      </w:r>
      <w:r w:rsidRPr="004374EC">
        <w:rPr>
          <w:rFonts w:ascii="Calibri" w:hAnsi="Calibri"/>
          <w:sz w:val="24"/>
          <w:szCs w:val="24"/>
        </w:rPr>
        <w:t xml:space="preserve">(Durant, 2009). </w:t>
      </w:r>
      <w:proofErr w:type="spellStart"/>
      <w:r w:rsidRPr="004374EC">
        <w:rPr>
          <w:rFonts w:ascii="Calibri" w:hAnsi="Calibri"/>
          <w:sz w:val="24"/>
          <w:szCs w:val="24"/>
        </w:rPr>
        <w:t>Durrant</w:t>
      </w:r>
      <w:proofErr w:type="spellEnd"/>
      <w:r w:rsidRPr="004374EC">
        <w:rPr>
          <w:rFonts w:ascii="Calibri" w:hAnsi="Calibri"/>
          <w:sz w:val="24"/>
          <w:szCs w:val="24"/>
        </w:rPr>
        <w:t xml:space="preserve"> claims that there are three distinct definitions of scientific literacy; the first relating to an individual possessing a large content knowledge, with the ability to recall numerous scientific facts. The second being that an individual might understand ‘how science works’ based on the ability to undertake practical investigations which require application of this knowledge. Finally, the third definition relates to an individuals’ ability to link scientific concepts to the wider world. These individuals have the ability to use higher order thinking when exposed to new information, they have the ability to consider the information critically and draw their own conclusions rather than just accepting what has been relayed to them.</w:t>
      </w:r>
    </w:p>
    <w:p w14:paraId="10C0C46F" w14:textId="77777777" w:rsidR="004374EC" w:rsidRPr="004374EC" w:rsidRDefault="004374EC" w:rsidP="004374EC">
      <w:pPr>
        <w:rPr>
          <w:rFonts w:ascii="Calibri" w:hAnsi="Calibri"/>
          <w:color w:val="000000" w:themeColor="text1"/>
          <w:sz w:val="24"/>
          <w:szCs w:val="24"/>
        </w:rPr>
      </w:pPr>
      <w:r w:rsidRPr="004374EC">
        <w:rPr>
          <w:rFonts w:ascii="Calibri" w:hAnsi="Calibri"/>
          <w:color w:val="000000" w:themeColor="text1"/>
          <w:sz w:val="24"/>
          <w:szCs w:val="24"/>
        </w:rPr>
        <w:t xml:space="preserve">It is thought by some that good scientific literacy can improve decision making in day to day life and encourages individuals to seek new information and ways of thinking to further develop understanding </w:t>
      </w:r>
      <w:r w:rsidRPr="004374EC">
        <w:rPr>
          <w:rFonts w:ascii="Calibri" w:hAnsi="Calibri"/>
          <w:sz w:val="24"/>
          <w:szCs w:val="24"/>
        </w:rPr>
        <w:t>(</w:t>
      </w:r>
      <w:proofErr w:type="spellStart"/>
      <w:r w:rsidRPr="004374EC">
        <w:rPr>
          <w:rFonts w:ascii="Calibri" w:hAnsi="Calibri"/>
          <w:sz w:val="24"/>
          <w:szCs w:val="24"/>
        </w:rPr>
        <w:t>Maienschein</w:t>
      </w:r>
      <w:proofErr w:type="spellEnd"/>
      <w:r w:rsidRPr="004374EC">
        <w:rPr>
          <w:rFonts w:ascii="Calibri" w:hAnsi="Calibri"/>
          <w:sz w:val="24"/>
          <w:szCs w:val="24"/>
        </w:rPr>
        <w:t xml:space="preserve">, 1998). </w:t>
      </w:r>
      <w:proofErr w:type="spellStart"/>
      <w:r w:rsidRPr="004374EC">
        <w:rPr>
          <w:rFonts w:ascii="Calibri" w:hAnsi="Calibri"/>
          <w:sz w:val="24"/>
          <w:szCs w:val="24"/>
        </w:rPr>
        <w:t>Maienschein</w:t>
      </w:r>
      <w:proofErr w:type="spellEnd"/>
      <w:r w:rsidRPr="004374EC">
        <w:rPr>
          <w:rFonts w:ascii="Calibri" w:hAnsi="Calibri"/>
          <w:sz w:val="24"/>
          <w:szCs w:val="24"/>
        </w:rPr>
        <w:t xml:space="preserve"> recognized scientific literacy to have two distinct definitions, her first combines the first two ideas proposed by </w:t>
      </w:r>
      <w:proofErr w:type="spellStart"/>
      <w:r w:rsidRPr="004374EC">
        <w:rPr>
          <w:rFonts w:ascii="Calibri" w:hAnsi="Calibri"/>
          <w:sz w:val="24"/>
          <w:szCs w:val="24"/>
        </w:rPr>
        <w:t>Durrant</w:t>
      </w:r>
      <w:proofErr w:type="spellEnd"/>
      <w:r w:rsidRPr="004374EC">
        <w:rPr>
          <w:rFonts w:ascii="Calibri" w:hAnsi="Calibri"/>
          <w:sz w:val="24"/>
          <w:szCs w:val="24"/>
        </w:rPr>
        <w:t xml:space="preserve"> and the second along the same lines as </w:t>
      </w:r>
      <w:proofErr w:type="spellStart"/>
      <w:r w:rsidRPr="004374EC">
        <w:rPr>
          <w:rFonts w:ascii="Calibri" w:hAnsi="Calibri"/>
          <w:sz w:val="24"/>
          <w:szCs w:val="24"/>
        </w:rPr>
        <w:t>Durrant’s</w:t>
      </w:r>
      <w:proofErr w:type="spellEnd"/>
      <w:r w:rsidRPr="004374EC">
        <w:rPr>
          <w:rFonts w:ascii="Calibri" w:hAnsi="Calibri"/>
          <w:sz w:val="24"/>
          <w:szCs w:val="24"/>
        </w:rPr>
        <w:t xml:space="preserve"> third definition previously described, which links critical thinking to scientific topics and wider world scenarios. In her 1993 article ‘Scientific Literacy’ </w:t>
      </w:r>
      <w:proofErr w:type="spellStart"/>
      <w:r w:rsidRPr="004374EC">
        <w:rPr>
          <w:rFonts w:ascii="Calibri" w:hAnsi="Calibri"/>
          <w:sz w:val="24"/>
          <w:szCs w:val="24"/>
        </w:rPr>
        <w:t>Maienschein</w:t>
      </w:r>
      <w:proofErr w:type="spellEnd"/>
      <w:r w:rsidRPr="004374EC">
        <w:rPr>
          <w:rFonts w:ascii="Calibri" w:hAnsi="Calibri"/>
          <w:sz w:val="24"/>
          <w:szCs w:val="24"/>
        </w:rPr>
        <w:t xml:space="preserve"> claims that around 90% of Americans are scientifically illiterate based on the second definition she describes. She emphasizes that scientific literacy is a skill that requires more time and practice to develop than simply learning and memorizing scientific facts and figures. She argues that this extra time and effort will result in the development of </w:t>
      </w:r>
      <w:proofErr w:type="spellStart"/>
      <w:r w:rsidRPr="004374EC">
        <w:rPr>
          <w:rFonts w:ascii="Calibri" w:hAnsi="Calibri"/>
          <w:sz w:val="24"/>
          <w:szCs w:val="24"/>
        </w:rPr>
        <w:t>well rounded</w:t>
      </w:r>
      <w:proofErr w:type="spellEnd"/>
      <w:r w:rsidRPr="004374EC">
        <w:rPr>
          <w:rFonts w:ascii="Calibri" w:hAnsi="Calibri"/>
          <w:sz w:val="24"/>
          <w:szCs w:val="24"/>
        </w:rPr>
        <w:t xml:space="preserve"> and capable learners which in turn can become well rounded and capable citizens who can make informed decisions in their day to day lives.</w:t>
      </w:r>
    </w:p>
    <w:p w14:paraId="4E3C8EAC" w14:textId="77777777" w:rsidR="004374EC" w:rsidRPr="004374EC" w:rsidRDefault="004374EC" w:rsidP="004374EC">
      <w:pPr>
        <w:rPr>
          <w:rFonts w:ascii="Calibri" w:hAnsi="Calibri"/>
          <w:sz w:val="24"/>
          <w:szCs w:val="24"/>
        </w:rPr>
      </w:pPr>
      <w:r w:rsidRPr="004374EC">
        <w:rPr>
          <w:rFonts w:ascii="Calibri" w:hAnsi="Calibri"/>
          <w:sz w:val="24"/>
          <w:szCs w:val="24"/>
        </w:rPr>
        <w:t>These theories on scientific literacy are supported by Bloom’s Taxonomy, which classifies six levels of learning. These levels can be further broken down into lower order thinking, including; Remembering, understanding and applying information and higher order thinking levels consisting of; Analysis, evaluation and creating (Anderson and Krathwohl, 2001). This theory of learning stresses the importance of these different levels of learning and suggest that in order to fully understand a subject, each of these levels must be achieved.</w:t>
      </w:r>
    </w:p>
    <w:p w14:paraId="043A323E" w14:textId="77777777" w:rsidR="004374EC" w:rsidRPr="004374EC" w:rsidRDefault="004374EC" w:rsidP="004374EC">
      <w:pPr>
        <w:rPr>
          <w:rFonts w:ascii="Calibri" w:hAnsi="Calibri"/>
          <w:sz w:val="24"/>
          <w:szCs w:val="24"/>
        </w:rPr>
      </w:pPr>
      <w:r w:rsidRPr="004374EC">
        <w:rPr>
          <w:rFonts w:ascii="Calibri" w:hAnsi="Calibri"/>
          <w:sz w:val="24"/>
          <w:szCs w:val="24"/>
        </w:rPr>
        <w:t>The new ‘Successful Futures’ curriculum formulated by Professor Graham Donaldson, has prompted an overhaul of the current educational system in Wales. Welsh Government has welcomed to re-writing of the curriculum and the way in which pupils are taught as well as the way in which pupils are assessed (successful futures, 2015). This approach concentrates on what the students are expected to achieve to become ambitious, confident and capable individuals who can contribute to greater society.</w:t>
      </w:r>
    </w:p>
    <w:p w14:paraId="47A636E9" w14:textId="77777777" w:rsidR="004374EC" w:rsidRPr="004374EC" w:rsidRDefault="004374EC" w:rsidP="004374EC">
      <w:pPr>
        <w:rPr>
          <w:rFonts w:ascii="Calibri" w:hAnsi="Calibri"/>
          <w:sz w:val="24"/>
          <w:szCs w:val="24"/>
        </w:rPr>
      </w:pPr>
      <w:r w:rsidRPr="004374EC">
        <w:rPr>
          <w:rFonts w:ascii="Calibri" w:hAnsi="Calibri"/>
          <w:sz w:val="24"/>
          <w:szCs w:val="24"/>
        </w:rPr>
        <w:t>One of the criteria of the new curriculum stresses the importance of learners to learn how to apply their knowledge in unfamiliar situations. The proposed ‘areas of learning’ group together subjects which share skill sets and link areas of the curriculum where practical application of knowledge can be applied, for example, science and technology. The curriculum incorporates the Literacy and Numeracy Framework (LNF) and the Digital Competency Framework (DCF) across all areas of learning to ensure these skills can be applied in a variety of contexts across the subject range.</w:t>
      </w:r>
    </w:p>
    <w:p w14:paraId="4E955FEF" w14:textId="77777777" w:rsidR="004374EC" w:rsidRPr="004374EC" w:rsidRDefault="004374EC" w:rsidP="004374EC">
      <w:pPr>
        <w:rPr>
          <w:rFonts w:ascii="Calibri" w:hAnsi="Calibri"/>
          <w:sz w:val="24"/>
          <w:szCs w:val="24"/>
        </w:rPr>
      </w:pPr>
      <w:r w:rsidRPr="004374EC">
        <w:rPr>
          <w:rFonts w:ascii="Calibri" w:hAnsi="Calibri"/>
          <w:sz w:val="24"/>
          <w:szCs w:val="24"/>
        </w:rPr>
        <w:t xml:space="preserve">Although scientific literacy is of great importance in PISA style assessments, there are many other factors that need to be taken into account, for example attitudes to learning (ATL). </w:t>
      </w:r>
    </w:p>
    <w:p w14:paraId="538E451D" w14:textId="77777777" w:rsidR="004374EC" w:rsidRPr="004374EC" w:rsidRDefault="004374EC" w:rsidP="004374EC">
      <w:pPr>
        <w:rPr>
          <w:rFonts w:ascii="Calibri" w:hAnsi="Calibri"/>
          <w:sz w:val="24"/>
          <w:szCs w:val="24"/>
        </w:rPr>
      </w:pPr>
      <w:r w:rsidRPr="004374EC">
        <w:rPr>
          <w:rFonts w:ascii="Calibri" w:hAnsi="Calibri"/>
          <w:sz w:val="24"/>
          <w:szCs w:val="24"/>
        </w:rPr>
        <w:t xml:space="preserve">Krathwohl’s Affective Domain (1964), explains that in order for a student to learn, a range of behaviours must be engaged. Pupil attitudes have a direct impact on attainment. These attitudes or behaviours include; attention, interest in the topic, awareness, responsibility, concern and the ability to listen and </w:t>
      </w:r>
      <w:r w:rsidRPr="004374EC">
        <w:rPr>
          <w:rFonts w:ascii="Calibri" w:hAnsi="Calibri"/>
          <w:sz w:val="24"/>
          <w:szCs w:val="24"/>
        </w:rPr>
        <w:lastRenderedPageBreak/>
        <w:t>respond to the information being taught. Krathwohl stated that the value an individual attaches to a piece of information will affect how willing they are to learn and remember it.</w:t>
      </w:r>
    </w:p>
    <w:p w14:paraId="13FE5BF4" w14:textId="77777777" w:rsidR="004374EC" w:rsidRPr="004374EC" w:rsidRDefault="004374EC" w:rsidP="004374EC">
      <w:pPr>
        <w:rPr>
          <w:rFonts w:ascii="Calibri" w:hAnsi="Calibri"/>
          <w:sz w:val="24"/>
          <w:szCs w:val="24"/>
        </w:rPr>
      </w:pPr>
      <w:r w:rsidRPr="004374EC">
        <w:rPr>
          <w:rFonts w:ascii="Calibri" w:hAnsi="Calibri"/>
          <w:sz w:val="24"/>
          <w:szCs w:val="24"/>
        </w:rPr>
        <w:t xml:space="preserve">Bybee and McCrae, 2011, researched the effects of student attitudes on their performance in the PISA 2006 assessment which had a principle focus on science. They recognized the importance of the assessment in testing for ability to apply knowledge to real-life scientific scenarios as well as scientific content knowledge. They focused their research on the learners’ attitudes to science, this is of great importance as student attitude can have a significant effect on the individual’s willingness to learn and ability to excel at a particular subject. Negative experiences; such as the pupil finding content difficult, or receiving poor test scores previously, can result in a negative attitude towards a subject as a whole. Poor attitude can then have a negative effect on the students’ interest and concentration which ultimately results in lower achievement in that area of learning. </w:t>
      </w:r>
      <w:proofErr w:type="spellStart"/>
      <w:r w:rsidRPr="004374EC">
        <w:rPr>
          <w:rFonts w:ascii="Calibri" w:hAnsi="Calibri"/>
          <w:sz w:val="24"/>
          <w:szCs w:val="24"/>
        </w:rPr>
        <w:t>Veresova</w:t>
      </w:r>
      <w:proofErr w:type="spellEnd"/>
      <w:r w:rsidRPr="004374EC">
        <w:rPr>
          <w:rFonts w:ascii="Calibri" w:hAnsi="Calibri"/>
          <w:sz w:val="24"/>
          <w:szCs w:val="24"/>
        </w:rPr>
        <w:t xml:space="preserve"> (2016) found that a student attitudes to learning could in fact be used as a tool to predict achievement. Also, a significant difference was seen between male students’ ATL to that of female students, with females then going on to achieve higher grades as a result of a more positive ATL.</w:t>
      </w:r>
    </w:p>
    <w:p w14:paraId="201A6121" w14:textId="77777777" w:rsidR="004374EC" w:rsidRPr="004374EC" w:rsidRDefault="004374EC" w:rsidP="004374EC">
      <w:pPr>
        <w:rPr>
          <w:rFonts w:ascii="Calibri" w:hAnsi="Calibri"/>
          <w:sz w:val="24"/>
          <w:szCs w:val="24"/>
        </w:rPr>
      </w:pPr>
      <w:r w:rsidRPr="004374EC">
        <w:rPr>
          <w:rFonts w:ascii="Calibri" w:hAnsi="Calibri"/>
          <w:sz w:val="24"/>
          <w:szCs w:val="24"/>
        </w:rPr>
        <w:t xml:space="preserve">It is thought that in order to </w:t>
      </w:r>
      <w:proofErr w:type="spellStart"/>
      <w:r w:rsidRPr="004374EC">
        <w:rPr>
          <w:rFonts w:ascii="Calibri" w:hAnsi="Calibri"/>
          <w:sz w:val="24"/>
          <w:szCs w:val="24"/>
        </w:rPr>
        <w:t>instill</w:t>
      </w:r>
      <w:proofErr w:type="spellEnd"/>
      <w:r w:rsidRPr="004374EC">
        <w:rPr>
          <w:rFonts w:ascii="Calibri" w:hAnsi="Calibri"/>
          <w:sz w:val="24"/>
          <w:szCs w:val="24"/>
        </w:rPr>
        <w:t xml:space="preserve"> a sense of wonder in science, pupils must have positive experiences whilst in primary school. When teachers use intimidation or humiliation as a form of discipline within the classroom this can result in pupils learning negative associations towards the subject being taught. This might then result in poor attainment of these students in that particular subject.  (Marroquin, 2018). It is also thought by many that the attitude of the teacher towards science can have a great impact on how the pupil perceives science as a subject. A positive and encouraging teacher with an interest in science is essential to ensure motivation, achievement and wellbeing of the child within the science classroom (Marroquin, 2018, Riegle-Crumb et al., 2015). Riegle-Crumb et al. (2015) argue that instilling a positive attitude towards science needs to begin at a young age. They suggest one way of doing this is by targeting trainee primary school teachers and addressing their attitudes to science. By improving these soon to be teachers’ attitudes to science and encouraging them to be enthusiastic about the subject, they can then share these positive attitudes with their classes once they qualify. The OECD agrees that the best way in which to nurture an interest in science is to increase young children’s exposure to high quality science teaching.</w:t>
      </w:r>
    </w:p>
    <w:p w14:paraId="2F0CFF63" w14:textId="77777777" w:rsidR="004374EC" w:rsidRPr="004374EC" w:rsidRDefault="004374EC" w:rsidP="004374EC">
      <w:pPr>
        <w:rPr>
          <w:rFonts w:ascii="Calibri" w:hAnsi="Calibri"/>
          <w:sz w:val="24"/>
          <w:szCs w:val="24"/>
        </w:rPr>
      </w:pPr>
      <w:r w:rsidRPr="004374EC">
        <w:rPr>
          <w:rFonts w:ascii="Calibri" w:hAnsi="Calibri"/>
          <w:sz w:val="24"/>
          <w:szCs w:val="24"/>
        </w:rPr>
        <w:t>Negative attitudes to learning need to be challenged in order to break the cycle in poor performance and maximise achievement. This requires teachers to act as positive, motivating and encouraging individuals (Ministry of Education, Guyana, 2016).</w:t>
      </w:r>
    </w:p>
    <w:p w14:paraId="20AE4EFC" w14:textId="77777777" w:rsidR="004374EC" w:rsidRPr="004374EC" w:rsidRDefault="004374EC" w:rsidP="004374EC">
      <w:pPr>
        <w:rPr>
          <w:rFonts w:ascii="Calibri" w:hAnsi="Calibri"/>
          <w:sz w:val="24"/>
          <w:szCs w:val="24"/>
        </w:rPr>
      </w:pPr>
    </w:p>
    <w:p w14:paraId="5A18E11A" w14:textId="77777777" w:rsidR="004374EC" w:rsidRPr="004374EC" w:rsidRDefault="004374EC" w:rsidP="004374EC">
      <w:pPr>
        <w:rPr>
          <w:rFonts w:ascii="Calibri" w:hAnsi="Calibri"/>
          <w:sz w:val="24"/>
          <w:szCs w:val="24"/>
          <w:u w:val="single"/>
        </w:rPr>
      </w:pPr>
      <w:r w:rsidRPr="004374EC">
        <w:rPr>
          <w:rFonts w:ascii="Calibri" w:hAnsi="Calibri"/>
          <w:sz w:val="24"/>
          <w:szCs w:val="24"/>
          <w:u w:val="single"/>
        </w:rPr>
        <w:t xml:space="preserve">School Policy and Practice </w:t>
      </w:r>
    </w:p>
    <w:p w14:paraId="07808E32" w14:textId="77777777" w:rsidR="004374EC" w:rsidRPr="004374EC" w:rsidRDefault="004374EC" w:rsidP="004374EC">
      <w:pPr>
        <w:rPr>
          <w:rFonts w:ascii="Calibri" w:hAnsi="Calibri"/>
          <w:color w:val="FF0000"/>
          <w:sz w:val="24"/>
          <w:szCs w:val="24"/>
        </w:rPr>
      </w:pPr>
      <w:r w:rsidRPr="004374EC">
        <w:rPr>
          <w:rFonts w:ascii="Calibri" w:hAnsi="Calibri"/>
          <w:sz w:val="24"/>
          <w:szCs w:val="24"/>
        </w:rPr>
        <w:t>A recent Estyn report stated that the school had good levels of literacy with most pupils ensuring ‘strong progress’ in relation to literacy skills</w:t>
      </w:r>
      <w:r w:rsidRPr="004374EC">
        <w:rPr>
          <w:rFonts w:ascii="Calibri" w:hAnsi="Calibri"/>
          <w:color w:val="FF0000"/>
          <w:sz w:val="24"/>
          <w:szCs w:val="24"/>
        </w:rPr>
        <w:t xml:space="preserve"> </w:t>
      </w:r>
      <w:r w:rsidRPr="004374EC">
        <w:rPr>
          <w:rFonts w:ascii="Calibri" w:hAnsi="Calibri"/>
          <w:sz w:val="24"/>
          <w:szCs w:val="24"/>
        </w:rPr>
        <w:t>(Estyn, 2015).</w:t>
      </w:r>
    </w:p>
    <w:p w14:paraId="69DBCF48" w14:textId="77777777" w:rsidR="004374EC" w:rsidRPr="004374EC" w:rsidRDefault="004374EC" w:rsidP="004374EC">
      <w:pPr>
        <w:rPr>
          <w:rFonts w:ascii="Calibri" w:hAnsi="Calibri"/>
          <w:sz w:val="24"/>
          <w:szCs w:val="24"/>
        </w:rPr>
      </w:pPr>
      <w:r w:rsidRPr="004374EC">
        <w:rPr>
          <w:rFonts w:ascii="Calibri" w:hAnsi="Calibri"/>
          <w:sz w:val="24"/>
          <w:szCs w:val="24"/>
        </w:rPr>
        <w:t>School X is committed to improving literacy skills in all learners. The school has a specialist Learner Support Centre (LSC) which is accessible by learners with dyslexia, where they can receive specialized support catered to their individual needs. Upon entering the school in year 7, all learners undertake CAT testing and the results, along with their Suffolk Reading scores are used to place learners into classes, dependent on their strengths and weaknesses. Data from these tests show that around one third of pupils enter the school with below functional literacy levels and more than 50% of pupils have a reading age 6months or more below their actual age (School X, School improvement plan, 2015-2018). School X’s School improvement plan states that the school aims to further develop literacy skills of pupils by implanting literacy focused tasks into the schemes of work (SOW) for each subject. The school plans to upskill teachers to improve confidence and allow effective development of the LNF and also hold targeted literacy (and numeracy) parents evenings throughout the school year. These parents evenings will help to highlight any difficulties pupils are having to their parents and encourage additional support at home.</w:t>
      </w:r>
    </w:p>
    <w:p w14:paraId="30ABE30F" w14:textId="77777777" w:rsidR="004374EC" w:rsidRPr="004374EC" w:rsidRDefault="004374EC" w:rsidP="004374EC">
      <w:pPr>
        <w:rPr>
          <w:rFonts w:ascii="Calibri" w:hAnsi="Calibri"/>
          <w:sz w:val="24"/>
          <w:szCs w:val="24"/>
        </w:rPr>
      </w:pPr>
      <w:r w:rsidRPr="004374EC">
        <w:rPr>
          <w:rFonts w:ascii="Calibri" w:hAnsi="Calibri"/>
          <w:sz w:val="24"/>
          <w:szCs w:val="24"/>
        </w:rPr>
        <w:t xml:space="preserve"> Learners that are highlighted to have difficulties with literacy skills are placed into smaller teaching groups to ensure extra support can be given during normal classroom time. Further intervention is then provided to learners who need a greater level of support with literacy, these individuals are withdrawn from allocated (non-core) subjects in order to receive extra literacy lessons.</w:t>
      </w:r>
    </w:p>
    <w:p w14:paraId="4D32917D" w14:textId="77777777" w:rsidR="004374EC" w:rsidRPr="004374EC" w:rsidRDefault="004374EC" w:rsidP="004374EC">
      <w:pPr>
        <w:rPr>
          <w:rFonts w:ascii="Calibri" w:hAnsi="Calibri"/>
          <w:sz w:val="24"/>
          <w:szCs w:val="24"/>
        </w:rPr>
      </w:pPr>
      <w:r w:rsidRPr="004374EC">
        <w:rPr>
          <w:rFonts w:ascii="Calibri" w:hAnsi="Calibri"/>
          <w:sz w:val="24"/>
          <w:szCs w:val="24"/>
        </w:rPr>
        <w:lastRenderedPageBreak/>
        <w:t>Pupils with additional learning needs (ALN), including those with extra literacy needs work closely with the school’s additional learning needs coordinator (ALNCO). The allocated ALNCO in school X works closely with feeder primary schools, subject teachers and parents to develop an individual education plan (IEP) for these learners. Biannually, these IEPs are reviewed to ensure that students are receiving the correct support and making the expected progress within their subject areas. Pupils who seem to be making insufficient progress after a prolonged period are then escalated to a school action plus (SAP) plan. SAP requires the ALNCO to liaise with external professionals such as educational psychologists and medical professionals for additional advice.  If unsatisfactory progress persists the pupil will then undergo a series of assessments to determine whether they require a statement of special educational needs, this then provides schools and the individual with additional specialised support (School X, A guide for parents and carers, 2013).</w:t>
      </w:r>
    </w:p>
    <w:p w14:paraId="2804367D" w14:textId="77777777" w:rsidR="004374EC" w:rsidRPr="004374EC" w:rsidRDefault="004374EC" w:rsidP="004374EC">
      <w:pPr>
        <w:rPr>
          <w:rFonts w:ascii="Calibri" w:hAnsi="Calibri"/>
          <w:sz w:val="24"/>
          <w:szCs w:val="24"/>
        </w:rPr>
      </w:pPr>
      <w:r w:rsidRPr="004374EC">
        <w:rPr>
          <w:rFonts w:ascii="Calibri" w:hAnsi="Calibri"/>
          <w:sz w:val="24"/>
          <w:szCs w:val="24"/>
        </w:rPr>
        <w:t>Within school X emphasis is placed on the impact of reading on literacy. During morning registration periods, twice a week, all pupils undertake 20 minutes designated silent reading time, of a book of their choice provided by the school. This has shown to improve the confidence and improve attitudes of learners towards reading.</w:t>
      </w:r>
    </w:p>
    <w:p w14:paraId="44AB173A" w14:textId="77777777" w:rsidR="004374EC" w:rsidRPr="004374EC" w:rsidRDefault="004374EC" w:rsidP="004374EC">
      <w:pPr>
        <w:rPr>
          <w:rFonts w:ascii="Calibri" w:hAnsi="Calibri"/>
          <w:sz w:val="24"/>
          <w:szCs w:val="24"/>
        </w:rPr>
      </w:pPr>
      <w:r w:rsidRPr="004374EC">
        <w:rPr>
          <w:rFonts w:ascii="Calibri" w:hAnsi="Calibri"/>
          <w:sz w:val="24"/>
          <w:szCs w:val="24"/>
        </w:rPr>
        <w:t>During key stage 3 (KS3), years 7,8 and 9, great effort is made by the school to ensure that literacy skills are not only being developed in English lessons, but in all lessons across the curriculum. Adhering to the Literacy and numeracy framework (LNF), a range of literacy tasks and assessments are planned for by all subject teachers and the results of these ongoing tasks highlight any need for further intervention for individuals in the class, who might need extra support or to improve their skills.</w:t>
      </w:r>
    </w:p>
    <w:p w14:paraId="72A6E049" w14:textId="77777777" w:rsidR="004374EC" w:rsidRPr="004374EC" w:rsidRDefault="004374EC" w:rsidP="004374EC">
      <w:pPr>
        <w:rPr>
          <w:rFonts w:ascii="Calibri" w:hAnsi="Calibri"/>
          <w:sz w:val="24"/>
          <w:szCs w:val="24"/>
        </w:rPr>
      </w:pPr>
      <w:r w:rsidRPr="004374EC">
        <w:rPr>
          <w:rFonts w:ascii="Calibri" w:hAnsi="Calibri"/>
          <w:sz w:val="24"/>
          <w:szCs w:val="24"/>
        </w:rPr>
        <w:t>The school has a specialist literacy coordinator who is available to support learners and give advice to teachers when required. This support helps to ensure that teachers have confidence in the literacy tasks they are required to incorporate into their subject lessons and also that a high level of consistency with regard to literacy is maintained across all subject areas.</w:t>
      </w:r>
    </w:p>
    <w:p w14:paraId="06F75705" w14:textId="77777777" w:rsidR="004374EC" w:rsidRPr="004374EC" w:rsidRDefault="004374EC" w:rsidP="004374EC">
      <w:pPr>
        <w:rPr>
          <w:rFonts w:ascii="Calibri" w:hAnsi="Calibri"/>
          <w:sz w:val="24"/>
          <w:szCs w:val="24"/>
        </w:rPr>
      </w:pPr>
      <w:r w:rsidRPr="004374EC">
        <w:rPr>
          <w:rFonts w:ascii="Calibri" w:hAnsi="Calibri"/>
          <w:sz w:val="24"/>
          <w:szCs w:val="24"/>
        </w:rPr>
        <w:t xml:space="preserve">A large percentage (around 10%) of students enrolling in school X come from homes where Welsh is their first language and have until now attended Welsh language primary schools. The school is able to provide extra support and intervention to ensure these individuals are able to make a smooth transition to English language teaching. Teachers provide key words translation sheets and learners are withdrawn from their timetabled lessons for additional English and literacy lessons when necessary. </w:t>
      </w:r>
    </w:p>
    <w:p w14:paraId="59D21017" w14:textId="77777777" w:rsidR="004374EC" w:rsidRPr="004374EC" w:rsidRDefault="004374EC" w:rsidP="004374EC">
      <w:pPr>
        <w:rPr>
          <w:rFonts w:ascii="Calibri" w:hAnsi="Calibri"/>
          <w:sz w:val="24"/>
          <w:szCs w:val="24"/>
          <w:u w:val="single"/>
        </w:rPr>
      </w:pPr>
    </w:p>
    <w:p w14:paraId="6AC021D0" w14:textId="77777777" w:rsidR="004374EC" w:rsidRPr="004374EC" w:rsidRDefault="004374EC" w:rsidP="004374EC">
      <w:pPr>
        <w:rPr>
          <w:rFonts w:ascii="Calibri" w:hAnsi="Calibri"/>
          <w:sz w:val="24"/>
          <w:szCs w:val="24"/>
          <w:u w:val="single"/>
        </w:rPr>
      </w:pPr>
      <w:r w:rsidRPr="004374EC">
        <w:rPr>
          <w:rFonts w:ascii="Calibri" w:hAnsi="Calibri"/>
          <w:sz w:val="24"/>
          <w:szCs w:val="24"/>
          <w:u w:val="single"/>
        </w:rPr>
        <w:t xml:space="preserve">Methodology and Ethics </w:t>
      </w:r>
    </w:p>
    <w:p w14:paraId="67DE1222" w14:textId="77777777" w:rsidR="004374EC" w:rsidRPr="004374EC" w:rsidRDefault="004374EC" w:rsidP="004374EC">
      <w:pPr>
        <w:rPr>
          <w:rFonts w:ascii="Calibri" w:hAnsi="Calibri"/>
          <w:sz w:val="24"/>
          <w:szCs w:val="24"/>
        </w:rPr>
      </w:pPr>
      <w:r w:rsidRPr="004374EC">
        <w:rPr>
          <w:rFonts w:ascii="Calibri" w:hAnsi="Calibri"/>
          <w:sz w:val="24"/>
          <w:szCs w:val="24"/>
        </w:rPr>
        <w:t>Before starting the research study, an ethics form and proposal was completed and submitted for approval by the ethics board. Whilst completing this form the British Educational Research Guidelines (BERA) were adhered to.</w:t>
      </w:r>
    </w:p>
    <w:p w14:paraId="4D6A9FEE" w14:textId="77777777" w:rsidR="004374EC" w:rsidRPr="004374EC" w:rsidRDefault="004374EC" w:rsidP="004374EC">
      <w:pPr>
        <w:rPr>
          <w:rFonts w:ascii="Calibri" w:hAnsi="Calibri"/>
          <w:sz w:val="24"/>
          <w:szCs w:val="24"/>
        </w:rPr>
      </w:pPr>
      <w:r w:rsidRPr="004374EC">
        <w:rPr>
          <w:rFonts w:ascii="Calibri" w:hAnsi="Calibri"/>
          <w:sz w:val="24"/>
          <w:szCs w:val="24"/>
        </w:rPr>
        <w:t>Before pupils were expected to complete any aspect of the research the class was informed that the study was going to be looking at results from tasks that were used as part of their normal classroom learning on the topic they were currently studying. It was made clear to all pupils that they had the right to withdraw from the study at any time and that their answers would remain completely anonymous in the research paper. The school and the parents or carers of each student had received information regarding research in the classroom and each pupil had consent from their guardians to participate in the study.</w:t>
      </w:r>
    </w:p>
    <w:p w14:paraId="0E8657CA" w14:textId="77777777" w:rsidR="004374EC" w:rsidRPr="004374EC" w:rsidRDefault="004374EC" w:rsidP="004374EC">
      <w:pPr>
        <w:rPr>
          <w:rFonts w:ascii="Calibri" w:hAnsi="Calibri"/>
          <w:sz w:val="24"/>
          <w:szCs w:val="24"/>
        </w:rPr>
      </w:pPr>
      <w:r w:rsidRPr="004374EC">
        <w:rPr>
          <w:rFonts w:ascii="Calibri" w:hAnsi="Calibri"/>
          <w:sz w:val="24"/>
          <w:szCs w:val="24"/>
        </w:rPr>
        <w:t>The Pisa question selected (See appendix figure 1.) related to the recently completed topic of cells but in the unfamiliar context of cloning and Dolly the sheep. The term ‘clone’ is explained within the question to minimise the confusion of the pupils when reading the text. The class remained in their normal seating plan for all three lessons to minimise disruption.</w:t>
      </w:r>
    </w:p>
    <w:p w14:paraId="52E28A31" w14:textId="77777777" w:rsidR="004374EC" w:rsidRPr="004374EC" w:rsidRDefault="004374EC" w:rsidP="004374EC">
      <w:pPr>
        <w:rPr>
          <w:rFonts w:ascii="Calibri" w:hAnsi="Calibri"/>
          <w:sz w:val="24"/>
          <w:szCs w:val="24"/>
        </w:rPr>
      </w:pPr>
      <w:r w:rsidRPr="004374EC">
        <w:rPr>
          <w:rFonts w:ascii="Calibri" w:hAnsi="Calibri"/>
          <w:sz w:val="24"/>
          <w:szCs w:val="24"/>
        </w:rPr>
        <w:t xml:space="preserve">During the initial ‘Pre-test’ lesson learners were asked to work under test style conditions, working quietly with no conferring. Each learner was handed a question sheet displaying a Pisa question with the maximum of 4 marks available. Learners were reminded that their performance in this task would not contribute towards their school grades and that the test was purely for research purposes and that all marks would be anonymised. At this point one individual asked for her marks not to be used in the write-up of the study. Learners were allocated 20 minutes to complete the task, all learners had completed their </w:t>
      </w:r>
      <w:r w:rsidRPr="004374EC">
        <w:rPr>
          <w:rFonts w:ascii="Calibri" w:hAnsi="Calibri"/>
          <w:sz w:val="24"/>
          <w:szCs w:val="24"/>
        </w:rPr>
        <w:lastRenderedPageBreak/>
        <w:t xml:space="preserve">answers after 10 minutes; they were all asked to check their answers and papers were then collected to avoid any answers being shared or changed. </w:t>
      </w:r>
    </w:p>
    <w:p w14:paraId="57DC6147" w14:textId="77777777" w:rsidR="004374EC" w:rsidRPr="004374EC" w:rsidRDefault="004374EC" w:rsidP="004374EC">
      <w:pPr>
        <w:rPr>
          <w:rFonts w:ascii="Calibri" w:hAnsi="Calibri"/>
          <w:sz w:val="24"/>
          <w:szCs w:val="24"/>
        </w:rPr>
      </w:pPr>
      <w:r w:rsidRPr="004374EC">
        <w:rPr>
          <w:rFonts w:ascii="Calibri" w:hAnsi="Calibri"/>
          <w:sz w:val="24"/>
          <w:szCs w:val="24"/>
        </w:rPr>
        <w:t>During the intervention lesson learners were each given a sheet displaying an inference square (See figure 1).</w:t>
      </w:r>
      <w:r w:rsidRPr="004374EC">
        <w:rPr>
          <w:rFonts w:ascii="Calibri" w:hAnsi="Calibri"/>
          <w:color w:val="FF0000"/>
          <w:sz w:val="24"/>
          <w:szCs w:val="24"/>
        </w:rPr>
        <w:t xml:space="preserve"> </w:t>
      </w:r>
      <w:r w:rsidRPr="004374EC">
        <w:rPr>
          <w:rFonts w:ascii="Calibri" w:hAnsi="Calibri"/>
          <w:sz w:val="24"/>
          <w:szCs w:val="24"/>
        </w:rPr>
        <w:t>Learners were shown how to use an inference square as I used an example square on the whiteboard. Learners were then given a different PISA question and asked to attempt to use the inference square to guide them whilst answering the questions. Before attempting to fill out the inference square, learners were instructed to read the text and the questions in full. The sections on the inference squares were labelled in both English and Welsh to assist those pupils who joined School X from Welsh medium primary schools.</w:t>
      </w:r>
    </w:p>
    <w:p w14:paraId="3C8CB4B7" w14:textId="77777777" w:rsidR="004374EC" w:rsidRPr="004374EC" w:rsidRDefault="004374EC" w:rsidP="004374EC">
      <w:pPr>
        <w:rPr>
          <w:rFonts w:ascii="Calibri" w:hAnsi="Calibri"/>
          <w:sz w:val="24"/>
          <w:szCs w:val="24"/>
        </w:rPr>
      </w:pPr>
      <w:r w:rsidRPr="004374EC">
        <w:rPr>
          <w:rFonts w:ascii="Calibri" w:hAnsi="Calibri"/>
          <w:sz w:val="24"/>
          <w:szCs w:val="24"/>
        </w:rPr>
        <w:t>The inference square is designed to assist learners by breaking down knowledge into easy to understand sections. The first section of the inference square asked learners ‘what information is given?’ This requires learners to write down any key information displayed in the question. I had highlighted to the class that this information could be key words, facts and any information that appears new to them in the question.</w:t>
      </w:r>
    </w:p>
    <w:p w14:paraId="7CFD94BD" w14:textId="77777777" w:rsidR="004374EC" w:rsidRPr="004374EC" w:rsidRDefault="004374EC" w:rsidP="004374EC">
      <w:pPr>
        <w:rPr>
          <w:rFonts w:ascii="Calibri" w:hAnsi="Calibri"/>
          <w:sz w:val="24"/>
          <w:szCs w:val="24"/>
        </w:rPr>
      </w:pPr>
      <w:r w:rsidRPr="004374EC">
        <w:rPr>
          <w:rFonts w:ascii="Calibri" w:hAnsi="Calibri"/>
          <w:sz w:val="24"/>
          <w:szCs w:val="24"/>
        </w:rPr>
        <w:t>Secondly the inference square asked learners ‘What do you already know?’ In this section it was explained that learners could write down any relevant knowledge they had on the subject of the question, whether it be from previous lessons or elsewhere.</w:t>
      </w:r>
    </w:p>
    <w:p w14:paraId="274002B5" w14:textId="77777777" w:rsidR="004374EC" w:rsidRPr="004374EC" w:rsidRDefault="004374EC" w:rsidP="004374EC">
      <w:pPr>
        <w:rPr>
          <w:rFonts w:ascii="Calibri" w:hAnsi="Calibri"/>
          <w:sz w:val="24"/>
          <w:szCs w:val="24"/>
        </w:rPr>
      </w:pPr>
      <w:r w:rsidRPr="004374EC">
        <w:rPr>
          <w:rFonts w:ascii="Calibri" w:hAnsi="Calibri"/>
          <w:sz w:val="24"/>
          <w:szCs w:val="24"/>
        </w:rPr>
        <w:t>The third and final section of the inference square required learners not only to recall information but to make links between what they know, and the question being asked; ‘What conclusions can I now make?’ This part of the inference square required learners to use higher order thinking and draw from existing knowledge and the information provided to formulate a conclusion. This skill was required for questions 3 and 4 on the test.</w:t>
      </w:r>
    </w:p>
    <w:p w14:paraId="5DB4B0E5" w14:textId="77777777" w:rsidR="004374EC" w:rsidRPr="004374EC" w:rsidRDefault="004374EC" w:rsidP="004374EC">
      <w:pPr>
        <w:rPr>
          <w:rFonts w:ascii="Calibri" w:hAnsi="Calibri"/>
          <w:sz w:val="24"/>
          <w:szCs w:val="24"/>
        </w:rPr>
      </w:pPr>
      <w:r w:rsidRPr="004374EC">
        <w:rPr>
          <w:rFonts w:ascii="Calibri" w:hAnsi="Calibri"/>
          <w:sz w:val="24"/>
          <w:szCs w:val="24"/>
        </w:rPr>
        <w:t>Some learners found filling out the inference square to be challenging in itself. Lower ability learners struggled to pick out relevant information and many chose to copy out extended sections of the text. Others struggled to link their knowledge to the question which displayed information in a real-life but unfamiliar scenario. Despite these challenges, the majority of learners in the class could become instantly engaged in the task and the inference squares seemed to give some structure to the learners’ understanding of the question.</w:t>
      </w:r>
    </w:p>
    <w:p w14:paraId="77F3248B" w14:textId="77777777" w:rsidR="004374EC" w:rsidRPr="004374EC" w:rsidRDefault="004374EC" w:rsidP="004374EC">
      <w:pPr>
        <w:rPr>
          <w:rFonts w:ascii="Calibri" w:hAnsi="Calibri"/>
          <w:sz w:val="24"/>
          <w:szCs w:val="24"/>
          <w:u w:val="single"/>
        </w:rPr>
      </w:pPr>
      <w:r w:rsidRPr="004374EC">
        <w:rPr>
          <w:rFonts w:ascii="Calibri" w:hAnsi="Calibri"/>
          <w:sz w:val="24"/>
          <w:szCs w:val="24"/>
          <w:u w:val="single"/>
        </w:rPr>
        <w:t xml:space="preserve">Evaluation </w:t>
      </w:r>
    </w:p>
    <w:p w14:paraId="45CDE327" w14:textId="77777777" w:rsidR="004374EC" w:rsidRPr="004374EC" w:rsidRDefault="004374EC" w:rsidP="004374EC">
      <w:pPr>
        <w:rPr>
          <w:rFonts w:ascii="Calibri" w:hAnsi="Calibri"/>
          <w:sz w:val="24"/>
          <w:szCs w:val="24"/>
        </w:rPr>
      </w:pPr>
      <w:r w:rsidRPr="004374EC">
        <w:rPr>
          <w:rFonts w:ascii="Calibri" w:hAnsi="Calibri"/>
          <w:sz w:val="24"/>
          <w:szCs w:val="24"/>
        </w:rPr>
        <w:t>The PISA question selected for the research was chosen due to the class’s familiarity with the topic as they had recently completed their classroom topic of ‘Cells’. This question, although unfamiliar in situation was appropriate to the learners’ current knowledge and therefore should have been accessible to the class. Learners who could not grasp the concepts within the question would therefore display difficulty in their literacy and comprehension skills rather than their scientific knowledge.</w:t>
      </w:r>
    </w:p>
    <w:p w14:paraId="06903659" w14:textId="77777777" w:rsidR="004374EC" w:rsidRPr="004374EC" w:rsidRDefault="004374EC" w:rsidP="004374EC">
      <w:pPr>
        <w:rPr>
          <w:rFonts w:ascii="Calibri" w:hAnsi="Calibri"/>
          <w:sz w:val="24"/>
          <w:szCs w:val="24"/>
        </w:rPr>
      </w:pPr>
      <w:r w:rsidRPr="004374EC">
        <w:rPr>
          <w:rFonts w:ascii="Calibri" w:hAnsi="Calibri"/>
          <w:sz w:val="24"/>
          <w:szCs w:val="24"/>
        </w:rPr>
        <w:t>The sample size in this study, 28, is very small. This is due to only one class being available and of that class only 28 pupils attending all three of the lessons over which the study spanned. Repeating this study with a larger sample size could greatly improve results and give a much better indication of the effectiveness of inference squares as an intervention measure. As the class were of a lower ability, it would be beneficial to repeat the study with groups of varying abilities and compare any differences in the data collected. It is possible that learners who are of higher ability or are more able and talented (MAT), would be able to make better use of the inference square tool. The PISA questions are quite lengthy, which could instantly put learners struggling with reading skills at a disadvantage.</w:t>
      </w:r>
    </w:p>
    <w:p w14:paraId="6581AC60" w14:textId="77777777" w:rsidR="004374EC" w:rsidRPr="004374EC" w:rsidRDefault="004374EC" w:rsidP="004374EC">
      <w:pPr>
        <w:rPr>
          <w:rFonts w:ascii="Calibri" w:hAnsi="Calibri"/>
          <w:sz w:val="24"/>
          <w:szCs w:val="24"/>
        </w:rPr>
      </w:pPr>
      <w:r w:rsidRPr="004374EC">
        <w:rPr>
          <w:rFonts w:ascii="Calibri" w:hAnsi="Calibri"/>
          <w:sz w:val="24"/>
          <w:szCs w:val="24"/>
        </w:rPr>
        <w:t>Class Y often struggle with new concepts and approaches. Introducing the inference square in only one lesson, might not have been sufficient for all learners in the class to grasp the concept of how they can be used. This could have resulted in learner confusion and ultimately poor performance in the post-test. One way in which this could be avoided would be to slowly incorporate inference tools into lessons over a longer period of time and a more diverse range of questions. This would improve familiarity with the tool and learners could become more comfortable using them in a test situation.</w:t>
      </w:r>
    </w:p>
    <w:p w14:paraId="3ABED9FC" w14:textId="77777777" w:rsidR="004374EC" w:rsidRPr="004374EC" w:rsidRDefault="004374EC" w:rsidP="004374EC">
      <w:pPr>
        <w:rPr>
          <w:rFonts w:ascii="Calibri" w:hAnsi="Calibri"/>
          <w:sz w:val="24"/>
          <w:szCs w:val="24"/>
        </w:rPr>
      </w:pPr>
      <w:r w:rsidRPr="004374EC">
        <w:rPr>
          <w:rFonts w:ascii="Calibri" w:hAnsi="Calibri"/>
          <w:sz w:val="24"/>
          <w:szCs w:val="24"/>
        </w:rPr>
        <w:t xml:space="preserve">Out of the 28 pupils in class Y only 23 of them were present for all three lessons of the research. I have therefore decided to omit those pupils who were absent from my analysis to give a more reliable data set. The results showed that the mean score in the pre-test was 2.04/4 and in the post- test decreased slightly to 1.96/4. During the pre-testing stage the highest mark achieved was 4/4 and was awarded to only one </w:t>
      </w:r>
      <w:r w:rsidRPr="004374EC">
        <w:rPr>
          <w:rFonts w:ascii="Calibri" w:hAnsi="Calibri"/>
          <w:sz w:val="24"/>
          <w:szCs w:val="24"/>
        </w:rPr>
        <w:lastRenderedPageBreak/>
        <w:t>pupil (pupil 13). During the post-test stage the highest score remained at 4/4 but the number of pupils reaching this grade increased to 2 (pupils 2 and 6). The lowest score in the pre-test was 0 with 4 pupils being awarded this mark, compared with only 2 pupils receiving 0 marks in the post-test.</w:t>
      </w:r>
    </w:p>
    <w:p w14:paraId="46BD5CBB" w14:textId="77777777" w:rsidR="004374EC" w:rsidRPr="004374EC" w:rsidRDefault="004374EC" w:rsidP="004374EC">
      <w:pPr>
        <w:rPr>
          <w:rFonts w:ascii="Calibri" w:hAnsi="Calibri"/>
          <w:sz w:val="24"/>
          <w:szCs w:val="24"/>
        </w:rPr>
      </w:pPr>
      <w:r w:rsidRPr="004374EC">
        <w:rPr>
          <w:rFonts w:ascii="Calibri" w:hAnsi="Calibri"/>
          <w:sz w:val="24"/>
          <w:szCs w:val="24"/>
        </w:rPr>
        <w:t>Although the entire class received the same instructions on how to complete the task, as well as the same teaching of how to use inference squares, the way in which pupils approached the inference squares varied significantly. Some pupils made the most of the inference square to support their answering and recorded large amounts of information in each section, others failed to use their inference square at all or used the sheet for doodling.</w:t>
      </w:r>
    </w:p>
    <w:p w14:paraId="699B5702" w14:textId="77777777" w:rsidR="004374EC" w:rsidRPr="004374EC" w:rsidRDefault="004374EC" w:rsidP="004374EC">
      <w:pPr>
        <w:rPr>
          <w:rFonts w:ascii="Calibri" w:hAnsi="Calibri"/>
          <w:sz w:val="24"/>
          <w:szCs w:val="24"/>
        </w:rPr>
      </w:pPr>
      <w:r w:rsidRPr="004374EC">
        <w:rPr>
          <w:rFonts w:ascii="Calibri" w:hAnsi="Calibri"/>
          <w:sz w:val="24"/>
          <w:szCs w:val="24"/>
        </w:rPr>
        <w:t>It should be noted that the pupils’ ability to follow instructions also varied. Pupils were specifically asked to write their name on both their question papers and their inference squares at the start of the task, this instruction was then repeated at the end of the task. Despite being asked twice a number of sheets were handed in with no name. This suggests that some individuals were not paying attention and this lack of attention to instruction could also have affected their performance on the task.</w:t>
      </w:r>
    </w:p>
    <w:p w14:paraId="0765E935" w14:textId="77777777" w:rsidR="004374EC" w:rsidRPr="004374EC" w:rsidRDefault="004374EC" w:rsidP="004374EC">
      <w:pPr>
        <w:rPr>
          <w:rFonts w:ascii="Calibri" w:hAnsi="Calibri"/>
          <w:sz w:val="24"/>
          <w:szCs w:val="24"/>
        </w:rPr>
      </w:pPr>
      <w:r w:rsidRPr="004374EC">
        <w:rPr>
          <w:rFonts w:ascii="Calibri" w:hAnsi="Calibri"/>
          <w:sz w:val="24"/>
          <w:szCs w:val="24"/>
        </w:rPr>
        <w:t xml:space="preserve">                   </w:t>
      </w:r>
      <w:r w:rsidRPr="004374EC">
        <w:rPr>
          <w:rFonts w:ascii="Calibri" w:hAnsi="Calibri"/>
          <w:noProof/>
          <w:sz w:val="24"/>
          <w:szCs w:val="24"/>
        </w:rPr>
        <w:drawing>
          <wp:inline distT="0" distB="0" distL="0" distR="0" wp14:anchorId="36F5D6D6" wp14:editId="103F93EE">
            <wp:extent cx="4572000" cy="2743200"/>
            <wp:effectExtent l="0" t="0" r="0" b="0"/>
            <wp:docPr id="2" name="Chart 2">
              <a:extLst xmlns:a="http://schemas.openxmlformats.org/drawingml/2006/main">
                <a:ext uri="{FF2B5EF4-FFF2-40B4-BE49-F238E27FC236}">
                  <a16:creationId xmlns:a16="http://schemas.microsoft.com/office/drawing/2014/main" id="{3B969D88-6846-4724-BBFC-57391E8542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BB044EF" w14:textId="77777777" w:rsidR="004374EC" w:rsidRPr="004374EC" w:rsidRDefault="004374EC" w:rsidP="004374EC">
      <w:pPr>
        <w:rPr>
          <w:rFonts w:ascii="Calibri" w:hAnsi="Calibri"/>
          <w:sz w:val="24"/>
          <w:szCs w:val="24"/>
          <w:u w:val="single"/>
        </w:rPr>
      </w:pPr>
      <w:r w:rsidRPr="004374EC">
        <w:rPr>
          <w:rFonts w:ascii="Calibri" w:hAnsi="Calibri"/>
          <w:sz w:val="24"/>
          <w:szCs w:val="24"/>
          <w:u w:val="single"/>
        </w:rPr>
        <w:t>Graph 1- Showing class Y’s results in both the pre and post test</w:t>
      </w:r>
    </w:p>
    <w:p w14:paraId="645164E1" w14:textId="77777777" w:rsidR="004374EC" w:rsidRPr="004374EC" w:rsidRDefault="004374EC" w:rsidP="004374EC">
      <w:pPr>
        <w:rPr>
          <w:rFonts w:ascii="Calibri" w:hAnsi="Calibri"/>
          <w:sz w:val="24"/>
          <w:szCs w:val="24"/>
          <w:u w:val="single"/>
        </w:rPr>
      </w:pPr>
    </w:p>
    <w:p w14:paraId="219806D9" w14:textId="77777777" w:rsidR="004374EC" w:rsidRPr="004374EC" w:rsidRDefault="004374EC" w:rsidP="004374EC">
      <w:pPr>
        <w:rPr>
          <w:rFonts w:ascii="Calibri" w:hAnsi="Calibri"/>
          <w:sz w:val="24"/>
          <w:szCs w:val="24"/>
          <w:u w:val="single"/>
        </w:rPr>
      </w:pPr>
    </w:p>
    <w:p w14:paraId="604B7704" w14:textId="77777777" w:rsidR="004374EC" w:rsidRPr="004374EC" w:rsidRDefault="004374EC" w:rsidP="004374EC">
      <w:pPr>
        <w:rPr>
          <w:rFonts w:ascii="Calibri" w:hAnsi="Calibri"/>
          <w:sz w:val="24"/>
          <w:szCs w:val="24"/>
        </w:rPr>
      </w:pPr>
      <w:r w:rsidRPr="004374EC">
        <w:rPr>
          <w:rFonts w:ascii="Calibri" w:hAnsi="Calibri"/>
          <w:sz w:val="24"/>
          <w:szCs w:val="24"/>
        </w:rPr>
        <w:t xml:space="preserve">                  </w:t>
      </w:r>
      <w:r w:rsidRPr="004374EC">
        <w:rPr>
          <w:rFonts w:ascii="Calibri" w:hAnsi="Calibri"/>
          <w:noProof/>
          <w:sz w:val="24"/>
          <w:szCs w:val="24"/>
        </w:rPr>
        <w:drawing>
          <wp:inline distT="0" distB="0" distL="0" distR="0" wp14:anchorId="721AD02C" wp14:editId="09B12977">
            <wp:extent cx="4572000" cy="2743200"/>
            <wp:effectExtent l="0" t="0" r="0" b="0"/>
            <wp:docPr id="3" name="Chart 3">
              <a:extLst xmlns:a="http://schemas.openxmlformats.org/drawingml/2006/main">
                <a:ext uri="{FF2B5EF4-FFF2-40B4-BE49-F238E27FC236}">
                  <a16:creationId xmlns:a16="http://schemas.microsoft.com/office/drawing/2014/main" id="{94737514-CA7B-476B-A5D8-6013F9DA94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A21B988" w14:textId="77777777" w:rsidR="004374EC" w:rsidRPr="004374EC" w:rsidRDefault="004374EC" w:rsidP="004374EC">
      <w:pPr>
        <w:rPr>
          <w:rFonts w:ascii="Calibri" w:hAnsi="Calibri"/>
          <w:sz w:val="24"/>
          <w:szCs w:val="24"/>
          <w:u w:val="single"/>
        </w:rPr>
      </w:pPr>
      <w:r w:rsidRPr="004374EC">
        <w:rPr>
          <w:rFonts w:ascii="Calibri" w:hAnsi="Calibri"/>
          <w:sz w:val="24"/>
          <w:szCs w:val="24"/>
          <w:u w:val="single"/>
        </w:rPr>
        <w:t>Graph 2- Showing the change in marks awarded between pre and post-testing.</w:t>
      </w:r>
    </w:p>
    <w:p w14:paraId="0AD77186" w14:textId="77777777" w:rsidR="004374EC" w:rsidRPr="004374EC" w:rsidRDefault="004374EC" w:rsidP="004374EC">
      <w:pPr>
        <w:rPr>
          <w:rFonts w:ascii="Calibri" w:hAnsi="Calibri"/>
          <w:sz w:val="24"/>
          <w:szCs w:val="24"/>
          <w:u w:val="single"/>
        </w:rPr>
      </w:pPr>
    </w:p>
    <w:p w14:paraId="062AD05D" w14:textId="77777777" w:rsidR="004374EC" w:rsidRPr="004374EC" w:rsidRDefault="004374EC" w:rsidP="004374EC">
      <w:pPr>
        <w:rPr>
          <w:rFonts w:ascii="Calibri" w:hAnsi="Calibri"/>
          <w:sz w:val="24"/>
          <w:szCs w:val="24"/>
        </w:rPr>
      </w:pPr>
      <w:r w:rsidRPr="004374EC">
        <w:rPr>
          <w:rFonts w:ascii="Calibri" w:hAnsi="Calibri"/>
          <w:sz w:val="24"/>
          <w:szCs w:val="24"/>
        </w:rPr>
        <w:t xml:space="preserve">As graph 2 shows, 9 of the 23 pupils improved their results at the post-test stage. Pupil 6 showed the greatest improvement with a result improving by 3 marks from 1 to 4. Similarly, 9 of the 23 pupils showed a decrease in their scores. Pupils 3 and 11 showed to greatest reduction in marks with a decrease of 3 </w:t>
      </w:r>
      <w:r w:rsidRPr="004374EC">
        <w:rPr>
          <w:rFonts w:ascii="Calibri" w:hAnsi="Calibri"/>
          <w:sz w:val="24"/>
          <w:szCs w:val="24"/>
        </w:rPr>
        <w:lastRenderedPageBreak/>
        <w:t>marks, both from 3 to 0. The remaining 5 pupils maintained the same score as the pre-test stage 4 out of 5 of these pupils scored a 3 on both occasions.</w:t>
      </w:r>
    </w:p>
    <w:p w14:paraId="3388397B" w14:textId="77777777" w:rsidR="004374EC" w:rsidRPr="004374EC" w:rsidRDefault="004374EC" w:rsidP="004374EC">
      <w:pPr>
        <w:rPr>
          <w:rFonts w:ascii="Calibri" w:hAnsi="Calibri"/>
          <w:sz w:val="24"/>
          <w:szCs w:val="24"/>
        </w:rPr>
      </w:pPr>
      <w:r w:rsidRPr="004374EC">
        <w:rPr>
          <w:rFonts w:ascii="Calibri" w:hAnsi="Calibri"/>
          <w:sz w:val="24"/>
          <w:szCs w:val="24"/>
        </w:rPr>
        <w:t>It is important to look more closely at the types of questions the pupils were answering correctly and incorrectly and attempt to find a link to the way in which they completed their inference squares. Firstly I will look at the pupils who have made an improvement in marks between the pre and post-test. Pupils 18,19 and 20 all made similar attempts at using the inference squares, some basic knowledge was written. Pupil 18 included some information about cells which linked to the only question they got correct in the test. Pupils were sat in their usual seating plan for each lesson, it might be important to note that pupils 18,19 and 20 all received a mark of 0 pre-test and a mark of 1 post-test. Although this trend may be coincidental, it is important to consider that some form of copying might have taken place.</w:t>
      </w:r>
    </w:p>
    <w:p w14:paraId="0C11F848" w14:textId="77777777" w:rsidR="004374EC" w:rsidRPr="004374EC" w:rsidRDefault="004374EC" w:rsidP="004374EC">
      <w:pPr>
        <w:jc w:val="both"/>
        <w:rPr>
          <w:rFonts w:ascii="Calibri" w:hAnsi="Calibri"/>
          <w:sz w:val="24"/>
          <w:szCs w:val="24"/>
        </w:rPr>
      </w:pPr>
      <w:r w:rsidRPr="004374EC">
        <w:rPr>
          <w:rFonts w:ascii="Calibri" w:hAnsi="Calibri"/>
          <w:sz w:val="24"/>
          <w:szCs w:val="24"/>
        </w:rPr>
        <w:t>Pupil 2 received 100% in the post test, an improvement of 25%. This pupil displayed excellent use of the inference square. Each of the sections were completed at length, containing all correct information, albeit some irrelevant. Pupils 6 and 15 improved significantly from 1-4 marks and 0-2 marks respectively. Both of these pupils made good attempts at completing the ‘what does the question tell us?’ and ‘what do we already know?’ sections but failed to complete the ‘What conclusions can I make?’ section. These 5 pupils seem to have possibly improved their results as a result of effective use of the inference squares. In contrast, pupil 5 increased their score from 2-3 but a very poor attempt was made at completing the inference square. The limited information that was recorded in the square was irrelevant to the questions being asked such as ‘they live in woods and fields’ and ‘animal of the year’. No attempt was made at the conclusion and no scientific information was recorded, this could suggest a lack of understanding on how to complete the inference square. The improvement shown must therefore be due to other factors such as familiarity with the question or possibly luck or guesswork.</w:t>
      </w:r>
      <w:r w:rsidRPr="004374EC">
        <w:rPr>
          <w:rFonts w:ascii="Calibri" w:hAnsi="Calibri"/>
          <w:sz w:val="24"/>
          <w:szCs w:val="24"/>
        </w:rPr>
        <w:tab/>
      </w:r>
    </w:p>
    <w:p w14:paraId="286E9868" w14:textId="77777777" w:rsidR="004374EC" w:rsidRPr="004374EC" w:rsidRDefault="004374EC" w:rsidP="004374EC">
      <w:pPr>
        <w:jc w:val="both"/>
        <w:rPr>
          <w:rFonts w:ascii="Calibri" w:hAnsi="Calibri"/>
          <w:sz w:val="24"/>
          <w:szCs w:val="24"/>
        </w:rPr>
      </w:pPr>
      <w:r w:rsidRPr="004374EC">
        <w:rPr>
          <w:rFonts w:ascii="Calibri" w:hAnsi="Calibri"/>
          <w:sz w:val="24"/>
          <w:szCs w:val="24"/>
        </w:rPr>
        <w:t>If we look more closely at some of the pupils whose marks remained unchanged we can again see a range of attempts at using the squares. Pupils 1 and 8 both attempted the first two sections but left the conclusion section blank. Pupil 1 used some scientific knowledge but left some sentences unfinished, ‘a cell is…’, suggesting they were unsure of some scientific content. Pupil 8 recorded some incorrect information on their inference square and proceeded to lose a mark on the question related to this information. Pupil 17 made a very good attempt at utilising the inference square and completed each section at length, however little scientific knowledge was recorded in the ‘what do I know?’ section, with little link to the topic of ‘cells’ which may have played a part in not improving their results. In contrast, pupil 4 made ineffective use of the tool, recording only irrelevant information with no scientific links, for example ‘Live on farms’ and ‘Live in Wales’. It is no surprise that this pupils’ mark remained unchanged.</w:t>
      </w:r>
    </w:p>
    <w:p w14:paraId="35D994BD" w14:textId="77777777" w:rsidR="004374EC" w:rsidRPr="004374EC" w:rsidRDefault="004374EC" w:rsidP="004374EC">
      <w:pPr>
        <w:jc w:val="both"/>
        <w:rPr>
          <w:rFonts w:ascii="Calibri" w:hAnsi="Calibri"/>
          <w:sz w:val="24"/>
          <w:szCs w:val="24"/>
        </w:rPr>
      </w:pPr>
      <w:r w:rsidRPr="004374EC">
        <w:rPr>
          <w:rFonts w:ascii="Calibri" w:hAnsi="Calibri"/>
          <w:sz w:val="24"/>
          <w:szCs w:val="24"/>
        </w:rPr>
        <w:t>We can then look at some examples of inference usage in pupils whose marks decreased between pre and post-testing. Firstly pupil 13 made some attempt at answering all three sections of the square but failed to include any information relating to the topic of cells. This pupil then went on to lose a mark in a question relating to cells which they had previously answered correctly in the pre-test resulting in a score change from 4-3. Pupils 9 and 11 lost marks scoring 2-1 and 3-0 in the pre and post-test respectively. Both of these students recorded incorrect information of their inference squares and showed some confusion between the terms ‘cell’ and ‘nucleus’. Both pupils then lost marks as a result of these inaccuracies. Pupil 10 showed a reduction of 3-1, a very basic attempt was made at completing the inference square with no scientific knowledge being displayed. However, pupil 10 did manage to lift some key points</w:t>
      </w:r>
      <w:r w:rsidRPr="004374EC">
        <w:rPr>
          <w:rFonts w:ascii="Calibri" w:hAnsi="Calibri"/>
          <w:sz w:val="24"/>
          <w:szCs w:val="24"/>
        </w:rPr>
        <w:tab/>
        <w:t>from the text and this resulted in scoring in the related question. Pupil 3 shows an interesting result dropping in score from 3-0. By looking at their inference square we can see that all three sections were attempted, and some basic scientific knowledge is displayed. This pupil seemed to struggle with the conclusion and instead lifted information directly from the text, this might suggest a lack of understanding of the topic or an inability to apply knowledge to the situation. Questions 3 and 4 were both answered correctly in the pre-test by this pupil but both incorrect in the post-test. These questions require the pupil to use their higher order thinking in order to make a conclusion. This along with the difficulty completing the inference square suggests the pupil had simply guessed at the answers for questions 3 and 4 on both the pre and post-test.</w:t>
      </w:r>
      <w:r w:rsidRPr="004374EC">
        <w:rPr>
          <w:rFonts w:ascii="Calibri" w:hAnsi="Calibri"/>
          <w:sz w:val="24"/>
          <w:szCs w:val="24"/>
        </w:rPr>
        <w:tab/>
      </w:r>
      <w:r w:rsidRPr="004374EC">
        <w:rPr>
          <w:rFonts w:ascii="Calibri" w:hAnsi="Calibri"/>
          <w:sz w:val="24"/>
          <w:szCs w:val="24"/>
        </w:rPr>
        <w:tab/>
      </w:r>
      <w:r w:rsidRPr="004374EC">
        <w:rPr>
          <w:rFonts w:ascii="Calibri" w:hAnsi="Calibri"/>
          <w:sz w:val="24"/>
          <w:szCs w:val="24"/>
        </w:rPr>
        <w:tab/>
      </w:r>
      <w:r w:rsidRPr="004374EC">
        <w:rPr>
          <w:rFonts w:ascii="Calibri" w:hAnsi="Calibri"/>
          <w:sz w:val="24"/>
          <w:szCs w:val="24"/>
        </w:rPr>
        <w:tab/>
      </w:r>
      <w:r w:rsidRPr="004374EC">
        <w:rPr>
          <w:rFonts w:ascii="Calibri" w:hAnsi="Calibri"/>
          <w:sz w:val="24"/>
          <w:szCs w:val="24"/>
        </w:rPr>
        <w:tab/>
      </w:r>
      <w:r w:rsidRPr="004374EC">
        <w:rPr>
          <w:rFonts w:ascii="Calibri" w:hAnsi="Calibri"/>
          <w:sz w:val="24"/>
          <w:szCs w:val="24"/>
        </w:rPr>
        <w:tab/>
      </w:r>
      <w:r w:rsidRPr="004374EC">
        <w:rPr>
          <w:rFonts w:ascii="Calibri" w:hAnsi="Calibri"/>
          <w:sz w:val="24"/>
          <w:szCs w:val="24"/>
        </w:rPr>
        <w:tab/>
      </w:r>
      <w:r w:rsidRPr="004374EC">
        <w:rPr>
          <w:rFonts w:ascii="Calibri" w:hAnsi="Calibri"/>
          <w:sz w:val="24"/>
          <w:szCs w:val="24"/>
        </w:rPr>
        <w:tab/>
      </w:r>
      <w:r w:rsidRPr="004374EC">
        <w:rPr>
          <w:rFonts w:ascii="Calibri" w:hAnsi="Calibri"/>
          <w:sz w:val="24"/>
          <w:szCs w:val="24"/>
        </w:rPr>
        <w:tab/>
      </w:r>
      <w:r w:rsidRPr="004374EC">
        <w:rPr>
          <w:rFonts w:ascii="Calibri" w:hAnsi="Calibri"/>
          <w:sz w:val="24"/>
          <w:szCs w:val="24"/>
        </w:rPr>
        <w:tab/>
      </w:r>
      <w:r w:rsidRPr="004374EC">
        <w:rPr>
          <w:rFonts w:ascii="Calibri" w:hAnsi="Calibri"/>
          <w:sz w:val="24"/>
          <w:szCs w:val="24"/>
        </w:rPr>
        <w:tab/>
      </w:r>
      <w:r w:rsidRPr="004374EC">
        <w:rPr>
          <w:rFonts w:ascii="Calibri" w:hAnsi="Calibri"/>
          <w:sz w:val="24"/>
          <w:szCs w:val="24"/>
        </w:rPr>
        <w:tab/>
      </w:r>
      <w:r w:rsidRPr="004374EC">
        <w:rPr>
          <w:rFonts w:ascii="Calibri" w:hAnsi="Calibri"/>
          <w:sz w:val="24"/>
          <w:szCs w:val="24"/>
        </w:rPr>
        <w:tab/>
      </w:r>
      <w:r w:rsidRPr="004374EC">
        <w:rPr>
          <w:rFonts w:ascii="Calibri" w:hAnsi="Calibri"/>
          <w:sz w:val="24"/>
          <w:szCs w:val="24"/>
        </w:rPr>
        <w:tab/>
      </w:r>
      <w:r w:rsidRPr="004374EC">
        <w:rPr>
          <w:rFonts w:ascii="Calibri" w:hAnsi="Calibri"/>
          <w:sz w:val="24"/>
          <w:szCs w:val="24"/>
        </w:rPr>
        <w:tab/>
      </w:r>
      <w:r w:rsidRPr="004374EC">
        <w:rPr>
          <w:rFonts w:ascii="Calibri" w:hAnsi="Calibri"/>
          <w:sz w:val="24"/>
          <w:szCs w:val="24"/>
        </w:rPr>
        <w:tab/>
      </w:r>
      <w:r w:rsidRPr="004374EC">
        <w:rPr>
          <w:rFonts w:ascii="Calibri" w:hAnsi="Calibri"/>
          <w:sz w:val="24"/>
          <w:szCs w:val="24"/>
        </w:rPr>
        <w:tab/>
      </w:r>
      <w:r w:rsidRPr="004374EC">
        <w:rPr>
          <w:rFonts w:ascii="Calibri" w:hAnsi="Calibri"/>
          <w:sz w:val="24"/>
          <w:szCs w:val="24"/>
        </w:rPr>
        <w:tab/>
      </w:r>
      <w:r w:rsidRPr="004374EC">
        <w:rPr>
          <w:rFonts w:ascii="Calibri" w:hAnsi="Calibri"/>
          <w:sz w:val="24"/>
          <w:szCs w:val="24"/>
        </w:rPr>
        <w:tab/>
      </w:r>
      <w:r w:rsidRPr="004374EC">
        <w:rPr>
          <w:rFonts w:ascii="Calibri" w:hAnsi="Calibri"/>
          <w:sz w:val="24"/>
          <w:szCs w:val="24"/>
        </w:rPr>
        <w:tab/>
      </w:r>
      <w:r w:rsidRPr="004374EC">
        <w:rPr>
          <w:rFonts w:ascii="Calibri" w:hAnsi="Calibri"/>
          <w:sz w:val="24"/>
          <w:szCs w:val="24"/>
        </w:rPr>
        <w:tab/>
      </w:r>
      <w:r w:rsidRPr="004374EC">
        <w:rPr>
          <w:rFonts w:ascii="Calibri" w:hAnsi="Calibri"/>
          <w:sz w:val="24"/>
          <w:szCs w:val="24"/>
        </w:rPr>
        <w:tab/>
      </w:r>
    </w:p>
    <w:p w14:paraId="772BF105" w14:textId="77777777" w:rsidR="004374EC" w:rsidRPr="004374EC" w:rsidRDefault="004374EC" w:rsidP="004374EC">
      <w:pPr>
        <w:rPr>
          <w:rFonts w:ascii="Calibri" w:hAnsi="Calibri"/>
          <w:sz w:val="24"/>
          <w:szCs w:val="24"/>
        </w:rPr>
      </w:pPr>
      <w:r w:rsidRPr="004374EC">
        <w:rPr>
          <w:rFonts w:ascii="Calibri" w:hAnsi="Calibri"/>
          <w:sz w:val="24"/>
          <w:szCs w:val="24"/>
        </w:rPr>
        <w:lastRenderedPageBreak/>
        <w:t>Answering lengthy, more complex questions is a skill that needs to be taught early on in secondary schools in order to prepare learners for their GCSE examinations during key stage 4 (KS4). GCSE science papers now contain one quality of written response (QWR) questions which contributes 10% to the total marks available. This type of question requires a high level of content understanding as well as the ability to apply strong literacy skills. Pupils are expected to spell key words correctly and structure answers in an appropriate and logical manner. Simple multiple-choice style questions are not sufficient in testing for higher order thinking skills such as evaluating or creative thinking (Brame, 2013). The introduction of this type of question highlights the importance of cross-curricular literacy skills and scientific literacy.</w:t>
      </w:r>
    </w:p>
    <w:p w14:paraId="6BCA4F44" w14:textId="77777777" w:rsidR="004374EC" w:rsidRPr="004374EC" w:rsidRDefault="004374EC" w:rsidP="004374EC">
      <w:pPr>
        <w:rPr>
          <w:rFonts w:ascii="Calibri" w:hAnsi="Calibri"/>
          <w:sz w:val="24"/>
          <w:szCs w:val="24"/>
        </w:rPr>
      </w:pPr>
      <w:r w:rsidRPr="004374EC">
        <w:rPr>
          <w:rFonts w:ascii="Calibri" w:hAnsi="Calibri"/>
          <w:sz w:val="24"/>
          <w:szCs w:val="24"/>
        </w:rPr>
        <w:t>The question selected only consisted of 4 marks in order to make the task as straight forward as possible for the pupils participating. It is possible that if a test containing a larger amount of questions had been used the data would have given a more general indicator of the ability of the class. The task was also kept short in order for it to be used as a normal in lesson task. Pupils therefore did not feel as though they were being examined by instead, completing a relatively normal in-class assessment, as they do every lesson.</w:t>
      </w:r>
    </w:p>
    <w:p w14:paraId="4B4FC6AF" w14:textId="77777777" w:rsidR="004374EC" w:rsidRPr="004374EC" w:rsidRDefault="004374EC" w:rsidP="004374EC">
      <w:pPr>
        <w:rPr>
          <w:rFonts w:ascii="Calibri" w:hAnsi="Calibri"/>
          <w:sz w:val="24"/>
          <w:szCs w:val="24"/>
        </w:rPr>
      </w:pPr>
      <w:r w:rsidRPr="004374EC">
        <w:rPr>
          <w:rFonts w:ascii="Calibri" w:hAnsi="Calibri"/>
          <w:sz w:val="24"/>
          <w:szCs w:val="24"/>
        </w:rPr>
        <w:t>One of the most effective ways I have found to improve pupil performance in assessments is to provide targeted and meaningful feedback. Explaining to students where they went wrong and what they could do differently. Pupils were not offered feedback or even awarded a score after the pre-test assessment as this would have had an effect on the post-test result and effected the validity of the study. Lack of feedback after the initial testing may have resulted in the pupils thinking that they had answered incorrectly the first time and so changed their answers in the post-test in order to maximise their chances of getting the question correct at least once.</w:t>
      </w:r>
    </w:p>
    <w:p w14:paraId="4E85FF77" w14:textId="77777777" w:rsidR="004374EC" w:rsidRPr="004374EC" w:rsidRDefault="004374EC" w:rsidP="004374EC">
      <w:pPr>
        <w:rPr>
          <w:rFonts w:ascii="Calibri" w:hAnsi="Calibri"/>
          <w:sz w:val="24"/>
          <w:szCs w:val="24"/>
        </w:rPr>
      </w:pPr>
      <w:r w:rsidRPr="004374EC">
        <w:rPr>
          <w:rFonts w:ascii="Calibri" w:hAnsi="Calibri"/>
          <w:sz w:val="24"/>
          <w:szCs w:val="24"/>
        </w:rPr>
        <w:t>To summarise, despite the mean score dropping between the pre and post-test, there might be some reason to believe that inference squares can play a part in ordering a pupil’s knowledge and have an effect on the achievement when answering questions when used correctly. One explanation for learners scores decreasing in the post intervention test is that learners simply guessed the answer both times.</w:t>
      </w:r>
    </w:p>
    <w:p w14:paraId="05A6548C" w14:textId="77777777" w:rsidR="004374EC" w:rsidRPr="004374EC" w:rsidRDefault="004374EC" w:rsidP="004374EC">
      <w:pPr>
        <w:rPr>
          <w:rFonts w:ascii="Calibri" w:hAnsi="Calibri"/>
          <w:sz w:val="24"/>
          <w:szCs w:val="24"/>
        </w:rPr>
      </w:pPr>
    </w:p>
    <w:p w14:paraId="590629F1" w14:textId="77777777" w:rsidR="004374EC" w:rsidRPr="004374EC" w:rsidRDefault="004374EC" w:rsidP="004374EC">
      <w:pPr>
        <w:rPr>
          <w:rFonts w:ascii="Calibri" w:hAnsi="Calibri"/>
          <w:sz w:val="24"/>
          <w:szCs w:val="24"/>
          <w:u w:val="single"/>
        </w:rPr>
      </w:pPr>
      <w:r w:rsidRPr="004374EC">
        <w:rPr>
          <w:rFonts w:ascii="Calibri" w:hAnsi="Calibri"/>
          <w:sz w:val="24"/>
          <w:szCs w:val="24"/>
          <w:u w:val="single"/>
        </w:rPr>
        <w:t xml:space="preserve">Conclusions </w:t>
      </w:r>
    </w:p>
    <w:p w14:paraId="5C83ED66" w14:textId="77777777" w:rsidR="004374EC" w:rsidRPr="004374EC" w:rsidRDefault="004374EC" w:rsidP="004374EC">
      <w:pPr>
        <w:rPr>
          <w:rFonts w:ascii="Calibri" w:hAnsi="Calibri"/>
          <w:sz w:val="24"/>
          <w:szCs w:val="24"/>
        </w:rPr>
      </w:pPr>
      <w:r w:rsidRPr="004374EC">
        <w:rPr>
          <w:rFonts w:ascii="Calibri" w:hAnsi="Calibri"/>
          <w:sz w:val="24"/>
          <w:szCs w:val="24"/>
        </w:rPr>
        <w:t>Although the mean score declined slightly in the post-test data set, the change was not significant. This however, does not necessarily mean that inference squares cannot have their place in improving learners’ ability to answer literacy-based science questions.</w:t>
      </w:r>
    </w:p>
    <w:p w14:paraId="4C373CA4" w14:textId="77777777" w:rsidR="004374EC" w:rsidRPr="004374EC" w:rsidRDefault="004374EC" w:rsidP="004374EC">
      <w:pPr>
        <w:rPr>
          <w:rFonts w:ascii="Calibri" w:hAnsi="Calibri"/>
          <w:sz w:val="24"/>
          <w:szCs w:val="24"/>
        </w:rPr>
      </w:pPr>
      <w:r w:rsidRPr="004374EC">
        <w:rPr>
          <w:rFonts w:ascii="Calibri" w:hAnsi="Calibri"/>
          <w:sz w:val="24"/>
          <w:szCs w:val="24"/>
        </w:rPr>
        <w:t>There are a range of factors which might have interfered with the outcome of this study including sample size, age of test group, question selected and the inconsistency of the classroom setting.</w:t>
      </w:r>
    </w:p>
    <w:p w14:paraId="7E1E5091" w14:textId="77777777" w:rsidR="004374EC" w:rsidRPr="004374EC" w:rsidRDefault="004374EC" w:rsidP="004374EC">
      <w:pPr>
        <w:rPr>
          <w:rFonts w:ascii="Calibri" w:hAnsi="Calibri"/>
          <w:sz w:val="24"/>
          <w:szCs w:val="24"/>
        </w:rPr>
      </w:pPr>
      <w:r w:rsidRPr="004374EC">
        <w:rPr>
          <w:rFonts w:ascii="Calibri" w:hAnsi="Calibri"/>
          <w:sz w:val="24"/>
          <w:szCs w:val="24"/>
        </w:rPr>
        <w:t>Some learners seemed to instantly take to the inference squares, whereas others saw them as more work for them to complete. These learners therefore might have developed a negative attitude to the task which might have had an adverse effect on their performance.</w:t>
      </w:r>
    </w:p>
    <w:p w14:paraId="6C05C794" w14:textId="77777777" w:rsidR="004374EC" w:rsidRPr="004374EC" w:rsidRDefault="004374EC" w:rsidP="004374EC">
      <w:pPr>
        <w:rPr>
          <w:rFonts w:ascii="Calibri" w:hAnsi="Calibri"/>
          <w:sz w:val="24"/>
          <w:szCs w:val="24"/>
        </w:rPr>
      </w:pPr>
      <w:r w:rsidRPr="004374EC">
        <w:rPr>
          <w:rFonts w:ascii="Calibri" w:hAnsi="Calibri"/>
          <w:sz w:val="24"/>
          <w:szCs w:val="24"/>
        </w:rPr>
        <w:t xml:space="preserve">It is clear that more research needs to be undertaken in this area. Although learners might be able to memorise scientific facts, they may not possess the ability to apply that knowledge to unfamiliar situations, make predictions or draw conclusions using their knowledge. Teaching students how to tackle questions and the skills relating to applying knowledge in different contexts, need to be held with as much importance as the subject content knowledge being taught (Krathwohl et al. 1964). </w:t>
      </w:r>
    </w:p>
    <w:p w14:paraId="34C6712D" w14:textId="77777777" w:rsidR="004374EC" w:rsidRPr="004374EC" w:rsidRDefault="004374EC" w:rsidP="004374EC">
      <w:pPr>
        <w:rPr>
          <w:rFonts w:ascii="Calibri" w:hAnsi="Calibri"/>
          <w:sz w:val="24"/>
          <w:szCs w:val="24"/>
        </w:rPr>
      </w:pPr>
      <w:r w:rsidRPr="004374EC">
        <w:rPr>
          <w:rFonts w:ascii="Calibri" w:hAnsi="Calibri"/>
          <w:sz w:val="24"/>
          <w:szCs w:val="24"/>
        </w:rPr>
        <w:t>The use of intervention techniques such as using inference tools can allow teachers to guide learners whilst improving their literacy skill set, and potentially be of huge benefit to students within the classroom (Clarke, 1991). Simply memorising and regurgitating facts is not sufficient in these types of tests, a higher order level of thinking needs to be developed. Pupils who struggled with these higher order thinking skills scored fewer marks in the 3</w:t>
      </w:r>
      <w:r w:rsidRPr="004374EC">
        <w:rPr>
          <w:rFonts w:ascii="Calibri" w:hAnsi="Calibri"/>
          <w:sz w:val="24"/>
          <w:szCs w:val="24"/>
          <w:vertAlign w:val="superscript"/>
        </w:rPr>
        <w:t>rd</w:t>
      </w:r>
      <w:r w:rsidRPr="004374EC">
        <w:rPr>
          <w:rFonts w:ascii="Calibri" w:hAnsi="Calibri"/>
          <w:sz w:val="24"/>
          <w:szCs w:val="24"/>
        </w:rPr>
        <w:t xml:space="preserve"> and 4</w:t>
      </w:r>
      <w:r w:rsidRPr="004374EC">
        <w:rPr>
          <w:rFonts w:ascii="Calibri" w:hAnsi="Calibri"/>
          <w:sz w:val="24"/>
          <w:szCs w:val="24"/>
          <w:vertAlign w:val="superscript"/>
        </w:rPr>
        <w:t>th</w:t>
      </w:r>
      <w:r w:rsidRPr="004374EC">
        <w:rPr>
          <w:rFonts w:ascii="Calibri" w:hAnsi="Calibri"/>
          <w:sz w:val="24"/>
          <w:szCs w:val="24"/>
        </w:rPr>
        <w:t xml:space="preserve"> questions on the test and many of those who scored poorly on these questions also struggled when completing the outer section of the inference square which required them to draw conclusions from the information given.</w:t>
      </w:r>
    </w:p>
    <w:p w14:paraId="3BF0A14A" w14:textId="77777777" w:rsidR="004374EC" w:rsidRPr="004374EC" w:rsidRDefault="004374EC" w:rsidP="004374EC">
      <w:pPr>
        <w:rPr>
          <w:rFonts w:ascii="Calibri" w:hAnsi="Calibri"/>
          <w:sz w:val="24"/>
          <w:szCs w:val="24"/>
        </w:rPr>
      </w:pPr>
      <w:r w:rsidRPr="004374EC">
        <w:rPr>
          <w:rFonts w:ascii="Calibri" w:hAnsi="Calibri"/>
          <w:sz w:val="24"/>
          <w:szCs w:val="24"/>
        </w:rPr>
        <w:t xml:space="preserve">Educational reform is essential for learning to evolve alongside the modern world. Milner et al. (2017) supports this belief; she explains that the introduction of the ‘No Child Left Behind’ (NCLB) policy, introduced by President George Bush in 2001 brought science back into the forefront of elementary school education. NCLB ensures that science is taught at a high standard and is viewed with great importance alongside mathematics and English. Milner states that before the NCLB reform, science took a back seat on </w:t>
      </w:r>
      <w:r w:rsidRPr="004374EC">
        <w:rPr>
          <w:rFonts w:ascii="Calibri" w:hAnsi="Calibri"/>
          <w:sz w:val="24"/>
          <w:szCs w:val="24"/>
        </w:rPr>
        <w:lastRenderedPageBreak/>
        <w:t>the curriculum as greater emphasis was placed on mathematics and reading. Previously, national assessments focused predominantly on mathematics and reading, which brought about competition between schools. Since adding science assessments into the NCLB policy science teaching and therefore attainment has improved.</w:t>
      </w:r>
    </w:p>
    <w:p w14:paraId="19687AD6" w14:textId="77777777" w:rsidR="004374EC" w:rsidRPr="004374EC" w:rsidRDefault="004374EC" w:rsidP="004374EC">
      <w:pPr>
        <w:rPr>
          <w:rFonts w:ascii="Calibri" w:hAnsi="Calibri"/>
          <w:sz w:val="24"/>
          <w:szCs w:val="24"/>
        </w:rPr>
      </w:pPr>
      <w:r w:rsidRPr="004374EC">
        <w:rPr>
          <w:rFonts w:ascii="Calibri" w:hAnsi="Calibri"/>
          <w:sz w:val="24"/>
          <w:szCs w:val="24"/>
        </w:rPr>
        <w:t>It is vital that education professionals continue to look for new ways to improve their teaching and that regular educational reform takes place to allow learning to evolve with the modern world.</w:t>
      </w:r>
    </w:p>
    <w:p w14:paraId="583D2D3F" w14:textId="77777777" w:rsidR="004374EC" w:rsidRPr="004374EC" w:rsidRDefault="004374EC" w:rsidP="004374EC">
      <w:pPr>
        <w:rPr>
          <w:rFonts w:ascii="Calibri" w:hAnsi="Calibri"/>
          <w:sz w:val="24"/>
          <w:szCs w:val="24"/>
          <w:u w:val="single"/>
        </w:rPr>
      </w:pPr>
      <w:r w:rsidRPr="004374EC">
        <w:rPr>
          <w:rFonts w:ascii="Calibri" w:hAnsi="Calibri"/>
          <w:sz w:val="24"/>
          <w:szCs w:val="24"/>
          <w:u w:val="single"/>
        </w:rPr>
        <w:t xml:space="preserve">Limitations and Future Development </w:t>
      </w:r>
    </w:p>
    <w:p w14:paraId="3DFDAAFF" w14:textId="77777777" w:rsidR="004374EC" w:rsidRPr="004374EC" w:rsidRDefault="004374EC" w:rsidP="004374EC">
      <w:pPr>
        <w:rPr>
          <w:rFonts w:ascii="Calibri" w:hAnsi="Calibri"/>
          <w:sz w:val="24"/>
          <w:szCs w:val="24"/>
        </w:rPr>
      </w:pPr>
      <w:r w:rsidRPr="004374EC">
        <w:rPr>
          <w:rFonts w:ascii="Calibri" w:hAnsi="Calibri"/>
          <w:sz w:val="24"/>
          <w:szCs w:val="24"/>
        </w:rPr>
        <w:t>The Pisa questions used in this study are written for pupils around the age of 14/15 years old. The sample of learners tested were only 11/12 years of age. This suggests that the content and wording of questions would have been challenging for this group of pupils, especially due to their academic ability as a class. Unfortunately, this class was the only class available to me to undertake the study. I was able to choose a question that covered the topic they had recently completed and contained relatively simple language compared to some others in order to minimise the effect of this on the results. Ideally if this research was to be continued a sample of older, more age appropriate pupils could be used.</w:t>
      </w:r>
    </w:p>
    <w:p w14:paraId="4795BBB3" w14:textId="77777777" w:rsidR="004374EC" w:rsidRPr="004374EC" w:rsidRDefault="004374EC" w:rsidP="004374EC">
      <w:pPr>
        <w:rPr>
          <w:rFonts w:ascii="Calibri" w:hAnsi="Calibri"/>
          <w:sz w:val="24"/>
          <w:szCs w:val="24"/>
        </w:rPr>
      </w:pPr>
      <w:r w:rsidRPr="004374EC">
        <w:rPr>
          <w:rFonts w:ascii="Calibri" w:hAnsi="Calibri"/>
          <w:sz w:val="24"/>
          <w:szCs w:val="24"/>
        </w:rPr>
        <w:t xml:space="preserve">Another limitation of this study is that during the </w:t>
      </w:r>
      <w:proofErr w:type="spellStart"/>
      <w:r w:rsidRPr="004374EC">
        <w:rPr>
          <w:rFonts w:ascii="Calibri" w:hAnsi="Calibri"/>
          <w:sz w:val="24"/>
          <w:szCs w:val="24"/>
        </w:rPr>
        <w:t>post test</w:t>
      </w:r>
      <w:proofErr w:type="spellEnd"/>
      <w:r w:rsidRPr="004374EC">
        <w:rPr>
          <w:rFonts w:ascii="Calibri" w:hAnsi="Calibri"/>
          <w:sz w:val="24"/>
          <w:szCs w:val="24"/>
        </w:rPr>
        <w:t xml:space="preserve"> questioning the same question was used. The pupils were therefore familiar with the question and this could possibly give an advantage when answering. Using the same question however, does minimise any risk of the questions being of varying difficulty and ensures that the inference square intervention be the most likely reason for any change in achievement during the post-test assessment.</w:t>
      </w:r>
    </w:p>
    <w:p w14:paraId="564E8B4E" w14:textId="77777777" w:rsidR="004374EC" w:rsidRPr="004374EC" w:rsidRDefault="004374EC" w:rsidP="004374EC">
      <w:pPr>
        <w:rPr>
          <w:rFonts w:ascii="Calibri" w:hAnsi="Calibri"/>
          <w:sz w:val="24"/>
          <w:szCs w:val="24"/>
        </w:rPr>
      </w:pPr>
      <w:r w:rsidRPr="004374EC">
        <w:rPr>
          <w:rFonts w:ascii="Calibri" w:hAnsi="Calibri"/>
          <w:sz w:val="24"/>
          <w:szCs w:val="24"/>
        </w:rPr>
        <w:t>For some pupils who might have struggled with the text and as a result recorded incorrect information onto their inference squares, the inference squares might have been a hinderance as they then were using an incorrect set of ‘facts’ in which to answer the questions. Regular incorporation of inference tools in lessons might reduce the chance of confusion and result in more effective usage of the tools and in turn improve pupil achievement. The wording of the sections displayed on the inference square could be adapted and simplified to ensure learners know what kind of information is relevant to the question being asked.</w:t>
      </w:r>
    </w:p>
    <w:p w14:paraId="1E4321E7" w14:textId="77777777" w:rsidR="004374EC" w:rsidRPr="004374EC" w:rsidRDefault="004374EC" w:rsidP="004374EC">
      <w:pPr>
        <w:rPr>
          <w:rFonts w:ascii="Calibri" w:hAnsi="Calibri"/>
          <w:sz w:val="24"/>
          <w:szCs w:val="24"/>
        </w:rPr>
      </w:pPr>
      <w:r w:rsidRPr="004374EC">
        <w:rPr>
          <w:rFonts w:ascii="Calibri" w:hAnsi="Calibri"/>
          <w:sz w:val="24"/>
          <w:szCs w:val="24"/>
        </w:rPr>
        <w:t xml:space="preserve">Unfortunately, due to timetable constraints, the </w:t>
      </w:r>
      <w:proofErr w:type="spellStart"/>
      <w:r w:rsidRPr="004374EC">
        <w:rPr>
          <w:rFonts w:ascii="Calibri" w:hAnsi="Calibri"/>
          <w:sz w:val="24"/>
          <w:szCs w:val="24"/>
        </w:rPr>
        <w:t>pre test</w:t>
      </w:r>
      <w:proofErr w:type="spellEnd"/>
      <w:r w:rsidRPr="004374EC">
        <w:rPr>
          <w:rFonts w:ascii="Calibri" w:hAnsi="Calibri"/>
          <w:sz w:val="24"/>
          <w:szCs w:val="24"/>
        </w:rPr>
        <w:t xml:space="preserve"> lesson was delivered in an unsuitable environment of a design technology computer room. Pupils had minimal desk space to complete the task and numerous distractions were incurred including machinery noise from neighbouring classrooms and constant disruption by individuals moving in and out of the room. This setting was less than ideal not only for the pupils to complete the task under test conditions, but also for me to explain the task to the class and ensure understanding (</w:t>
      </w:r>
      <w:proofErr w:type="spellStart"/>
      <w:r w:rsidRPr="004374EC">
        <w:rPr>
          <w:rFonts w:ascii="Calibri" w:hAnsi="Calibri"/>
          <w:sz w:val="24"/>
          <w:szCs w:val="24"/>
        </w:rPr>
        <w:t>Kausar</w:t>
      </w:r>
      <w:proofErr w:type="spellEnd"/>
      <w:r w:rsidRPr="004374EC">
        <w:rPr>
          <w:rFonts w:ascii="Calibri" w:hAnsi="Calibri"/>
          <w:sz w:val="24"/>
          <w:szCs w:val="24"/>
        </w:rPr>
        <w:t xml:space="preserve"> et al, 2017).</w:t>
      </w:r>
    </w:p>
    <w:p w14:paraId="10786A58" w14:textId="77777777" w:rsidR="004374EC" w:rsidRPr="004374EC" w:rsidRDefault="004374EC" w:rsidP="004374EC">
      <w:pPr>
        <w:rPr>
          <w:rFonts w:ascii="Calibri" w:hAnsi="Calibri"/>
          <w:sz w:val="24"/>
          <w:szCs w:val="24"/>
        </w:rPr>
      </w:pPr>
      <w:r w:rsidRPr="004374EC">
        <w:rPr>
          <w:rFonts w:ascii="Calibri" w:hAnsi="Calibri"/>
          <w:sz w:val="24"/>
          <w:szCs w:val="24"/>
        </w:rPr>
        <w:t xml:space="preserve">The intervention lesson was delivered in a slightly more suitable setting of an art classroom and the </w:t>
      </w:r>
      <w:proofErr w:type="spellStart"/>
      <w:r w:rsidRPr="004374EC">
        <w:rPr>
          <w:rFonts w:ascii="Calibri" w:hAnsi="Calibri"/>
          <w:sz w:val="24"/>
          <w:szCs w:val="24"/>
        </w:rPr>
        <w:t>post test</w:t>
      </w:r>
      <w:proofErr w:type="spellEnd"/>
      <w:r w:rsidRPr="004374EC">
        <w:rPr>
          <w:rFonts w:ascii="Calibri" w:hAnsi="Calibri"/>
          <w:sz w:val="24"/>
          <w:szCs w:val="24"/>
        </w:rPr>
        <w:t xml:space="preserve"> lesson in a modern foreign languages (MFL) classroom. This inconsistency in setting would undoubtably play a part in the performance of pupils during this task. Unsuitable classroom environments can have a detrimental effect on pupil focus and therefor reduce attainment (Barth et al. 2004).  In order to improve validity of the results the sequence of lessons should take place in the same room, this will minimise any environmental effects on pupil performance. Ideally the classroom used for the research should be organized, vibrant and well equipped for the lesson taking place, in order to maximise student learning and performance. (</w:t>
      </w:r>
      <w:proofErr w:type="spellStart"/>
      <w:r w:rsidRPr="004374EC">
        <w:rPr>
          <w:rFonts w:ascii="Calibri" w:hAnsi="Calibri"/>
          <w:sz w:val="24"/>
          <w:szCs w:val="24"/>
        </w:rPr>
        <w:t>Kausar</w:t>
      </w:r>
      <w:proofErr w:type="spellEnd"/>
      <w:r w:rsidRPr="004374EC">
        <w:rPr>
          <w:rFonts w:ascii="Calibri" w:hAnsi="Calibri"/>
          <w:sz w:val="24"/>
          <w:szCs w:val="24"/>
        </w:rPr>
        <w:t xml:space="preserve"> et al. 2017, Suleman and Hussain, 2014).</w:t>
      </w:r>
    </w:p>
    <w:p w14:paraId="76947A1F" w14:textId="77777777" w:rsidR="004374EC" w:rsidRPr="004374EC" w:rsidRDefault="004374EC" w:rsidP="004374EC">
      <w:pPr>
        <w:rPr>
          <w:rFonts w:ascii="Calibri" w:hAnsi="Calibri"/>
          <w:sz w:val="24"/>
          <w:szCs w:val="24"/>
        </w:rPr>
      </w:pPr>
      <w:r w:rsidRPr="004374EC">
        <w:rPr>
          <w:rFonts w:ascii="Calibri" w:hAnsi="Calibri"/>
          <w:sz w:val="24"/>
          <w:szCs w:val="24"/>
        </w:rPr>
        <w:t>As a multiple-choice style comprehension question was used to make the task more accessible to the class, it is possible that pupils might have guessed their answers. This could result in accidental correct answers, not based on understanding. Also, pupils who have guessed answers on the pre-test might change their answers on the post-test as an attempt to get the answer correct at least one of the times. This obviously can result in the data collected being affected and any trends being invalid. Open response style questions are able to give a more accurate representation of learner ability (</w:t>
      </w:r>
      <w:proofErr w:type="spellStart"/>
      <w:r w:rsidRPr="004374EC">
        <w:rPr>
          <w:rFonts w:ascii="Calibri" w:hAnsi="Calibri"/>
          <w:sz w:val="24"/>
          <w:szCs w:val="24"/>
        </w:rPr>
        <w:t>Stankous</w:t>
      </w:r>
      <w:proofErr w:type="spellEnd"/>
      <w:r w:rsidRPr="004374EC">
        <w:rPr>
          <w:rFonts w:ascii="Calibri" w:hAnsi="Calibri"/>
          <w:sz w:val="24"/>
          <w:szCs w:val="24"/>
        </w:rPr>
        <w:t>, 2016). However, multiple choice questions are a better indicator of understanding than true or false style questioning and multiple-choice tests are less susceptible to marker bias as each question has only one correct answer.</w:t>
      </w:r>
    </w:p>
    <w:p w14:paraId="391DF465" w14:textId="77777777" w:rsidR="004374EC" w:rsidRPr="004374EC" w:rsidRDefault="004374EC" w:rsidP="004374EC">
      <w:pPr>
        <w:rPr>
          <w:rFonts w:ascii="Calibri" w:hAnsi="Calibri"/>
          <w:sz w:val="24"/>
          <w:szCs w:val="24"/>
        </w:rPr>
      </w:pPr>
      <w:r w:rsidRPr="004374EC">
        <w:rPr>
          <w:rFonts w:ascii="Calibri" w:hAnsi="Calibri"/>
          <w:sz w:val="24"/>
          <w:szCs w:val="24"/>
        </w:rPr>
        <w:t xml:space="preserve">The sample size used was small and therefore cannot give an accurate indicator of how effective the intervention was on improving test scores. This was further hindered by the attendance of the class, which varied greatly over the three lessons, resulting in a greatly reduced sample size. By repeating this </w:t>
      </w:r>
      <w:r w:rsidRPr="004374EC">
        <w:rPr>
          <w:rFonts w:ascii="Calibri" w:hAnsi="Calibri"/>
          <w:sz w:val="24"/>
          <w:szCs w:val="24"/>
        </w:rPr>
        <w:lastRenderedPageBreak/>
        <w:t>experiment using a larger sample size and a range of students over the 11 to 16 age range a more indicative data set could be developed and a more reliable conclusion could be drawn.</w:t>
      </w:r>
    </w:p>
    <w:p w14:paraId="4D35875B" w14:textId="77777777" w:rsidR="004374EC" w:rsidRPr="004374EC" w:rsidRDefault="004374EC" w:rsidP="004374EC">
      <w:pPr>
        <w:rPr>
          <w:rFonts w:ascii="Calibri" w:hAnsi="Calibri"/>
          <w:sz w:val="24"/>
          <w:szCs w:val="24"/>
        </w:rPr>
      </w:pPr>
      <w:r w:rsidRPr="004374EC">
        <w:rPr>
          <w:rFonts w:ascii="Calibri" w:hAnsi="Calibri"/>
          <w:sz w:val="24"/>
          <w:szCs w:val="24"/>
        </w:rPr>
        <w:t>Ultimately inference squares do seem to play an important role in the way in which pupils structure their answers, when dealing with comprehension style questions. Therefore can be utilised as a useful tool whilst preparing pupils for examinations.</w:t>
      </w:r>
    </w:p>
    <w:p w14:paraId="19967E89" w14:textId="77777777" w:rsidR="004374EC" w:rsidRPr="004374EC" w:rsidRDefault="004374EC" w:rsidP="004374EC">
      <w:pPr>
        <w:rPr>
          <w:rFonts w:ascii="Calibri" w:hAnsi="Calibri"/>
          <w:sz w:val="24"/>
          <w:szCs w:val="24"/>
        </w:rPr>
      </w:pPr>
    </w:p>
    <w:p w14:paraId="3D810465" w14:textId="77777777" w:rsidR="004374EC" w:rsidRPr="004374EC" w:rsidRDefault="004374EC" w:rsidP="004374EC">
      <w:pPr>
        <w:rPr>
          <w:rFonts w:ascii="Calibri" w:hAnsi="Calibri"/>
          <w:sz w:val="24"/>
          <w:szCs w:val="24"/>
        </w:rPr>
      </w:pPr>
    </w:p>
    <w:p w14:paraId="19925A21" w14:textId="77777777" w:rsidR="004374EC" w:rsidRPr="004374EC" w:rsidRDefault="004374EC" w:rsidP="004374EC">
      <w:pPr>
        <w:rPr>
          <w:rFonts w:ascii="Calibri" w:hAnsi="Calibri"/>
          <w:sz w:val="24"/>
          <w:szCs w:val="24"/>
        </w:rPr>
      </w:pPr>
    </w:p>
    <w:p w14:paraId="1E9869C0" w14:textId="77777777" w:rsidR="004374EC" w:rsidRPr="004374EC" w:rsidRDefault="004374EC" w:rsidP="004374EC">
      <w:pPr>
        <w:rPr>
          <w:rFonts w:ascii="Calibri" w:hAnsi="Calibri"/>
          <w:sz w:val="24"/>
          <w:szCs w:val="24"/>
        </w:rPr>
      </w:pPr>
    </w:p>
    <w:p w14:paraId="581DA258" w14:textId="77777777" w:rsidR="004374EC" w:rsidRPr="004374EC" w:rsidRDefault="004374EC" w:rsidP="004374EC">
      <w:pPr>
        <w:rPr>
          <w:rFonts w:ascii="Calibri" w:hAnsi="Calibri"/>
          <w:sz w:val="24"/>
          <w:szCs w:val="24"/>
        </w:rPr>
      </w:pPr>
    </w:p>
    <w:p w14:paraId="03EA01A2" w14:textId="77777777" w:rsidR="004374EC" w:rsidRPr="004374EC" w:rsidRDefault="004374EC" w:rsidP="004374EC">
      <w:pPr>
        <w:rPr>
          <w:rFonts w:ascii="Calibri" w:hAnsi="Calibri"/>
          <w:sz w:val="24"/>
          <w:szCs w:val="24"/>
        </w:rPr>
      </w:pPr>
    </w:p>
    <w:p w14:paraId="434D5A66" w14:textId="77777777" w:rsidR="004374EC" w:rsidRPr="004374EC" w:rsidRDefault="004374EC" w:rsidP="004374EC">
      <w:pPr>
        <w:rPr>
          <w:rFonts w:ascii="Calibri" w:hAnsi="Calibri"/>
          <w:sz w:val="24"/>
          <w:szCs w:val="24"/>
        </w:rPr>
      </w:pPr>
    </w:p>
    <w:p w14:paraId="0991DDE4" w14:textId="77777777" w:rsidR="004374EC" w:rsidRPr="004374EC" w:rsidRDefault="004374EC" w:rsidP="004374EC">
      <w:pPr>
        <w:rPr>
          <w:rFonts w:ascii="Calibri" w:hAnsi="Calibri"/>
          <w:sz w:val="24"/>
          <w:szCs w:val="24"/>
        </w:rPr>
      </w:pPr>
    </w:p>
    <w:p w14:paraId="3BFA1758" w14:textId="77777777" w:rsidR="004374EC" w:rsidRPr="004374EC" w:rsidRDefault="004374EC" w:rsidP="004374EC">
      <w:pPr>
        <w:rPr>
          <w:rFonts w:ascii="Calibri" w:hAnsi="Calibri"/>
          <w:sz w:val="24"/>
          <w:szCs w:val="24"/>
        </w:rPr>
      </w:pPr>
    </w:p>
    <w:p w14:paraId="045E688F" w14:textId="77777777" w:rsidR="004374EC" w:rsidRPr="004374EC" w:rsidRDefault="004374EC" w:rsidP="004374EC">
      <w:pPr>
        <w:rPr>
          <w:rFonts w:ascii="Calibri" w:hAnsi="Calibri"/>
          <w:sz w:val="24"/>
          <w:szCs w:val="24"/>
        </w:rPr>
      </w:pPr>
    </w:p>
    <w:p w14:paraId="34DDE468" w14:textId="77777777" w:rsidR="004374EC" w:rsidRPr="004374EC" w:rsidRDefault="004374EC" w:rsidP="004374EC">
      <w:pPr>
        <w:rPr>
          <w:rFonts w:ascii="Calibri" w:hAnsi="Calibri"/>
          <w:sz w:val="24"/>
          <w:szCs w:val="24"/>
        </w:rPr>
      </w:pPr>
    </w:p>
    <w:p w14:paraId="3F9034EF" w14:textId="77777777" w:rsidR="004374EC" w:rsidRPr="004374EC" w:rsidRDefault="004374EC" w:rsidP="004374EC">
      <w:pPr>
        <w:rPr>
          <w:rFonts w:ascii="Calibri" w:hAnsi="Calibri"/>
          <w:sz w:val="24"/>
          <w:szCs w:val="24"/>
        </w:rPr>
      </w:pPr>
    </w:p>
    <w:p w14:paraId="1A4B95C9" w14:textId="77777777" w:rsidR="004374EC" w:rsidRPr="004374EC" w:rsidRDefault="004374EC" w:rsidP="004374EC">
      <w:pPr>
        <w:rPr>
          <w:rFonts w:ascii="Calibri" w:hAnsi="Calibri"/>
          <w:sz w:val="24"/>
          <w:szCs w:val="24"/>
        </w:rPr>
      </w:pPr>
    </w:p>
    <w:p w14:paraId="60BDF524" w14:textId="77777777" w:rsidR="004374EC" w:rsidRPr="004374EC" w:rsidRDefault="004374EC" w:rsidP="004374EC">
      <w:pPr>
        <w:rPr>
          <w:rFonts w:ascii="Calibri" w:hAnsi="Calibri"/>
          <w:sz w:val="24"/>
          <w:szCs w:val="24"/>
        </w:rPr>
      </w:pPr>
    </w:p>
    <w:p w14:paraId="72725DF6" w14:textId="77777777" w:rsidR="004374EC" w:rsidRPr="004374EC" w:rsidRDefault="004374EC" w:rsidP="004374EC">
      <w:pPr>
        <w:rPr>
          <w:rFonts w:ascii="Calibri" w:hAnsi="Calibri"/>
          <w:sz w:val="24"/>
          <w:szCs w:val="24"/>
        </w:rPr>
      </w:pPr>
    </w:p>
    <w:p w14:paraId="288B982F" w14:textId="77777777" w:rsidR="004374EC" w:rsidRPr="004374EC" w:rsidRDefault="004374EC" w:rsidP="004374EC">
      <w:pPr>
        <w:rPr>
          <w:rFonts w:ascii="Calibri" w:hAnsi="Calibri"/>
          <w:sz w:val="24"/>
          <w:szCs w:val="24"/>
          <w:u w:val="single"/>
        </w:rPr>
      </w:pPr>
    </w:p>
    <w:p w14:paraId="0E5A199F" w14:textId="77777777" w:rsidR="004374EC" w:rsidRPr="004374EC" w:rsidRDefault="004374EC" w:rsidP="004374EC">
      <w:pPr>
        <w:rPr>
          <w:rFonts w:ascii="Calibri" w:hAnsi="Calibri"/>
          <w:sz w:val="24"/>
          <w:szCs w:val="24"/>
          <w:u w:val="single"/>
        </w:rPr>
      </w:pPr>
    </w:p>
    <w:p w14:paraId="3195945F" w14:textId="77777777" w:rsidR="004374EC" w:rsidRPr="004374EC" w:rsidRDefault="004374EC" w:rsidP="004374EC">
      <w:pPr>
        <w:rPr>
          <w:rFonts w:ascii="Calibri" w:hAnsi="Calibri"/>
          <w:sz w:val="24"/>
          <w:szCs w:val="24"/>
          <w:u w:val="single"/>
        </w:rPr>
      </w:pPr>
    </w:p>
    <w:p w14:paraId="5269CF69" w14:textId="77777777" w:rsidR="004374EC" w:rsidRPr="004374EC" w:rsidRDefault="004374EC" w:rsidP="004374EC">
      <w:pPr>
        <w:rPr>
          <w:rFonts w:ascii="Calibri" w:hAnsi="Calibri"/>
          <w:sz w:val="24"/>
          <w:szCs w:val="24"/>
          <w:u w:val="single"/>
        </w:rPr>
      </w:pPr>
    </w:p>
    <w:p w14:paraId="4046D340" w14:textId="77777777" w:rsidR="004374EC" w:rsidRPr="004374EC" w:rsidRDefault="004374EC" w:rsidP="004374EC">
      <w:pPr>
        <w:rPr>
          <w:rFonts w:ascii="Calibri" w:hAnsi="Calibri"/>
          <w:sz w:val="24"/>
          <w:szCs w:val="24"/>
          <w:u w:val="single"/>
        </w:rPr>
      </w:pPr>
    </w:p>
    <w:p w14:paraId="78230B7F" w14:textId="77777777" w:rsidR="004374EC" w:rsidRPr="004374EC" w:rsidRDefault="004374EC" w:rsidP="004374EC">
      <w:pPr>
        <w:rPr>
          <w:rFonts w:ascii="Calibri" w:hAnsi="Calibri"/>
          <w:sz w:val="24"/>
          <w:szCs w:val="24"/>
          <w:u w:val="single"/>
        </w:rPr>
      </w:pPr>
    </w:p>
    <w:p w14:paraId="737D11C0" w14:textId="77777777" w:rsidR="004374EC" w:rsidRPr="004374EC" w:rsidRDefault="004374EC" w:rsidP="004374EC">
      <w:pPr>
        <w:rPr>
          <w:rFonts w:ascii="Calibri" w:hAnsi="Calibri"/>
          <w:sz w:val="24"/>
          <w:szCs w:val="24"/>
          <w:u w:val="single"/>
        </w:rPr>
      </w:pPr>
      <w:r w:rsidRPr="004374EC">
        <w:rPr>
          <w:rFonts w:ascii="Calibri" w:hAnsi="Calibri"/>
          <w:sz w:val="24"/>
          <w:szCs w:val="24"/>
          <w:u w:val="single"/>
        </w:rPr>
        <w:t>Appendix</w:t>
      </w:r>
    </w:p>
    <w:p w14:paraId="201EF474" w14:textId="77777777" w:rsidR="004374EC" w:rsidRPr="004374EC" w:rsidRDefault="004374EC" w:rsidP="004374EC">
      <w:pPr>
        <w:rPr>
          <w:rFonts w:ascii="Calibri" w:hAnsi="Calibri"/>
          <w:sz w:val="24"/>
          <w:szCs w:val="24"/>
          <w:u w:val="single"/>
        </w:rPr>
      </w:pPr>
      <w:r w:rsidRPr="004374EC">
        <w:rPr>
          <w:rFonts w:ascii="Calibri" w:hAnsi="Calibri"/>
          <w:sz w:val="24"/>
          <w:szCs w:val="24"/>
          <w:u w:val="single"/>
        </w:rPr>
        <w:lastRenderedPageBreak/>
        <w:t>Figure 1. Pisa Question selected</w:t>
      </w:r>
      <w:r w:rsidRPr="004374EC">
        <w:rPr>
          <w:rFonts w:ascii="Calibri" w:hAnsi="Calibri"/>
          <w:noProof/>
          <w:sz w:val="24"/>
          <w:szCs w:val="24"/>
        </w:rPr>
        <w:drawing>
          <wp:inline distT="0" distB="0" distL="0" distR="0" wp14:anchorId="6C9068E9" wp14:editId="7B1592B3">
            <wp:extent cx="5731510" cy="68275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6827520"/>
                    </a:xfrm>
                    <a:prstGeom prst="rect">
                      <a:avLst/>
                    </a:prstGeom>
                    <a:noFill/>
                    <a:ln>
                      <a:noFill/>
                    </a:ln>
                  </pic:spPr>
                </pic:pic>
              </a:graphicData>
            </a:graphic>
          </wp:inline>
        </w:drawing>
      </w:r>
    </w:p>
    <w:p w14:paraId="5E94C9CD" w14:textId="77777777" w:rsidR="004374EC" w:rsidRPr="004374EC" w:rsidRDefault="004374EC" w:rsidP="004374EC">
      <w:pPr>
        <w:rPr>
          <w:rFonts w:ascii="Calibri" w:hAnsi="Calibri"/>
          <w:sz w:val="24"/>
          <w:szCs w:val="24"/>
          <w:u w:val="single"/>
        </w:rPr>
      </w:pPr>
      <w:r w:rsidRPr="004374EC">
        <w:rPr>
          <w:rFonts w:ascii="Calibri" w:hAnsi="Calibri"/>
          <w:noProof/>
          <w:sz w:val="24"/>
          <w:szCs w:val="24"/>
        </w:rPr>
        <w:lastRenderedPageBreak/>
        <w:drawing>
          <wp:inline distT="0" distB="0" distL="0" distR="0" wp14:anchorId="05A9D823" wp14:editId="5FD57AF9">
            <wp:extent cx="5731510" cy="651637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6516370"/>
                    </a:xfrm>
                    <a:prstGeom prst="rect">
                      <a:avLst/>
                    </a:prstGeom>
                  </pic:spPr>
                </pic:pic>
              </a:graphicData>
            </a:graphic>
          </wp:inline>
        </w:drawing>
      </w:r>
    </w:p>
    <w:p w14:paraId="0D0E9824" w14:textId="77777777" w:rsidR="004374EC" w:rsidRPr="004374EC" w:rsidRDefault="004374EC" w:rsidP="004374EC">
      <w:pPr>
        <w:rPr>
          <w:rFonts w:ascii="Calibri" w:hAnsi="Calibri"/>
          <w:sz w:val="24"/>
          <w:szCs w:val="24"/>
        </w:rPr>
      </w:pPr>
    </w:p>
    <w:p w14:paraId="03EF4851" w14:textId="77777777" w:rsidR="004374EC" w:rsidRPr="004374EC" w:rsidRDefault="004374EC" w:rsidP="004374EC">
      <w:pPr>
        <w:rPr>
          <w:rFonts w:ascii="Calibri" w:hAnsi="Calibri"/>
          <w:sz w:val="24"/>
          <w:szCs w:val="24"/>
        </w:rPr>
      </w:pPr>
    </w:p>
    <w:p w14:paraId="0DB5F77D" w14:textId="77777777" w:rsidR="004374EC" w:rsidRPr="004374EC" w:rsidRDefault="004374EC" w:rsidP="004374EC">
      <w:pPr>
        <w:rPr>
          <w:rFonts w:ascii="Calibri" w:hAnsi="Calibri"/>
          <w:sz w:val="24"/>
          <w:szCs w:val="24"/>
        </w:rPr>
      </w:pPr>
    </w:p>
    <w:p w14:paraId="18E42265" w14:textId="77777777" w:rsidR="004374EC" w:rsidRPr="004374EC" w:rsidRDefault="004374EC" w:rsidP="004374EC">
      <w:pPr>
        <w:rPr>
          <w:rFonts w:ascii="Calibri" w:hAnsi="Calibri"/>
          <w:sz w:val="24"/>
          <w:szCs w:val="24"/>
        </w:rPr>
      </w:pPr>
    </w:p>
    <w:p w14:paraId="03084813" w14:textId="77777777" w:rsidR="004374EC" w:rsidRPr="004374EC" w:rsidRDefault="004374EC" w:rsidP="004374EC">
      <w:pPr>
        <w:rPr>
          <w:rFonts w:ascii="Calibri" w:hAnsi="Calibri"/>
          <w:sz w:val="24"/>
          <w:szCs w:val="24"/>
        </w:rPr>
      </w:pPr>
    </w:p>
    <w:p w14:paraId="6FC1AA09" w14:textId="77777777" w:rsidR="004374EC" w:rsidRPr="004374EC" w:rsidRDefault="004374EC" w:rsidP="004374EC">
      <w:pPr>
        <w:rPr>
          <w:rFonts w:ascii="Calibri" w:hAnsi="Calibri"/>
          <w:sz w:val="24"/>
          <w:szCs w:val="24"/>
        </w:rPr>
      </w:pPr>
    </w:p>
    <w:p w14:paraId="73A510C2" w14:textId="77777777" w:rsidR="004374EC" w:rsidRPr="004374EC" w:rsidRDefault="004374EC" w:rsidP="004374EC">
      <w:pPr>
        <w:rPr>
          <w:rFonts w:ascii="Calibri" w:hAnsi="Calibri"/>
          <w:sz w:val="24"/>
          <w:szCs w:val="24"/>
        </w:rPr>
      </w:pPr>
    </w:p>
    <w:p w14:paraId="1E80CC34" w14:textId="77777777" w:rsidR="004374EC" w:rsidRPr="004374EC" w:rsidRDefault="004374EC" w:rsidP="004374EC">
      <w:pPr>
        <w:rPr>
          <w:rFonts w:ascii="Calibri" w:hAnsi="Calibri"/>
          <w:sz w:val="24"/>
          <w:szCs w:val="24"/>
        </w:rPr>
      </w:pPr>
    </w:p>
    <w:p w14:paraId="4E26A5C1" w14:textId="77777777" w:rsidR="004374EC" w:rsidRPr="004374EC" w:rsidRDefault="004374EC" w:rsidP="004374EC">
      <w:pPr>
        <w:rPr>
          <w:rFonts w:ascii="Calibri" w:hAnsi="Calibri"/>
          <w:sz w:val="24"/>
          <w:szCs w:val="24"/>
        </w:rPr>
      </w:pPr>
      <w:r w:rsidRPr="004374EC">
        <w:rPr>
          <w:rFonts w:ascii="Calibri" w:hAnsi="Calibri"/>
          <w:sz w:val="24"/>
          <w:szCs w:val="24"/>
        </w:rPr>
        <w:t>Figure 2. Inference Square used for intervention</w:t>
      </w:r>
    </w:p>
    <w:p w14:paraId="3BB1C62A" w14:textId="77777777" w:rsidR="004374EC" w:rsidRPr="004374EC" w:rsidRDefault="004374EC" w:rsidP="004374EC">
      <w:pPr>
        <w:rPr>
          <w:rFonts w:ascii="Calibri" w:hAnsi="Calibri"/>
          <w:sz w:val="24"/>
          <w:szCs w:val="24"/>
        </w:rPr>
      </w:pPr>
      <w:r w:rsidRPr="004374EC">
        <w:rPr>
          <w:rFonts w:ascii="Calibri" w:hAnsi="Calibri"/>
          <w:noProof/>
          <w:sz w:val="24"/>
          <w:szCs w:val="24"/>
        </w:rPr>
        <w:lastRenderedPageBreak/>
        <w:drawing>
          <wp:inline distT="0" distB="0" distL="0" distR="0" wp14:anchorId="1BDB8E82" wp14:editId="50F6C1DB">
            <wp:extent cx="4705350" cy="3317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44842" cy="3344940"/>
                    </a:xfrm>
                    <a:prstGeom prst="rect">
                      <a:avLst/>
                    </a:prstGeom>
                  </pic:spPr>
                </pic:pic>
              </a:graphicData>
            </a:graphic>
          </wp:inline>
        </w:drawing>
      </w:r>
    </w:p>
    <w:p w14:paraId="2E0C0610" w14:textId="77777777" w:rsidR="004374EC" w:rsidRPr="004374EC" w:rsidRDefault="004374EC" w:rsidP="004374EC">
      <w:pPr>
        <w:rPr>
          <w:rFonts w:ascii="Calibri" w:hAnsi="Calibri"/>
          <w:sz w:val="24"/>
          <w:szCs w:val="24"/>
        </w:rPr>
      </w:pPr>
    </w:p>
    <w:p w14:paraId="1E514E42" w14:textId="77777777" w:rsidR="004374EC" w:rsidRPr="004374EC" w:rsidRDefault="004374EC" w:rsidP="004374EC">
      <w:pPr>
        <w:rPr>
          <w:rFonts w:ascii="Calibri" w:hAnsi="Calibri"/>
          <w:sz w:val="24"/>
          <w:szCs w:val="24"/>
        </w:rPr>
      </w:pPr>
    </w:p>
    <w:p w14:paraId="30340787" w14:textId="77777777" w:rsidR="004374EC" w:rsidRPr="004374EC" w:rsidRDefault="004374EC" w:rsidP="004374EC">
      <w:pPr>
        <w:rPr>
          <w:rFonts w:ascii="Calibri" w:hAnsi="Calibri"/>
          <w:sz w:val="24"/>
          <w:szCs w:val="24"/>
        </w:rPr>
      </w:pPr>
      <w:r w:rsidRPr="004374EC">
        <w:rPr>
          <w:rFonts w:ascii="Calibri" w:hAnsi="Calibri"/>
          <w:sz w:val="24"/>
          <w:szCs w:val="24"/>
        </w:rPr>
        <w:t>Figure 3. Graph showing raw results of all 28 pupils in class in pre and post-test lessons before omissions.</w:t>
      </w:r>
    </w:p>
    <w:p w14:paraId="57119FCE" w14:textId="77777777" w:rsidR="004374EC" w:rsidRPr="004374EC" w:rsidRDefault="004374EC" w:rsidP="004374EC">
      <w:pPr>
        <w:rPr>
          <w:rFonts w:ascii="Calibri" w:hAnsi="Calibri"/>
          <w:sz w:val="24"/>
          <w:szCs w:val="24"/>
        </w:rPr>
      </w:pPr>
      <w:r w:rsidRPr="004374EC">
        <w:rPr>
          <w:rFonts w:ascii="Calibri" w:hAnsi="Calibri"/>
          <w:sz w:val="24"/>
          <w:szCs w:val="24"/>
        </w:rPr>
        <w:t xml:space="preserve">        </w:t>
      </w:r>
      <w:r w:rsidRPr="004374EC">
        <w:rPr>
          <w:rFonts w:ascii="Calibri" w:hAnsi="Calibri"/>
          <w:noProof/>
          <w:sz w:val="24"/>
          <w:szCs w:val="24"/>
        </w:rPr>
        <w:drawing>
          <wp:inline distT="0" distB="0" distL="0" distR="0" wp14:anchorId="2577C3FB" wp14:editId="7EA62A5A">
            <wp:extent cx="4572000" cy="2743200"/>
            <wp:effectExtent l="0" t="0" r="0" b="0"/>
            <wp:docPr id="7" name="Chart 7">
              <a:extLst xmlns:a="http://schemas.openxmlformats.org/drawingml/2006/main">
                <a:ext uri="{FF2B5EF4-FFF2-40B4-BE49-F238E27FC236}">
                  <a16:creationId xmlns:a16="http://schemas.microsoft.com/office/drawing/2014/main" id="{5D9B8B3C-42C3-419D-8236-CD4569AEDA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A2C92E7" w14:textId="77777777" w:rsidR="004374EC" w:rsidRPr="004374EC" w:rsidRDefault="004374EC" w:rsidP="004374EC">
      <w:pPr>
        <w:rPr>
          <w:rFonts w:ascii="Calibri" w:hAnsi="Calibri"/>
          <w:sz w:val="24"/>
          <w:szCs w:val="24"/>
        </w:rPr>
      </w:pPr>
    </w:p>
    <w:p w14:paraId="7B0C856D" w14:textId="77777777" w:rsidR="004374EC" w:rsidRPr="004374EC" w:rsidRDefault="004374EC" w:rsidP="004374EC">
      <w:pPr>
        <w:rPr>
          <w:rFonts w:ascii="Calibri" w:hAnsi="Calibri"/>
          <w:sz w:val="24"/>
          <w:szCs w:val="24"/>
          <w:u w:val="single"/>
        </w:rPr>
      </w:pPr>
    </w:p>
    <w:p w14:paraId="2A679AD0" w14:textId="77777777" w:rsidR="004374EC" w:rsidRPr="004374EC" w:rsidRDefault="004374EC" w:rsidP="004374EC">
      <w:pPr>
        <w:rPr>
          <w:rFonts w:ascii="Calibri" w:hAnsi="Calibri"/>
          <w:sz w:val="24"/>
          <w:szCs w:val="24"/>
          <w:u w:val="single"/>
        </w:rPr>
      </w:pPr>
    </w:p>
    <w:p w14:paraId="63AAECE9" w14:textId="77777777" w:rsidR="004374EC" w:rsidRPr="004374EC" w:rsidRDefault="004374EC" w:rsidP="004374EC">
      <w:pPr>
        <w:rPr>
          <w:rFonts w:ascii="Calibri" w:hAnsi="Calibri"/>
          <w:sz w:val="24"/>
          <w:szCs w:val="24"/>
          <w:u w:val="single"/>
        </w:rPr>
      </w:pPr>
    </w:p>
    <w:p w14:paraId="2F4F8E32" w14:textId="77777777" w:rsidR="004374EC" w:rsidRPr="004374EC" w:rsidRDefault="004374EC" w:rsidP="004374EC">
      <w:pPr>
        <w:rPr>
          <w:rFonts w:ascii="Calibri" w:hAnsi="Calibri"/>
          <w:sz w:val="24"/>
          <w:szCs w:val="24"/>
          <w:u w:val="single"/>
        </w:rPr>
      </w:pPr>
      <w:r w:rsidRPr="004374EC">
        <w:rPr>
          <w:rFonts w:ascii="Calibri" w:hAnsi="Calibri"/>
          <w:sz w:val="24"/>
          <w:szCs w:val="24"/>
          <w:u w:val="single"/>
        </w:rPr>
        <w:t>References</w:t>
      </w:r>
    </w:p>
    <w:p w14:paraId="1A0EEF0E" w14:textId="77777777" w:rsidR="004374EC" w:rsidRPr="004374EC" w:rsidRDefault="004374EC" w:rsidP="004374EC">
      <w:pPr>
        <w:rPr>
          <w:rFonts w:ascii="Calibri" w:hAnsi="Calibri"/>
          <w:sz w:val="24"/>
          <w:szCs w:val="24"/>
        </w:rPr>
      </w:pPr>
      <w:r w:rsidRPr="004374EC">
        <w:rPr>
          <w:rFonts w:ascii="Calibri" w:hAnsi="Calibri"/>
          <w:sz w:val="24"/>
          <w:szCs w:val="24"/>
        </w:rPr>
        <w:t xml:space="preserve">Barth J.M, Dunlap S.T., Dane H., </w:t>
      </w:r>
      <w:proofErr w:type="spellStart"/>
      <w:r w:rsidRPr="004374EC">
        <w:rPr>
          <w:rFonts w:ascii="Calibri" w:hAnsi="Calibri"/>
          <w:sz w:val="24"/>
          <w:szCs w:val="24"/>
        </w:rPr>
        <w:t>Lochman</w:t>
      </w:r>
      <w:proofErr w:type="spellEnd"/>
      <w:r w:rsidRPr="004374EC">
        <w:rPr>
          <w:rFonts w:ascii="Calibri" w:hAnsi="Calibri"/>
          <w:sz w:val="24"/>
          <w:szCs w:val="24"/>
        </w:rPr>
        <w:t xml:space="preserve"> J.E. and Wells K.C., Classroom environment influences on aggression, peer relations and academic focus, Journal of School Psychology, Volume 42, Issue 2, March- April 2004, pp. 115-133.</w:t>
      </w:r>
    </w:p>
    <w:p w14:paraId="49F5AC39" w14:textId="77777777" w:rsidR="004374EC" w:rsidRPr="004374EC" w:rsidRDefault="004374EC" w:rsidP="004374EC">
      <w:pPr>
        <w:rPr>
          <w:rFonts w:ascii="Calibri" w:hAnsi="Calibri"/>
          <w:sz w:val="24"/>
          <w:szCs w:val="24"/>
        </w:rPr>
      </w:pPr>
      <w:r w:rsidRPr="004374EC">
        <w:rPr>
          <w:rFonts w:ascii="Calibri" w:hAnsi="Calibri"/>
          <w:sz w:val="24"/>
          <w:szCs w:val="24"/>
        </w:rPr>
        <w:t xml:space="preserve">Bloom B., Bloom’s Taxonomy, 1956, Website accessed on 03/07.2019 </w:t>
      </w:r>
      <w:hyperlink r:id="rId15" w:history="1">
        <w:r w:rsidRPr="004374EC">
          <w:rPr>
            <w:rStyle w:val="Hyperlink"/>
            <w:rFonts w:ascii="Calibri" w:hAnsi="Calibri"/>
            <w:sz w:val="24"/>
            <w:szCs w:val="24"/>
          </w:rPr>
          <w:t>https://www.teachthought.com/learning/what-is-blooms-taxonomy-a-definition-for-teachers/</w:t>
        </w:r>
      </w:hyperlink>
    </w:p>
    <w:p w14:paraId="70DCF320" w14:textId="77777777" w:rsidR="004374EC" w:rsidRPr="004374EC" w:rsidRDefault="004374EC" w:rsidP="004374EC">
      <w:pPr>
        <w:rPr>
          <w:rFonts w:ascii="Calibri" w:hAnsi="Calibri"/>
          <w:sz w:val="24"/>
          <w:szCs w:val="24"/>
        </w:rPr>
      </w:pPr>
    </w:p>
    <w:p w14:paraId="67680C75" w14:textId="77777777" w:rsidR="004374EC" w:rsidRPr="004374EC" w:rsidRDefault="004374EC" w:rsidP="004374EC">
      <w:pPr>
        <w:rPr>
          <w:rFonts w:ascii="Calibri" w:hAnsi="Calibri" w:cstheme="minorHAnsi"/>
          <w:sz w:val="24"/>
          <w:szCs w:val="24"/>
        </w:rPr>
      </w:pPr>
      <w:r w:rsidRPr="004374EC">
        <w:rPr>
          <w:rFonts w:ascii="Calibri" w:hAnsi="Calibri" w:cstheme="minorHAnsi"/>
          <w:sz w:val="24"/>
          <w:szCs w:val="24"/>
        </w:rPr>
        <w:t xml:space="preserve">Brame, C., Writing Good Multiple-Choice Test Questions. 2013, Accessed on 03/07/2019  </w:t>
      </w:r>
      <w:hyperlink r:id="rId16" w:history="1">
        <w:r w:rsidRPr="004374EC">
          <w:rPr>
            <w:rStyle w:val="Hyperlink"/>
            <w:rFonts w:ascii="Calibri" w:hAnsi="Calibri" w:cstheme="minorHAnsi"/>
            <w:sz w:val="24"/>
            <w:szCs w:val="24"/>
          </w:rPr>
          <w:t>https://cft.vanderbilt.edu/guides-sub-pages/writing-good-multiple-choice-test-questions/</w:t>
        </w:r>
      </w:hyperlink>
      <w:r w:rsidRPr="004374EC">
        <w:rPr>
          <w:rFonts w:ascii="Calibri" w:hAnsi="Calibri" w:cstheme="minorHAnsi"/>
          <w:sz w:val="24"/>
          <w:szCs w:val="24"/>
        </w:rPr>
        <w:t>.</w:t>
      </w:r>
    </w:p>
    <w:p w14:paraId="1DB2CBD5" w14:textId="77777777" w:rsidR="004374EC" w:rsidRPr="004374EC" w:rsidRDefault="004374EC" w:rsidP="004374EC">
      <w:pPr>
        <w:rPr>
          <w:rFonts w:ascii="Calibri" w:hAnsi="Calibri" w:cstheme="minorHAnsi"/>
          <w:sz w:val="24"/>
          <w:szCs w:val="24"/>
        </w:rPr>
      </w:pPr>
    </w:p>
    <w:p w14:paraId="6F42705C" w14:textId="77777777" w:rsidR="004374EC" w:rsidRPr="004374EC" w:rsidRDefault="004374EC" w:rsidP="004374EC">
      <w:pPr>
        <w:rPr>
          <w:rFonts w:ascii="Calibri" w:hAnsi="Calibri" w:cstheme="minorHAnsi"/>
          <w:sz w:val="24"/>
          <w:szCs w:val="24"/>
        </w:rPr>
      </w:pPr>
      <w:r w:rsidRPr="004374EC">
        <w:rPr>
          <w:rFonts w:ascii="Calibri" w:hAnsi="Calibri"/>
          <w:sz w:val="24"/>
          <w:szCs w:val="24"/>
        </w:rPr>
        <w:lastRenderedPageBreak/>
        <w:t>Bybee R. and McCrae B.,  Scientific Literacy and Student Attitudes: Perspectives from PISA 2006 Science, International Journal of Science Education, Volume 33, Issue 1: Students’ Interest in Science Across the World: Findings From the PISA Study, 2011, pp. 7-26</w:t>
      </w:r>
    </w:p>
    <w:p w14:paraId="62DD6C49" w14:textId="77777777" w:rsidR="004374EC" w:rsidRPr="004374EC" w:rsidRDefault="004374EC" w:rsidP="004374EC">
      <w:pPr>
        <w:rPr>
          <w:rFonts w:ascii="Calibri" w:hAnsi="Calibri"/>
          <w:sz w:val="24"/>
          <w:szCs w:val="24"/>
          <w:u w:val="single"/>
        </w:rPr>
      </w:pPr>
    </w:p>
    <w:p w14:paraId="639017E4" w14:textId="77777777" w:rsidR="004374EC" w:rsidRPr="004374EC" w:rsidRDefault="004374EC" w:rsidP="004374EC">
      <w:pPr>
        <w:rPr>
          <w:rFonts w:ascii="Calibri" w:hAnsi="Calibri"/>
          <w:sz w:val="24"/>
          <w:szCs w:val="24"/>
        </w:rPr>
      </w:pPr>
      <w:r w:rsidRPr="004374EC">
        <w:rPr>
          <w:rFonts w:ascii="Calibri" w:hAnsi="Calibri"/>
          <w:sz w:val="24"/>
          <w:szCs w:val="24"/>
        </w:rPr>
        <w:t xml:space="preserve">Clarke J.H., Using visual organizers to focus on thinking, </w:t>
      </w:r>
      <w:r w:rsidRPr="004374EC">
        <w:rPr>
          <w:rFonts w:ascii="Calibri" w:hAnsi="Calibri"/>
          <w:i/>
          <w:iCs/>
          <w:sz w:val="24"/>
          <w:szCs w:val="24"/>
        </w:rPr>
        <w:t>Journal of Reading</w:t>
      </w:r>
      <w:r w:rsidRPr="004374EC">
        <w:rPr>
          <w:rFonts w:ascii="Calibri" w:hAnsi="Calibri"/>
          <w:sz w:val="24"/>
          <w:szCs w:val="24"/>
        </w:rPr>
        <w:t xml:space="preserve">, Vol. 34, No. 7, Thinking and Learning Across the Curriculum (April 1991), pp. 526-534 </w:t>
      </w:r>
    </w:p>
    <w:p w14:paraId="29F16AD5" w14:textId="77777777" w:rsidR="004374EC" w:rsidRPr="004374EC" w:rsidRDefault="004374EC" w:rsidP="004374EC">
      <w:pPr>
        <w:rPr>
          <w:rFonts w:ascii="Calibri" w:hAnsi="Calibri"/>
          <w:sz w:val="24"/>
          <w:szCs w:val="24"/>
        </w:rPr>
      </w:pPr>
    </w:p>
    <w:p w14:paraId="2D9C4186" w14:textId="77777777" w:rsidR="004374EC" w:rsidRPr="004374EC" w:rsidRDefault="004374EC" w:rsidP="004374EC">
      <w:pPr>
        <w:rPr>
          <w:rFonts w:ascii="Calibri" w:hAnsi="Calibri"/>
          <w:sz w:val="24"/>
          <w:szCs w:val="24"/>
        </w:rPr>
      </w:pPr>
      <w:r w:rsidRPr="004374EC">
        <w:rPr>
          <w:rFonts w:ascii="Calibri" w:hAnsi="Calibri"/>
          <w:sz w:val="24"/>
          <w:szCs w:val="24"/>
        </w:rPr>
        <w:t>Donaldson G., Successful Futures, Independent Review of Curriculum and Assessment Arrangements in Wales, 2015</w:t>
      </w:r>
    </w:p>
    <w:p w14:paraId="5E8A8AD8" w14:textId="77777777" w:rsidR="004374EC" w:rsidRPr="004374EC" w:rsidRDefault="004374EC" w:rsidP="004374EC">
      <w:pPr>
        <w:rPr>
          <w:rFonts w:ascii="Calibri" w:hAnsi="Calibri"/>
          <w:sz w:val="24"/>
          <w:szCs w:val="24"/>
        </w:rPr>
      </w:pPr>
    </w:p>
    <w:p w14:paraId="03FD6028" w14:textId="77777777" w:rsidR="004374EC" w:rsidRPr="004374EC" w:rsidRDefault="004374EC" w:rsidP="004374EC">
      <w:pPr>
        <w:rPr>
          <w:rFonts w:ascii="Calibri" w:hAnsi="Calibri"/>
          <w:sz w:val="24"/>
          <w:szCs w:val="24"/>
        </w:rPr>
      </w:pPr>
      <w:r w:rsidRPr="004374EC">
        <w:rPr>
          <w:rFonts w:ascii="Calibri" w:hAnsi="Calibri"/>
          <w:sz w:val="24"/>
          <w:szCs w:val="24"/>
        </w:rPr>
        <w:t>Durant J., What is scientific literacy?   European Review, Volume 2 Issue 1, Cambridge University Press, published online 2009</w:t>
      </w:r>
    </w:p>
    <w:p w14:paraId="2A5E9049" w14:textId="77777777" w:rsidR="004374EC" w:rsidRPr="004374EC" w:rsidRDefault="004374EC" w:rsidP="004374EC">
      <w:pPr>
        <w:rPr>
          <w:rFonts w:ascii="Calibri" w:hAnsi="Calibri"/>
          <w:sz w:val="24"/>
          <w:szCs w:val="24"/>
        </w:rPr>
      </w:pPr>
    </w:p>
    <w:p w14:paraId="08D20B60" w14:textId="77777777" w:rsidR="004374EC" w:rsidRPr="004374EC" w:rsidRDefault="004374EC" w:rsidP="004374EC">
      <w:pPr>
        <w:rPr>
          <w:rFonts w:ascii="Calibri" w:hAnsi="Calibri"/>
          <w:sz w:val="24"/>
          <w:szCs w:val="24"/>
        </w:rPr>
      </w:pPr>
      <w:r w:rsidRPr="004374EC">
        <w:rPr>
          <w:rFonts w:ascii="Calibri" w:hAnsi="Calibri"/>
          <w:sz w:val="24"/>
          <w:szCs w:val="24"/>
        </w:rPr>
        <w:t xml:space="preserve">El </w:t>
      </w:r>
      <w:proofErr w:type="spellStart"/>
      <w:r w:rsidRPr="004374EC">
        <w:rPr>
          <w:rFonts w:ascii="Calibri" w:hAnsi="Calibri"/>
          <w:sz w:val="24"/>
          <w:szCs w:val="24"/>
        </w:rPr>
        <w:t>Masri</w:t>
      </w:r>
      <w:proofErr w:type="spellEnd"/>
      <w:r w:rsidRPr="004374EC">
        <w:rPr>
          <w:rFonts w:ascii="Calibri" w:hAnsi="Calibri"/>
          <w:sz w:val="24"/>
          <w:szCs w:val="24"/>
        </w:rPr>
        <w:t xml:space="preserve"> Y.H., Baird J. and </w:t>
      </w:r>
      <w:proofErr w:type="spellStart"/>
      <w:r w:rsidRPr="004374EC">
        <w:rPr>
          <w:rFonts w:ascii="Calibri" w:hAnsi="Calibri"/>
          <w:sz w:val="24"/>
          <w:szCs w:val="24"/>
        </w:rPr>
        <w:t>Graesser</w:t>
      </w:r>
      <w:proofErr w:type="spellEnd"/>
      <w:r w:rsidRPr="004374EC">
        <w:rPr>
          <w:rFonts w:ascii="Calibri" w:hAnsi="Calibri"/>
          <w:sz w:val="24"/>
          <w:szCs w:val="24"/>
        </w:rPr>
        <w:t xml:space="preserve"> A., Language effects in international testing: The case of PISA 2006 science items, Assessment in Education: Principles, Policy and Practice, pp. 427-455, 2016</w:t>
      </w:r>
    </w:p>
    <w:p w14:paraId="7D0B26F5" w14:textId="77777777" w:rsidR="004374EC" w:rsidRPr="004374EC" w:rsidRDefault="004374EC" w:rsidP="004374EC">
      <w:pPr>
        <w:rPr>
          <w:rFonts w:ascii="Calibri" w:hAnsi="Calibri"/>
          <w:sz w:val="24"/>
          <w:szCs w:val="24"/>
        </w:rPr>
      </w:pPr>
    </w:p>
    <w:p w14:paraId="2FE270FA" w14:textId="77777777" w:rsidR="004374EC" w:rsidRPr="004374EC" w:rsidRDefault="004374EC" w:rsidP="004374EC">
      <w:pPr>
        <w:rPr>
          <w:rFonts w:ascii="Calibri" w:hAnsi="Calibri" w:cstheme="minorHAnsi"/>
          <w:sz w:val="24"/>
          <w:szCs w:val="24"/>
        </w:rPr>
      </w:pPr>
      <w:r w:rsidRPr="004374EC">
        <w:rPr>
          <w:rFonts w:ascii="Calibri" w:hAnsi="Calibri" w:cstheme="minorHAnsi"/>
          <w:sz w:val="24"/>
          <w:szCs w:val="24"/>
        </w:rPr>
        <w:t xml:space="preserve">Griffin, D., What’s wrong with PISA- </w:t>
      </w:r>
      <w:hyperlink r:id="rId17" w:history="1">
        <w:r w:rsidRPr="004374EC">
          <w:rPr>
            <w:rStyle w:val="Hyperlink"/>
            <w:rFonts w:ascii="Calibri" w:hAnsi="Calibri" w:cstheme="minorHAnsi"/>
            <w:sz w:val="24"/>
            <w:szCs w:val="24"/>
          </w:rPr>
          <w:t>Why condemning international tests is a distraction, and what we really should be worried about</w:t>
        </w:r>
      </w:hyperlink>
      <w:r w:rsidRPr="004374EC">
        <w:rPr>
          <w:rFonts w:ascii="Calibri" w:hAnsi="Calibri" w:cstheme="minorHAnsi"/>
          <w:sz w:val="24"/>
          <w:szCs w:val="24"/>
        </w:rPr>
        <w:t xml:space="preserve">, </w:t>
      </w:r>
      <w:proofErr w:type="spellStart"/>
      <w:r w:rsidRPr="004374EC">
        <w:rPr>
          <w:rFonts w:ascii="Calibri" w:hAnsi="Calibri" w:cstheme="minorHAnsi"/>
          <w:sz w:val="24"/>
          <w:szCs w:val="24"/>
        </w:rPr>
        <w:t>EduResearch</w:t>
      </w:r>
      <w:proofErr w:type="spellEnd"/>
      <w:r w:rsidRPr="004374EC">
        <w:rPr>
          <w:rFonts w:ascii="Calibri" w:hAnsi="Calibri" w:cstheme="minorHAnsi"/>
          <w:sz w:val="24"/>
          <w:szCs w:val="24"/>
        </w:rPr>
        <w:t xml:space="preserve"> Matters, Australian Association for Research in Education, 2015</w:t>
      </w:r>
    </w:p>
    <w:p w14:paraId="1D14F6EC" w14:textId="77777777" w:rsidR="004374EC" w:rsidRPr="004374EC" w:rsidRDefault="004374EC" w:rsidP="004374EC">
      <w:pPr>
        <w:rPr>
          <w:rFonts w:ascii="Calibri" w:hAnsi="Calibri" w:cstheme="minorHAnsi"/>
          <w:sz w:val="24"/>
          <w:szCs w:val="24"/>
        </w:rPr>
      </w:pPr>
    </w:p>
    <w:p w14:paraId="485175E1" w14:textId="77777777" w:rsidR="004374EC" w:rsidRPr="004374EC" w:rsidRDefault="004374EC" w:rsidP="004374EC">
      <w:pPr>
        <w:rPr>
          <w:rFonts w:ascii="Calibri" w:hAnsi="Calibri" w:cstheme="minorHAnsi"/>
          <w:sz w:val="24"/>
          <w:szCs w:val="24"/>
        </w:rPr>
      </w:pPr>
      <w:r w:rsidRPr="004374EC">
        <w:rPr>
          <w:rFonts w:ascii="Calibri" w:hAnsi="Calibri" w:cstheme="minorHAnsi"/>
          <w:bCs/>
          <w:sz w:val="24"/>
          <w:szCs w:val="24"/>
        </w:rPr>
        <w:t>Huang X., Wilson M. and Wang L., Exploring plausible causes of differential item functioning in the PISA science assessment: language, curriculum or culture, Educational Psychology</w:t>
      </w:r>
      <w:hyperlink r:id="rId18" w:history="1">
        <w:r w:rsidRPr="004374EC">
          <w:rPr>
            <w:rStyle w:val="Hyperlink"/>
            <w:rFonts w:ascii="Calibri" w:hAnsi="Calibri" w:cstheme="minorHAnsi"/>
            <w:sz w:val="24"/>
            <w:szCs w:val="24"/>
          </w:rPr>
          <w:t>,</w:t>
        </w:r>
      </w:hyperlink>
      <w:r w:rsidRPr="004374EC">
        <w:rPr>
          <w:rFonts w:ascii="Calibri" w:hAnsi="Calibri" w:cstheme="minorHAnsi"/>
          <w:sz w:val="24"/>
          <w:szCs w:val="24"/>
        </w:rPr>
        <w:t xml:space="preserve"> An International Journal of Experimental Educational Psychology, Volume 36, Issue 2, pp.378-390, 2016</w:t>
      </w:r>
    </w:p>
    <w:p w14:paraId="782410C7" w14:textId="77777777" w:rsidR="004374EC" w:rsidRPr="004374EC" w:rsidRDefault="004374EC" w:rsidP="004374EC">
      <w:pPr>
        <w:rPr>
          <w:rFonts w:ascii="Calibri" w:hAnsi="Calibri" w:cstheme="minorHAnsi"/>
          <w:sz w:val="24"/>
          <w:szCs w:val="24"/>
        </w:rPr>
      </w:pPr>
    </w:p>
    <w:p w14:paraId="1AA48C8B" w14:textId="77777777" w:rsidR="004374EC" w:rsidRPr="004374EC" w:rsidRDefault="004374EC" w:rsidP="004374EC">
      <w:pPr>
        <w:rPr>
          <w:rFonts w:ascii="Calibri" w:hAnsi="Calibri" w:cs="Calibri"/>
          <w:sz w:val="24"/>
          <w:szCs w:val="24"/>
        </w:rPr>
      </w:pPr>
      <w:proofErr w:type="spellStart"/>
      <w:r w:rsidRPr="004374EC">
        <w:rPr>
          <w:rFonts w:ascii="Calibri" w:hAnsi="Calibri" w:cs="Calibri"/>
          <w:sz w:val="24"/>
          <w:szCs w:val="24"/>
        </w:rPr>
        <w:t>Kausar</w:t>
      </w:r>
      <w:proofErr w:type="spellEnd"/>
      <w:r w:rsidRPr="004374EC">
        <w:rPr>
          <w:rFonts w:ascii="Calibri" w:hAnsi="Calibri" w:cs="Calibri"/>
          <w:sz w:val="24"/>
          <w:szCs w:val="24"/>
        </w:rPr>
        <w:t xml:space="preserve"> A., Almas I., </w:t>
      </w:r>
      <w:proofErr w:type="spellStart"/>
      <w:r w:rsidRPr="004374EC">
        <w:rPr>
          <w:rFonts w:ascii="Calibri" w:hAnsi="Calibri" w:cs="Calibri"/>
          <w:sz w:val="24"/>
          <w:szCs w:val="24"/>
        </w:rPr>
        <w:t>Kiyani</w:t>
      </w:r>
      <w:proofErr w:type="spellEnd"/>
      <w:r w:rsidRPr="004374EC">
        <w:rPr>
          <w:rFonts w:ascii="Calibri" w:hAnsi="Calibri" w:cs="Calibri"/>
          <w:sz w:val="24"/>
          <w:szCs w:val="24"/>
        </w:rPr>
        <w:t xml:space="preserve"> and Suleman Q., Effect of Classroom Environment on the Academic Achievement of Secondary School Students in the Subject of Pakistan Studies at Secondary Level in Rawalpindi District, Pakistan, Research Gate, 2017</w:t>
      </w:r>
    </w:p>
    <w:p w14:paraId="35B079DA" w14:textId="77777777" w:rsidR="004374EC" w:rsidRPr="004374EC" w:rsidRDefault="004374EC" w:rsidP="004374EC">
      <w:pPr>
        <w:rPr>
          <w:rFonts w:ascii="Calibri" w:hAnsi="Calibri" w:cs="Calibri"/>
          <w:sz w:val="24"/>
          <w:szCs w:val="24"/>
        </w:rPr>
      </w:pPr>
    </w:p>
    <w:p w14:paraId="4E3F735D" w14:textId="77777777" w:rsidR="004374EC" w:rsidRPr="004374EC" w:rsidRDefault="004374EC" w:rsidP="004374EC">
      <w:pPr>
        <w:pStyle w:val="NormalWeb"/>
        <w:rPr>
          <w:rFonts w:ascii="Calibri" w:hAnsi="Calibri" w:cs="Calibri"/>
          <w:szCs w:val="24"/>
        </w:rPr>
      </w:pPr>
      <w:r w:rsidRPr="004374EC">
        <w:rPr>
          <w:rFonts w:ascii="Calibri" w:hAnsi="Calibri" w:cs="Calibri"/>
          <w:szCs w:val="24"/>
        </w:rPr>
        <w:t xml:space="preserve">Krathwohl, D.R., Bloom, B.S., and </w:t>
      </w:r>
      <w:proofErr w:type="spellStart"/>
      <w:r w:rsidRPr="004374EC">
        <w:rPr>
          <w:rFonts w:ascii="Calibri" w:hAnsi="Calibri" w:cs="Calibri"/>
          <w:szCs w:val="24"/>
        </w:rPr>
        <w:t>Masia</w:t>
      </w:r>
      <w:proofErr w:type="spellEnd"/>
      <w:r w:rsidRPr="004374EC">
        <w:rPr>
          <w:rFonts w:ascii="Calibri" w:hAnsi="Calibri" w:cs="Calibri"/>
          <w:szCs w:val="24"/>
        </w:rPr>
        <w:t xml:space="preserve">, B.B. (1964). </w:t>
      </w:r>
      <w:r w:rsidRPr="004374EC">
        <w:rPr>
          <w:rFonts w:ascii="Calibri" w:hAnsi="Calibri" w:cs="Calibri"/>
          <w:i/>
          <w:iCs/>
          <w:szCs w:val="24"/>
        </w:rPr>
        <w:t>Taxonomy of educational objectives: Handbook II: Affective domain</w:t>
      </w:r>
      <w:r w:rsidRPr="004374EC">
        <w:rPr>
          <w:rFonts w:ascii="Calibri" w:hAnsi="Calibri" w:cs="Calibri"/>
          <w:szCs w:val="24"/>
        </w:rPr>
        <w:t xml:space="preserve">. New York: David McKay Co. </w:t>
      </w:r>
      <w:proofErr w:type="spellStart"/>
      <w:r w:rsidRPr="004374EC">
        <w:rPr>
          <w:rFonts w:ascii="Calibri" w:hAnsi="Calibri" w:cs="Calibri"/>
          <w:szCs w:val="24"/>
        </w:rPr>
        <w:t>Seels</w:t>
      </w:r>
      <w:proofErr w:type="spellEnd"/>
      <w:r w:rsidRPr="004374EC">
        <w:rPr>
          <w:rFonts w:ascii="Calibri" w:hAnsi="Calibri" w:cs="Calibri"/>
          <w:szCs w:val="24"/>
        </w:rPr>
        <w:t xml:space="preserve"> and Glasgow, 1990</w:t>
      </w:r>
    </w:p>
    <w:p w14:paraId="7339A873" w14:textId="77777777" w:rsidR="004374EC" w:rsidRPr="004374EC" w:rsidRDefault="004374EC" w:rsidP="004374EC">
      <w:pPr>
        <w:rPr>
          <w:rFonts w:ascii="Calibri" w:hAnsi="Calibri" w:cs="Calibri"/>
          <w:sz w:val="24"/>
          <w:szCs w:val="24"/>
        </w:rPr>
      </w:pPr>
    </w:p>
    <w:p w14:paraId="060032AD" w14:textId="77777777" w:rsidR="004374EC" w:rsidRPr="004374EC" w:rsidRDefault="004374EC" w:rsidP="004374EC">
      <w:pPr>
        <w:rPr>
          <w:rStyle w:val="nlmarticle-title"/>
          <w:rFonts w:ascii="Calibri" w:hAnsi="Calibri" w:cstheme="minorHAnsi"/>
          <w:sz w:val="24"/>
          <w:szCs w:val="24"/>
        </w:rPr>
      </w:pPr>
      <w:r w:rsidRPr="004374EC">
        <w:rPr>
          <w:rFonts w:ascii="Calibri" w:hAnsi="Calibri" w:cstheme="minorHAnsi"/>
          <w:sz w:val="24"/>
          <w:szCs w:val="24"/>
        </w:rPr>
        <w:t xml:space="preserve">Freitas P., Nunes L.C, Reis A.B., </w:t>
      </w:r>
      <w:proofErr w:type="spellStart"/>
      <w:r w:rsidRPr="004374EC">
        <w:rPr>
          <w:rFonts w:ascii="Calibri" w:hAnsi="Calibri" w:cstheme="minorHAnsi"/>
          <w:sz w:val="24"/>
          <w:szCs w:val="24"/>
        </w:rPr>
        <w:t>Seabra</w:t>
      </w:r>
      <w:proofErr w:type="spellEnd"/>
      <w:r w:rsidRPr="004374EC">
        <w:rPr>
          <w:rFonts w:ascii="Calibri" w:hAnsi="Calibri" w:cstheme="minorHAnsi"/>
          <w:sz w:val="24"/>
          <w:szCs w:val="24"/>
        </w:rPr>
        <w:t xml:space="preserve"> C. and Ferro A, </w:t>
      </w:r>
      <w:r w:rsidRPr="004374EC">
        <w:rPr>
          <w:rStyle w:val="nlmarticle-title"/>
          <w:rFonts w:ascii="Calibri" w:hAnsi="Calibri" w:cstheme="minorHAnsi"/>
          <w:sz w:val="24"/>
          <w:szCs w:val="24"/>
        </w:rPr>
        <w:t>Correcting for sample problems in PISA and the improvement in Portuguese students’ performance, Assessment in Education: Principles, Policy and Practice, Volume 23, Issue 4, 2016</w:t>
      </w:r>
    </w:p>
    <w:p w14:paraId="50A4C3BB" w14:textId="77777777" w:rsidR="004374EC" w:rsidRPr="004374EC" w:rsidRDefault="004374EC" w:rsidP="004374EC">
      <w:pPr>
        <w:rPr>
          <w:rFonts w:ascii="Calibri" w:hAnsi="Calibri" w:cs="Calibri"/>
          <w:sz w:val="24"/>
          <w:szCs w:val="24"/>
        </w:rPr>
      </w:pPr>
    </w:p>
    <w:p w14:paraId="5BF5AF34" w14:textId="77777777" w:rsidR="004374EC" w:rsidRPr="004374EC" w:rsidRDefault="004374EC" w:rsidP="004374EC">
      <w:pPr>
        <w:rPr>
          <w:rFonts w:ascii="Calibri" w:hAnsi="Calibri"/>
          <w:sz w:val="24"/>
          <w:szCs w:val="24"/>
        </w:rPr>
      </w:pPr>
      <w:r w:rsidRPr="004374EC">
        <w:rPr>
          <w:rFonts w:ascii="Calibri" w:hAnsi="Calibri"/>
          <w:sz w:val="24"/>
          <w:szCs w:val="24"/>
        </w:rPr>
        <w:t>PISA, Results in Focus, 2015, OECD</w:t>
      </w:r>
    </w:p>
    <w:p w14:paraId="7B4F48A9" w14:textId="77777777" w:rsidR="004374EC" w:rsidRPr="004374EC" w:rsidRDefault="004374EC" w:rsidP="004374EC">
      <w:pPr>
        <w:rPr>
          <w:rFonts w:ascii="Calibri" w:hAnsi="Calibri"/>
          <w:sz w:val="24"/>
          <w:szCs w:val="24"/>
        </w:rPr>
      </w:pPr>
    </w:p>
    <w:p w14:paraId="2BA37561" w14:textId="77777777" w:rsidR="004374EC" w:rsidRPr="004374EC" w:rsidRDefault="004374EC" w:rsidP="004374EC">
      <w:pPr>
        <w:rPr>
          <w:rFonts w:ascii="Calibri" w:hAnsi="Calibri" w:cstheme="minorHAnsi"/>
          <w:bCs/>
          <w:sz w:val="24"/>
          <w:szCs w:val="24"/>
        </w:rPr>
      </w:pPr>
      <w:r w:rsidRPr="004374EC">
        <w:rPr>
          <w:rFonts w:ascii="Calibri" w:hAnsi="Calibri" w:cstheme="minorHAnsi"/>
          <w:sz w:val="24"/>
          <w:szCs w:val="24"/>
        </w:rPr>
        <w:t xml:space="preserve">Milner A.R., </w:t>
      </w:r>
      <w:proofErr w:type="spellStart"/>
      <w:r w:rsidRPr="004374EC">
        <w:rPr>
          <w:rFonts w:ascii="Calibri" w:hAnsi="Calibri" w:cstheme="minorHAnsi"/>
          <w:sz w:val="24"/>
          <w:szCs w:val="24"/>
        </w:rPr>
        <w:t>Sondergeld</w:t>
      </w:r>
      <w:proofErr w:type="spellEnd"/>
      <w:r w:rsidRPr="004374EC">
        <w:rPr>
          <w:rFonts w:ascii="Calibri" w:hAnsi="Calibri" w:cstheme="minorHAnsi"/>
          <w:sz w:val="24"/>
          <w:szCs w:val="24"/>
        </w:rPr>
        <w:t xml:space="preserve"> T.A., Demir A., Johnson C.C. and </w:t>
      </w:r>
      <w:proofErr w:type="spellStart"/>
      <w:r w:rsidRPr="004374EC">
        <w:rPr>
          <w:rFonts w:ascii="Calibri" w:hAnsi="Calibri" w:cstheme="minorHAnsi"/>
          <w:sz w:val="24"/>
          <w:szCs w:val="24"/>
        </w:rPr>
        <w:t>Czerniak</w:t>
      </w:r>
      <w:proofErr w:type="spellEnd"/>
      <w:r w:rsidRPr="004374EC">
        <w:rPr>
          <w:rFonts w:ascii="Calibri" w:hAnsi="Calibri" w:cstheme="minorHAnsi"/>
          <w:sz w:val="24"/>
          <w:szCs w:val="24"/>
        </w:rPr>
        <w:t xml:space="preserve"> C.M, </w:t>
      </w:r>
      <w:r w:rsidRPr="004374EC">
        <w:rPr>
          <w:rFonts w:ascii="Calibri" w:hAnsi="Calibri" w:cstheme="minorHAnsi"/>
          <w:bCs/>
          <w:sz w:val="24"/>
          <w:szCs w:val="24"/>
        </w:rPr>
        <w:t>Elementary Teachers’ Beliefs About Teaching Science and Classroom Practice: An Examination of Pre/Post NCLB Testing in Science, Journal of Science Teacher Education, Volume 23, Issue 2: Elementary Science Education, 2012</w:t>
      </w:r>
    </w:p>
    <w:p w14:paraId="38DAD8FD" w14:textId="77777777" w:rsidR="004374EC" w:rsidRPr="004374EC" w:rsidRDefault="004374EC" w:rsidP="004374EC">
      <w:pPr>
        <w:rPr>
          <w:rFonts w:ascii="Calibri" w:hAnsi="Calibri" w:cstheme="minorHAnsi"/>
          <w:bCs/>
          <w:sz w:val="24"/>
          <w:szCs w:val="24"/>
        </w:rPr>
      </w:pPr>
    </w:p>
    <w:p w14:paraId="3EC33814" w14:textId="77777777" w:rsidR="004374EC" w:rsidRPr="004374EC" w:rsidRDefault="004374EC" w:rsidP="004374EC">
      <w:pPr>
        <w:rPr>
          <w:rFonts w:ascii="Calibri" w:hAnsi="Calibri"/>
          <w:sz w:val="24"/>
          <w:szCs w:val="24"/>
        </w:rPr>
      </w:pPr>
      <w:r w:rsidRPr="004374EC">
        <w:rPr>
          <w:rFonts w:ascii="Calibri" w:hAnsi="Calibri"/>
          <w:sz w:val="24"/>
          <w:szCs w:val="24"/>
        </w:rPr>
        <w:t>Rees G. and Taylor C., Is there a ‘crisis’ in Welsh education? Wales institute of economic and social research, Data and methods (WISERD), Cardiff University, 2015</w:t>
      </w:r>
    </w:p>
    <w:p w14:paraId="624B2CC2" w14:textId="77777777" w:rsidR="004374EC" w:rsidRPr="004374EC" w:rsidRDefault="004374EC" w:rsidP="004374EC">
      <w:pPr>
        <w:rPr>
          <w:rFonts w:ascii="Calibri" w:hAnsi="Calibri"/>
          <w:color w:val="FF0000"/>
          <w:sz w:val="24"/>
          <w:szCs w:val="24"/>
        </w:rPr>
      </w:pPr>
    </w:p>
    <w:p w14:paraId="7900F1FA" w14:textId="77777777" w:rsidR="004374EC" w:rsidRPr="004374EC" w:rsidRDefault="004374EC" w:rsidP="004374EC">
      <w:pPr>
        <w:rPr>
          <w:rFonts w:ascii="Calibri" w:hAnsi="Calibri" w:cstheme="minorHAnsi"/>
          <w:bCs/>
          <w:kern w:val="36"/>
          <w:sz w:val="24"/>
          <w:szCs w:val="24"/>
        </w:rPr>
      </w:pPr>
      <w:hyperlink r:id="rId19" w:history="1">
        <w:r w:rsidRPr="004374EC">
          <w:rPr>
            <w:rFonts w:ascii="Calibri" w:hAnsi="Calibri" w:cstheme="minorHAnsi"/>
            <w:sz w:val="24"/>
            <w:szCs w:val="24"/>
          </w:rPr>
          <w:t>Riegle-Crumb</w:t>
        </w:r>
      </w:hyperlink>
      <w:r w:rsidRPr="004374EC">
        <w:rPr>
          <w:rFonts w:ascii="Calibri" w:hAnsi="Calibri" w:cstheme="minorHAnsi"/>
          <w:sz w:val="24"/>
          <w:szCs w:val="24"/>
        </w:rPr>
        <w:t xml:space="preserve"> C. , </w:t>
      </w:r>
      <w:hyperlink r:id="rId20" w:history="1">
        <w:r w:rsidRPr="004374EC">
          <w:rPr>
            <w:rFonts w:ascii="Calibri" w:hAnsi="Calibri" w:cstheme="minorHAnsi"/>
            <w:sz w:val="24"/>
            <w:szCs w:val="24"/>
          </w:rPr>
          <w:t>Morton</w:t>
        </w:r>
      </w:hyperlink>
      <w:r w:rsidRPr="004374EC">
        <w:rPr>
          <w:rFonts w:ascii="Calibri" w:hAnsi="Calibri" w:cstheme="minorHAnsi"/>
          <w:sz w:val="24"/>
          <w:szCs w:val="24"/>
        </w:rPr>
        <w:t xml:space="preserve"> K., </w:t>
      </w:r>
      <w:hyperlink r:id="rId21" w:history="1">
        <w:r w:rsidRPr="004374EC">
          <w:rPr>
            <w:rFonts w:ascii="Calibri" w:hAnsi="Calibri" w:cstheme="minorHAnsi"/>
            <w:sz w:val="24"/>
            <w:szCs w:val="24"/>
          </w:rPr>
          <w:t>Moore</w:t>
        </w:r>
      </w:hyperlink>
      <w:r w:rsidRPr="004374EC">
        <w:rPr>
          <w:rFonts w:ascii="Calibri" w:hAnsi="Calibri" w:cstheme="minorHAnsi"/>
          <w:sz w:val="24"/>
          <w:szCs w:val="24"/>
        </w:rPr>
        <w:t xml:space="preserve"> C., </w:t>
      </w:r>
      <w:hyperlink r:id="rId22" w:history="1">
        <w:proofErr w:type="spellStart"/>
        <w:r w:rsidRPr="004374EC">
          <w:rPr>
            <w:rFonts w:ascii="Calibri" w:hAnsi="Calibri" w:cstheme="minorHAnsi"/>
            <w:sz w:val="24"/>
            <w:szCs w:val="24"/>
          </w:rPr>
          <w:t>Chimonidou</w:t>
        </w:r>
        <w:proofErr w:type="spellEnd"/>
      </w:hyperlink>
      <w:r w:rsidRPr="004374EC">
        <w:rPr>
          <w:rFonts w:ascii="Calibri" w:hAnsi="Calibri" w:cstheme="minorHAnsi"/>
          <w:sz w:val="24"/>
          <w:szCs w:val="24"/>
        </w:rPr>
        <w:t xml:space="preserve"> A., </w:t>
      </w:r>
      <w:hyperlink r:id="rId23" w:history="1">
        <w:proofErr w:type="spellStart"/>
        <w:r w:rsidRPr="004374EC">
          <w:rPr>
            <w:rFonts w:ascii="Calibri" w:hAnsi="Calibri" w:cstheme="minorHAnsi"/>
            <w:sz w:val="24"/>
            <w:szCs w:val="24"/>
          </w:rPr>
          <w:t>Labrake</w:t>
        </w:r>
        <w:proofErr w:type="spellEnd"/>
      </w:hyperlink>
      <w:r w:rsidRPr="004374EC">
        <w:rPr>
          <w:rFonts w:ascii="Calibri" w:hAnsi="Calibri" w:cstheme="minorHAnsi"/>
          <w:sz w:val="24"/>
          <w:szCs w:val="24"/>
        </w:rPr>
        <w:t xml:space="preserve"> C, and </w:t>
      </w:r>
      <w:hyperlink r:id="rId24" w:history="1">
        <w:r w:rsidRPr="004374EC">
          <w:rPr>
            <w:rFonts w:ascii="Calibri" w:hAnsi="Calibri" w:cstheme="minorHAnsi"/>
            <w:sz w:val="24"/>
            <w:szCs w:val="24"/>
          </w:rPr>
          <w:t>Kopp</w:t>
        </w:r>
      </w:hyperlink>
      <w:r w:rsidRPr="004374EC">
        <w:rPr>
          <w:rFonts w:ascii="Calibri" w:hAnsi="Calibri" w:cstheme="minorHAnsi"/>
          <w:sz w:val="24"/>
          <w:szCs w:val="24"/>
        </w:rPr>
        <w:t xml:space="preserve"> S., </w:t>
      </w:r>
      <w:r w:rsidRPr="004374EC">
        <w:rPr>
          <w:rFonts w:ascii="Calibri" w:hAnsi="Calibri" w:cstheme="minorHAnsi"/>
          <w:bCs/>
          <w:kern w:val="36"/>
          <w:sz w:val="24"/>
          <w:szCs w:val="24"/>
        </w:rPr>
        <w:t>Do Inquiring Minds Have Positive Attitudes? The Science Education of Preservice Elementary Teachers, Science Education, Volume 99, Issue 55, pp.819-836, 2015</w:t>
      </w:r>
    </w:p>
    <w:p w14:paraId="34500C6A" w14:textId="77777777" w:rsidR="004374EC" w:rsidRPr="004374EC" w:rsidRDefault="004374EC" w:rsidP="004374EC">
      <w:pPr>
        <w:rPr>
          <w:rFonts w:ascii="Calibri" w:hAnsi="Calibri"/>
          <w:sz w:val="24"/>
          <w:szCs w:val="24"/>
        </w:rPr>
      </w:pPr>
    </w:p>
    <w:p w14:paraId="7DF91D70" w14:textId="77777777" w:rsidR="004374EC" w:rsidRPr="004374EC" w:rsidRDefault="004374EC" w:rsidP="004374EC">
      <w:pPr>
        <w:rPr>
          <w:rFonts w:ascii="Calibri" w:hAnsi="Calibri" w:cstheme="minorHAnsi"/>
          <w:sz w:val="24"/>
          <w:szCs w:val="24"/>
        </w:rPr>
      </w:pPr>
      <w:r w:rsidRPr="004374EC">
        <w:rPr>
          <w:rFonts w:ascii="Calibri" w:hAnsi="Calibri" w:cstheme="minorHAnsi"/>
          <w:sz w:val="24"/>
          <w:szCs w:val="24"/>
        </w:rPr>
        <w:t xml:space="preserve">Rodrigues, Margarida, </w:t>
      </w:r>
      <w:proofErr w:type="spellStart"/>
      <w:r w:rsidRPr="004374EC">
        <w:rPr>
          <w:rFonts w:ascii="Calibri" w:hAnsi="Calibri" w:cstheme="minorHAnsi"/>
          <w:sz w:val="24"/>
          <w:szCs w:val="24"/>
        </w:rPr>
        <w:t>Biagi</w:t>
      </w:r>
      <w:proofErr w:type="spellEnd"/>
      <w:r w:rsidRPr="004374EC">
        <w:rPr>
          <w:rFonts w:ascii="Calibri" w:hAnsi="Calibri" w:cstheme="minorHAnsi"/>
          <w:sz w:val="24"/>
          <w:szCs w:val="24"/>
        </w:rPr>
        <w:t xml:space="preserve"> and Federico, Digital technologies and learning outcomes of students from low socio-economic background: An Analysis of PISA 2015, Joint Research Centre Science for Policy, 2017</w:t>
      </w:r>
    </w:p>
    <w:p w14:paraId="58EB5735" w14:textId="77777777" w:rsidR="004374EC" w:rsidRPr="004374EC" w:rsidRDefault="004374EC" w:rsidP="004374EC">
      <w:pPr>
        <w:rPr>
          <w:rFonts w:ascii="Calibri" w:hAnsi="Calibri" w:cstheme="minorHAnsi"/>
          <w:sz w:val="24"/>
          <w:szCs w:val="24"/>
        </w:rPr>
      </w:pPr>
    </w:p>
    <w:p w14:paraId="577D8077" w14:textId="77777777" w:rsidR="004374EC" w:rsidRPr="004374EC" w:rsidRDefault="004374EC" w:rsidP="004374EC">
      <w:pPr>
        <w:rPr>
          <w:rFonts w:ascii="Calibri" w:hAnsi="Calibri" w:cstheme="minorHAnsi"/>
          <w:bCs/>
          <w:kern w:val="36"/>
          <w:sz w:val="24"/>
          <w:szCs w:val="24"/>
        </w:rPr>
      </w:pPr>
      <w:r w:rsidRPr="004374EC">
        <w:rPr>
          <w:rFonts w:ascii="Calibri" w:hAnsi="Calibri" w:cstheme="minorHAnsi"/>
          <w:sz w:val="24"/>
          <w:szCs w:val="24"/>
        </w:rPr>
        <w:lastRenderedPageBreak/>
        <w:t xml:space="preserve">Rubin C.M. and </w:t>
      </w:r>
      <w:proofErr w:type="spellStart"/>
      <w:r w:rsidRPr="004374EC">
        <w:rPr>
          <w:rFonts w:ascii="Calibri" w:hAnsi="Calibri" w:cstheme="minorHAnsi"/>
          <w:sz w:val="24"/>
          <w:szCs w:val="24"/>
        </w:rPr>
        <w:t>Beller</w:t>
      </w:r>
      <w:proofErr w:type="spellEnd"/>
      <w:r w:rsidRPr="004374EC">
        <w:rPr>
          <w:rFonts w:ascii="Calibri" w:hAnsi="Calibri" w:cstheme="minorHAnsi"/>
          <w:sz w:val="24"/>
          <w:szCs w:val="24"/>
        </w:rPr>
        <w:t xml:space="preserve"> M.,</w:t>
      </w:r>
      <w:r w:rsidRPr="004374EC">
        <w:rPr>
          <w:rFonts w:ascii="Calibri" w:hAnsi="Calibri" w:cstheme="minorHAnsi"/>
          <w:bCs/>
          <w:kern w:val="36"/>
          <w:sz w:val="24"/>
          <w:szCs w:val="24"/>
        </w:rPr>
        <w:t xml:space="preserve"> The Global Search for Education: What Israel Did to Improve PISA Results, Edmodo Blog, 2015</w:t>
      </w:r>
    </w:p>
    <w:p w14:paraId="04B64ADF" w14:textId="77777777" w:rsidR="004374EC" w:rsidRPr="004374EC" w:rsidRDefault="004374EC" w:rsidP="004374EC">
      <w:pPr>
        <w:rPr>
          <w:rFonts w:ascii="Calibri" w:hAnsi="Calibri" w:cstheme="minorHAnsi"/>
          <w:bCs/>
          <w:kern w:val="36"/>
          <w:sz w:val="24"/>
          <w:szCs w:val="24"/>
        </w:rPr>
      </w:pPr>
    </w:p>
    <w:p w14:paraId="6063073B" w14:textId="77777777" w:rsidR="004374EC" w:rsidRPr="004374EC" w:rsidRDefault="004374EC" w:rsidP="004374EC">
      <w:pPr>
        <w:rPr>
          <w:rFonts w:ascii="Calibri" w:hAnsi="Calibri" w:cstheme="minorHAnsi"/>
          <w:sz w:val="24"/>
          <w:szCs w:val="24"/>
        </w:rPr>
      </w:pPr>
      <w:proofErr w:type="spellStart"/>
      <w:r w:rsidRPr="004374EC">
        <w:rPr>
          <w:rFonts w:ascii="Calibri" w:hAnsi="Calibri" w:cstheme="minorHAnsi"/>
          <w:bCs/>
          <w:sz w:val="24"/>
          <w:szCs w:val="24"/>
        </w:rPr>
        <w:t>Schleicher</w:t>
      </w:r>
      <w:proofErr w:type="spellEnd"/>
      <w:r w:rsidRPr="004374EC">
        <w:rPr>
          <w:rFonts w:ascii="Calibri" w:hAnsi="Calibri" w:cstheme="minorHAnsi"/>
          <w:bCs/>
          <w:sz w:val="24"/>
          <w:szCs w:val="24"/>
        </w:rPr>
        <w:t xml:space="preserve"> A., Can competencies assessed by PISA be considered the fundamental school knowledge 15-year-olds should possess?, </w:t>
      </w:r>
      <w:hyperlink r:id="rId25" w:tgtFrame="_blank" w:history="1">
        <w:r w:rsidRPr="004374EC">
          <w:rPr>
            <w:rStyle w:val="Hyperlink"/>
            <w:rFonts w:ascii="Calibri" w:hAnsi="Calibri" w:cstheme="minorHAnsi"/>
            <w:sz w:val="24"/>
            <w:szCs w:val="24"/>
          </w:rPr>
          <w:t>Journal of Educational Change</w:t>
        </w:r>
      </w:hyperlink>
      <w:r w:rsidRPr="004374EC">
        <w:rPr>
          <w:rFonts w:ascii="Calibri" w:hAnsi="Calibri" w:cstheme="minorHAnsi"/>
          <w:sz w:val="24"/>
          <w:szCs w:val="24"/>
        </w:rPr>
        <w:t xml:space="preserve"> Volume 8, Issue 4, pp.349-357, 2007</w:t>
      </w:r>
    </w:p>
    <w:p w14:paraId="52194171" w14:textId="77777777" w:rsidR="004374EC" w:rsidRPr="004374EC" w:rsidRDefault="004374EC" w:rsidP="004374EC">
      <w:pPr>
        <w:rPr>
          <w:rFonts w:ascii="Calibri" w:hAnsi="Calibri" w:cstheme="minorHAnsi"/>
          <w:bCs/>
          <w:sz w:val="24"/>
          <w:szCs w:val="24"/>
        </w:rPr>
      </w:pPr>
    </w:p>
    <w:p w14:paraId="2DF0722E" w14:textId="77777777" w:rsidR="004374EC" w:rsidRPr="004374EC" w:rsidRDefault="004374EC" w:rsidP="004374EC">
      <w:pPr>
        <w:rPr>
          <w:rFonts w:ascii="Calibri" w:hAnsi="Calibri"/>
          <w:sz w:val="24"/>
          <w:szCs w:val="24"/>
        </w:rPr>
      </w:pPr>
      <w:proofErr w:type="spellStart"/>
      <w:r w:rsidRPr="004374EC">
        <w:rPr>
          <w:rFonts w:ascii="Calibri" w:hAnsi="Calibri"/>
          <w:sz w:val="24"/>
          <w:szCs w:val="24"/>
        </w:rPr>
        <w:t>Suelman</w:t>
      </w:r>
      <w:proofErr w:type="spellEnd"/>
      <w:r w:rsidRPr="004374EC">
        <w:rPr>
          <w:rFonts w:ascii="Calibri" w:hAnsi="Calibri"/>
          <w:sz w:val="24"/>
          <w:szCs w:val="24"/>
        </w:rPr>
        <w:t xml:space="preserve"> Q. and Hussain I., Effects of Classroom Physical Environment on the Academic Achievement Scores of Secondary School Students in Kohat Division, Pakistan., International Journal of Learning and Development, Volume 4, Number 1, 2014</w:t>
      </w:r>
    </w:p>
    <w:p w14:paraId="7C59184A" w14:textId="77777777" w:rsidR="004374EC" w:rsidRPr="004374EC" w:rsidRDefault="004374EC" w:rsidP="004374EC">
      <w:pPr>
        <w:rPr>
          <w:rFonts w:ascii="Calibri" w:hAnsi="Calibri"/>
          <w:sz w:val="24"/>
          <w:szCs w:val="24"/>
        </w:rPr>
      </w:pPr>
    </w:p>
    <w:p w14:paraId="0105B6F6" w14:textId="77777777" w:rsidR="004374EC" w:rsidRPr="004374EC" w:rsidRDefault="004374EC" w:rsidP="004374EC">
      <w:pPr>
        <w:rPr>
          <w:rFonts w:ascii="Calibri" w:hAnsi="Calibri"/>
          <w:sz w:val="24"/>
          <w:szCs w:val="24"/>
        </w:rPr>
      </w:pPr>
      <w:proofErr w:type="spellStart"/>
      <w:r w:rsidRPr="004374EC">
        <w:rPr>
          <w:rFonts w:ascii="Calibri" w:hAnsi="Calibri"/>
          <w:sz w:val="24"/>
          <w:szCs w:val="24"/>
        </w:rPr>
        <w:t>Maienschein</w:t>
      </w:r>
      <w:proofErr w:type="spellEnd"/>
      <w:r w:rsidRPr="004374EC">
        <w:rPr>
          <w:rFonts w:ascii="Calibri" w:hAnsi="Calibri"/>
          <w:sz w:val="24"/>
          <w:szCs w:val="24"/>
        </w:rPr>
        <w:t xml:space="preserve"> Jane, Scientific Literacy, Science Vol. 281, Issue 5379, pp.917, 1998</w:t>
      </w:r>
    </w:p>
    <w:p w14:paraId="5348BA62" w14:textId="77777777" w:rsidR="004374EC" w:rsidRPr="004374EC" w:rsidRDefault="004374EC" w:rsidP="004374EC">
      <w:pPr>
        <w:rPr>
          <w:rFonts w:ascii="Calibri" w:hAnsi="Calibri"/>
          <w:sz w:val="24"/>
          <w:szCs w:val="24"/>
        </w:rPr>
      </w:pPr>
    </w:p>
    <w:p w14:paraId="2823123A" w14:textId="77777777" w:rsidR="004374EC" w:rsidRPr="004374EC" w:rsidRDefault="004374EC" w:rsidP="004374EC">
      <w:pPr>
        <w:rPr>
          <w:rFonts w:ascii="Calibri" w:hAnsi="Calibri"/>
          <w:sz w:val="24"/>
          <w:szCs w:val="24"/>
        </w:rPr>
      </w:pPr>
      <w:r w:rsidRPr="004374EC">
        <w:rPr>
          <w:rFonts w:ascii="Calibri" w:hAnsi="Calibri"/>
          <w:sz w:val="24"/>
          <w:szCs w:val="24"/>
        </w:rPr>
        <w:t xml:space="preserve">Ministry of Education, Guyana, About Student Attitudes on Learning, </w:t>
      </w:r>
      <w:hyperlink r:id="rId26" w:history="1">
        <w:r w:rsidRPr="004374EC">
          <w:rPr>
            <w:rStyle w:val="Hyperlink"/>
            <w:rFonts w:ascii="Calibri" w:hAnsi="Calibri"/>
            <w:sz w:val="24"/>
            <w:szCs w:val="24"/>
          </w:rPr>
          <w:t>https://education.gov.gy/web/index.php/teachers/tips-for-teaching/item/2192-about-student-attitudes-on-learning</w:t>
        </w:r>
      </w:hyperlink>
      <w:r w:rsidRPr="004374EC">
        <w:rPr>
          <w:rFonts w:ascii="Calibri" w:hAnsi="Calibri"/>
          <w:sz w:val="24"/>
          <w:szCs w:val="24"/>
        </w:rPr>
        <w:t>, accessed 02/07/2019</w:t>
      </w:r>
    </w:p>
    <w:p w14:paraId="647F0B18" w14:textId="77777777" w:rsidR="004374EC" w:rsidRPr="004374EC" w:rsidRDefault="004374EC" w:rsidP="004374EC">
      <w:pPr>
        <w:rPr>
          <w:rFonts w:ascii="Calibri" w:hAnsi="Calibri"/>
          <w:sz w:val="24"/>
          <w:szCs w:val="24"/>
        </w:rPr>
      </w:pPr>
    </w:p>
    <w:p w14:paraId="78D97141" w14:textId="77777777" w:rsidR="004374EC" w:rsidRPr="004374EC" w:rsidRDefault="004374EC" w:rsidP="004374EC">
      <w:pPr>
        <w:rPr>
          <w:rFonts w:ascii="Calibri" w:hAnsi="Calibri"/>
          <w:sz w:val="24"/>
          <w:szCs w:val="24"/>
        </w:rPr>
      </w:pPr>
      <w:r w:rsidRPr="004374EC">
        <w:rPr>
          <w:rFonts w:ascii="Calibri" w:hAnsi="Calibri"/>
          <w:sz w:val="24"/>
          <w:szCs w:val="24"/>
        </w:rPr>
        <w:t>Marroquin B. The Negative Attitudes of Teachers’ Impact on Students, The Classroom Website, updated June 28</w:t>
      </w:r>
      <w:r w:rsidRPr="004374EC">
        <w:rPr>
          <w:rFonts w:ascii="Calibri" w:hAnsi="Calibri"/>
          <w:sz w:val="24"/>
          <w:szCs w:val="24"/>
          <w:vertAlign w:val="superscript"/>
        </w:rPr>
        <w:t>th</w:t>
      </w:r>
      <w:r w:rsidRPr="004374EC">
        <w:rPr>
          <w:rFonts w:ascii="Calibri" w:hAnsi="Calibri"/>
          <w:sz w:val="24"/>
          <w:szCs w:val="24"/>
        </w:rPr>
        <w:t xml:space="preserve"> 2018 </w:t>
      </w:r>
      <w:hyperlink r:id="rId27" w:history="1">
        <w:r w:rsidRPr="004374EC">
          <w:rPr>
            <w:rStyle w:val="Hyperlink"/>
            <w:rFonts w:ascii="Calibri" w:hAnsi="Calibri"/>
            <w:sz w:val="24"/>
            <w:szCs w:val="24"/>
          </w:rPr>
          <w:t>https://www.theclassroom.com/negative-attitudes-teachers-8648637.html</w:t>
        </w:r>
      </w:hyperlink>
      <w:r w:rsidRPr="004374EC">
        <w:rPr>
          <w:rFonts w:ascii="Calibri" w:hAnsi="Calibri"/>
          <w:sz w:val="24"/>
          <w:szCs w:val="24"/>
        </w:rPr>
        <w:t>, accessed 03/07/2019</w:t>
      </w:r>
    </w:p>
    <w:p w14:paraId="48DACD23" w14:textId="77777777" w:rsidR="004374EC" w:rsidRPr="004374EC" w:rsidRDefault="004374EC" w:rsidP="004374EC">
      <w:pPr>
        <w:rPr>
          <w:rFonts w:ascii="Calibri" w:hAnsi="Calibri"/>
          <w:sz w:val="24"/>
          <w:szCs w:val="24"/>
        </w:rPr>
      </w:pPr>
    </w:p>
    <w:p w14:paraId="0CFCA1BE" w14:textId="77777777" w:rsidR="004374EC" w:rsidRPr="004374EC" w:rsidRDefault="004374EC" w:rsidP="004374EC">
      <w:pPr>
        <w:rPr>
          <w:rFonts w:ascii="Calibri" w:hAnsi="Calibri"/>
          <w:sz w:val="24"/>
          <w:szCs w:val="24"/>
        </w:rPr>
      </w:pPr>
      <w:r w:rsidRPr="004374EC">
        <w:rPr>
          <w:rFonts w:ascii="Calibri" w:hAnsi="Calibri"/>
          <w:sz w:val="24"/>
          <w:szCs w:val="24"/>
        </w:rPr>
        <w:t>School X, Estyn Report, Estyn, 2018</w:t>
      </w:r>
    </w:p>
    <w:p w14:paraId="52D5AA53" w14:textId="77777777" w:rsidR="004374EC" w:rsidRPr="004374EC" w:rsidRDefault="004374EC" w:rsidP="004374EC">
      <w:pPr>
        <w:rPr>
          <w:rFonts w:ascii="Calibri" w:hAnsi="Calibri"/>
          <w:sz w:val="24"/>
          <w:szCs w:val="24"/>
        </w:rPr>
      </w:pPr>
    </w:p>
    <w:p w14:paraId="69F403BF" w14:textId="77777777" w:rsidR="004374EC" w:rsidRPr="004374EC" w:rsidRDefault="004374EC" w:rsidP="004374EC">
      <w:pPr>
        <w:rPr>
          <w:rFonts w:ascii="Calibri" w:hAnsi="Calibri"/>
          <w:sz w:val="24"/>
          <w:szCs w:val="24"/>
        </w:rPr>
      </w:pPr>
      <w:r w:rsidRPr="004374EC">
        <w:rPr>
          <w:rFonts w:ascii="Calibri" w:hAnsi="Calibri"/>
          <w:sz w:val="24"/>
          <w:szCs w:val="24"/>
        </w:rPr>
        <w:t>School X, Supporting Pupils with Additional Learning Needs, A Guide for Parents and Carers, 2013</w:t>
      </w:r>
    </w:p>
    <w:p w14:paraId="5140AF2C" w14:textId="77777777" w:rsidR="004374EC" w:rsidRPr="004374EC" w:rsidRDefault="004374EC" w:rsidP="004374EC">
      <w:pPr>
        <w:rPr>
          <w:rFonts w:ascii="Calibri" w:hAnsi="Calibri"/>
          <w:sz w:val="24"/>
          <w:szCs w:val="24"/>
        </w:rPr>
      </w:pPr>
    </w:p>
    <w:p w14:paraId="398CFD55" w14:textId="77777777" w:rsidR="004374EC" w:rsidRPr="004374EC" w:rsidRDefault="004374EC" w:rsidP="004374EC">
      <w:pPr>
        <w:rPr>
          <w:rFonts w:ascii="Calibri" w:hAnsi="Calibri"/>
          <w:sz w:val="24"/>
          <w:szCs w:val="24"/>
        </w:rPr>
      </w:pPr>
      <w:r w:rsidRPr="004374EC">
        <w:rPr>
          <w:rFonts w:ascii="Calibri" w:hAnsi="Calibri"/>
          <w:sz w:val="24"/>
          <w:szCs w:val="24"/>
        </w:rPr>
        <w:t>School X, School Improvement Plan, 2015-2018</w:t>
      </w:r>
    </w:p>
    <w:p w14:paraId="70DF7141" w14:textId="77777777" w:rsidR="004374EC" w:rsidRPr="004374EC" w:rsidRDefault="004374EC" w:rsidP="004374EC">
      <w:pPr>
        <w:rPr>
          <w:rFonts w:ascii="Calibri" w:hAnsi="Calibri"/>
          <w:sz w:val="24"/>
          <w:szCs w:val="24"/>
        </w:rPr>
      </w:pPr>
    </w:p>
    <w:p w14:paraId="4708C07A" w14:textId="77777777" w:rsidR="004374EC" w:rsidRPr="004374EC" w:rsidRDefault="004374EC" w:rsidP="004374EC">
      <w:pPr>
        <w:rPr>
          <w:rFonts w:ascii="Calibri" w:hAnsi="Calibri"/>
          <w:sz w:val="24"/>
          <w:szCs w:val="24"/>
        </w:rPr>
      </w:pPr>
      <w:proofErr w:type="spellStart"/>
      <w:r w:rsidRPr="004374EC">
        <w:rPr>
          <w:rFonts w:ascii="Calibri" w:hAnsi="Calibri"/>
          <w:sz w:val="24"/>
          <w:szCs w:val="24"/>
        </w:rPr>
        <w:t>Stankous</w:t>
      </w:r>
      <w:proofErr w:type="spellEnd"/>
      <w:r w:rsidRPr="004374EC">
        <w:rPr>
          <w:rFonts w:ascii="Calibri" w:hAnsi="Calibri"/>
          <w:sz w:val="24"/>
          <w:szCs w:val="24"/>
        </w:rPr>
        <w:t xml:space="preserve"> N.V., Constructive Response Vs. Multiple-Choice Tests in Math: American Experience and Discussion (Review), 2016, Accessed 03/07/2019- </w:t>
      </w:r>
      <w:hyperlink r:id="rId28" w:history="1">
        <w:r w:rsidRPr="004374EC">
          <w:rPr>
            <w:rStyle w:val="Hyperlink"/>
            <w:rFonts w:ascii="Calibri" w:hAnsi="Calibri"/>
            <w:sz w:val="24"/>
            <w:szCs w:val="24"/>
          </w:rPr>
          <w:t>https://www.semanticscholar.org/paper/Constructive-Response-Vs.-Multiple-Choice-Tests-In-Stankous/929c788f1e4590687729a2fe351e6d586bb176fc</w:t>
        </w:r>
      </w:hyperlink>
    </w:p>
    <w:p w14:paraId="35CCD785" w14:textId="77777777" w:rsidR="004374EC" w:rsidRPr="004374EC" w:rsidRDefault="004374EC" w:rsidP="004374EC">
      <w:pPr>
        <w:rPr>
          <w:rFonts w:ascii="Calibri" w:hAnsi="Calibri"/>
          <w:sz w:val="24"/>
          <w:szCs w:val="24"/>
        </w:rPr>
      </w:pPr>
    </w:p>
    <w:p w14:paraId="0E74E2EF" w14:textId="77777777" w:rsidR="004374EC" w:rsidRPr="004374EC" w:rsidRDefault="004374EC" w:rsidP="004374EC">
      <w:pPr>
        <w:rPr>
          <w:rFonts w:ascii="Calibri" w:hAnsi="Calibri"/>
          <w:sz w:val="24"/>
          <w:szCs w:val="24"/>
        </w:rPr>
      </w:pPr>
      <w:proofErr w:type="spellStart"/>
      <w:r w:rsidRPr="004374EC">
        <w:rPr>
          <w:rFonts w:ascii="Calibri" w:hAnsi="Calibri"/>
          <w:sz w:val="24"/>
          <w:szCs w:val="24"/>
        </w:rPr>
        <w:t>Tienken</w:t>
      </w:r>
      <w:proofErr w:type="spellEnd"/>
      <w:r w:rsidRPr="004374EC">
        <w:rPr>
          <w:rFonts w:ascii="Calibri" w:hAnsi="Calibri"/>
          <w:sz w:val="24"/>
          <w:szCs w:val="24"/>
        </w:rPr>
        <w:t xml:space="preserve"> C.H., PISA Problems, AASA Journal of Scholarship and Practice, Volume 10, Number 4, pp.4-18, 2014</w:t>
      </w:r>
    </w:p>
    <w:p w14:paraId="3532A798" w14:textId="77777777" w:rsidR="004374EC" w:rsidRPr="004374EC" w:rsidRDefault="004374EC" w:rsidP="004374EC">
      <w:pPr>
        <w:rPr>
          <w:rFonts w:ascii="Calibri" w:hAnsi="Calibri"/>
          <w:sz w:val="24"/>
          <w:szCs w:val="24"/>
        </w:rPr>
      </w:pPr>
    </w:p>
    <w:p w14:paraId="7354319B" w14:textId="77777777" w:rsidR="004374EC" w:rsidRPr="004374EC" w:rsidRDefault="004374EC" w:rsidP="004374EC">
      <w:pPr>
        <w:rPr>
          <w:rFonts w:ascii="Calibri" w:hAnsi="Calibri"/>
          <w:sz w:val="24"/>
          <w:szCs w:val="24"/>
        </w:rPr>
      </w:pPr>
      <w:proofErr w:type="spellStart"/>
      <w:r w:rsidRPr="004374EC">
        <w:rPr>
          <w:rFonts w:ascii="Calibri" w:hAnsi="Calibri"/>
          <w:sz w:val="24"/>
          <w:szCs w:val="24"/>
        </w:rPr>
        <w:t>Veresova</w:t>
      </w:r>
      <w:proofErr w:type="spellEnd"/>
      <w:r w:rsidRPr="004374EC">
        <w:rPr>
          <w:rFonts w:ascii="Calibri" w:hAnsi="Calibri"/>
          <w:sz w:val="24"/>
          <w:szCs w:val="24"/>
        </w:rPr>
        <w:t xml:space="preserve"> M. and Mala D., Attitude toward school and learning and academic achievement of adolescents, International Conference on Education and Educational Conference, 2016</w:t>
      </w:r>
    </w:p>
    <w:p w14:paraId="7FFFFAC5" w14:textId="77777777" w:rsidR="004374EC" w:rsidRPr="004374EC" w:rsidRDefault="004374EC" w:rsidP="004374EC">
      <w:pPr>
        <w:rPr>
          <w:rFonts w:ascii="Calibri" w:hAnsi="Calibri"/>
          <w:sz w:val="24"/>
          <w:szCs w:val="24"/>
        </w:rPr>
      </w:pPr>
    </w:p>
    <w:p w14:paraId="1A445453" w14:textId="77777777" w:rsidR="004374EC" w:rsidRPr="004374EC" w:rsidRDefault="004374EC" w:rsidP="004374EC">
      <w:pPr>
        <w:rPr>
          <w:rFonts w:ascii="Calibri" w:hAnsi="Calibri" w:cstheme="minorHAnsi"/>
          <w:sz w:val="24"/>
          <w:szCs w:val="24"/>
        </w:rPr>
      </w:pPr>
      <w:r w:rsidRPr="004374EC">
        <w:rPr>
          <w:rFonts w:ascii="Calibri" w:hAnsi="Calibri" w:cstheme="minorHAnsi"/>
          <w:sz w:val="24"/>
          <w:szCs w:val="24"/>
        </w:rPr>
        <w:t xml:space="preserve">Welsh Assembly Government of Wales, How does Wales perform in PISA and what is the Welsh Government’s target?, </w:t>
      </w:r>
      <w:proofErr w:type="spellStart"/>
      <w:r w:rsidRPr="004374EC">
        <w:rPr>
          <w:rFonts w:ascii="Calibri" w:hAnsi="Calibri" w:cstheme="minorHAnsi"/>
          <w:sz w:val="24"/>
          <w:szCs w:val="24"/>
        </w:rPr>
        <w:t>Senedd</w:t>
      </w:r>
      <w:proofErr w:type="spellEnd"/>
      <w:r w:rsidRPr="004374EC">
        <w:rPr>
          <w:rFonts w:ascii="Calibri" w:hAnsi="Calibri" w:cstheme="minorHAnsi"/>
          <w:sz w:val="24"/>
          <w:szCs w:val="24"/>
        </w:rPr>
        <w:t xml:space="preserve"> Research, In Brief, 2017</w:t>
      </w:r>
    </w:p>
    <w:p w14:paraId="4A63B843" w14:textId="77777777" w:rsidR="004374EC" w:rsidRPr="004374EC" w:rsidRDefault="004374EC" w:rsidP="004374EC">
      <w:pPr>
        <w:rPr>
          <w:rFonts w:ascii="Calibri" w:hAnsi="Calibri"/>
          <w:sz w:val="24"/>
          <w:szCs w:val="24"/>
        </w:rPr>
      </w:pPr>
    </w:p>
    <w:p w14:paraId="6EA0C072" w14:textId="77777777" w:rsidR="004374EC" w:rsidRPr="004374EC" w:rsidRDefault="004374EC" w:rsidP="004374EC">
      <w:pPr>
        <w:rPr>
          <w:rFonts w:ascii="Calibri" w:hAnsi="Calibri" w:cstheme="minorHAnsi"/>
          <w:sz w:val="24"/>
          <w:szCs w:val="24"/>
        </w:rPr>
      </w:pPr>
      <w:r w:rsidRPr="004374EC">
        <w:rPr>
          <w:rFonts w:ascii="Calibri" w:hAnsi="Calibri" w:cstheme="minorHAnsi"/>
          <w:sz w:val="24"/>
          <w:szCs w:val="24"/>
        </w:rPr>
        <w:t>Welsh Government, National Literacy and Numeracy Framework, 2013</w:t>
      </w:r>
    </w:p>
    <w:p w14:paraId="2803DB03" w14:textId="77777777" w:rsidR="004374EC" w:rsidRPr="004374EC" w:rsidRDefault="004374EC" w:rsidP="004374EC">
      <w:pPr>
        <w:rPr>
          <w:rFonts w:ascii="Calibri" w:hAnsi="Calibri"/>
          <w:sz w:val="24"/>
          <w:szCs w:val="24"/>
          <w:u w:val="single"/>
        </w:rPr>
      </w:pPr>
    </w:p>
    <w:p w14:paraId="3E45367D" w14:textId="77777777" w:rsidR="00152E9D" w:rsidRPr="004374EC" w:rsidRDefault="00152E9D" w:rsidP="00DB116D">
      <w:pPr>
        <w:rPr>
          <w:rFonts w:ascii="Calibri" w:hAnsi="Calibri" w:cs="Arial"/>
          <w:sz w:val="24"/>
          <w:szCs w:val="24"/>
        </w:rPr>
      </w:pPr>
    </w:p>
    <w:p w14:paraId="00482757" w14:textId="77777777" w:rsidR="00152E9D" w:rsidRPr="004374EC" w:rsidRDefault="00152E9D" w:rsidP="00DB116D">
      <w:pPr>
        <w:rPr>
          <w:rFonts w:ascii="Calibri" w:hAnsi="Calibri" w:cs="Arial"/>
          <w:sz w:val="24"/>
          <w:szCs w:val="24"/>
        </w:rPr>
      </w:pPr>
    </w:p>
    <w:p w14:paraId="6B19E47B" w14:textId="77777777" w:rsidR="00152E9D" w:rsidRPr="004374EC" w:rsidRDefault="00152E9D" w:rsidP="00DB116D">
      <w:pPr>
        <w:rPr>
          <w:rFonts w:ascii="Calibri" w:hAnsi="Calibri" w:cs="Arial"/>
          <w:sz w:val="24"/>
          <w:szCs w:val="24"/>
        </w:rPr>
      </w:pPr>
    </w:p>
    <w:p w14:paraId="54270972" w14:textId="4A45B93F" w:rsidR="00050AF9" w:rsidRPr="004374EC" w:rsidRDefault="00050AF9" w:rsidP="00050AF9">
      <w:pPr>
        <w:rPr>
          <w:rFonts w:ascii="Calibri" w:hAnsi="Calibri" w:cs="Arial"/>
          <w:sz w:val="24"/>
          <w:szCs w:val="24"/>
        </w:rPr>
      </w:pPr>
    </w:p>
    <w:sectPr w:rsidR="00050AF9" w:rsidRPr="004374EC" w:rsidSect="00B97B03">
      <w:footerReference w:type="default" r:id="rId29"/>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4A7DE9" w14:textId="77777777" w:rsidR="00D57A9F" w:rsidRDefault="00D57A9F">
      <w:r>
        <w:separator/>
      </w:r>
    </w:p>
  </w:endnote>
  <w:endnote w:type="continuationSeparator" w:id="0">
    <w:p w14:paraId="1A9BBC9E" w14:textId="77777777" w:rsidR="00D57A9F" w:rsidRDefault="00D57A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5D478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9AF9FB" w14:textId="77777777" w:rsidR="00D57A9F" w:rsidRDefault="00D57A9F">
      <w:r>
        <w:separator/>
      </w:r>
    </w:p>
  </w:footnote>
  <w:footnote w:type="continuationSeparator" w:id="0">
    <w:p w14:paraId="1F7922EE" w14:textId="77777777" w:rsidR="00D57A9F" w:rsidRDefault="00D57A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762491"/>
    <w:multiLevelType w:val="multilevel"/>
    <w:tmpl w:val="01F8E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B13503"/>
    <w:multiLevelType w:val="multilevel"/>
    <w:tmpl w:val="D0A01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21F368E"/>
    <w:multiLevelType w:val="multilevel"/>
    <w:tmpl w:val="4A867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2"/>
  </w:num>
  <w:num w:numId="5">
    <w:abstractNumId w:val="8"/>
  </w:num>
  <w:num w:numId="6">
    <w:abstractNumId w:val="17"/>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3"/>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74EC"/>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1942"/>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81CD3"/>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233E"/>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97B03"/>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7A9F"/>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C8B"/>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3B35C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uiPriority="9" w:qFormat="1"/>
    <w:lsdException w:name="heading 2" w:uiPriority="9" w:qFormat="1"/>
    <w:lsdException w:name="heading 3" w:qFormat="1"/>
    <w:lsdException w:name="heading 4" w:qFormat="1"/>
    <w:lsdException w:name="heading 5" w:semiHidden="1" w:unhideWhenUsed="1" w:qFormat="1"/>
    <w:lsdException w:name="heading 6" w:semiHidden="1" w:uiPriority="9"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uiPriority w:val="9"/>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uiPriority w:val="9"/>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uiPriority w:val="9"/>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1Char">
    <w:name w:val="Heading 1 Char"/>
    <w:basedOn w:val="DefaultParagraphFont"/>
    <w:link w:val="Heading1"/>
    <w:uiPriority w:val="9"/>
    <w:rsid w:val="004374EC"/>
    <w:rPr>
      <w:b/>
      <w:sz w:val="36"/>
      <w:shd w:val="pct15" w:color="auto" w:fill="auto"/>
      <w:lang w:eastAsia="en-GB"/>
    </w:rPr>
  </w:style>
  <w:style w:type="character" w:styleId="UnresolvedMention">
    <w:name w:val="Unresolved Mention"/>
    <w:basedOn w:val="DefaultParagraphFont"/>
    <w:uiPriority w:val="99"/>
    <w:semiHidden/>
    <w:unhideWhenUsed/>
    <w:rsid w:val="004374EC"/>
    <w:rPr>
      <w:color w:val="605E5C"/>
      <w:shd w:val="clear" w:color="auto" w:fill="E1DFDD"/>
    </w:rPr>
  </w:style>
  <w:style w:type="character" w:customStyle="1" w:styleId="Heading2Char">
    <w:name w:val="Heading 2 Char"/>
    <w:basedOn w:val="DefaultParagraphFont"/>
    <w:link w:val="Heading2"/>
    <w:uiPriority w:val="9"/>
    <w:rsid w:val="004374EC"/>
    <w:rPr>
      <w:b/>
      <w:sz w:val="24"/>
      <w:lang w:eastAsia="en-GB"/>
    </w:rPr>
  </w:style>
  <w:style w:type="character" w:customStyle="1" w:styleId="nlmarticle-title">
    <w:name w:val="nlm_article-title"/>
    <w:basedOn w:val="DefaultParagraphFont"/>
    <w:rsid w:val="004374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708237">
      <w:bodyDiv w:val="1"/>
      <w:marLeft w:val="0"/>
      <w:marRight w:val="0"/>
      <w:marTop w:val="0"/>
      <w:marBottom w:val="0"/>
      <w:divBdr>
        <w:top w:val="none" w:sz="0" w:space="0" w:color="auto"/>
        <w:left w:val="none" w:sz="0" w:space="0" w:color="auto"/>
        <w:bottom w:val="none" w:sz="0" w:space="0" w:color="auto"/>
        <w:right w:val="none" w:sz="0" w:space="0" w:color="auto"/>
      </w:divBdr>
      <w:divsChild>
        <w:div w:id="1735591443">
          <w:marLeft w:val="0"/>
          <w:marRight w:val="0"/>
          <w:marTop w:val="0"/>
          <w:marBottom w:val="0"/>
          <w:divBdr>
            <w:top w:val="none" w:sz="0" w:space="0" w:color="auto"/>
            <w:left w:val="none" w:sz="0" w:space="0" w:color="auto"/>
            <w:bottom w:val="none" w:sz="0" w:space="0" w:color="auto"/>
            <w:right w:val="none" w:sz="0" w:space="0" w:color="auto"/>
          </w:divBdr>
          <w:divsChild>
            <w:div w:id="1275402911">
              <w:marLeft w:val="0"/>
              <w:marRight w:val="0"/>
              <w:marTop w:val="0"/>
              <w:marBottom w:val="0"/>
              <w:divBdr>
                <w:top w:val="none" w:sz="0" w:space="0" w:color="auto"/>
                <w:left w:val="none" w:sz="0" w:space="0" w:color="auto"/>
                <w:bottom w:val="none" w:sz="0" w:space="0" w:color="auto"/>
                <w:right w:val="none" w:sz="0" w:space="0" w:color="auto"/>
              </w:divBdr>
              <w:divsChild>
                <w:div w:id="718549327">
                  <w:marLeft w:val="0"/>
                  <w:marRight w:val="0"/>
                  <w:marTop w:val="0"/>
                  <w:marBottom w:val="0"/>
                  <w:divBdr>
                    <w:top w:val="none" w:sz="0" w:space="0" w:color="auto"/>
                    <w:left w:val="none" w:sz="0" w:space="0" w:color="auto"/>
                    <w:bottom w:val="none" w:sz="0" w:space="0" w:color="auto"/>
                    <w:right w:val="none" w:sz="0" w:space="0" w:color="auto"/>
                  </w:divBdr>
                  <w:divsChild>
                    <w:div w:id="48150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051360">
      <w:bodyDiv w:val="1"/>
      <w:marLeft w:val="0"/>
      <w:marRight w:val="0"/>
      <w:marTop w:val="0"/>
      <w:marBottom w:val="0"/>
      <w:divBdr>
        <w:top w:val="none" w:sz="0" w:space="0" w:color="auto"/>
        <w:left w:val="none" w:sz="0" w:space="0" w:color="auto"/>
        <w:bottom w:val="none" w:sz="0" w:space="0" w:color="auto"/>
        <w:right w:val="none" w:sz="0" w:space="0" w:color="auto"/>
      </w:divBdr>
      <w:divsChild>
        <w:div w:id="1159614262">
          <w:marLeft w:val="0"/>
          <w:marRight w:val="0"/>
          <w:marTop w:val="0"/>
          <w:marBottom w:val="0"/>
          <w:divBdr>
            <w:top w:val="none" w:sz="0" w:space="0" w:color="auto"/>
            <w:left w:val="none" w:sz="0" w:space="0" w:color="auto"/>
            <w:bottom w:val="none" w:sz="0" w:space="0" w:color="auto"/>
            <w:right w:val="none" w:sz="0" w:space="0" w:color="auto"/>
          </w:divBdr>
          <w:divsChild>
            <w:div w:id="1198738318">
              <w:marLeft w:val="0"/>
              <w:marRight w:val="0"/>
              <w:marTop w:val="0"/>
              <w:marBottom w:val="0"/>
              <w:divBdr>
                <w:top w:val="none" w:sz="0" w:space="0" w:color="auto"/>
                <w:left w:val="none" w:sz="0" w:space="0" w:color="auto"/>
                <w:bottom w:val="none" w:sz="0" w:space="0" w:color="auto"/>
                <w:right w:val="none" w:sz="0" w:space="0" w:color="auto"/>
              </w:divBdr>
              <w:divsChild>
                <w:div w:id="102267908">
                  <w:marLeft w:val="0"/>
                  <w:marRight w:val="0"/>
                  <w:marTop w:val="0"/>
                  <w:marBottom w:val="0"/>
                  <w:divBdr>
                    <w:top w:val="none" w:sz="0" w:space="0" w:color="auto"/>
                    <w:left w:val="none" w:sz="0" w:space="0" w:color="auto"/>
                    <w:bottom w:val="none" w:sz="0" w:space="0" w:color="auto"/>
                    <w:right w:val="none" w:sz="0" w:space="0" w:color="auto"/>
                  </w:divBdr>
                </w:div>
              </w:divsChild>
            </w:div>
            <w:div w:id="578637070">
              <w:marLeft w:val="0"/>
              <w:marRight w:val="0"/>
              <w:marTop w:val="0"/>
              <w:marBottom w:val="0"/>
              <w:divBdr>
                <w:top w:val="none" w:sz="0" w:space="0" w:color="auto"/>
                <w:left w:val="none" w:sz="0" w:space="0" w:color="auto"/>
                <w:bottom w:val="none" w:sz="0" w:space="0" w:color="auto"/>
                <w:right w:val="none" w:sz="0" w:space="0" w:color="auto"/>
              </w:divBdr>
              <w:divsChild>
                <w:div w:id="504825103">
                  <w:marLeft w:val="0"/>
                  <w:marRight w:val="0"/>
                  <w:marTop w:val="0"/>
                  <w:marBottom w:val="0"/>
                  <w:divBdr>
                    <w:top w:val="none" w:sz="0" w:space="0" w:color="auto"/>
                    <w:left w:val="none" w:sz="0" w:space="0" w:color="auto"/>
                    <w:bottom w:val="none" w:sz="0" w:space="0" w:color="auto"/>
                    <w:right w:val="none" w:sz="0" w:space="0" w:color="auto"/>
                  </w:divBdr>
                </w:div>
              </w:divsChild>
            </w:div>
            <w:div w:id="1088430359">
              <w:marLeft w:val="0"/>
              <w:marRight w:val="0"/>
              <w:marTop w:val="0"/>
              <w:marBottom w:val="0"/>
              <w:divBdr>
                <w:top w:val="none" w:sz="0" w:space="0" w:color="auto"/>
                <w:left w:val="none" w:sz="0" w:space="0" w:color="auto"/>
                <w:bottom w:val="none" w:sz="0" w:space="0" w:color="auto"/>
                <w:right w:val="none" w:sz="0" w:space="0" w:color="auto"/>
              </w:divBdr>
              <w:divsChild>
                <w:div w:id="1189028685">
                  <w:marLeft w:val="0"/>
                  <w:marRight w:val="0"/>
                  <w:marTop w:val="0"/>
                  <w:marBottom w:val="0"/>
                  <w:divBdr>
                    <w:top w:val="none" w:sz="0" w:space="0" w:color="auto"/>
                    <w:left w:val="none" w:sz="0" w:space="0" w:color="auto"/>
                    <w:bottom w:val="none" w:sz="0" w:space="0" w:color="auto"/>
                    <w:right w:val="none" w:sz="0" w:space="0" w:color="auto"/>
                  </w:divBdr>
                  <w:divsChild>
                    <w:div w:id="37330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740444">
              <w:marLeft w:val="0"/>
              <w:marRight w:val="0"/>
              <w:marTop w:val="0"/>
              <w:marBottom w:val="0"/>
              <w:divBdr>
                <w:top w:val="none" w:sz="0" w:space="0" w:color="auto"/>
                <w:left w:val="none" w:sz="0" w:space="0" w:color="auto"/>
                <w:bottom w:val="none" w:sz="0" w:space="0" w:color="auto"/>
                <w:right w:val="none" w:sz="0" w:space="0" w:color="auto"/>
              </w:divBdr>
              <w:divsChild>
                <w:div w:id="202338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827998">
          <w:marLeft w:val="0"/>
          <w:marRight w:val="0"/>
          <w:marTop w:val="0"/>
          <w:marBottom w:val="0"/>
          <w:divBdr>
            <w:top w:val="none" w:sz="0" w:space="0" w:color="auto"/>
            <w:left w:val="none" w:sz="0" w:space="0" w:color="auto"/>
            <w:bottom w:val="none" w:sz="0" w:space="0" w:color="auto"/>
            <w:right w:val="none" w:sz="0" w:space="0" w:color="auto"/>
          </w:divBdr>
          <w:divsChild>
            <w:div w:id="2128040716">
              <w:marLeft w:val="0"/>
              <w:marRight w:val="0"/>
              <w:marTop w:val="0"/>
              <w:marBottom w:val="0"/>
              <w:divBdr>
                <w:top w:val="none" w:sz="0" w:space="0" w:color="auto"/>
                <w:left w:val="none" w:sz="0" w:space="0" w:color="auto"/>
                <w:bottom w:val="none" w:sz="0" w:space="0" w:color="auto"/>
                <w:right w:val="none" w:sz="0" w:space="0" w:color="auto"/>
              </w:divBdr>
              <w:divsChild>
                <w:div w:id="1851946893">
                  <w:marLeft w:val="0"/>
                  <w:marRight w:val="0"/>
                  <w:marTop w:val="0"/>
                  <w:marBottom w:val="0"/>
                  <w:divBdr>
                    <w:top w:val="none" w:sz="0" w:space="0" w:color="auto"/>
                    <w:left w:val="none" w:sz="0" w:space="0" w:color="auto"/>
                    <w:bottom w:val="none" w:sz="0" w:space="0" w:color="auto"/>
                    <w:right w:val="none" w:sz="0" w:space="0" w:color="auto"/>
                  </w:divBdr>
                </w:div>
              </w:divsChild>
            </w:div>
            <w:div w:id="1819495112">
              <w:marLeft w:val="0"/>
              <w:marRight w:val="0"/>
              <w:marTop w:val="0"/>
              <w:marBottom w:val="0"/>
              <w:divBdr>
                <w:top w:val="none" w:sz="0" w:space="0" w:color="auto"/>
                <w:left w:val="none" w:sz="0" w:space="0" w:color="auto"/>
                <w:bottom w:val="none" w:sz="0" w:space="0" w:color="auto"/>
                <w:right w:val="none" w:sz="0" w:space="0" w:color="auto"/>
              </w:divBdr>
              <w:divsChild>
                <w:div w:id="406271072">
                  <w:marLeft w:val="0"/>
                  <w:marRight w:val="0"/>
                  <w:marTop w:val="0"/>
                  <w:marBottom w:val="0"/>
                  <w:divBdr>
                    <w:top w:val="none" w:sz="0" w:space="0" w:color="auto"/>
                    <w:left w:val="none" w:sz="0" w:space="0" w:color="auto"/>
                    <w:bottom w:val="none" w:sz="0" w:space="0" w:color="auto"/>
                    <w:right w:val="none" w:sz="0" w:space="0" w:color="auto"/>
                  </w:divBdr>
                </w:div>
              </w:divsChild>
            </w:div>
            <w:div w:id="1348871785">
              <w:marLeft w:val="0"/>
              <w:marRight w:val="0"/>
              <w:marTop w:val="0"/>
              <w:marBottom w:val="0"/>
              <w:divBdr>
                <w:top w:val="none" w:sz="0" w:space="0" w:color="auto"/>
                <w:left w:val="none" w:sz="0" w:space="0" w:color="auto"/>
                <w:bottom w:val="none" w:sz="0" w:space="0" w:color="auto"/>
                <w:right w:val="none" w:sz="0" w:space="0" w:color="auto"/>
              </w:divBdr>
              <w:divsChild>
                <w:div w:id="15815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20533">
          <w:marLeft w:val="0"/>
          <w:marRight w:val="0"/>
          <w:marTop w:val="0"/>
          <w:marBottom w:val="0"/>
          <w:divBdr>
            <w:top w:val="none" w:sz="0" w:space="0" w:color="auto"/>
            <w:left w:val="none" w:sz="0" w:space="0" w:color="auto"/>
            <w:bottom w:val="none" w:sz="0" w:space="0" w:color="auto"/>
            <w:right w:val="none" w:sz="0" w:space="0" w:color="auto"/>
          </w:divBdr>
          <w:divsChild>
            <w:div w:id="1743716359">
              <w:marLeft w:val="0"/>
              <w:marRight w:val="0"/>
              <w:marTop w:val="0"/>
              <w:marBottom w:val="0"/>
              <w:divBdr>
                <w:top w:val="none" w:sz="0" w:space="0" w:color="auto"/>
                <w:left w:val="none" w:sz="0" w:space="0" w:color="auto"/>
                <w:bottom w:val="none" w:sz="0" w:space="0" w:color="auto"/>
                <w:right w:val="none" w:sz="0" w:space="0" w:color="auto"/>
              </w:divBdr>
              <w:divsChild>
                <w:div w:id="65565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029166">
      <w:bodyDiv w:val="1"/>
      <w:marLeft w:val="0"/>
      <w:marRight w:val="0"/>
      <w:marTop w:val="0"/>
      <w:marBottom w:val="0"/>
      <w:divBdr>
        <w:top w:val="none" w:sz="0" w:space="0" w:color="auto"/>
        <w:left w:val="none" w:sz="0" w:space="0" w:color="auto"/>
        <w:bottom w:val="none" w:sz="0" w:space="0" w:color="auto"/>
        <w:right w:val="none" w:sz="0" w:space="0" w:color="auto"/>
      </w:divBdr>
      <w:divsChild>
        <w:div w:id="1098797636">
          <w:marLeft w:val="0"/>
          <w:marRight w:val="0"/>
          <w:marTop w:val="0"/>
          <w:marBottom w:val="0"/>
          <w:divBdr>
            <w:top w:val="none" w:sz="0" w:space="0" w:color="auto"/>
            <w:left w:val="none" w:sz="0" w:space="0" w:color="auto"/>
            <w:bottom w:val="none" w:sz="0" w:space="0" w:color="auto"/>
            <w:right w:val="none" w:sz="0" w:space="0" w:color="auto"/>
          </w:divBdr>
          <w:divsChild>
            <w:div w:id="2006590231">
              <w:marLeft w:val="0"/>
              <w:marRight w:val="0"/>
              <w:marTop w:val="0"/>
              <w:marBottom w:val="0"/>
              <w:divBdr>
                <w:top w:val="none" w:sz="0" w:space="0" w:color="auto"/>
                <w:left w:val="none" w:sz="0" w:space="0" w:color="auto"/>
                <w:bottom w:val="none" w:sz="0" w:space="0" w:color="auto"/>
                <w:right w:val="none" w:sz="0" w:space="0" w:color="auto"/>
              </w:divBdr>
              <w:divsChild>
                <w:div w:id="1012025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85550">
      <w:bodyDiv w:val="1"/>
      <w:marLeft w:val="0"/>
      <w:marRight w:val="0"/>
      <w:marTop w:val="0"/>
      <w:marBottom w:val="0"/>
      <w:divBdr>
        <w:top w:val="none" w:sz="0" w:space="0" w:color="auto"/>
        <w:left w:val="none" w:sz="0" w:space="0" w:color="auto"/>
        <w:bottom w:val="none" w:sz="0" w:space="0" w:color="auto"/>
        <w:right w:val="none" w:sz="0" w:space="0" w:color="auto"/>
      </w:divBdr>
      <w:divsChild>
        <w:div w:id="690305986">
          <w:marLeft w:val="0"/>
          <w:marRight w:val="0"/>
          <w:marTop w:val="0"/>
          <w:marBottom w:val="0"/>
          <w:divBdr>
            <w:top w:val="none" w:sz="0" w:space="0" w:color="auto"/>
            <w:left w:val="none" w:sz="0" w:space="0" w:color="auto"/>
            <w:bottom w:val="none" w:sz="0" w:space="0" w:color="auto"/>
            <w:right w:val="none" w:sz="0" w:space="0" w:color="auto"/>
          </w:divBdr>
          <w:divsChild>
            <w:div w:id="1339575980">
              <w:marLeft w:val="0"/>
              <w:marRight w:val="0"/>
              <w:marTop w:val="0"/>
              <w:marBottom w:val="0"/>
              <w:divBdr>
                <w:top w:val="none" w:sz="0" w:space="0" w:color="auto"/>
                <w:left w:val="none" w:sz="0" w:space="0" w:color="auto"/>
                <w:bottom w:val="none" w:sz="0" w:space="0" w:color="auto"/>
                <w:right w:val="none" w:sz="0" w:space="0" w:color="auto"/>
              </w:divBdr>
              <w:divsChild>
                <w:div w:id="395202481">
                  <w:marLeft w:val="0"/>
                  <w:marRight w:val="0"/>
                  <w:marTop w:val="0"/>
                  <w:marBottom w:val="0"/>
                  <w:divBdr>
                    <w:top w:val="none" w:sz="0" w:space="0" w:color="auto"/>
                    <w:left w:val="none" w:sz="0" w:space="0" w:color="auto"/>
                    <w:bottom w:val="none" w:sz="0" w:space="0" w:color="auto"/>
                    <w:right w:val="none" w:sz="0" w:space="0" w:color="auto"/>
                  </w:divBdr>
                  <w:divsChild>
                    <w:div w:id="195416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516067">
      <w:bodyDiv w:val="1"/>
      <w:marLeft w:val="0"/>
      <w:marRight w:val="0"/>
      <w:marTop w:val="0"/>
      <w:marBottom w:val="0"/>
      <w:divBdr>
        <w:top w:val="none" w:sz="0" w:space="0" w:color="auto"/>
        <w:left w:val="none" w:sz="0" w:space="0" w:color="auto"/>
        <w:bottom w:val="none" w:sz="0" w:space="0" w:color="auto"/>
        <w:right w:val="none" w:sz="0" w:space="0" w:color="auto"/>
      </w:divBdr>
      <w:divsChild>
        <w:div w:id="399400727">
          <w:marLeft w:val="0"/>
          <w:marRight w:val="0"/>
          <w:marTop w:val="0"/>
          <w:marBottom w:val="0"/>
          <w:divBdr>
            <w:top w:val="none" w:sz="0" w:space="0" w:color="auto"/>
            <w:left w:val="none" w:sz="0" w:space="0" w:color="auto"/>
            <w:bottom w:val="none" w:sz="0" w:space="0" w:color="auto"/>
            <w:right w:val="none" w:sz="0" w:space="0" w:color="auto"/>
          </w:divBdr>
          <w:divsChild>
            <w:div w:id="1711489206">
              <w:marLeft w:val="0"/>
              <w:marRight w:val="0"/>
              <w:marTop w:val="0"/>
              <w:marBottom w:val="0"/>
              <w:divBdr>
                <w:top w:val="none" w:sz="0" w:space="0" w:color="auto"/>
                <w:left w:val="none" w:sz="0" w:space="0" w:color="auto"/>
                <w:bottom w:val="none" w:sz="0" w:space="0" w:color="auto"/>
                <w:right w:val="none" w:sz="0" w:space="0" w:color="auto"/>
              </w:divBdr>
              <w:divsChild>
                <w:div w:id="1445687140">
                  <w:marLeft w:val="0"/>
                  <w:marRight w:val="0"/>
                  <w:marTop w:val="0"/>
                  <w:marBottom w:val="0"/>
                  <w:divBdr>
                    <w:top w:val="none" w:sz="0" w:space="0" w:color="auto"/>
                    <w:left w:val="none" w:sz="0" w:space="0" w:color="auto"/>
                    <w:bottom w:val="none" w:sz="0" w:space="0" w:color="auto"/>
                    <w:right w:val="none" w:sz="0" w:space="0" w:color="auto"/>
                  </w:divBdr>
                  <w:divsChild>
                    <w:div w:id="194074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140606">
      <w:bodyDiv w:val="1"/>
      <w:marLeft w:val="0"/>
      <w:marRight w:val="0"/>
      <w:marTop w:val="0"/>
      <w:marBottom w:val="0"/>
      <w:divBdr>
        <w:top w:val="none" w:sz="0" w:space="0" w:color="auto"/>
        <w:left w:val="none" w:sz="0" w:space="0" w:color="auto"/>
        <w:bottom w:val="none" w:sz="0" w:space="0" w:color="auto"/>
        <w:right w:val="none" w:sz="0" w:space="0" w:color="auto"/>
      </w:divBdr>
      <w:divsChild>
        <w:div w:id="700325814">
          <w:marLeft w:val="0"/>
          <w:marRight w:val="0"/>
          <w:marTop w:val="0"/>
          <w:marBottom w:val="0"/>
          <w:divBdr>
            <w:top w:val="none" w:sz="0" w:space="0" w:color="auto"/>
            <w:left w:val="none" w:sz="0" w:space="0" w:color="auto"/>
            <w:bottom w:val="none" w:sz="0" w:space="0" w:color="auto"/>
            <w:right w:val="none" w:sz="0" w:space="0" w:color="auto"/>
          </w:divBdr>
          <w:divsChild>
            <w:div w:id="1409688266">
              <w:marLeft w:val="0"/>
              <w:marRight w:val="0"/>
              <w:marTop w:val="0"/>
              <w:marBottom w:val="0"/>
              <w:divBdr>
                <w:top w:val="none" w:sz="0" w:space="0" w:color="auto"/>
                <w:left w:val="none" w:sz="0" w:space="0" w:color="auto"/>
                <w:bottom w:val="none" w:sz="0" w:space="0" w:color="auto"/>
                <w:right w:val="none" w:sz="0" w:space="0" w:color="auto"/>
              </w:divBdr>
              <w:divsChild>
                <w:div w:id="139200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418054">
      <w:bodyDiv w:val="1"/>
      <w:marLeft w:val="0"/>
      <w:marRight w:val="0"/>
      <w:marTop w:val="0"/>
      <w:marBottom w:val="0"/>
      <w:divBdr>
        <w:top w:val="none" w:sz="0" w:space="0" w:color="auto"/>
        <w:left w:val="none" w:sz="0" w:space="0" w:color="auto"/>
        <w:bottom w:val="none" w:sz="0" w:space="0" w:color="auto"/>
        <w:right w:val="none" w:sz="0" w:space="0" w:color="auto"/>
      </w:divBdr>
      <w:divsChild>
        <w:div w:id="924533783">
          <w:marLeft w:val="0"/>
          <w:marRight w:val="0"/>
          <w:marTop w:val="0"/>
          <w:marBottom w:val="0"/>
          <w:divBdr>
            <w:top w:val="none" w:sz="0" w:space="0" w:color="auto"/>
            <w:left w:val="none" w:sz="0" w:space="0" w:color="auto"/>
            <w:bottom w:val="none" w:sz="0" w:space="0" w:color="auto"/>
            <w:right w:val="none" w:sz="0" w:space="0" w:color="auto"/>
          </w:divBdr>
          <w:divsChild>
            <w:div w:id="1069499258">
              <w:marLeft w:val="0"/>
              <w:marRight w:val="0"/>
              <w:marTop w:val="0"/>
              <w:marBottom w:val="0"/>
              <w:divBdr>
                <w:top w:val="none" w:sz="0" w:space="0" w:color="auto"/>
                <w:left w:val="none" w:sz="0" w:space="0" w:color="auto"/>
                <w:bottom w:val="none" w:sz="0" w:space="0" w:color="auto"/>
                <w:right w:val="none" w:sz="0" w:space="0" w:color="auto"/>
              </w:divBdr>
              <w:divsChild>
                <w:div w:id="2028290264">
                  <w:marLeft w:val="0"/>
                  <w:marRight w:val="0"/>
                  <w:marTop w:val="0"/>
                  <w:marBottom w:val="0"/>
                  <w:divBdr>
                    <w:top w:val="none" w:sz="0" w:space="0" w:color="auto"/>
                    <w:left w:val="none" w:sz="0" w:space="0" w:color="auto"/>
                    <w:bottom w:val="none" w:sz="0" w:space="0" w:color="auto"/>
                    <w:right w:val="none" w:sz="0" w:space="0" w:color="auto"/>
                  </w:divBdr>
                  <w:divsChild>
                    <w:div w:id="77917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2001137">
      <w:bodyDiv w:val="1"/>
      <w:marLeft w:val="0"/>
      <w:marRight w:val="0"/>
      <w:marTop w:val="0"/>
      <w:marBottom w:val="0"/>
      <w:divBdr>
        <w:top w:val="none" w:sz="0" w:space="0" w:color="auto"/>
        <w:left w:val="none" w:sz="0" w:space="0" w:color="auto"/>
        <w:bottom w:val="none" w:sz="0" w:space="0" w:color="auto"/>
        <w:right w:val="none" w:sz="0" w:space="0" w:color="auto"/>
      </w:divBdr>
      <w:divsChild>
        <w:div w:id="2024742137">
          <w:marLeft w:val="0"/>
          <w:marRight w:val="0"/>
          <w:marTop w:val="0"/>
          <w:marBottom w:val="0"/>
          <w:divBdr>
            <w:top w:val="none" w:sz="0" w:space="0" w:color="auto"/>
            <w:left w:val="none" w:sz="0" w:space="0" w:color="auto"/>
            <w:bottom w:val="none" w:sz="0" w:space="0" w:color="auto"/>
            <w:right w:val="none" w:sz="0" w:space="0" w:color="auto"/>
          </w:divBdr>
          <w:divsChild>
            <w:div w:id="1889104045">
              <w:marLeft w:val="0"/>
              <w:marRight w:val="0"/>
              <w:marTop w:val="0"/>
              <w:marBottom w:val="0"/>
              <w:divBdr>
                <w:top w:val="none" w:sz="0" w:space="0" w:color="auto"/>
                <w:left w:val="none" w:sz="0" w:space="0" w:color="auto"/>
                <w:bottom w:val="none" w:sz="0" w:space="0" w:color="auto"/>
                <w:right w:val="none" w:sz="0" w:space="0" w:color="auto"/>
              </w:divBdr>
              <w:divsChild>
                <w:div w:id="2017462766">
                  <w:marLeft w:val="0"/>
                  <w:marRight w:val="0"/>
                  <w:marTop w:val="0"/>
                  <w:marBottom w:val="0"/>
                  <w:divBdr>
                    <w:top w:val="none" w:sz="0" w:space="0" w:color="auto"/>
                    <w:left w:val="none" w:sz="0" w:space="0" w:color="auto"/>
                    <w:bottom w:val="none" w:sz="0" w:space="0" w:color="auto"/>
                    <w:right w:val="none" w:sz="0" w:space="0" w:color="auto"/>
                  </w:divBdr>
                </w:div>
              </w:divsChild>
            </w:div>
            <w:div w:id="1340738237">
              <w:marLeft w:val="0"/>
              <w:marRight w:val="0"/>
              <w:marTop w:val="0"/>
              <w:marBottom w:val="0"/>
              <w:divBdr>
                <w:top w:val="none" w:sz="0" w:space="0" w:color="auto"/>
                <w:left w:val="none" w:sz="0" w:space="0" w:color="auto"/>
                <w:bottom w:val="none" w:sz="0" w:space="0" w:color="auto"/>
                <w:right w:val="none" w:sz="0" w:space="0" w:color="auto"/>
              </w:divBdr>
              <w:divsChild>
                <w:div w:id="782651443">
                  <w:marLeft w:val="0"/>
                  <w:marRight w:val="0"/>
                  <w:marTop w:val="0"/>
                  <w:marBottom w:val="0"/>
                  <w:divBdr>
                    <w:top w:val="none" w:sz="0" w:space="0" w:color="auto"/>
                    <w:left w:val="none" w:sz="0" w:space="0" w:color="auto"/>
                    <w:bottom w:val="none" w:sz="0" w:space="0" w:color="auto"/>
                    <w:right w:val="none" w:sz="0" w:space="0" w:color="auto"/>
                  </w:divBdr>
                </w:div>
              </w:divsChild>
            </w:div>
            <w:div w:id="185561268">
              <w:marLeft w:val="0"/>
              <w:marRight w:val="0"/>
              <w:marTop w:val="0"/>
              <w:marBottom w:val="0"/>
              <w:divBdr>
                <w:top w:val="none" w:sz="0" w:space="0" w:color="auto"/>
                <w:left w:val="none" w:sz="0" w:space="0" w:color="auto"/>
                <w:bottom w:val="none" w:sz="0" w:space="0" w:color="auto"/>
                <w:right w:val="none" w:sz="0" w:space="0" w:color="auto"/>
              </w:divBdr>
              <w:divsChild>
                <w:div w:id="89666781">
                  <w:marLeft w:val="0"/>
                  <w:marRight w:val="0"/>
                  <w:marTop w:val="0"/>
                  <w:marBottom w:val="0"/>
                  <w:divBdr>
                    <w:top w:val="none" w:sz="0" w:space="0" w:color="auto"/>
                    <w:left w:val="none" w:sz="0" w:space="0" w:color="auto"/>
                    <w:bottom w:val="none" w:sz="0" w:space="0" w:color="auto"/>
                    <w:right w:val="none" w:sz="0" w:space="0" w:color="auto"/>
                  </w:divBdr>
                  <w:divsChild>
                    <w:div w:id="109644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886141">
              <w:marLeft w:val="0"/>
              <w:marRight w:val="0"/>
              <w:marTop w:val="0"/>
              <w:marBottom w:val="0"/>
              <w:divBdr>
                <w:top w:val="none" w:sz="0" w:space="0" w:color="auto"/>
                <w:left w:val="none" w:sz="0" w:space="0" w:color="auto"/>
                <w:bottom w:val="none" w:sz="0" w:space="0" w:color="auto"/>
                <w:right w:val="none" w:sz="0" w:space="0" w:color="auto"/>
              </w:divBdr>
              <w:divsChild>
                <w:div w:id="155107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419966">
          <w:marLeft w:val="0"/>
          <w:marRight w:val="0"/>
          <w:marTop w:val="0"/>
          <w:marBottom w:val="0"/>
          <w:divBdr>
            <w:top w:val="none" w:sz="0" w:space="0" w:color="auto"/>
            <w:left w:val="none" w:sz="0" w:space="0" w:color="auto"/>
            <w:bottom w:val="none" w:sz="0" w:space="0" w:color="auto"/>
            <w:right w:val="none" w:sz="0" w:space="0" w:color="auto"/>
          </w:divBdr>
          <w:divsChild>
            <w:div w:id="1264071109">
              <w:marLeft w:val="0"/>
              <w:marRight w:val="0"/>
              <w:marTop w:val="0"/>
              <w:marBottom w:val="0"/>
              <w:divBdr>
                <w:top w:val="none" w:sz="0" w:space="0" w:color="auto"/>
                <w:left w:val="none" w:sz="0" w:space="0" w:color="auto"/>
                <w:bottom w:val="none" w:sz="0" w:space="0" w:color="auto"/>
                <w:right w:val="none" w:sz="0" w:space="0" w:color="auto"/>
              </w:divBdr>
              <w:divsChild>
                <w:div w:id="155152884">
                  <w:marLeft w:val="0"/>
                  <w:marRight w:val="0"/>
                  <w:marTop w:val="0"/>
                  <w:marBottom w:val="0"/>
                  <w:divBdr>
                    <w:top w:val="none" w:sz="0" w:space="0" w:color="auto"/>
                    <w:left w:val="none" w:sz="0" w:space="0" w:color="auto"/>
                    <w:bottom w:val="none" w:sz="0" w:space="0" w:color="auto"/>
                    <w:right w:val="none" w:sz="0" w:space="0" w:color="auto"/>
                  </w:divBdr>
                </w:div>
              </w:divsChild>
            </w:div>
            <w:div w:id="132915048">
              <w:marLeft w:val="0"/>
              <w:marRight w:val="0"/>
              <w:marTop w:val="0"/>
              <w:marBottom w:val="0"/>
              <w:divBdr>
                <w:top w:val="none" w:sz="0" w:space="0" w:color="auto"/>
                <w:left w:val="none" w:sz="0" w:space="0" w:color="auto"/>
                <w:bottom w:val="none" w:sz="0" w:space="0" w:color="auto"/>
                <w:right w:val="none" w:sz="0" w:space="0" w:color="auto"/>
              </w:divBdr>
              <w:divsChild>
                <w:div w:id="1644119212">
                  <w:marLeft w:val="0"/>
                  <w:marRight w:val="0"/>
                  <w:marTop w:val="0"/>
                  <w:marBottom w:val="0"/>
                  <w:divBdr>
                    <w:top w:val="none" w:sz="0" w:space="0" w:color="auto"/>
                    <w:left w:val="none" w:sz="0" w:space="0" w:color="auto"/>
                    <w:bottom w:val="none" w:sz="0" w:space="0" w:color="auto"/>
                    <w:right w:val="none" w:sz="0" w:space="0" w:color="auto"/>
                  </w:divBdr>
                </w:div>
              </w:divsChild>
            </w:div>
            <w:div w:id="1255356924">
              <w:marLeft w:val="0"/>
              <w:marRight w:val="0"/>
              <w:marTop w:val="0"/>
              <w:marBottom w:val="0"/>
              <w:divBdr>
                <w:top w:val="none" w:sz="0" w:space="0" w:color="auto"/>
                <w:left w:val="none" w:sz="0" w:space="0" w:color="auto"/>
                <w:bottom w:val="none" w:sz="0" w:space="0" w:color="auto"/>
                <w:right w:val="none" w:sz="0" w:space="0" w:color="auto"/>
              </w:divBdr>
              <w:divsChild>
                <w:div w:id="183960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99586">
          <w:marLeft w:val="0"/>
          <w:marRight w:val="0"/>
          <w:marTop w:val="0"/>
          <w:marBottom w:val="0"/>
          <w:divBdr>
            <w:top w:val="none" w:sz="0" w:space="0" w:color="auto"/>
            <w:left w:val="none" w:sz="0" w:space="0" w:color="auto"/>
            <w:bottom w:val="none" w:sz="0" w:space="0" w:color="auto"/>
            <w:right w:val="none" w:sz="0" w:space="0" w:color="auto"/>
          </w:divBdr>
          <w:divsChild>
            <w:div w:id="271281076">
              <w:marLeft w:val="0"/>
              <w:marRight w:val="0"/>
              <w:marTop w:val="0"/>
              <w:marBottom w:val="0"/>
              <w:divBdr>
                <w:top w:val="none" w:sz="0" w:space="0" w:color="auto"/>
                <w:left w:val="none" w:sz="0" w:space="0" w:color="auto"/>
                <w:bottom w:val="none" w:sz="0" w:space="0" w:color="auto"/>
                <w:right w:val="none" w:sz="0" w:space="0" w:color="auto"/>
              </w:divBdr>
              <w:divsChild>
                <w:div w:id="164615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png"/><Relationship Id="rId18" Type="http://schemas.openxmlformats.org/officeDocument/2006/relationships/hyperlink" Target="https://www.tandfonline.com/toc/cedp20/current" TargetMode="External"/><Relationship Id="rId26" Type="http://schemas.openxmlformats.org/officeDocument/2006/relationships/hyperlink" Target="https://education.gov.gy/web/index.php/teachers/tips-for-teaching/item/2192-about-student-attitudes-on-learning" TargetMode="External"/><Relationship Id="rId3" Type="http://schemas.openxmlformats.org/officeDocument/2006/relationships/settings" Target="settings.xml"/><Relationship Id="rId21" Type="http://schemas.openxmlformats.org/officeDocument/2006/relationships/hyperlink" Target="https://www.ncbi.nlm.nih.gov/pubmed/?term=Moore%20C%5BAuthor%5D&amp;cauthor=true&amp;cauthor_uid=27667862" TargetMode="Externa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hyperlink" Target="https://www.aare.edu.au/blog/?p=1311" TargetMode="External"/><Relationship Id="rId25" Type="http://schemas.openxmlformats.org/officeDocument/2006/relationships/hyperlink" Target="https://www.researchgate.net/journal/1389-2843_Journal_of_Educational_Change" TargetMode="External"/><Relationship Id="rId2" Type="http://schemas.openxmlformats.org/officeDocument/2006/relationships/styles" Target="styles.xml"/><Relationship Id="rId16" Type="http://schemas.openxmlformats.org/officeDocument/2006/relationships/hyperlink" Target="https://cft.vanderbilt.edu/guides-sub-pages/writing-good-multiple-choice-test-questions/" TargetMode="External"/><Relationship Id="rId20" Type="http://schemas.openxmlformats.org/officeDocument/2006/relationships/hyperlink" Target="https://www.ncbi.nlm.nih.gov/pubmed/?term=Morton%20K%5BAuthor%5D&amp;cauthor=true&amp;cauthor_uid=27667862"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www.ncbi.nlm.nih.gov/pubmed/?term=Kopp%20S%5BAuthor%5D&amp;cauthor=true&amp;cauthor_uid=27667862" TargetMode="External"/><Relationship Id="rId5" Type="http://schemas.openxmlformats.org/officeDocument/2006/relationships/footnotes" Target="footnotes.xml"/><Relationship Id="rId15" Type="http://schemas.openxmlformats.org/officeDocument/2006/relationships/hyperlink" Target="https://www.teachthought.com/learning/what-is-blooms-taxonomy-a-definition-for-teachers/" TargetMode="External"/><Relationship Id="rId23" Type="http://schemas.openxmlformats.org/officeDocument/2006/relationships/hyperlink" Target="https://www.ncbi.nlm.nih.gov/pubmed/?term=Labrake%20C%5BAuthor%5D&amp;cauthor=true&amp;cauthor_uid=27667862" TargetMode="External"/><Relationship Id="rId28" Type="http://schemas.openxmlformats.org/officeDocument/2006/relationships/hyperlink" Target="https://www.semanticscholar.org/paper/Constructive-Response-Vs.-Multiple-Choice-Tests-In-Stankous/929c788f1e4590687729a2fe351e6d586bb176fc" TargetMode="External"/><Relationship Id="rId10" Type="http://schemas.openxmlformats.org/officeDocument/2006/relationships/chart" Target="charts/chart2.xml"/><Relationship Id="rId19" Type="http://schemas.openxmlformats.org/officeDocument/2006/relationships/hyperlink" Target="https://www.ncbi.nlm.nih.gov/pubmed/?term=Riegle-Crumb%20C%5BAuthor%5D&amp;cauthor=true&amp;cauthor_uid=27667862"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chart" Target="charts/chart3.xml"/><Relationship Id="rId22" Type="http://schemas.openxmlformats.org/officeDocument/2006/relationships/hyperlink" Target="https://www.ncbi.nlm.nih.gov/pubmed/?term=Chimonidou%20A%5BAuthor%5D&amp;cauthor=true&amp;cauthor_uid=27667862" TargetMode="External"/><Relationship Id="rId27" Type="http://schemas.openxmlformats.org/officeDocument/2006/relationships/hyperlink" Target="https://www.theclassroom.com/negative-attitudes-teachers-8648637.html" TargetMode="Externa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Aim&#233;e%20Passmore\Desktop\Pre%20and%20post%20test%20scores%20exce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im&#233;e%20Passmore\Desktop\Pre%20and%20post%20test%20scores%20excel.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Pre and post-test</a:t>
            </a:r>
            <a:r>
              <a:rPr lang="en-GB" u="sng" baseline="0"/>
              <a:t> results of pupils present for all lessons</a:t>
            </a:r>
            <a:endParaRPr lang="en-GB"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Sheet1!$G$26</c:f>
              <c:strCache>
                <c:ptCount val="1"/>
                <c:pt idx="0">
                  <c:v>Pre-test</c:v>
                </c:pt>
              </c:strCache>
            </c:strRef>
          </c:tx>
          <c:spPr>
            <a:solidFill>
              <a:schemeClr val="accent1"/>
            </a:solidFill>
            <a:ln>
              <a:noFill/>
            </a:ln>
            <a:effectLst/>
          </c:spPr>
          <c:invertIfNegative val="0"/>
          <c:val>
            <c:numRef>
              <c:f>Sheet1!$G$27:$G$49</c:f>
              <c:numCache>
                <c:formatCode>General</c:formatCode>
                <c:ptCount val="23"/>
                <c:pt idx="0">
                  <c:v>3</c:v>
                </c:pt>
                <c:pt idx="1">
                  <c:v>3</c:v>
                </c:pt>
                <c:pt idx="2">
                  <c:v>3</c:v>
                </c:pt>
                <c:pt idx="3">
                  <c:v>3</c:v>
                </c:pt>
                <c:pt idx="4">
                  <c:v>2</c:v>
                </c:pt>
                <c:pt idx="5">
                  <c:v>1</c:v>
                </c:pt>
                <c:pt idx="6">
                  <c:v>1</c:v>
                </c:pt>
                <c:pt idx="7">
                  <c:v>1</c:v>
                </c:pt>
                <c:pt idx="8">
                  <c:v>2</c:v>
                </c:pt>
                <c:pt idx="9">
                  <c:v>3</c:v>
                </c:pt>
                <c:pt idx="10">
                  <c:v>3</c:v>
                </c:pt>
                <c:pt idx="11">
                  <c:v>3</c:v>
                </c:pt>
                <c:pt idx="12">
                  <c:v>4</c:v>
                </c:pt>
                <c:pt idx="13">
                  <c:v>2</c:v>
                </c:pt>
                <c:pt idx="14">
                  <c:v>0</c:v>
                </c:pt>
                <c:pt idx="15">
                  <c:v>3</c:v>
                </c:pt>
                <c:pt idx="16">
                  <c:v>3</c:v>
                </c:pt>
                <c:pt idx="17">
                  <c:v>0</c:v>
                </c:pt>
                <c:pt idx="18">
                  <c:v>0</c:v>
                </c:pt>
                <c:pt idx="19">
                  <c:v>0</c:v>
                </c:pt>
                <c:pt idx="20">
                  <c:v>2</c:v>
                </c:pt>
                <c:pt idx="21">
                  <c:v>2</c:v>
                </c:pt>
                <c:pt idx="22">
                  <c:v>3</c:v>
                </c:pt>
              </c:numCache>
            </c:numRef>
          </c:val>
          <c:extLst>
            <c:ext xmlns:c16="http://schemas.microsoft.com/office/drawing/2014/chart" uri="{C3380CC4-5D6E-409C-BE32-E72D297353CC}">
              <c16:uniqueId val="{00000000-AC98-4383-869D-7D1E677F0F9F}"/>
            </c:ext>
          </c:extLst>
        </c:ser>
        <c:ser>
          <c:idx val="1"/>
          <c:order val="1"/>
          <c:tx>
            <c:strRef>
              <c:f>Sheet1!$H$26</c:f>
              <c:strCache>
                <c:ptCount val="1"/>
                <c:pt idx="0">
                  <c:v>Post-test</c:v>
                </c:pt>
              </c:strCache>
            </c:strRef>
          </c:tx>
          <c:spPr>
            <a:solidFill>
              <a:schemeClr val="accent2"/>
            </a:solidFill>
            <a:ln>
              <a:noFill/>
            </a:ln>
            <a:effectLst/>
          </c:spPr>
          <c:invertIfNegative val="0"/>
          <c:val>
            <c:numRef>
              <c:f>Sheet1!$H$27:$H$49</c:f>
              <c:numCache>
                <c:formatCode>General</c:formatCode>
                <c:ptCount val="23"/>
                <c:pt idx="0">
                  <c:v>3</c:v>
                </c:pt>
                <c:pt idx="1">
                  <c:v>4</c:v>
                </c:pt>
                <c:pt idx="2">
                  <c:v>0</c:v>
                </c:pt>
                <c:pt idx="3">
                  <c:v>3</c:v>
                </c:pt>
                <c:pt idx="4">
                  <c:v>3</c:v>
                </c:pt>
                <c:pt idx="5">
                  <c:v>4</c:v>
                </c:pt>
                <c:pt idx="6">
                  <c:v>2</c:v>
                </c:pt>
                <c:pt idx="7">
                  <c:v>1</c:v>
                </c:pt>
                <c:pt idx="8">
                  <c:v>1</c:v>
                </c:pt>
                <c:pt idx="9">
                  <c:v>1</c:v>
                </c:pt>
                <c:pt idx="10">
                  <c:v>0</c:v>
                </c:pt>
                <c:pt idx="11">
                  <c:v>3</c:v>
                </c:pt>
                <c:pt idx="12">
                  <c:v>3</c:v>
                </c:pt>
                <c:pt idx="13">
                  <c:v>1</c:v>
                </c:pt>
                <c:pt idx="14">
                  <c:v>2</c:v>
                </c:pt>
                <c:pt idx="15">
                  <c:v>2</c:v>
                </c:pt>
                <c:pt idx="16">
                  <c:v>3</c:v>
                </c:pt>
                <c:pt idx="17">
                  <c:v>1</c:v>
                </c:pt>
                <c:pt idx="18">
                  <c:v>1</c:v>
                </c:pt>
                <c:pt idx="19">
                  <c:v>1</c:v>
                </c:pt>
                <c:pt idx="20">
                  <c:v>1</c:v>
                </c:pt>
                <c:pt idx="21">
                  <c:v>3</c:v>
                </c:pt>
                <c:pt idx="22">
                  <c:v>2</c:v>
                </c:pt>
              </c:numCache>
            </c:numRef>
          </c:val>
          <c:extLst>
            <c:ext xmlns:c16="http://schemas.microsoft.com/office/drawing/2014/chart" uri="{C3380CC4-5D6E-409C-BE32-E72D297353CC}">
              <c16:uniqueId val="{00000001-AC98-4383-869D-7D1E677F0F9F}"/>
            </c:ext>
          </c:extLst>
        </c:ser>
        <c:dLbls>
          <c:showLegendKey val="0"/>
          <c:showVal val="0"/>
          <c:showCatName val="0"/>
          <c:showSerName val="0"/>
          <c:showPercent val="0"/>
          <c:showBubbleSize val="0"/>
        </c:dLbls>
        <c:gapWidth val="219"/>
        <c:overlap val="-27"/>
        <c:axId val="229748616"/>
        <c:axId val="405109280"/>
      </c:barChart>
      <c:catAx>
        <c:axId val="2297486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Pupil</a:t>
                </a:r>
                <a:r>
                  <a:rPr lang="en-GB" baseline="0"/>
                  <a:t> Number</a:t>
                </a:r>
              </a:p>
              <a:p>
                <a:pPr>
                  <a:defRPr/>
                </a:pPr>
                <a:r>
                  <a:rPr lang="en-GB" sz="600" baseline="0"/>
                  <a:t>(no bar indicates a score of zero)</a:t>
                </a:r>
                <a:endParaRPr lang="en-GB" sz="60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5109280"/>
        <c:crosses val="autoZero"/>
        <c:auto val="1"/>
        <c:lblAlgn val="ctr"/>
        <c:lblOffset val="100"/>
        <c:noMultiLvlLbl val="0"/>
      </c:catAx>
      <c:valAx>
        <c:axId val="405109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Marks</a:t>
                </a:r>
                <a:r>
                  <a:rPr lang="en-GB" baseline="0"/>
                  <a:t> awarded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748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Graph showing change in marks awarded from pre to post-test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Sheet1!$J$26</c:f>
              <c:strCache>
                <c:ptCount val="1"/>
                <c:pt idx="0">
                  <c:v>Change in marks awarded</c:v>
                </c:pt>
              </c:strCache>
            </c:strRef>
          </c:tx>
          <c:spPr>
            <a:solidFill>
              <a:schemeClr val="accent1"/>
            </a:solidFill>
            <a:ln>
              <a:noFill/>
            </a:ln>
            <a:effectLst/>
          </c:spPr>
          <c:invertIfNegative val="0"/>
          <c:val>
            <c:numRef>
              <c:f>Sheet1!$J$27:$J$49</c:f>
              <c:numCache>
                <c:formatCode>General</c:formatCode>
                <c:ptCount val="23"/>
                <c:pt idx="0">
                  <c:v>0</c:v>
                </c:pt>
                <c:pt idx="1">
                  <c:v>1</c:v>
                </c:pt>
                <c:pt idx="2">
                  <c:v>-3</c:v>
                </c:pt>
                <c:pt idx="3">
                  <c:v>0</c:v>
                </c:pt>
                <c:pt idx="4">
                  <c:v>1</c:v>
                </c:pt>
                <c:pt idx="5">
                  <c:v>3</c:v>
                </c:pt>
                <c:pt idx="6">
                  <c:v>1</c:v>
                </c:pt>
                <c:pt idx="7">
                  <c:v>0</c:v>
                </c:pt>
                <c:pt idx="8">
                  <c:v>-1</c:v>
                </c:pt>
                <c:pt idx="9">
                  <c:v>-2</c:v>
                </c:pt>
                <c:pt idx="10">
                  <c:v>-3</c:v>
                </c:pt>
                <c:pt idx="11">
                  <c:v>0</c:v>
                </c:pt>
                <c:pt idx="12">
                  <c:v>-1</c:v>
                </c:pt>
                <c:pt idx="13">
                  <c:v>-1</c:v>
                </c:pt>
                <c:pt idx="14">
                  <c:v>2</c:v>
                </c:pt>
                <c:pt idx="15">
                  <c:v>-1</c:v>
                </c:pt>
                <c:pt idx="16">
                  <c:v>0</c:v>
                </c:pt>
                <c:pt idx="17">
                  <c:v>1</c:v>
                </c:pt>
                <c:pt idx="18">
                  <c:v>1</c:v>
                </c:pt>
                <c:pt idx="19">
                  <c:v>1</c:v>
                </c:pt>
                <c:pt idx="20">
                  <c:v>-1</c:v>
                </c:pt>
                <c:pt idx="21">
                  <c:v>1</c:v>
                </c:pt>
                <c:pt idx="22">
                  <c:v>-1</c:v>
                </c:pt>
              </c:numCache>
            </c:numRef>
          </c:val>
          <c:extLst>
            <c:ext xmlns:c16="http://schemas.microsoft.com/office/drawing/2014/chart" uri="{C3380CC4-5D6E-409C-BE32-E72D297353CC}">
              <c16:uniqueId val="{00000000-26D7-4946-826A-8383C336FF40}"/>
            </c:ext>
          </c:extLst>
        </c:ser>
        <c:dLbls>
          <c:showLegendKey val="0"/>
          <c:showVal val="0"/>
          <c:showCatName val="0"/>
          <c:showSerName val="0"/>
          <c:showPercent val="0"/>
          <c:showBubbleSize val="0"/>
        </c:dLbls>
        <c:gapWidth val="219"/>
        <c:overlap val="-27"/>
        <c:axId val="230344408"/>
        <c:axId val="457045160"/>
      </c:barChart>
      <c:catAx>
        <c:axId val="2303444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Pupil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7045160"/>
        <c:crosses val="autoZero"/>
        <c:auto val="1"/>
        <c:lblAlgn val="ctr"/>
        <c:lblOffset val="100"/>
        <c:noMultiLvlLbl val="0"/>
      </c:catAx>
      <c:valAx>
        <c:axId val="457045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a:t>
                </a:r>
                <a:r>
                  <a:rPr lang="en-GB" baseline="0"/>
                  <a:t> in mark</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03444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Pre and post-test results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c:f>
              <c:strCache>
                <c:ptCount val="1"/>
                <c:pt idx="0">
                  <c:v>Pre-test</c:v>
                </c:pt>
              </c:strCache>
            </c:strRef>
          </c:tx>
          <c:spPr>
            <a:solidFill>
              <a:schemeClr val="accent1"/>
            </a:solidFill>
            <a:ln>
              <a:noFill/>
            </a:ln>
            <a:effectLst/>
          </c:spPr>
          <c:invertIfNegative val="0"/>
          <c:val>
            <c:numRef>
              <c:f>Sheet1!$A$2:$A$29</c:f>
              <c:numCache>
                <c:formatCode>General</c:formatCode>
                <c:ptCount val="28"/>
                <c:pt idx="0">
                  <c:v>3</c:v>
                </c:pt>
                <c:pt idx="1">
                  <c:v>3</c:v>
                </c:pt>
                <c:pt idx="2">
                  <c:v>3</c:v>
                </c:pt>
                <c:pt idx="3">
                  <c:v>0</c:v>
                </c:pt>
                <c:pt idx="4">
                  <c:v>3</c:v>
                </c:pt>
                <c:pt idx="5">
                  <c:v>2</c:v>
                </c:pt>
                <c:pt idx="6">
                  <c:v>1</c:v>
                </c:pt>
                <c:pt idx="7">
                  <c:v>1</c:v>
                </c:pt>
                <c:pt idx="8">
                  <c:v>1</c:v>
                </c:pt>
                <c:pt idx="9">
                  <c:v>2</c:v>
                </c:pt>
                <c:pt idx="10">
                  <c:v>3</c:v>
                </c:pt>
                <c:pt idx="11">
                  <c:v>3</c:v>
                </c:pt>
                <c:pt idx="12">
                  <c:v>2</c:v>
                </c:pt>
                <c:pt idx="13">
                  <c:v>2</c:v>
                </c:pt>
                <c:pt idx="14">
                  <c:v>3</c:v>
                </c:pt>
                <c:pt idx="15">
                  <c:v>4</c:v>
                </c:pt>
                <c:pt idx="16">
                  <c:v>2</c:v>
                </c:pt>
                <c:pt idx="17">
                  <c:v>0</c:v>
                </c:pt>
                <c:pt idx="18">
                  <c:v>2</c:v>
                </c:pt>
                <c:pt idx="19">
                  <c:v>3</c:v>
                </c:pt>
                <c:pt idx="20">
                  <c:v>3</c:v>
                </c:pt>
                <c:pt idx="21">
                  <c:v>0</c:v>
                </c:pt>
                <c:pt idx="22">
                  <c:v>0</c:v>
                </c:pt>
                <c:pt idx="23">
                  <c:v>0</c:v>
                </c:pt>
                <c:pt idx="24">
                  <c:v>1</c:v>
                </c:pt>
                <c:pt idx="25">
                  <c:v>2</c:v>
                </c:pt>
                <c:pt idx="26">
                  <c:v>2</c:v>
                </c:pt>
                <c:pt idx="27">
                  <c:v>3</c:v>
                </c:pt>
              </c:numCache>
            </c:numRef>
          </c:val>
          <c:extLst>
            <c:ext xmlns:c16="http://schemas.microsoft.com/office/drawing/2014/chart" uri="{C3380CC4-5D6E-409C-BE32-E72D297353CC}">
              <c16:uniqueId val="{00000000-6ED8-4D2E-836A-6BB15755960E}"/>
            </c:ext>
          </c:extLst>
        </c:ser>
        <c:ser>
          <c:idx val="1"/>
          <c:order val="1"/>
          <c:tx>
            <c:strRef>
              <c:f>Sheet1!$B$1</c:f>
              <c:strCache>
                <c:ptCount val="1"/>
                <c:pt idx="0">
                  <c:v>Post-test</c:v>
                </c:pt>
              </c:strCache>
            </c:strRef>
          </c:tx>
          <c:spPr>
            <a:solidFill>
              <a:schemeClr val="accent2"/>
            </a:solidFill>
            <a:ln>
              <a:noFill/>
            </a:ln>
            <a:effectLst/>
          </c:spPr>
          <c:invertIfNegative val="0"/>
          <c:val>
            <c:numRef>
              <c:f>Sheet1!$B$2:$B$29</c:f>
              <c:numCache>
                <c:formatCode>General</c:formatCode>
                <c:ptCount val="28"/>
                <c:pt idx="0">
                  <c:v>3</c:v>
                </c:pt>
                <c:pt idx="1">
                  <c:v>4</c:v>
                </c:pt>
                <c:pt idx="2">
                  <c:v>0</c:v>
                </c:pt>
                <c:pt idx="4">
                  <c:v>3</c:v>
                </c:pt>
                <c:pt idx="5">
                  <c:v>3</c:v>
                </c:pt>
                <c:pt idx="6">
                  <c:v>4</c:v>
                </c:pt>
                <c:pt idx="7">
                  <c:v>2</c:v>
                </c:pt>
                <c:pt idx="8">
                  <c:v>1</c:v>
                </c:pt>
                <c:pt idx="9">
                  <c:v>1</c:v>
                </c:pt>
                <c:pt idx="10">
                  <c:v>1</c:v>
                </c:pt>
                <c:pt idx="11">
                  <c:v>0</c:v>
                </c:pt>
                <c:pt idx="14">
                  <c:v>3</c:v>
                </c:pt>
                <c:pt idx="15">
                  <c:v>3</c:v>
                </c:pt>
                <c:pt idx="16">
                  <c:v>1</c:v>
                </c:pt>
                <c:pt idx="17">
                  <c:v>2</c:v>
                </c:pt>
                <c:pt idx="19">
                  <c:v>2</c:v>
                </c:pt>
                <c:pt idx="20">
                  <c:v>3</c:v>
                </c:pt>
                <c:pt idx="21">
                  <c:v>1</c:v>
                </c:pt>
                <c:pt idx="22">
                  <c:v>1</c:v>
                </c:pt>
                <c:pt idx="23">
                  <c:v>1</c:v>
                </c:pt>
                <c:pt idx="25">
                  <c:v>1</c:v>
                </c:pt>
                <c:pt idx="26">
                  <c:v>3</c:v>
                </c:pt>
                <c:pt idx="27">
                  <c:v>2</c:v>
                </c:pt>
              </c:numCache>
            </c:numRef>
          </c:val>
          <c:extLst>
            <c:ext xmlns:c16="http://schemas.microsoft.com/office/drawing/2014/chart" uri="{C3380CC4-5D6E-409C-BE32-E72D297353CC}">
              <c16:uniqueId val="{00000001-6ED8-4D2E-836A-6BB15755960E}"/>
            </c:ext>
          </c:extLst>
        </c:ser>
        <c:dLbls>
          <c:showLegendKey val="0"/>
          <c:showVal val="0"/>
          <c:showCatName val="0"/>
          <c:showSerName val="0"/>
          <c:showPercent val="0"/>
          <c:showBubbleSize val="0"/>
        </c:dLbls>
        <c:gapWidth val="219"/>
        <c:overlap val="-27"/>
        <c:axId val="565347224"/>
        <c:axId val="565346896"/>
      </c:barChart>
      <c:catAx>
        <c:axId val="5653472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Pupil number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346896"/>
        <c:crosses val="autoZero"/>
        <c:auto val="1"/>
        <c:lblAlgn val="ctr"/>
        <c:lblOffset val="100"/>
        <c:noMultiLvlLbl val="0"/>
      </c:catAx>
      <c:valAx>
        <c:axId val="565346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Marks</a:t>
                </a:r>
                <a:r>
                  <a:rPr lang="en-GB" baseline="0"/>
                  <a:t> awarded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347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17</Pages>
  <Words>8044</Words>
  <Characters>45853</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53790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Aimee Passmore (1804231)</cp:lastModifiedBy>
  <cp:revision>2</cp:revision>
  <cp:lastPrinted>2018-11-05T16:52:00Z</cp:lastPrinted>
  <dcterms:created xsi:type="dcterms:W3CDTF">2019-07-05T12:38:00Z</dcterms:created>
  <dcterms:modified xsi:type="dcterms:W3CDTF">2019-07-05T12:38:00Z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