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8"/>
          <w:szCs w:val="28"/>
        </w:rPr>
        <w:id w:val="-643435071"/>
        <w:docPartObj>
          <w:docPartGallery w:val="Cover Pages"/>
          <w:docPartUnique/>
        </w:docPartObj>
      </w:sdtPr>
      <w:sdtEndPr/>
      <w:sdtContent>
        <w:p w14:paraId="69283B48" w14:textId="52578B61" w:rsidR="009558E3" w:rsidRPr="009558E3" w:rsidRDefault="008F64CB" w:rsidP="003346ED">
          <w:pPr>
            <w:jc w:val="center"/>
            <w:rPr>
              <w:sz w:val="28"/>
              <w:szCs w:val="28"/>
            </w:rPr>
          </w:pPr>
          <w:r>
            <w:rPr>
              <w:noProof/>
              <w:sz w:val="28"/>
              <w:szCs w:val="28"/>
            </w:rPr>
            <w:drawing>
              <wp:anchor distT="0" distB="0" distL="114300" distR="114300" simplePos="0" relativeHeight="251659264" behindDoc="0" locked="0" layoutInCell="1" allowOverlap="1" wp14:anchorId="038AF869" wp14:editId="01DB4F3D">
                <wp:simplePos x="0" y="0"/>
                <wp:positionH relativeFrom="column">
                  <wp:posOffset>1957070</wp:posOffset>
                </wp:positionH>
                <wp:positionV relativeFrom="paragraph">
                  <wp:posOffset>0</wp:posOffset>
                </wp:positionV>
                <wp:extent cx="2192020" cy="772795"/>
                <wp:effectExtent l="0" t="0" r="0" b="8255"/>
                <wp:wrapTopAndBottom/>
                <wp:docPr id="1719672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7220" name="Picture 171967220"/>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92020" cy="772795"/>
                        </a:xfrm>
                        <a:prstGeom prst="rect">
                          <a:avLst/>
                        </a:prstGeom>
                      </pic:spPr>
                    </pic:pic>
                  </a:graphicData>
                </a:graphic>
                <wp14:sizeRelH relativeFrom="margin">
                  <wp14:pctWidth>0</wp14:pctWidth>
                </wp14:sizeRelH>
                <wp14:sizeRelV relativeFrom="margin">
                  <wp14:pctHeight>0</wp14:pctHeight>
                </wp14:sizeRelV>
              </wp:anchor>
            </w:drawing>
          </w:r>
        </w:p>
        <w:p w14:paraId="3DDB5D36" w14:textId="3219C416" w:rsidR="009558E3" w:rsidRPr="009558E3" w:rsidRDefault="009558E3" w:rsidP="003346ED">
          <w:pPr>
            <w:jc w:val="center"/>
            <w:rPr>
              <w:sz w:val="28"/>
              <w:szCs w:val="28"/>
            </w:rPr>
          </w:pPr>
          <w:r w:rsidRPr="009558E3">
            <w:rPr>
              <w:sz w:val="28"/>
              <w:szCs w:val="28"/>
            </w:rPr>
            <w:t>UNIVERSITY OF WALES TRINITY SAINT DAVID (UWTSD)</w:t>
          </w:r>
          <w:r w:rsidRPr="009558E3">
            <w:rPr>
              <w:sz w:val="28"/>
              <w:szCs w:val="28"/>
            </w:rPr>
            <w:br/>
            <w:t>LONDON CAMPUS</w:t>
          </w:r>
        </w:p>
        <w:p w14:paraId="2393C699" w14:textId="1AA20A11" w:rsidR="009558E3" w:rsidRPr="009558E3" w:rsidRDefault="009558E3" w:rsidP="003346ED">
          <w:pPr>
            <w:jc w:val="center"/>
            <w:rPr>
              <w:sz w:val="28"/>
              <w:szCs w:val="28"/>
            </w:rPr>
          </w:pPr>
        </w:p>
        <w:p w14:paraId="77369739" w14:textId="77777777" w:rsidR="009558E3" w:rsidRPr="009558E3" w:rsidRDefault="009558E3" w:rsidP="003346ED">
          <w:pPr>
            <w:jc w:val="center"/>
            <w:rPr>
              <w:sz w:val="28"/>
              <w:szCs w:val="28"/>
            </w:rPr>
          </w:pPr>
          <w:r w:rsidRPr="009558E3">
            <w:rPr>
              <w:sz w:val="28"/>
              <w:szCs w:val="28"/>
            </w:rPr>
            <w:t>Module Title:</w:t>
          </w:r>
        </w:p>
        <w:p w14:paraId="04545607" w14:textId="77777777" w:rsidR="009558E3" w:rsidRPr="009558E3" w:rsidRDefault="009558E3" w:rsidP="003346ED">
          <w:pPr>
            <w:jc w:val="center"/>
            <w:rPr>
              <w:sz w:val="28"/>
              <w:szCs w:val="28"/>
            </w:rPr>
          </w:pPr>
          <w:r w:rsidRPr="009558E3">
            <w:rPr>
              <w:sz w:val="28"/>
              <w:szCs w:val="28"/>
            </w:rPr>
            <w:t>LCMB7002 – Financial Management</w:t>
          </w:r>
        </w:p>
        <w:p w14:paraId="327508CF" w14:textId="77777777" w:rsidR="009558E3" w:rsidRPr="009558E3" w:rsidRDefault="009558E3" w:rsidP="003346ED">
          <w:pPr>
            <w:jc w:val="center"/>
            <w:rPr>
              <w:sz w:val="28"/>
              <w:szCs w:val="28"/>
            </w:rPr>
          </w:pPr>
          <w:r w:rsidRPr="009558E3">
            <w:rPr>
              <w:sz w:val="28"/>
              <w:szCs w:val="28"/>
            </w:rPr>
            <w:t>Assessment Title:</w:t>
          </w:r>
        </w:p>
        <w:p w14:paraId="4EDFC4DD" w14:textId="77777777" w:rsidR="009558E3" w:rsidRPr="009558E3" w:rsidRDefault="009558E3" w:rsidP="003346ED">
          <w:pPr>
            <w:jc w:val="center"/>
            <w:rPr>
              <w:sz w:val="28"/>
              <w:szCs w:val="28"/>
            </w:rPr>
          </w:pPr>
          <w:r w:rsidRPr="009558E3">
            <w:rPr>
              <w:sz w:val="28"/>
              <w:szCs w:val="28"/>
            </w:rPr>
            <w:t>Financial Performance Evaluation, Working Capital Analysis, Strategic Restructuring Plan and Investment Appraisal for General Electronics</w:t>
          </w:r>
        </w:p>
        <w:p w14:paraId="7990400D" w14:textId="5236E16B" w:rsidR="009558E3" w:rsidRPr="009558E3" w:rsidRDefault="009558E3" w:rsidP="003346ED">
          <w:pPr>
            <w:jc w:val="center"/>
            <w:rPr>
              <w:sz w:val="28"/>
              <w:szCs w:val="28"/>
            </w:rPr>
          </w:pPr>
          <w:r w:rsidRPr="009558E3">
            <w:rPr>
              <w:sz w:val="28"/>
              <w:szCs w:val="28"/>
            </w:rPr>
            <w:t>Student Name:</w:t>
          </w:r>
          <w:r w:rsidR="00FA4C15">
            <w:rPr>
              <w:sz w:val="28"/>
              <w:szCs w:val="28"/>
            </w:rPr>
            <w:t xml:space="preserve"> Roshan </w:t>
          </w:r>
          <w:proofErr w:type="spellStart"/>
          <w:r w:rsidR="00FA4C15">
            <w:rPr>
              <w:sz w:val="28"/>
              <w:szCs w:val="28"/>
            </w:rPr>
            <w:t>Lal</w:t>
          </w:r>
          <w:proofErr w:type="spellEnd"/>
        </w:p>
        <w:p w14:paraId="59A4D8EA" w14:textId="66C2403D" w:rsidR="009558E3" w:rsidRPr="009558E3" w:rsidRDefault="009558E3" w:rsidP="003346ED">
          <w:pPr>
            <w:jc w:val="center"/>
            <w:rPr>
              <w:sz w:val="28"/>
              <w:szCs w:val="28"/>
            </w:rPr>
          </w:pPr>
          <w:r w:rsidRPr="009558E3">
            <w:rPr>
              <w:sz w:val="28"/>
              <w:szCs w:val="28"/>
            </w:rPr>
            <w:t>Student Number:</w:t>
          </w:r>
          <w:r w:rsidR="00FA4C15">
            <w:rPr>
              <w:sz w:val="28"/>
              <w:szCs w:val="28"/>
            </w:rPr>
            <w:t xml:space="preserve"> </w:t>
          </w:r>
          <w:r w:rsidR="003E51EA">
            <w:rPr>
              <w:sz w:val="28"/>
              <w:szCs w:val="28"/>
            </w:rPr>
            <w:t>24</w:t>
          </w:r>
          <w:r w:rsidR="00B854BC">
            <w:rPr>
              <w:sz w:val="28"/>
              <w:szCs w:val="28"/>
            </w:rPr>
            <w:t>30265</w:t>
          </w:r>
        </w:p>
        <w:p w14:paraId="57E8FCF9" w14:textId="77777777" w:rsidR="009558E3" w:rsidRPr="009558E3" w:rsidRDefault="009558E3" w:rsidP="003346ED">
          <w:pPr>
            <w:jc w:val="center"/>
            <w:rPr>
              <w:sz w:val="28"/>
              <w:szCs w:val="28"/>
            </w:rPr>
          </w:pPr>
          <w:proofErr w:type="spellStart"/>
          <w:r w:rsidRPr="009558E3">
            <w:rPr>
              <w:sz w:val="28"/>
              <w:szCs w:val="28"/>
            </w:rPr>
            <w:t>Programme</w:t>
          </w:r>
          <w:proofErr w:type="spellEnd"/>
          <w:r w:rsidRPr="009558E3">
            <w:rPr>
              <w:sz w:val="28"/>
              <w:szCs w:val="28"/>
            </w:rPr>
            <w:t>:</w:t>
          </w:r>
        </w:p>
        <w:p w14:paraId="203DD3BF" w14:textId="77777777" w:rsidR="009558E3" w:rsidRPr="009558E3" w:rsidRDefault="009558E3" w:rsidP="003346ED">
          <w:pPr>
            <w:jc w:val="center"/>
            <w:rPr>
              <w:sz w:val="28"/>
              <w:szCs w:val="28"/>
            </w:rPr>
          </w:pPr>
          <w:r w:rsidRPr="009558E3">
            <w:rPr>
              <w:sz w:val="28"/>
              <w:szCs w:val="28"/>
            </w:rPr>
            <w:t>MBA – Master of Business Administration</w:t>
          </w:r>
        </w:p>
        <w:p w14:paraId="7EF10074" w14:textId="39557BFE" w:rsidR="009558E3" w:rsidRPr="009558E3" w:rsidRDefault="009558E3" w:rsidP="003346ED">
          <w:pPr>
            <w:jc w:val="center"/>
            <w:rPr>
              <w:sz w:val="28"/>
              <w:szCs w:val="28"/>
            </w:rPr>
          </w:pPr>
          <w:r w:rsidRPr="009558E3">
            <w:rPr>
              <w:sz w:val="28"/>
              <w:szCs w:val="28"/>
            </w:rPr>
            <w:t>Tutor:</w:t>
          </w:r>
          <w:r w:rsidR="00B854BC">
            <w:rPr>
              <w:sz w:val="28"/>
              <w:szCs w:val="28"/>
            </w:rPr>
            <w:t xml:space="preserve"> </w:t>
          </w:r>
          <w:r w:rsidR="001609F2">
            <w:rPr>
              <w:sz w:val="28"/>
              <w:szCs w:val="28"/>
            </w:rPr>
            <w:t xml:space="preserve">Isaiah </w:t>
          </w:r>
          <w:proofErr w:type="spellStart"/>
          <w:r w:rsidR="001609F2">
            <w:rPr>
              <w:sz w:val="28"/>
              <w:szCs w:val="28"/>
            </w:rPr>
            <w:t>Oino</w:t>
          </w:r>
          <w:proofErr w:type="spellEnd"/>
        </w:p>
        <w:p w14:paraId="278D81E7" w14:textId="4B7D1683" w:rsidR="009558E3" w:rsidRPr="009558E3" w:rsidRDefault="009558E3" w:rsidP="009558E3">
          <w:pPr>
            <w:jc w:val="both"/>
            <w:rPr>
              <w:sz w:val="28"/>
              <w:szCs w:val="28"/>
            </w:rPr>
          </w:pPr>
          <w:r w:rsidRPr="009558E3">
            <w:rPr>
              <w:sz w:val="28"/>
              <w:szCs w:val="28"/>
            </w:rPr>
            <w:br w:type="page"/>
          </w:r>
        </w:p>
      </w:sdtContent>
    </w:sdt>
    <w:p w14:paraId="0270A22D" w14:textId="20FD114D" w:rsidR="006B51A1" w:rsidRPr="006B51A1" w:rsidRDefault="006B51A1" w:rsidP="009558E3">
      <w:pPr>
        <w:jc w:val="both"/>
        <w:rPr>
          <w:sz w:val="28"/>
          <w:szCs w:val="28"/>
        </w:rPr>
      </w:pPr>
      <w:r w:rsidRPr="006B51A1">
        <w:rPr>
          <w:sz w:val="28"/>
          <w:szCs w:val="28"/>
        </w:rPr>
        <w:lastRenderedPageBreak/>
        <w:t>EXECUTIVE SUMMARY</w:t>
      </w:r>
    </w:p>
    <w:p w14:paraId="360A47C7" w14:textId="77777777" w:rsidR="006B51A1" w:rsidRPr="006B51A1" w:rsidRDefault="006B51A1" w:rsidP="009558E3">
      <w:pPr>
        <w:jc w:val="both"/>
        <w:rPr>
          <w:sz w:val="28"/>
          <w:szCs w:val="28"/>
        </w:rPr>
      </w:pPr>
      <w:r w:rsidRPr="006B51A1">
        <w:rPr>
          <w:sz w:val="28"/>
          <w:szCs w:val="28"/>
        </w:rPr>
        <w:t xml:space="preserve">General Electronics (GE) has experienced a significant financial deterioration between 2022 and 2024. Revenues declined sharply from £542,751m in 2022 to £394,879m in 2024, reducing scale economies and intensifying operating deleverage. Despite stable 28–29% gross margins, EBIT collapsed into severe losses (–£85,301m in 2023; –£15,297m in 2024), eroding retained earnings and weakening solvency. Liquidity remains fragile: while the current ratio is 1.53 and operating </w:t>
      </w:r>
      <w:proofErr w:type="spellStart"/>
      <w:r w:rsidRPr="006B51A1">
        <w:rPr>
          <w:sz w:val="28"/>
          <w:szCs w:val="28"/>
        </w:rPr>
        <w:t>cashflow</w:t>
      </w:r>
      <w:proofErr w:type="spellEnd"/>
      <w:r w:rsidRPr="006B51A1">
        <w:rPr>
          <w:sz w:val="28"/>
          <w:szCs w:val="28"/>
        </w:rPr>
        <w:t xml:space="preserve"> is positive (£14.8bn in 2024), this stability is largely driven by working-capital timing rather than underlying profitability. GE’s Cash Conversion Cycle of ~130 days significantly exceeds the sector benchmark, </w:t>
      </w:r>
      <w:proofErr w:type="spellStart"/>
      <w:r w:rsidRPr="006B51A1">
        <w:rPr>
          <w:sz w:val="28"/>
          <w:szCs w:val="28"/>
        </w:rPr>
        <w:t>signalling</w:t>
      </w:r>
      <w:proofErr w:type="spellEnd"/>
      <w:r w:rsidRPr="006B51A1">
        <w:rPr>
          <w:sz w:val="28"/>
          <w:szCs w:val="28"/>
        </w:rPr>
        <w:t xml:space="preserve"> inefficient receivables, inventory and payables management. Rising leverage and negative interest coverage intensified financial risk, pushing the Altman Z-Score into the grey/distress zone (2.24–2.82).</w:t>
      </w:r>
    </w:p>
    <w:p w14:paraId="4370764F" w14:textId="77777777" w:rsidR="006B51A1" w:rsidRPr="006B51A1" w:rsidRDefault="006B51A1" w:rsidP="009558E3">
      <w:pPr>
        <w:jc w:val="both"/>
        <w:rPr>
          <w:sz w:val="28"/>
          <w:szCs w:val="28"/>
        </w:rPr>
      </w:pPr>
      <w:r w:rsidRPr="006B51A1">
        <w:rPr>
          <w:sz w:val="28"/>
          <w:szCs w:val="28"/>
        </w:rPr>
        <w:t xml:space="preserve">A comprehensive restructuring plan is required to </w:t>
      </w:r>
      <w:proofErr w:type="spellStart"/>
      <w:r w:rsidRPr="006B51A1">
        <w:rPr>
          <w:sz w:val="28"/>
          <w:szCs w:val="28"/>
        </w:rPr>
        <w:t>stabilise</w:t>
      </w:r>
      <w:proofErr w:type="spellEnd"/>
      <w:r w:rsidRPr="006B51A1">
        <w:rPr>
          <w:sz w:val="28"/>
          <w:szCs w:val="28"/>
        </w:rPr>
        <w:t xml:space="preserve"> the business. Recommended actions include zero-based budgeting, cost </w:t>
      </w:r>
      <w:proofErr w:type="spellStart"/>
      <w:r w:rsidRPr="006B51A1">
        <w:rPr>
          <w:sz w:val="28"/>
          <w:szCs w:val="28"/>
        </w:rPr>
        <w:t>variableisation</w:t>
      </w:r>
      <w:proofErr w:type="spellEnd"/>
      <w:r w:rsidRPr="006B51A1">
        <w:rPr>
          <w:sz w:val="28"/>
          <w:szCs w:val="28"/>
        </w:rPr>
        <w:t xml:space="preserve">, SKU </w:t>
      </w:r>
      <w:proofErr w:type="spellStart"/>
      <w:r w:rsidRPr="006B51A1">
        <w:rPr>
          <w:sz w:val="28"/>
          <w:szCs w:val="28"/>
        </w:rPr>
        <w:t>rationalisation</w:t>
      </w:r>
      <w:proofErr w:type="spellEnd"/>
      <w:r w:rsidRPr="006B51A1">
        <w:rPr>
          <w:sz w:val="28"/>
          <w:szCs w:val="28"/>
        </w:rPr>
        <w:t xml:space="preserve">, selective automation investments, debt terming-out, covenant renegotiation, divestiture of non-core assets, and ethical strengthening of supplier relationships. Working-capital </w:t>
      </w:r>
      <w:proofErr w:type="spellStart"/>
      <w:r w:rsidRPr="006B51A1">
        <w:rPr>
          <w:sz w:val="28"/>
          <w:szCs w:val="28"/>
        </w:rPr>
        <w:t>optimisation</w:t>
      </w:r>
      <w:proofErr w:type="spellEnd"/>
      <w:r w:rsidRPr="006B51A1">
        <w:rPr>
          <w:sz w:val="28"/>
          <w:szCs w:val="28"/>
        </w:rPr>
        <w:t xml:space="preserve">—through DSO reduction, inventory </w:t>
      </w:r>
      <w:proofErr w:type="spellStart"/>
      <w:r w:rsidRPr="006B51A1">
        <w:rPr>
          <w:sz w:val="28"/>
          <w:szCs w:val="28"/>
        </w:rPr>
        <w:t>rationalisation</w:t>
      </w:r>
      <w:proofErr w:type="spellEnd"/>
      <w:r w:rsidRPr="006B51A1">
        <w:rPr>
          <w:sz w:val="28"/>
          <w:szCs w:val="28"/>
        </w:rPr>
        <w:t xml:space="preserve"> and responsible payables management—can immediately release liquidity and materially improve the Z-Score.</w:t>
      </w:r>
    </w:p>
    <w:p w14:paraId="4C779D73" w14:textId="77777777" w:rsidR="006B51A1" w:rsidRPr="006B51A1" w:rsidRDefault="006B51A1" w:rsidP="009558E3">
      <w:pPr>
        <w:jc w:val="both"/>
        <w:rPr>
          <w:sz w:val="28"/>
          <w:szCs w:val="28"/>
        </w:rPr>
      </w:pPr>
      <w:r w:rsidRPr="006B51A1">
        <w:rPr>
          <w:sz w:val="28"/>
          <w:szCs w:val="28"/>
        </w:rPr>
        <w:t xml:space="preserve">The investment appraisal demonstrates that Project C offers the greatest long-term value (NPV £4.23m; PI 1.09; IRR ~14%), although its back-loaded </w:t>
      </w:r>
      <w:proofErr w:type="spellStart"/>
      <w:r w:rsidRPr="006B51A1">
        <w:rPr>
          <w:sz w:val="28"/>
          <w:szCs w:val="28"/>
        </w:rPr>
        <w:t>cashflows</w:t>
      </w:r>
      <w:proofErr w:type="spellEnd"/>
      <w:r w:rsidRPr="006B51A1">
        <w:rPr>
          <w:sz w:val="28"/>
          <w:szCs w:val="28"/>
        </w:rPr>
        <w:t xml:space="preserve"> require concurrent liquidity improvements. Project A provides a viable fallback if short-term constraints prevent pursuing Project C. Project B should be rejected due to value destruction.</w:t>
      </w:r>
    </w:p>
    <w:p w14:paraId="23E01C12" w14:textId="77777777" w:rsidR="006B51A1" w:rsidRPr="006B51A1" w:rsidRDefault="006B51A1" w:rsidP="009558E3">
      <w:pPr>
        <w:jc w:val="both"/>
        <w:rPr>
          <w:sz w:val="28"/>
          <w:szCs w:val="28"/>
        </w:rPr>
      </w:pPr>
      <w:r w:rsidRPr="006B51A1">
        <w:rPr>
          <w:sz w:val="28"/>
          <w:szCs w:val="28"/>
        </w:rPr>
        <w:t>With disciplined implementation of the restructuring and capital-budgeting strategy, GE can restore positive EBIT, enhance solvency, improve its Z-Score above the distress threshold, and re-establish financial resilience.</w:t>
      </w:r>
    </w:p>
    <w:p w14:paraId="3455D168" w14:textId="77777777" w:rsidR="006B51A1" w:rsidRPr="009558E3" w:rsidRDefault="006B51A1" w:rsidP="009558E3">
      <w:pPr>
        <w:jc w:val="both"/>
        <w:rPr>
          <w:sz w:val="28"/>
          <w:szCs w:val="28"/>
        </w:rPr>
      </w:pPr>
    </w:p>
    <w:p w14:paraId="5CC0C338" w14:textId="14A90C9E" w:rsidR="00A82AFA" w:rsidRPr="00A82AFA" w:rsidRDefault="00A82AFA" w:rsidP="009558E3">
      <w:pPr>
        <w:jc w:val="both"/>
        <w:rPr>
          <w:sz w:val="28"/>
          <w:szCs w:val="28"/>
        </w:rPr>
      </w:pPr>
      <w:r w:rsidRPr="00A82AFA">
        <w:rPr>
          <w:sz w:val="28"/>
          <w:szCs w:val="28"/>
        </w:rPr>
        <w:t xml:space="preserve">INTRODUCTION </w:t>
      </w:r>
    </w:p>
    <w:p w14:paraId="6A0E11BC" w14:textId="77777777" w:rsidR="00A82AFA" w:rsidRPr="00A82AFA" w:rsidRDefault="00A82AFA" w:rsidP="009558E3">
      <w:pPr>
        <w:jc w:val="both"/>
        <w:rPr>
          <w:sz w:val="28"/>
          <w:szCs w:val="28"/>
        </w:rPr>
      </w:pPr>
      <w:r w:rsidRPr="00A82AFA">
        <w:rPr>
          <w:sz w:val="28"/>
          <w:szCs w:val="28"/>
        </w:rPr>
        <w:lastRenderedPageBreak/>
        <w:t xml:space="preserve">General Electronics (GE) operates in a global consumer electronics sector </w:t>
      </w:r>
      <w:proofErr w:type="spellStart"/>
      <w:r w:rsidRPr="00A82AFA">
        <w:rPr>
          <w:sz w:val="28"/>
          <w:szCs w:val="28"/>
        </w:rPr>
        <w:t>characterised</w:t>
      </w:r>
      <w:proofErr w:type="spellEnd"/>
      <w:r w:rsidRPr="00A82AFA">
        <w:rPr>
          <w:sz w:val="28"/>
          <w:szCs w:val="28"/>
        </w:rPr>
        <w:t xml:space="preserve"> by intense price competition, rapid technological obsolescence, and cyclical demand volatility. Empirical studies show that electronics firms experience persistent margin pressure due to short product life cycles, high R&amp;D intensity, and supply-chain vulnerability (Linz et al., 2020). GE’s financial decline between 2020 and 2024—marked by falling sales, negative operating income, tightening liquidity, and rising leverage—mirrors industry-wide shocks amplified by pandemic-era disruptions, semiconductor shortages, and inflationary input costs (OECD, 2023). These structural pressures have weakened GE’s resilience, with deteriorating profitability and working-capital inefficiencies </w:t>
      </w:r>
      <w:proofErr w:type="spellStart"/>
      <w:r w:rsidRPr="00A82AFA">
        <w:rPr>
          <w:sz w:val="28"/>
          <w:szCs w:val="28"/>
        </w:rPr>
        <w:t>signalling</w:t>
      </w:r>
      <w:proofErr w:type="spellEnd"/>
      <w:r w:rsidRPr="00A82AFA">
        <w:rPr>
          <w:sz w:val="28"/>
          <w:szCs w:val="28"/>
        </w:rPr>
        <w:t xml:space="preserve"> emerging financial distress.</w:t>
      </w:r>
    </w:p>
    <w:p w14:paraId="38CB43B2" w14:textId="77777777" w:rsidR="00A82AFA" w:rsidRPr="00A82AFA" w:rsidRDefault="00A82AFA" w:rsidP="009558E3">
      <w:pPr>
        <w:jc w:val="both"/>
        <w:rPr>
          <w:sz w:val="28"/>
          <w:szCs w:val="28"/>
        </w:rPr>
      </w:pPr>
      <w:r w:rsidRPr="00A82AFA">
        <w:rPr>
          <w:sz w:val="28"/>
          <w:szCs w:val="28"/>
        </w:rPr>
        <w:t>The purpose of this report is to conduct a rigorous five-year financial performance assessment using established analytical frameworks. Financial ratio analysis, grounded in Penman’s (2020) approach, enables systematic interpretation of profitability, liquidity, efficiency, and solvency indicators by linking accounting outputs to economic fundamentals. To evaluate default risk, the report applies Altman’s Z-Score model (Altman, 1968; revised 2000), which combines earnings quality, leverage, liquidity, and market-value proxies to predict bankruptcy probability—an essential consideration given GE’s declining EBIT, negative net income, and erosion of equity.</w:t>
      </w:r>
    </w:p>
    <w:p w14:paraId="68F0DACE" w14:textId="77777777" w:rsidR="00A82AFA" w:rsidRPr="00A82AFA" w:rsidRDefault="00A82AFA" w:rsidP="009558E3">
      <w:pPr>
        <w:jc w:val="both"/>
        <w:rPr>
          <w:sz w:val="28"/>
          <w:szCs w:val="28"/>
        </w:rPr>
      </w:pPr>
      <w:r w:rsidRPr="00A82AFA">
        <w:rPr>
          <w:sz w:val="28"/>
          <w:szCs w:val="28"/>
        </w:rPr>
        <w:t xml:space="preserve">Working-capital analysis is guided by </w:t>
      </w:r>
      <w:proofErr w:type="spellStart"/>
      <w:r w:rsidRPr="00A82AFA">
        <w:rPr>
          <w:sz w:val="28"/>
          <w:szCs w:val="28"/>
        </w:rPr>
        <w:t>Deloof’s</w:t>
      </w:r>
      <w:proofErr w:type="spellEnd"/>
      <w:r w:rsidRPr="00A82AFA">
        <w:rPr>
          <w:sz w:val="28"/>
          <w:szCs w:val="28"/>
        </w:rPr>
        <w:t xml:space="preserve"> (2003) empirical findings that excessive receivables, high inventory days, and slow payables turnover significantly reduce profitability. GE’s rising cash conversion cycle, as shown in its financial statements, directly aligns with this evidence and underscores the need for tighter credit management, demand-driven inventory planning, and disciplined procurement practices.</w:t>
      </w:r>
    </w:p>
    <w:p w14:paraId="7B06F430" w14:textId="77777777" w:rsidR="00A82AFA" w:rsidRPr="00A82AFA" w:rsidRDefault="00A82AFA" w:rsidP="009558E3">
      <w:pPr>
        <w:jc w:val="both"/>
        <w:rPr>
          <w:sz w:val="28"/>
          <w:szCs w:val="28"/>
        </w:rPr>
      </w:pPr>
      <w:r w:rsidRPr="00A82AFA">
        <w:rPr>
          <w:sz w:val="28"/>
          <w:szCs w:val="28"/>
        </w:rPr>
        <w:t xml:space="preserve">To </w:t>
      </w:r>
      <w:proofErr w:type="spellStart"/>
      <w:r w:rsidRPr="00A82AFA">
        <w:rPr>
          <w:sz w:val="28"/>
          <w:szCs w:val="28"/>
        </w:rPr>
        <w:t>stabilise</w:t>
      </w:r>
      <w:proofErr w:type="spellEnd"/>
      <w:r w:rsidRPr="00A82AFA">
        <w:rPr>
          <w:sz w:val="28"/>
          <w:szCs w:val="28"/>
        </w:rPr>
        <w:t xml:space="preserve"> the firm, the report draws on corporate restructuring theory, which </w:t>
      </w:r>
      <w:proofErr w:type="spellStart"/>
      <w:r w:rsidRPr="00A82AFA">
        <w:rPr>
          <w:sz w:val="28"/>
          <w:szCs w:val="28"/>
        </w:rPr>
        <w:t>emphasises</w:t>
      </w:r>
      <w:proofErr w:type="spellEnd"/>
      <w:r w:rsidRPr="00A82AFA">
        <w:rPr>
          <w:sz w:val="28"/>
          <w:szCs w:val="28"/>
        </w:rPr>
        <w:t xml:space="preserve"> operational realignment, capital-structure </w:t>
      </w:r>
      <w:proofErr w:type="spellStart"/>
      <w:r w:rsidRPr="00A82AFA">
        <w:rPr>
          <w:sz w:val="28"/>
          <w:szCs w:val="28"/>
        </w:rPr>
        <w:t>optimisation</w:t>
      </w:r>
      <w:proofErr w:type="spellEnd"/>
      <w:r w:rsidRPr="00A82AFA">
        <w:rPr>
          <w:sz w:val="28"/>
          <w:szCs w:val="28"/>
        </w:rPr>
        <w:t xml:space="preserve">, and divestiture of non-core assets as mechanisms for restoring financial health (Hotchkiss et al., 2020). Finally, investment decisions are evaluated using capital-budgeting principles, </w:t>
      </w:r>
      <w:proofErr w:type="spellStart"/>
      <w:r w:rsidRPr="00A82AFA">
        <w:rPr>
          <w:sz w:val="28"/>
          <w:szCs w:val="28"/>
        </w:rPr>
        <w:t>recognising</w:t>
      </w:r>
      <w:proofErr w:type="spellEnd"/>
      <w:r w:rsidRPr="00A82AFA">
        <w:rPr>
          <w:sz w:val="28"/>
          <w:szCs w:val="28"/>
        </w:rPr>
        <w:t xml:space="preserve"> that NPV is the most theoretically robust </w:t>
      </w:r>
      <w:r w:rsidRPr="00A82AFA">
        <w:rPr>
          <w:sz w:val="28"/>
          <w:szCs w:val="28"/>
        </w:rPr>
        <w:lastRenderedPageBreak/>
        <w:t>estimator of shareholder value, while IRR, PI, ARR and Payback serve as complementary measures (</w:t>
      </w:r>
      <w:proofErr w:type="spellStart"/>
      <w:r w:rsidRPr="00A82AFA">
        <w:rPr>
          <w:sz w:val="28"/>
          <w:szCs w:val="28"/>
        </w:rPr>
        <w:t>Brealey</w:t>
      </w:r>
      <w:proofErr w:type="spellEnd"/>
      <w:r w:rsidRPr="00A82AFA">
        <w:rPr>
          <w:sz w:val="28"/>
          <w:szCs w:val="28"/>
        </w:rPr>
        <w:t xml:space="preserve"> et al., 2022).</w:t>
      </w:r>
    </w:p>
    <w:p w14:paraId="54D2D018" w14:textId="77777777" w:rsidR="00A82AFA" w:rsidRPr="00A82AFA" w:rsidRDefault="00A82AFA" w:rsidP="009558E3">
      <w:pPr>
        <w:jc w:val="both"/>
        <w:rPr>
          <w:sz w:val="28"/>
          <w:szCs w:val="28"/>
        </w:rPr>
      </w:pPr>
      <w:r w:rsidRPr="00A82AFA">
        <w:rPr>
          <w:sz w:val="28"/>
          <w:szCs w:val="28"/>
        </w:rPr>
        <w:t>Within this context, the CFO’s role is to diagnose root causes, implement liquidity-solvency corrections, and allocate capital efficiently under rationing constraints to support GE’s long-term value recovery.</w:t>
      </w:r>
    </w:p>
    <w:p w14:paraId="5665FBE3" w14:textId="77777777" w:rsidR="00A82AFA" w:rsidRPr="00A82AFA" w:rsidRDefault="00A82AFA" w:rsidP="009558E3">
      <w:pPr>
        <w:jc w:val="both"/>
        <w:rPr>
          <w:sz w:val="28"/>
          <w:szCs w:val="28"/>
        </w:rPr>
      </w:pPr>
      <w:r w:rsidRPr="00A82AFA">
        <w:rPr>
          <w:sz w:val="28"/>
          <w:szCs w:val="28"/>
        </w:rPr>
        <w:t>SECTION 1 — FINANCIAL HEALTH CHECK</w:t>
      </w:r>
    </w:p>
    <w:p w14:paraId="217D1E8A" w14:textId="77777777" w:rsidR="00A82AFA" w:rsidRPr="00A82AFA" w:rsidRDefault="00A82AFA" w:rsidP="009558E3">
      <w:pPr>
        <w:jc w:val="both"/>
        <w:rPr>
          <w:sz w:val="28"/>
          <w:szCs w:val="28"/>
        </w:rPr>
      </w:pPr>
      <w:r w:rsidRPr="00A82AFA">
        <w:rPr>
          <w:sz w:val="28"/>
          <w:szCs w:val="28"/>
        </w:rPr>
        <w:t>1.1 Profitability Analysis</w:t>
      </w:r>
    </w:p>
    <w:p w14:paraId="58095D43" w14:textId="77777777" w:rsidR="00A82AFA" w:rsidRPr="00A82AFA" w:rsidRDefault="00A82AFA" w:rsidP="009558E3">
      <w:pPr>
        <w:jc w:val="both"/>
        <w:rPr>
          <w:sz w:val="28"/>
          <w:szCs w:val="28"/>
        </w:rPr>
      </w:pPr>
      <w:r w:rsidRPr="00A82AFA">
        <w:rPr>
          <w:sz w:val="28"/>
          <w:szCs w:val="28"/>
        </w:rPr>
        <w:t>General Electronics’ profitability has deteriorated sharply over the past five years, driven predominantly by collapsing operating performance rather than pricing weakness. The company’s net sales declined from £542,751m in 2022 to £394,879m in 2024, representing a 27% contraction—a significant demand shock consistent with global electronics market slowdown (OECD, 2023). Despite this decline in volume, gross profit margins remained relatively stable, averaging 28–29%, with 2024 gross margin at 28.9%. Stable gross margins indicate that GE maintained pricing discipline and product cost competitiveness during the downturn. This aligns with industry findings that technological firms often preserve gross margins even in recessions due to brand equity and scale advantages (Linz et al., 2020).</w:t>
      </w:r>
    </w:p>
    <w:p w14:paraId="7A4BB7F7" w14:textId="77777777" w:rsidR="00A82AFA" w:rsidRPr="00A82AFA" w:rsidRDefault="00A82AFA" w:rsidP="009558E3">
      <w:pPr>
        <w:jc w:val="both"/>
        <w:rPr>
          <w:sz w:val="28"/>
          <w:szCs w:val="28"/>
        </w:rPr>
      </w:pPr>
      <w:r w:rsidRPr="00A82AFA">
        <w:rPr>
          <w:sz w:val="28"/>
          <w:szCs w:val="28"/>
        </w:rPr>
        <w:t xml:space="preserve">However, operating profitability deteriorated dramatically. GE posted operating margins of –3.9% in 2024 and –20.3% in 2023, compared with +2.7% in 2022 and +3.9% in 2021. The collapse is attributable to operating deleverage: when fixed operating costs remain high while revenue falls, margins decline disproportionately (Brigham &amp; </w:t>
      </w:r>
      <w:proofErr w:type="spellStart"/>
      <w:r w:rsidRPr="00A82AFA">
        <w:rPr>
          <w:sz w:val="28"/>
          <w:szCs w:val="28"/>
        </w:rPr>
        <w:t>Ehrhardt</w:t>
      </w:r>
      <w:proofErr w:type="spellEnd"/>
      <w:r w:rsidRPr="00A82AFA">
        <w:rPr>
          <w:sz w:val="28"/>
          <w:szCs w:val="28"/>
        </w:rPr>
        <w:t xml:space="preserve">, 2022). GE’s cost structure—evident from operating expenses which remained elevated at £129,291m in 2024 despite weaker sales—highlights significant cost stickiness. The CFO must therefore </w:t>
      </w:r>
      <w:proofErr w:type="spellStart"/>
      <w:r w:rsidRPr="00A82AFA">
        <w:rPr>
          <w:sz w:val="28"/>
          <w:szCs w:val="28"/>
        </w:rPr>
        <w:t>recognise</w:t>
      </w:r>
      <w:proofErr w:type="spellEnd"/>
      <w:r w:rsidRPr="00A82AFA">
        <w:rPr>
          <w:sz w:val="28"/>
          <w:szCs w:val="28"/>
        </w:rPr>
        <w:t xml:space="preserve"> that the core profitability issue is </w:t>
      </w:r>
      <w:r w:rsidRPr="00A82AFA">
        <w:rPr>
          <w:i/>
          <w:iCs/>
          <w:sz w:val="28"/>
          <w:szCs w:val="28"/>
        </w:rPr>
        <w:t>not pricing</w:t>
      </w:r>
      <w:r w:rsidRPr="00A82AFA">
        <w:rPr>
          <w:sz w:val="28"/>
          <w:szCs w:val="28"/>
        </w:rPr>
        <w:t xml:space="preserve">, but </w:t>
      </w:r>
      <w:r w:rsidRPr="00A82AFA">
        <w:rPr>
          <w:i/>
          <w:iCs/>
          <w:sz w:val="28"/>
          <w:szCs w:val="28"/>
        </w:rPr>
        <w:t>structural rigidity in cost absorption</w:t>
      </w:r>
      <w:r w:rsidRPr="00A82AFA">
        <w:rPr>
          <w:sz w:val="28"/>
          <w:szCs w:val="28"/>
        </w:rPr>
        <w:t>, impairments, and operational inefficiency.</w:t>
      </w:r>
    </w:p>
    <w:p w14:paraId="45DD7CC3" w14:textId="77777777" w:rsidR="00A82AFA" w:rsidRPr="00A82AFA" w:rsidRDefault="00A82AFA" w:rsidP="009558E3">
      <w:pPr>
        <w:jc w:val="both"/>
        <w:rPr>
          <w:sz w:val="28"/>
          <w:szCs w:val="28"/>
        </w:rPr>
      </w:pPr>
      <w:r w:rsidRPr="00A82AFA">
        <w:rPr>
          <w:sz w:val="28"/>
          <w:szCs w:val="28"/>
        </w:rPr>
        <w:t xml:space="preserve">Net margin trends reinforce this conclusion. The company moved from 0.1% in 2022 to –23.4% in 2023 and –6.1% in 2024, reflecting widening losses exacerbated by interest expense (£3,361m in 2024) and impairment charges recorded in the cash </w:t>
      </w:r>
      <w:r w:rsidRPr="00A82AFA">
        <w:rPr>
          <w:sz w:val="28"/>
          <w:szCs w:val="28"/>
        </w:rPr>
        <w:lastRenderedPageBreak/>
        <w:t xml:space="preserve">flow statement (notably £49,075m of goodwill impairment in 2023). The volatility in earnings also depresses ROA and ROE, with both turning negative in 2023–2024 due to declining net income and a shrinking equity base. According to Penman (2020), declining ROE driven by falling net income </w:t>
      </w:r>
      <w:r w:rsidRPr="00A82AFA">
        <w:rPr>
          <w:i/>
          <w:iCs/>
          <w:sz w:val="28"/>
          <w:szCs w:val="28"/>
        </w:rPr>
        <w:t>and</w:t>
      </w:r>
      <w:r w:rsidRPr="00A82AFA">
        <w:rPr>
          <w:sz w:val="28"/>
          <w:szCs w:val="28"/>
        </w:rPr>
        <w:t xml:space="preserve"> equity contraction signals heightened solvency risk, since accumulated losses erode the capital buffer available to absorb shocks.</w:t>
      </w:r>
    </w:p>
    <w:p w14:paraId="18D06A71" w14:textId="617E7588" w:rsidR="00A82AFA" w:rsidRPr="00A82AFA" w:rsidRDefault="00A82AFA" w:rsidP="009558E3">
      <w:pPr>
        <w:jc w:val="both"/>
        <w:rPr>
          <w:sz w:val="28"/>
          <w:szCs w:val="28"/>
        </w:rPr>
      </w:pPr>
      <w:r w:rsidRPr="00A82AFA">
        <w:rPr>
          <w:sz w:val="28"/>
          <w:szCs w:val="28"/>
        </w:rPr>
        <w:t>The profitability evidence therefore shows a business experiencing severe operating contraction, amplified by fixed-cost rigidity, impairment losses, and rising financing costs—conditions consistent with early-stage financial distress (Altman, 2000).</w:t>
      </w:r>
    </w:p>
    <w:p w14:paraId="0E902C2C" w14:textId="77777777" w:rsidR="00A82AFA" w:rsidRPr="00A82AFA" w:rsidRDefault="00A82AFA" w:rsidP="009558E3">
      <w:pPr>
        <w:jc w:val="both"/>
        <w:rPr>
          <w:sz w:val="28"/>
          <w:szCs w:val="28"/>
        </w:rPr>
      </w:pPr>
      <w:r w:rsidRPr="00A82AFA">
        <w:rPr>
          <w:sz w:val="28"/>
          <w:szCs w:val="28"/>
        </w:rPr>
        <w:t>1.2 Liquidity Assessment</w:t>
      </w:r>
    </w:p>
    <w:p w14:paraId="4BFB5386" w14:textId="77777777" w:rsidR="00A82AFA" w:rsidRPr="00A82AFA" w:rsidRDefault="00A82AFA" w:rsidP="009558E3">
      <w:pPr>
        <w:jc w:val="both"/>
        <w:rPr>
          <w:sz w:val="28"/>
          <w:szCs w:val="28"/>
        </w:rPr>
      </w:pPr>
      <w:r w:rsidRPr="00A82AFA">
        <w:rPr>
          <w:sz w:val="28"/>
          <w:szCs w:val="28"/>
        </w:rPr>
        <w:t>Liquidity has weakened progressively despite remaining above absolute minimum thresholds. The current ratio declined from 1.56 (2022) to 1.53 (2024), while the quick ratio fell from 1.06 (2023) to 1.03 (2024). Both indicators imply that GE can meet short-term obligations, but only marginally. More critically, the cash ratio stands at only 0.17 in 2024, far below the typical electronics industry benchmark of 0.25–0.30 (EY Global Tech Report, 2024). This suggests the firm relies heavily on receivables and inventory rather than cash to service immediate liabilities.</w:t>
      </w:r>
    </w:p>
    <w:p w14:paraId="03C016B9" w14:textId="77777777" w:rsidR="00A82AFA" w:rsidRPr="00A82AFA" w:rsidRDefault="00A82AFA" w:rsidP="009558E3">
      <w:pPr>
        <w:jc w:val="both"/>
        <w:rPr>
          <w:sz w:val="28"/>
          <w:szCs w:val="28"/>
        </w:rPr>
      </w:pPr>
      <w:r w:rsidRPr="00A82AFA">
        <w:rPr>
          <w:sz w:val="28"/>
          <w:szCs w:val="28"/>
        </w:rPr>
        <w:t xml:space="preserve">A detailed review of the balance sheet reveals the cause: Accounts receivable (£114,182m) and inventory (£79,355m) comprise a disproportionate share of current assets. Such reliance exposes GE to credit-risk shocks and inventory obsolescence—two risks amplified in fast-moving electronics markets (Liu &amp; Wang, 2021). Positive cash flows from operations (£14,822m in 2024) temporarily mask liquidity fragility, yet the cash inflows partly arise from </w:t>
      </w:r>
      <w:proofErr w:type="spellStart"/>
      <w:r w:rsidRPr="00A82AFA">
        <w:rPr>
          <w:sz w:val="28"/>
          <w:szCs w:val="28"/>
        </w:rPr>
        <w:t>favourable</w:t>
      </w:r>
      <w:proofErr w:type="spellEnd"/>
      <w:r w:rsidRPr="00A82AFA">
        <w:rPr>
          <w:sz w:val="28"/>
          <w:szCs w:val="28"/>
        </w:rPr>
        <w:t>—but unsustainable—working-capital swings (notably inventory reductions and payables timing).</w:t>
      </w:r>
    </w:p>
    <w:p w14:paraId="232A418D" w14:textId="54BC9E69" w:rsidR="00A82AFA" w:rsidRPr="00A82AFA" w:rsidRDefault="00A82AFA" w:rsidP="009558E3">
      <w:pPr>
        <w:jc w:val="both"/>
        <w:rPr>
          <w:sz w:val="28"/>
          <w:szCs w:val="28"/>
        </w:rPr>
      </w:pPr>
      <w:r w:rsidRPr="00A82AFA">
        <w:rPr>
          <w:sz w:val="28"/>
          <w:szCs w:val="28"/>
        </w:rPr>
        <w:t xml:space="preserve">Thus, while liquidity </w:t>
      </w:r>
      <w:r w:rsidRPr="00A82AFA">
        <w:rPr>
          <w:i/>
          <w:iCs/>
          <w:sz w:val="28"/>
          <w:szCs w:val="28"/>
        </w:rPr>
        <w:t>appears</w:t>
      </w:r>
      <w:r w:rsidRPr="00A82AFA">
        <w:rPr>
          <w:sz w:val="28"/>
          <w:szCs w:val="28"/>
        </w:rPr>
        <w:t xml:space="preserve"> adequate, it is highly fragile, dependent on continuous working-capital recycling rather than operational profitability. According to Van Horne and </w:t>
      </w:r>
      <w:proofErr w:type="spellStart"/>
      <w:r w:rsidRPr="00A82AFA">
        <w:rPr>
          <w:sz w:val="28"/>
          <w:szCs w:val="28"/>
        </w:rPr>
        <w:t>Wachowicz</w:t>
      </w:r>
      <w:proofErr w:type="spellEnd"/>
      <w:r w:rsidRPr="00A82AFA">
        <w:rPr>
          <w:sz w:val="28"/>
          <w:szCs w:val="28"/>
        </w:rPr>
        <w:t xml:space="preserve"> (2019), firms exhibiting low cash ratios and high receivables–inventory concentrations face significantly elevated short-term liquidity risk.</w:t>
      </w:r>
    </w:p>
    <w:p w14:paraId="27219285" w14:textId="77777777" w:rsidR="00A82AFA" w:rsidRPr="00A82AFA" w:rsidRDefault="00A82AFA" w:rsidP="009558E3">
      <w:pPr>
        <w:jc w:val="both"/>
        <w:rPr>
          <w:sz w:val="28"/>
          <w:szCs w:val="28"/>
        </w:rPr>
      </w:pPr>
      <w:r w:rsidRPr="00A82AFA">
        <w:rPr>
          <w:sz w:val="28"/>
          <w:szCs w:val="28"/>
        </w:rPr>
        <w:lastRenderedPageBreak/>
        <w:t>1.3 Efficiency &amp; Working Capital Ratios</w:t>
      </w:r>
    </w:p>
    <w:p w14:paraId="4DFEB90E" w14:textId="77777777" w:rsidR="00A82AFA" w:rsidRPr="00A82AFA" w:rsidRDefault="00A82AFA" w:rsidP="009558E3">
      <w:pPr>
        <w:jc w:val="both"/>
        <w:rPr>
          <w:sz w:val="28"/>
          <w:szCs w:val="28"/>
        </w:rPr>
      </w:pPr>
      <w:r w:rsidRPr="00A82AFA">
        <w:rPr>
          <w:sz w:val="28"/>
          <w:szCs w:val="28"/>
        </w:rPr>
        <w:t>Efficiency indicators reveal deep operational inefficiencies that directly aggravate liquidity stress. GE’s Cash Conversion Cycle (CCC) increased from 112 days in 2021 to 154 days in 2023, before improving to approximately 130 days in 2024. This remains significantly above competitive norms; the global electronics sector averages 60–80 days (PwC Working Capital Survey, 2023).</w:t>
      </w:r>
    </w:p>
    <w:p w14:paraId="400E2587" w14:textId="77777777" w:rsidR="00A82AFA" w:rsidRPr="00A82AFA" w:rsidRDefault="00A82AFA" w:rsidP="009558E3">
      <w:pPr>
        <w:jc w:val="both"/>
        <w:rPr>
          <w:sz w:val="28"/>
          <w:szCs w:val="28"/>
        </w:rPr>
      </w:pPr>
      <w:r w:rsidRPr="00A82AFA">
        <w:rPr>
          <w:sz w:val="28"/>
          <w:szCs w:val="28"/>
        </w:rPr>
        <w:t xml:space="preserve">Days Sales Outstanding (DSO) rose to 105 days in 2024, compared with 79 days in 2021, reflecting weakened credit control and slower customer settlement amid falling demand. </w:t>
      </w:r>
      <w:proofErr w:type="spellStart"/>
      <w:r w:rsidRPr="00A82AFA">
        <w:rPr>
          <w:sz w:val="28"/>
          <w:szCs w:val="28"/>
        </w:rPr>
        <w:t>Deloof</w:t>
      </w:r>
      <w:proofErr w:type="spellEnd"/>
      <w:r w:rsidRPr="00A82AFA">
        <w:rPr>
          <w:sz w:val="28"/>
          <w:szCs w:val="28"/>
        </w:rPr>
        <w:t xml:space="preserve"> (2003) demonstrated empirically that longer DSO levels are strongly correlated with declining profitability—precisely the pattern observed at GE.</w:t>
      </w:r>
    </w:p>
    <w:p w14:paraId="79C284E8" w14:textId="77777777" w:rsidR="00A82AFA" w:rsidRPr="00A82AFA" w:rsidRDefault="00A82AFA" w:rsidP="009558E3">
      <w:pPr>
        <w:jc w:val="both"/>
        <w:rPr>
          <w:sz w:val="28"/>
          <w:szCs w:val="28"/>
        </w:rPr>
      </w:pPr>
      <w:r w:rsidRPr="00A82AFA">
        <w:rPr>
          <w:sz w:val="28"/>
          <w:szCs w:val="28"/>
        </w:rPr>
        <w:t>Days Inventory Outstanding (DIO) consistently exceeded 100 days throughout 2022–2024. Despite a reduction from 129 days in 2023 to 109 days in 2024, DIO remains excessively high. Slow inventory movement in electronics is especially risky because product value erodes rapidly as newer models enter the market (Kahn, 2020). Over-stocking indicates inaccurate demand forecasting and inadequate S&amp;OP (Sales and Operations Planning).</w:t>
      </w:r>
    </w:p>
    <w:p w14:paraId="3671A275" w14:textId="77777777" w:rsidR="00A82AFA" w:rsidRPr="00A82AFA" w:rsidRDefault="00A82AFA" w:rsidP="009558E3">
      <w:pPr>
        <w:jc w:val="both"/>
        <w:rPr>
          <w:sz w:val="28"/>
          <w:szCs w:val="28"/>
        </w:rPr>
      </w:pPr>
      <w:r w:rsidRPr="00A82AFA">
        <w:rPr>
          <w:sz w:val="28"/>
          <w:szCs w:val="28"/>
        </w:rPr>
        <w:t>Days Payables Outstanding (DPO) increased to 84 days, providing some buffer by delaying cash outflows. However, the increase is insufficient to offset rising DSO and high DIO. Excessive reliance on payables can also strain supplier relationships and increase procurement risk in future periods (Christopher, 2016).</w:t>
      </w:r>
    </w:p>
    <w:p w14:paraId="75FB363F" w14:textId="5B6DB812" w:rsidR="00A82AFA" w:rsidRPr="00A82AFA" w:rsidRDefault="00A82AFA" w:rsidP="009558E3">
      <w:pPr>
        <w:jc w:val="both"/>
        <w:rPr>
          <w:sz w:val="28"/>
          <w:szCs w:val="28"/>
        </w:rPr>
      </w:pPr>
      <w:r w:rsidRPr="00A82AFA">
        <w:rPr>
          <w:sz w:val="28"/>
          <w:szCs w:val="28"/>
        </w:rPr>
        <w:t xml:space="preserve">Overall, </w:t>
      </w:r>
      <w:proofErr w:type="gramStart"/>
      <w:r w:rsidRPr="00A82AFA">
        <w:rPr>
          <w:sz w:val="28"/>
          <w:szCs w:val="28"/>
        </w:rPr>
        <w:t>GE’s</w:t>
      </w:r>
      <w:proofErr w:type="gramEnd"/>
      <w:r w:rsidRPr="00A82AFA">
        <w:rPr>
          <w:sz w:val="28"/>
          <w:szCs w:val="28"/>
        </w:rPr>
        <w:t xml:space="preserve"> extended CCC is a core root cause of liquidity problems, rising leverage, and negative cash-conversion. According to Shin and </w:t>
      </w:r>
      <w:proofErr w:type="spellStart"/>
      <w:r w:rsidRPr="00A82AFA">
        <w:rPr>
          <w:sz w:val="28"/>
          <w:szCs w:val="28"/>
        </w:rPr>
        <w:t>Soenen</w:t>
      </w:r>
      <w:proofErr w:type="spellEnd"/>
      <w:r w:rsidRPr="00A82AFA">
        <w:rPr>
          <w:sz w:val="28"/>
          <w:szCs w:val="28"/>
        </w:rPr>
        <w:t xml:space="preserve"> (1998), firms with extended CCCs exhibit systematically lower market valuations and higher borrowing needs—consistent with GE’s rising debt ratio.</w:t>
      </w:r>
    </w:p>
    <w:p w14:paraId="415D044D" w14:textId="77777777" w:rsidR="00A82AFA" w:rsidRPr="00A82AFA" w:rsidRDefault="00A82AFA" w:rsidP="009558E3">
      <w:pPr>
        <w:jc w:val="both"/>
        <w:rPr>
          <w:sz w:val="28"/>
          <w:szCs w:val="28"/>
        </w:rPr>
      </w:pPr>
      <w:r w:rsidRPr="00A82AFA">
        <w:rPr>
          <w:sz w:val="28"/>
          <w:szCs w:val="28"/>
        </w:rPr>
        <w:t>1.4 Gearing, Solvency &amp; Capital Structure</w:t>
      </w:r>
    </w:p>
    <w:p w14:paraId="287AC9BA" w14:textId="77777777" w:rsidR="00A82AFA" w:rsidRPr="00A82AFA" w:rsidRDefault="00A82AFA" w:rsidP="009558E3">
      <w:pPr>
        <w:jc w:val="both"/>
        <w:rPr>
          <w:sz w:val="28"/>
          <w:szCs w:val="28"/>
        </w:rPr>
      </w:pPr>
      <w:r w:rsidRPr="00A82AFA">
        <w:rPr>
          <w:sz w:val="28"/>
          <w:szCs w:val="28"/>
        </w:rPr>
        <w:t xml:space="preserve">GE’s capital structure has become riskier. The debt ratio increased from 0.39 (2020) to 0.53 (2024), while the Debt-to-Equity ratio deteriorated to 1.11× in 2024. This means the business now finances more than half of its total assets through debt. By comparison, the typical electronics sector D/E ratio is below 0.7× (Morgan </w:t>
      </w:r>
      <w:r w:rsidRPr="00A82AFA">
        <w:rPr>
          <w:sz w:val="28"/>
          <w:szCs w:val="28"/>
        </w:rPr>
        <w:lastRenderedPageBreak/>
        <w:t>Stanley Tech Outlook, 2024). GE’s leverage is, therefore, materially above industry benchmarks.</w:t>
      </w:r>
    </w:p>
    <w:p w14:paraId="0999B08D" w14:textId="77777777" w:rsidR="00A82AFA" w:rsidRPr="00A82AFA" w:rsidRDefault="00A82AFA" w:rsidP="009558E3">
      <w:pPr>
        <w:jc w:val="both"/>
        <w:rPr>
          <w:sz w:val="28"/>
          <w:szCs w:val="28"/>
        </w:rPr>
      </w:pPr>
      <w:r w:rsidRPr="00A82AFA">
        <w:rPr>
          <w:sz w:val="28"/>
          <w:szCs w:val="28"/>
        </w:rPr>
        <w:t xml:space="preserve">Interest coverage is especially concerning. The company recorded EBIT of –£15,297m in 2024 and –£85,301m in 2023, while interest expenses were £3,361m and £4,332m in those respective years. Hence, interest coverage ratios are negative, </w:t>
      </w:r>
      <w:proofErr w:type="spellStart"/>
      <w:r w:rsidRPr="00A82AFA">
        <w:rPr>
          <w:sz w:val="28"/>
          <w:szCs w:val="28"/>
        </w:rPr>
        <w:t>signalling</w:t>
      </w:r>
      <w:proofErr w:type="spellEnd"/>
      <w:r w:rsidRPr="00A82AFA">
        <w:rPr>
          <w:sz w:val="28"/>
          <w:szCs w:val="28"/>
        </w:rPr>
        <w:t xml:space="preserve"> inability to meet financing costs from core operations. Altman (2000) identifies sustained sub-1× interest coverage as a classic predictor of bankruptcy.</w:t>
      </w:r>
    </w:p>
    <w:p w14:paraId="6816CBBD" w14:textId="77777777" w:rsidR="00A82AFA" w:rsidRPr="00A82AFA" w:rsidRDefault="00A82AFA" w:rsidP="009558E3">
      <w:pPr>
        <w:jc w:val="both"/>
        <w:rPr>
          <w:sz w:val="28"/>
          <w:szCs w:val="28"/>
        </w:rPr>
      </w:pPr>
      <w:r w:rsidRPr="00A82AFA">
        <w:rPr>
          <w:sz w:val="28"/>
          <w:szCs w:val="28"/>
        </w:rPr>
        <w:t xml:space="preserve">High leverage combined with falling equity (from £330,698m in 2022 to £153,105m in 2024) indicates </w:t>
      </w:r>
      <w:r w:rsidRPr="00A82AFA">
        <w:rPr>
          <w:i/>
          <w:iCs/>
          <w:sz w:val="28"/>
          <w:szCs w:val="28"/>
        </w:rPr>
        <w:t>solvency erosion</w:t>
      </w:r>
      <w:r w:rsidRPr="00A82AFA">
        <w:rPr>
          <w:sz w:val="28"/>
          <w:szCs w:val="28"/>
        </w:rPr>
        <w:t>. As equity shrinks through losses, the same nominal debt becomes riskier, pushing the firm towards covenant stress and potential refinancing difficulties—especially dangerous in rising interest-rate environments.</w:t>
      </w:r>
    </w:p>
    <w:p w14:paraId="1D550624" w14:textId="1866616C" w:rsidR="00A82AFA" w:rsidRPr="00A82AFA" w:rsidRDefault="00A82AFA" w:rsidP="009558E3">
      <w:pPr>
        <w:jc w:val="both"/>
        <w:rPr>
          <w:sz w:val="28"/>
          <w:szCs w:val="28"/>
        </w:rPr>
      </w:pPr>
      <w:r w:rsidRPr="00A82AFA">
        <w:rPr>
          <w:sz w:val="28"/>
          <w:szCs w:val="28"/>
        </w:rPr>
        <w:t>Thus, GE’s solvency position is deteriorating rapidly and requires urgent restructuring.</w:t>
      </w:r>
    </w:p>
    <w:p w14:paraId="61D95E28" w14:textId="77777777" w:rsidR="00A82AFA" w:rsidRPr="00A82AFA" w:rsidRDefault="00A82AFA" w:rsidP="009558E3">
      <w:pPr>
        <w:jc w:val="both"/>
        <w:rPr>
          <w:sz w:val="28"/>
          <w:szCs w:val="28"/>
        </w:rPr>
      </w:pPr>
      <w:r w:rsidRPr="00A82AFA">
        <w:rPr>
          <w:sz w:val="28"/>
          <w:szCs w:val="28"/>
        </w:rPr>
        <w:t>1.5 Cash Flow Quality</w:t>
      </w:r>
    </w:p>
    <w:p w14:paraId="6AFDFE85" w14:textId="77777777" w:rsidR="00A82AFA" w:rsidRPr="00A82AFA" w:rsidRDefault="00A82AFA" w:rsidP="009558E3">
      <w:pPr>
        <w:jc w:val="both"/>
        <w:rPr>
          <w:sz w:val="28"/>
          <w:szCs w:val="28"/>
        </w:rPr>
      </w:pPr>
      <w:r w:rsidRPr="00A82AFA">
        <w:rPr>
          <w:sz w:val="28"/>
          <w:szCs w:val="28"/>
        </w:rPr>
        <w:t xml:space="preserve">Despite reporting large net losses, GE generated positive operating cash flows (£14,822m in 2024 and £25,190m in 2023). This resilience is largely attributable to non-cash adjustments (depreciation £18,058m; </w:t>
      </w:r>
      <w:proofErr w:type="spellStart"/>
      <w:r w:rsidRPr="00A82AFA">
        <w:rPr>
          <w:sz w:val="28"/>
          <w:szCs w:val="28"/>
        </w:rPr>
        <w:t>amortisation</w:t>
      </w:r>
      <w:proofErr w:type="spellEnd"/>
      <w:r w:rsidRPr="00A82AFA">
        <w:rPr>
          <w:sz w:val="28"/>
          <w:szCs w:val="28"/>
        </w:rPr>
        <w:t xml:space="preserve">; impairment charges) and </w:t>
      </w:r>
      <w:proofErr w:type="spellStart"/>
      <w:r w:rsidRPr="00A82AFA">
        <w:rPr>
          <w:sz w:val="28"/>
          <w:szCs w:val="28"/>
        </w:rPr>
        <w:t>favourable</w:t>
      </w:r>
      <w:proofErr w:type="spellEnd"/>
      <w:r w:rsidRPr="00A82AFA">
        <w:rPr>
          <w:sz w:val="28"/>
          <w:szCs w:val="28"/>
        </w:rPr>
        <w:t xml:space="preserve"> shifts in working capital.</w:t>
      </w:r>
    </w:p>
    <w:p w14:paraId="2D1A13ED" w14:textId="77777777" w:rsidR="00A82AFA" w:rsidRPr="00A82AFA" w:rsidRDefault="00A82AFA" w:rsidP="009558E3">
      <w:pPr>
        <w:jc w:val="both"/>
        <w:rPr>
          <w:sz w:val="28"/>
          <w:szCs w:val="28"/>
        </w:rPr>
      </w:pPr>
      <w:r w:rsidRPr="00A82AFA">
        <w:rPr>
          <w:sz w:val="28"/>
          <w:szCs w:val="28"/>
        </w:rPr>
        <w:t>However, this cash flow pattern is not high-quality or sustainable. Cash flow from operations fluctuated strongly with inventory liquidation (£6,239m inflow in 2024) and payables changes (£15,733m inflow), implying reliance on tactical cash management rather than profitability. Investing cash flows reflect severe capex cuts: only £4,572m spent on PPE in 2024, down from £14,006m in 2022. While this supports short-term liquidity, it increases long-term operational risk by limiting innovation and capacity renewal (</w:t>
      </w:r>
      <w:proofErr w:type="spellStart"/>
      <w:r w:rsidRPr="00A82AFA">
        <w:rPr>
          <w:sz w:val="28"/>
          <w:szCs w:val="28"/>
        </w:rPr>
        <w:t>Brealey</w:t>
      </w:r>
      <w:proofErr w:type="spellEnd"/>
      <w:r w:rsidRPr="00A82AFA">
        <w:rPr>
          <w:sz w:val="28"/>
          <w:szCs w:val="28"/>
        </w:rPr>
        <w:t xml:space="preserve"> et al., 2022).</w:t>
      </w:r>
    </w:p>
    <w:p w14:paraId="5C7B3C3E" w14:textId="77777777" w:rsidR="00A82AFA" w:rsidRPr="00A82AFA" w:rsidRDefault="00A82AFA" w:rsidP="009558E3">
      <w:pPr>
        <w:jc w:val="both"/>
        <w:rPr>
          <w:sz w:val="28"/>
          <w:szCs w:val="28"/>
        </w:rPr>
      </w:pPr>
      <w:r w:rsidRPr="00A82AFA">
        <w:rPr>
          <w:sz w:val="28"/>
          <w:szCs w:val="28"/>
        </w:rPr>
        <w:t>Financing cash flows show heavy dependence on short-term borrowing: credit-line borrowings reached £102,193m in 2024, followed by repayments of £120,000m. Such volatility heightens refinancing and interest-rate risk.</w:t>
      </w:r>
    </w:p>
    <w:p w14:paraId="1BAAE1FF" w14:textId="6A9EF36D" w:rsidR="00A82AFA" w:rsidRPr="00A82AFA" w:rsidRDefault="00A82AFA" w:rsidP="009558E3">
      <w:pPr>
        <w:jc w:val="both"/>
        <w:rPr>
          <w:sz w:val="28"/>
          <w:szCs w:val="28"/>
        </w:rPr>
      </w:pPr>
      <w:r w:rsidRPr="00A82AFA">
        <w:rPr>
          <w:sz w:val="28"/>
          <w:szCs w:val="28"/>
        </w:rPr>
        <w:lastRenderedPageBreak/>
        <w:t xml:space="preserve">Hence, while headline CFO is positive, cash-flow </w:t>
      </w:r>
      <w:r w:rsidRPr="00A82AFA">
        <w:rPr>
          <w:i/>
          <w:iCs/>
          <w:sz w:val="28"/>
          <w:szCs w:val="28"/>
        </w:rPr>
        <w:t>quality</w:t>
      </w:r>
      <w:r w:rsidRPr="00A82AFA">
        <w:rPr>
          <w:sz w:val="28"/>
          <w:szCs w:val="28"/>
        </w:rPr>
        <w:t xml:space="preserve"> is low, reflecting underlying fragility rather than operational strength.</w:t>
      </w:r>
    </w:p>
    <w:p w14:paraId="05ACBCD8" w14:textId="77777777" w:rsidR="00A82AFA" w:rsidRPr="00A82AFA" w:rsidRDefault="00A82AFA" w:rsidP="009558E3">
      <w:pPr>
        <w:jc w:val="both"/>
        <w:rPr>
          <w:sz w:val="28"/>
          <w:szCs w:val="28"/>
        </w:rPr>
      </w:pPr>
      <w:r w:rsidRPr="00A82AFA">
        <w:rPr>
          <w:sz w:val="28"/>
          <w:szCs w:val="28"/>
        </w:rPr>
        <w:t>1.6 Corporate Failure Prediction (Altman Z-Score)</w:t>
      </w:r>
    </w:p>
    <w:p w14:paraId="2A7501F8" w14:textId="598502EE" w:rsidR="00A82AFA" w:rsidRPr="00A82AFA" w:rsidRDefault="00571585" w:rsidP="009558E3">
      <w:pPr>
        <w:jc w:val="both"/>
        <w:rPr>
          <w:sz w:val="28"/>
          <w:szCs w:val="28"/>
        </w:rPr>
      </w:pPr>
      <w:r w:rsidRPr="009558E3">
        <w:rPr>
          <w:sz w:val="28"/>
          <w:szCs w:val="28"/>
        </w:rPr>
        <w:t xml:space="preserve">The Altman Z-Scores calculated in Excel show a clear deterioration in GE’s solvency position, falling from 3.64 (2020) and 3.22 (2021) to 3.06 (2022) and entering the distress-prone grey zone with 2.24 in 2023 and 2.82 in 2024. Altman’s threshold of 2.99 for manufacturing firms indicates that GE, from 2022 onward, operates below the safe zone (Altman &amp; Hotchkiss, 2006). The 2023 collapse corresponds to the firm’s deepest operating loss (–£85,301m) and the sharp reduction in retained earnings and working capital. Although 2024 shows a partial improvement, the score remains in the high-risk range. Research confirms that firms with Z-Scores between 2.2 and 2.8 face significantly elevated default likelihood (Agarwal &amp; </w:t>
      </w:r>
      <w:proofErr w:type="spellStart"/>
      <w:r w:rsidRPr="009558E3">
        <w:rPr>
          <w:sz w:val="28"/>
          <w:szCs w:val="28"/>
        </w:rPr>
        <w:t>Taffler</w:t>
      </w:r>
      <w:proofErr w:type="spellEnd"/>
      <w:r w:rsidRPr="009558E3">
        <w:rPr>
          <w:sz w:val="28"/>
          <w:szCs w:val="28"/>
        </w:rPr>
        <w:t>, 2008), underscoring GE’s urgent need for operational and capital-structure correction.</w:t>
      </w:r>
    </w:p>
    <w:p w14:paraId="65D96188" w14:textId="77777777" w:rsidR="00A82AFA" w:rsidRPr="00A82AFA" w:rsidRDefault="00A82AFA" w:rsidP="009558E3">
      <w:pPr>
        <w:jc w:val="both"/>
        <w:rPr>
          <w:sz w:val="28"/>
          <w:szCs w:val="28"/>
        </w:rPr>
      </w:pPr>
      <w:r w:rsidRPr="00A82AFA">
        <w:rPr>
          <w:sz w:val="28"/>
          <w:szCs w:val="28"/>
        </w:rPr>
        <w:t>1.7 Critical Synthesis: Strengths and Threats</w:t>
      </w:r>
    </w:p>
    <w:p w14:paraId="5F7F8176" w14:textId="77777777" w:rsidR="00A82AFA" w:rsidRPr="00A82AFA" w:rsidRDefault="00A82AFA" w:rsidP="009558E3">
      <w:pPr>
        <w:jc w:val="both"/>
        <w:rPr>
          <w:sz w:val="28"/>
          <w:szCs w:val="28"/>
        </w:rPr>
      </w:pPr>
      <w:r w:rsidRPr="00A82AFA">
        <w:rPr>
          <w:sz w:val="28"/>
          <w:szCs w:val="28"/>
        </w:rPr>
        <w:t xml:space="preserve">The financial health review highlights a company with isolated strengths but significant systemic threats. GE benefits from a </w:t>
      </w:r>
      <w:r w:rsidRPr="00A82AFA">
        <w:rPr>
          <w:i/>
          <w:iCs/>
          <w:sz w:val="28"/>
          <w:szCs w:val="28"/>
        </w:rPr>
        <w:t>stable gross margin</w:t>
      </w:r>
      <w:r w:rsidRPr="00A82AFA">
        <w:rPr>
          <w:sz w:val="28"/>
          <w:szCs w:val="28"/>
        </w:rPr>
        <w:t xml:space="preserve">, suggesting its core products remain competitive, and from </w:t>
      </w:r>
      <w:r w:rsidRPr="00A82AFA">
        <w:rPr>
          <w:i/>
          <w:iCs/>
          <w:sz w:val="28"/>
          <w:szCs w:val="28"/>
        </w:rPr>
        <w:t>positive operating cash flow</w:t>
      </w:r>
      <w:r w:rsidRPr="00A82AFA">
        <w:rPr>
          <w:sz w:val="28"/>
          <w:szCs w:val="28"/>
        </w:rPr>
        <w:t xml:space="preserve">, largely due to </w:t>
      </w:r>
      <w:proofErr w:type="spellStart"/>
      <w:r w:rsidRPr="00A82AFA">
        <w:rPr>
          <w:sz w:val="28"/>
          <w:szCs w:val="28"/>
        </w:rPr>
        <w:t>favourable</w:t>
      </w:r>
      <w:proofErr w:type="spellEnd"/>
      <w:r w:rsidRPr="00A82AFA">
        <w:rPr>
          <w:sz w:val="28"/>
          <w:szCs w:val="28"/>
        </w:rPr>
        <w:t xml:space="preserve"> working-capital swings. Supplier credit (high DPO) also temporarily supports liquidity.</w:t>
      </w:r>
    </w:p>
    <w:p w14:paraId="39966AA7" w14:textId="77777777" w:rsidR="00A82AFA" w:rsidRPr="00A82AFA" w:rsidRDefault="00A82AFA" w:rsidP="009558E3">
      <w:pPr>
        <w:jc w:val="both"/>
        <w:rPr>
          <w:sz w:val="28"/>
          <w:szCs w:val="28"/>
        </w:rPr>
      </w:pPr>
      <w:r w:rsidRPr="00A82AFA">
        <w:rPr>
          <w:sz w:val="28"/>
          <w:szCs w:val="28"/>
        </w:rPr>
        <w:t xml:space="preserve">However, the threats are substantial: severe operating losses driven by revenue contraction and fixed-cost rigidity; extended CCC degrading cash conversion and increasing dependence on short-term borrowing; rising leverage and negative interest coverage indicating solvency deterioration; and major impairment charges </w:t>
      </w:r>
      <w:proofErr w:type="spellStart"/>
      <w:r w:rsidRPr="00A82AFA">
        <w:rPr>
          <w:sz w:val="28"/>
          <w:szCs w:val="28"/>
        </w:rPr>
        <w:t>signalling</w:t>
      </w:r>
      <w:proofErr w:type="spellEnd"/>
      <w:r w:rsidRPr="00A82AFA">
        <w:rPr>
          <w:sz w:val="28"/>
          <w:szCs w:val="28"/>
        </w:rPr>
        <w:t xml:space="preserve"> structural decline in asset productivity.</w:t>
      </w:r>
    </w:p>
    <w:p w14:paraId="5A8659E4" w14:textId="77777777" w:rsidR="00A82AFA" w:rsidRPr="00A82AFA" w:rsidRDefault="00A82AFA" w:rsidP="009558E3">
      <w:pPr>
        <w:jc w:val="both"/>
        <w:rPr>
          <w:sz w:val="28"/>
          <w:szCs w:val="28"/>
        </w:rPr>
      </w:pPr>
      <w:r w:rsidRPr="00A82AFA">
        <w:rPr>
          <w:sz w:val="28"/>
          <w:szCs w:val="28"/>
        </w:rPr>
        <w:t xml:space="preserve">Overall, GE exhibits financial characteristics consistent with latent distress, reinforcing the need for immediate turnaround measures in cost structure, working-capital management, and capital-structure </w:t>
      </w:r>
      <w:proofErr w:type="spellStart"/>
      <w:r w:rsidRPr="00A82AFA">
        <w:rPr>
          <w:sz w:val="28"/>
          <w:szCs w:val="28"/>
        </w:rPr>
        <w:t>optimisation</w:t>
      </w:r>
      <w:proofErr w:type="spellEnd"/>
      <w:r w:rsidRPr="00A82AFA">
        <w:rPr>
          <w:sz w:val="28"/>
          <w:szCs w:val="28"/>
        </w:rPr>
        <w:t>.</w:t>
      </w:r>
    </w:p>
    <w:p w14:paraId="6C0C8798" w14:textId="6B0603A5" w:rsidR="00571585" w:rsidRPr="00571585" w:rsidRDefault="00571585" w:rsidP="009558E3">
      <w:pPr>
        <w:jc w:val="both"/>
        <w:rPr>
          <w:sz w:val="28"/>
          <w:szCs w:val="28"/>
        </w:rPr>
      </w:pPr>
      <w:r w:rsidRPr="00571585">
        <w:rPr>
          <w:sz w:val="28"/>
          <w:szCs w:val="28"/>
        </w:rPr>
        <w:t xml:space="preserve">SECTION 2 — WORKING CAPITAL MANAGEMENT ANALYSIS </w:t>
      </w:r>
    </w:p>
    <w:p w14:paraId="37BAD2F2" w14:textId="77777777" w:rsidR="00571585" w:rsidRPr="00571585" w:rsidRDefault="00571585" w:rsidP="009558E3">
      <w:pPr>
        <w:jc w:val="both"/>
        <w:rPr>
          <w:sz w:val="28"/>
          <w:szCs w:val="28"/>
        </w:rPr>
      </w:pPr>
      <w:r w:rsidRPr="00571585">
        <w:rPr>
          <w:sz w:val="28"/>
          <w:szCs w:val="28"/>
        </w:rPr>
        <w:lastRenderedPageBreak/>
        <w:t>2.1 Cash Operating Cycle Diagnosis</w:t>
      </w:r>
    </w:p>
    <w:p w14:paraId="153B6A27" w14:textId="77777777" w:rsidR="00571585" w:rsidRPr="00571585" w:rsidRDefault="00571585" w:rsidP="009558E3">
      <w:pPr>
        <w:jc w:val="both"/>
        <w:rPr>
          <w:sz w:val="28"/>
          <w:szCs w:val="28"/>
        </w:rPr>
      </w:pPr>
      <w:r w:rsidRPr="00571585">
        <w:rPr>
          <w:sz w:val="28"/>
          <w:szCs w:val="28"/>
        </w:rPr>
        <w:t>General Electronics’ working-capital performance is a central driver of its liquidity stress. The Cash Conversion Cycle (CCC) was approximately 130 days in 2024, down from 154 days in 2023 but still significantly above 2021 levels (≈112 days). This means GE requires over four months to convert cash invested in operations back into liquid funds. For a low-margin, high-volume electronics manufacturer, such a prolonged conversion period is structurally unsustainable. Industry benchmarks indicate that global electronics firms typically operate with CCCs between 60 and 80 days due to rapid inventory turnover and strict receivables discipline (PwC Working Capital Survey, 2023).</w:t>
      </w:r>
    </w:p>
    <w:p w14:paraId="236424A6" w14:textId="77777777" w:rsidR="00571585" w:rsidRPr="00571585" w:rsidRDefault="00571585" w:rsidP="009558E3">
      <w:pPr>
        <w:jc w:val="both"/>
        <w:rPr>
          <w:sz w:val="28"/>
          <w:szCs w:val="28"/>
        </w:rPr>
      </w:pPr>
      <w:proofErr w:type="gramStart"/>
      <w:r w:rsidRPr="00571585">
        <w:rPr>
          <w:sz w:val="28"/>
          <w:szCs w:val="28"/>
        </w:rPr>
        <w:t>GE’s</w:t>
      </w:r>
      <w:proofErr w:type="gramEnd"/>
      <w:r w:rsidRPr="00571585">
        <w:rPr>
          <w:sz w:val="28"/>
          <w:szCs w:val="28"/>
        </w:rPr>
        <w:t xml:space="preserve"> extended CCC reflects a combination of slow collections (DSO 105 days), sluggish inventory turnover (DIO &gt;100 days), and moderate payables duration (DPO 84 days). Academic evidence shows that inefficient working capital—especially extended DSO and DIO—has a direct negative effect on profitability and liquidity (</w:t>
      </w:r>
      <w:proofErr w:type="spellStart"/>
      <w:r w:rsidRPr="00571585">
        <w:rPr>
          <w:sz w:val="28"/>
          <w:szCs w:val="28"/>
        </w:rPr>
        <w:t>Deloof</w:t>
      </w:r>
      <w:proofErr w:type="spellEnd"/>
      <w:r w:rsidRPr="00571585">
        <w:rPr>
          <w:sz w:val="28"/>
          <w:szCs w:val="28"/>
        </w:rPr>
        <w:t>, 2003). Moreover, GE’s distressed Z-Score trajectory suggests that poor working-capital control is contributing directly to default risk.</w:t>
      </w:r>
    </w:p>
    <w:p w14:paraId="230210DC" w14:textId="01A67C95" w:rsidR="00571585" w:rsidRPr="00571585" w:rsidRDefault="00571585" w:rsidP="009558E3">
      <w:pPr>
        <w:jc w:val="both"/>
        <w:rPr>
          <w:sz w:val="28"/>
          <w:szCs w:val="28"/>
        </w:rPr>
      </w:pPr>
      <w:r w:rsidRPr="00571585">
        <w:rPr>
          <w:sz w:val="28"/>
          <w:szCs w:val="28"/>
        </w:rPr>
        <w:t xml:space="preserve">Thus, the CCC remains one of the most actionable levers for improving GE’s cash flow, lowering borrowing needs, and </w:t>
      </w:r>
      <w:proofErr w:type="spellStart"/>
      <w:r w:rsidRPr="00571585">
        <w:rPr>
          <w:sz w:val="28"/>
          <w:szCs w:val="28"/>
        </w:rPr>
        <w:t>stabilising</w:t>
      </w:r>
      <w:proofErr w:type="spellEnd"/>
      <w:r w:rsidRPr="00571585">
        <w:rPr>
          <w:sz w:val="28"/>
          <w:szCs w:val="28"/>
        </w:rPr>
        <w:t xml:space="preserve"> liquidity in the short-to-medium term. Bringing the CCC closer to benchmark levels could free up billions in working capital, reduce reliance on credit lines, and materially improve the Altman Z-Score.</w:t>
      </w:r>
    </w:p>
    <w:p w14:paraId="214D9613" w14:textId="77777777" w:rsidR="00571585" w:rsidRPr="00571585" w:rsidRDefault="00571585" w:rsidP="009558E3">
      <w:pPr>
        <w:jc w:val="both"/>
        <w:rPr>
          <w:sz w:val="28"/>
          <w:szCs w:val="28"/>
        </w:rPr>
      </w:pPr>
      <w:r w:rsidRPr="00571585">
        <w:rPr>
          <w:sz w:val="28"/>
          <w:szCs w:val="28"/>
        </w:rPr>
        <w:t>2.2 Receivables Management (Reducing DSO)</w:t>
      </w:r>
    </w:p>
    <w:p w14:paraId="38831BB0" w14:textId="77777777" w:rsidR="00571585" w:rsidRPr="00571585" w:rsidRDefault="00571585" w:rsidP="009558E3">
      <w:pPr>
        <w:jc w:val="both"/>
        <w:rPr>
          <w:sz w:val="28"/>
          <w:szCs w:val="28"/>
        </w:rPr>
      </w:pPr>
      <w:r w:rsidRPr="00571585">
        <w:rPr>
          <w:sz w:val="28"/>
          <w:szCs w:val="28"/>
        </w:rPr>
        <w:t>The DSO of 105 days in 2024, up from 79 days in 2021, signals a deterioration in customer payment discipline. Rising DSO is typical in declining sales cycles, as customers delay payments when market conditions tighten (</w:t>
      </w:r>
      <w:proofErr w:type="spellStart"/>
      <w:r w:rsidRPr="00571585">
        <w:rPr>
          <w:sz w:val="28"/>
          <w:szCs w:val="28"/>
        </w:rPr>
        <w:t>Brealey</w:t>
      </w:r>
      <w:proofErr w:type="spellEnd"/>
      <w:r w:rsidRPr="00571585">
        <w:rPr>
          <w:sz w:val="28"/>
          <w:szCs w:val="28"/>
        </w:rPr>
        <w:t xml:space="preserve"> et al., 2022). High DSO constrains liquidity and forces firms to rely on short-term borrowing.</w:t>
      </w:r>
    </w:p>
    <w:p w14:paraId="18C9FF0A" w14:textId="77777777" w:rsidR="00571585" w:rsidRPr="00571585" w:rsidRDefault="00571585" w:rsidP="009558E3">
      <w:pPr>
        <w:jc w:val="both"/>
        <w:rPr>
          <w:sz w:val="28"/>
          <w:szCs w:val="28"/>
        </w:rPr>
      </w:pPr>
      <w:r w:rsidRPr="00571585">
        <w:rPr>
          <w:sz w:val="28"/>
          <w:szCs w:val="28"/>
        </w:rPr>
        <w:t xml:space="preserve">To </w:t>
      </w:r>
      <w:proofErr w:type="spellStart"/>
      <w:r w:rsidRPr="00571585">
        <w:rPr>
          <w:sz w:val="28"/>
          <w:szCs w:val="28"/>
        </w:rPr>
        <w:t>stabilise</w:t>
      </w:r>
      <w:proofErr w:type="spellEnd"/>
      <w:r w:rsidRPr="00571585">
        <w:rPr>
          <w:sz w:val="28"/>
          <w:szCs w:val="28"/>
        </w:rPr>
        <w:t xml:space="preserve"> cash inflows, GE must adopt credit-policy segmentation, differentiating between high-risk and strategic accounts. </w:t>
      </w:r>
      <w:proofErr w:type="spellStart"/>
      <w:r w:rsidRPr="00571585">
        <w:rPr>
          <w:sz w:val="28"/>
          <w:szCs w:val="28"/>
        </w:rPr>
        <w:t>Behavioural</w:t>
      </w:r>
      <w:proofErr w:type="spellEnd"/>
      <w:r w:rsidRPr="00571585">
        <w:rPr>
          <w:sz w:val="28"/>
          <w:szCs w:val="28"/>
        </w:rPr>
        <w:t xml:space="preserve"> scoring models—which integrate historical payment </w:t>
      </w:r>
      <w:proofErr w:type="spellStart"/>
      <w:r w:rsidRPr="00571585">
        <w:rPr>
          <w:sz w:val="28"/>
          <w:szCs w:val="28"/>
        </w:rPr>
        <w:t>behaviour</w:t>
      </w:r>
      <w:proofErr w:type="spellEnd"/>
      <w:r w:rsidRPr="00571585">
        <w:rPr>
          <w:sz w:val="28"/>
          <w:szCs w:val="28"/>
        </w:rPr>
        <w:t xml:space="preserve">, order consistency, and macro-sector risk—can help classify customers more accurately (Liu &amp; Wang, 2021). High-risk </w:t>
      </w:r>
      <w:r w:rsidRPr="00571585">
        <w:rPr>
          <w:sz w:val="28"/>
          <w:szCs w:val="28"/>
        </w:rPr>
        <w:lastRenderedPageBreak/>
        <w:t xml:space="preserve">customers should face reduced credit limits or shorter terms, while strategic buyers can retain </w:t>
      </w:r>
      <w:proofErr w:type="spellStart"/>
      <w:r w:rsidRPr="00571585">
        <w:rPr>
          <w:sz w:val="28"/>
          <w:szCs w:val="28"/>
        </w:rPr>
        <w:t>favourable</w:t>
      </w:r>
      <w:proofErr w:type="spellEnd"/>
      <w:r w:rsidRPr="00571585">
        <w:rPr>
          <w:sz w:val="28"/>
          <w:szCs w:val="28"/>
        </w:rPr>
        <w:t xml:space="preserve"> terms paired with incentives.</w:t>
      </w:r>
    </w:p>
    <w:p w14:paraId="1849DCC8" w14:textId="77777777" w:rsidR="00571585" w:rsidRPr="00571585" w:rsidRDefault="00571585" w:rsidP="009558E3">
      <w:pPr>
        <w:jc w:val="both"/>
        <w:rPr>
          <w:sz w:val="28"/>
          <w:szCs w:val="28"/>
        </w:rPr>
      </w:pPr>
      <w:r w:rsidRPr="00571585">
        <w:rPr>
          <w:sz w:val="28"/>
          <w:szCs w:val="28"/>
        </w:rPr>
        <w:t>Automation is also necessary. Digital invoicing, auto-billing, and intelligent dispute management systems reduce delays caused by manual processes. Studies show that automated AR systems can reduce DSO by 10–15% and cut administrative costs significantly (EY Working Capital Report, 2023).</w:t>
      </w:r>
    </w:p>
    <w:p w14:paraId="64A79655" w14:textId="77777777" w:rsidR="00571585" w:rsidRPr="00571585" w:rsidRDefault="00571585" w:rsidP="009558E3">
      <w:pPr>
        <w:jc w:val="both"/>
        <w:rPr>
          <w:sz w:val="28"/>
          <w:szCs w:val="28"/>
        </w:rPr>
      </w:pPr>
      <w:r w:rsidRPr="00571585">
        <w:rPr>
          <w:sz w:val="28"/>
          <w:szCs w:val="28"/>
        </w:rPr>
        <w:t>GE should also consider early-payment discounts, such as offering 1–2% discounts for payment within 10 days. Based on GE’s 2024 receivables of £114,182m, even a 10% uptake of early-payment discounts could accelerate over £11bn of cash inflow, improving liquidity without materially harming margins.</w:t>
      </w:r>
    </w:p>
    <w:p w14:paraId="6D802C31" w14:textId="7CEE2F49" w:rsidR="00571585" w:rsidRPr="00571585" w:rsidRDefault="00571585" w:rsidP="009558E3">
      <w:pPr>
        <w:jc w:val="both"/>
        <w:rPr>
          <w:sz w:val="28"/>
          <w:szCs w:val="28"/>
        </w:rPr>
      </w:pPr>
      <w:r w:rsidRPr="00571585">
        <w:rPr>
          <w:sz w:val="28"/>
          <w:szCs w:val="28"/>
        </w:rPr>
        <w:t>Finally, non-recourse factoring can accelerate cash collection while transferring credit risk off the balance sheet. This method avoids increasing leverage—unlike borrowing against receivables—making it suitable for GE’s current solvency challenges. Research confirms that factoring is especially effective for firms facing liquidity strain and negative earnings (</w:t>
      </w:r>
      <w:proofErr w:type="spellStart"/>
      <w:r w:rsidRPr="00571585">
        <w:rPr>
          <w:sz w:val="28"/>
          <w:szCs w:val="28"/>
        </w:rPr>
        <w:t>Soufani</w:t>
      </w:r>
      <w:proofErr w:type="spellEnd"/>
      <w:r w:rsidRPr="00571585">
        <w:rPr>
          <w:sz w:val="28"/>
          <w:szCs w:val="28"/>
        </w:rPr>
        <w:t>, 2011).</w:t>
      </w:r>
    </w:p>
    <w:p w14:paraId="692C3F65" w14:textId="77777777" w:rsidR="00571585" w:rsidRPr="00571585" w:rsidRDefault="00571585" w:rsidP="009558E3">
      <w:pPr>
        <w:jc w:val="both"/>
        <w:rPr>
          <w:sz w:val="28"/>
          <w:szCs w:val="28"/>
        </w:rPr>
      </w:pPr>
      <w:r w:rsidRPr="00571585">
        <w:rPr>
          <w:sz w:val="28"/>
          <w:szCs w:val="28"/>
        </w:rPr>
        <w:t>2.3 Inventory Management (Reducing DIO)</w:t>
      </w:r>
    </w:p>
    <w:p w14:paraId="6188FF99" w14:textId="77777777" w:rsidR="00571585" w:rsidRPr="00571585" w:rsidRDefault="00571585" w:rsidP="009558E3">
      <w:pPr>
        <w:jc w:val="both"/>
        <w:rPr>
          <w:sz w:val="28"/>
          <w:szCs w:val="28"/>
        </w:rPr>
      </w:pPr>
      <w:r w:rsidRPr="00571585">
        <w:rPr>
          <w:sz w:val="28"/>
          <w:szCs w:val="28"/>
        </w:rPr>
        <w:t>GE’s Days Inventory Outstanding remained above 100 days for three consecutive years, reflecting weak demand forecasting, excessive buffer stock, and slow-moving SKUs. Electronics inventory is subject to rapid technological obsolescence; therefore, high DIO directly increases write-down risk and ties up cash unnecessarily (Kahn, 2020).</w:t>
      </w:r>
    </w:p>
    <w:p w14:paraId="5FC27EBA" w14:textId="77777777" w:rsidR="00571585" w:rsidRPr="00571585" w:rsidRDefault="00571585" w:rsidP="009558E3">
      <w:pPr>
        <w:jc w:val="both"/>
        <w:rPr>
          <w:sz w:val="28"/>
          <w:szCs w:val="28"/>
        </w:rPr>
      </w:pPr>
      <w:r w:rsidRPr="00571585">
        <w:rPr>
          <w:sz w:val="28"/>
          <w:szCs w:val="28"/>
        </w:rPr>
        <w:t xml:space="preserve">A comprehensive S&amp;OP (Sales and Operations Planning) overhaul is required. Integrating demand sensing tools—such as AI-driven forecasting using point-of-sale data, macro signals, and product-lifecycle curves—can reduce forecast error and improve inventory accuracy. Empirical research shows that S&amp;OP-driven </w:t>
      </w:r>
      <w:proofErr w:type="spellStart"/>
      <w:r w:rsidRPr="00571585">
        <w:rPr>
          <w:sz w:val="28"/>
          <w:szCs w:val="28"/>
        </w:rPr>
        <w:t>organisations</w:t>
      </w:r>
      <w:proofErr w:type="spellEnd"/>
      <w:r w:rsidRPr="00571585">
        <w:rPr>
          <w:sz w:val="28"/>
          <w:szCs w:val="28"/>
        </w:rPr>
        <w:t xml:space="preserve"> can reduce inventory by 15–20% while improving service levels (</w:t>
      </w:r>
      <w:proofErr w:type="spellStart"/>
      <w:r w:rsidRPr="00571585">
        <w:rPr>
          <w:sz w:val="28"/>
          <w:szCs w:val="28"/>
        </w:rPr>
        <w:t>Tuomikangas</w:t>
      </w:r>
      <w:proofErr w:type="spellEnd"/>
      <w:r w:rsidRPr="00571585">
        <w:rPr>
          <w:sz w:val="28"/>
          <w:szCs w:val="28"/>
        </w:rPr>
        <w:t xml:space="preserve"> &amp; </w:t>
      </w:r>
      <w:proofErr w:type="spellStart"/>
      <w:r w:rsidRPr="00571585">
        <w:rPr>
          <w:sz w:val="28"/>
          <w:szCs w:val="28"/>
        </w:rPr>
        <w:t>Kaipia</w:t>
      </w:r>
      <w:proofErr w:type="spellEnd"/>
      <w:r w:rsidRPr="00571585">
        <w:rPr>
          <w:sz w:val="28"/>
          <w:szCs w:val="28"/>
        </w:rPr>
        <w:t>, 2014).</w:t>
      </w:r>
    </w:p>
    <w:p w14:paraId="43847FDC" w14:textId="77777777" w:rsidR="00571585" w:rsidRPr="00571585" w:rsidRDefault="00571585" w:rsidP="009558E3">
      <w:pPr>
        <w:jc w:val="both"/>
        <w:rPr>
          <w:sz w:val="28"/>
          <w:szCs w:val="28"/>
        </w:rPr>
      </w:pPr>
      <w:r w:rsidRPr="00571585">
        <w:rPr>
          <w:sz w:val="28"/>
          <w:szCs w:val="28"/>
        </w:rPr>
        <w:t xml:space="preserve">GE must pursue SKU </w:t>
      </w:r>
      <w:proofErr w:type="spellStart"/>
      <w:r w:rsidRPr="00571585">
        <w:rPr>
          <w:sz w:val="28"/>
          <w:szCs w:val="28"/>
        </w:rPr>
        <w:t>rationalisation</w:t>
      </w:r>
      <w:proofErr w:type="spellEnd"/>
      <w:r w:rsidRPr="00571585">
        <w:rPr>
          <w:sz w:val="28"/>
          <w:szCs w:val="28"/>
        </w:rPr>
        <w:t xml:space="preserve">, discontinuing unprofitable or slow-moving product variants. This is consistent with restructuring theory, which </w:t>
      </w:r>
      <w:proofErr w:type="spellStart"/>
      <w:r w:rsidRPr="00571585">
        <w:rPr>
          <w:sz w:val="28"/>
          <w:szCs w:val="28"/>
        </w:rPr>
        <w:t>emphasises</w:t>
      </w:r>
      <w:proofErr w:type="spellEnd"/>
      <w:r w:rsidRPr="00571585">
        <w:rPr>
          <w:sz w:val="28"/>
          <w:szCs w:val="28"/>
        </w:rPr>
        <w:t xml:space="preserve"> portfolio simplification to improve capital efficiency (Hotchkiss et al., 2020).</w:t>
      </w:r>
    </w:p>
    <w:p w14:paraId="4D29F00A" w14:textId="77777777" w:rsidR="00571585" w:rsidRPr="00571585" w:rsidRDefault="00571585" w:rsidP="009558E3">
      <w:pPr>
        <w:jc w:val="both"/>
        <w:rPr>
          <w:sz w:val="28"/>
          <w:szCs w:val="28"/>
        </w:rPr>
      </w:pPr>
      <w:r w:rsidRPr="00571585">
        <w:rPr>
          <w:sz w:val="28"/>
          <w:szCs w:val="28"/>
        </w:rPr>
        <w:lastRenderedPageBreak/>
        <w:t xml:space="preserve">To reduce DIO meaningfully, GE should also expand Vendor-Managed Inventory (VMI) for predictable components and implement Just-in-Time replenishment for stable product lines. Safety-stock </w:t>
      </w:r>
      <w:proofErr w:type="spellStart"/>
      <w:r w:rsidRPr="00571585">
        <w:rPr>
          <w:sz w:val="28"/>
          <w:szCs w:val="28"/>
        </w:rPr>
        <w:t>optimisation</w:t>
      </w:r>
      <w:proofErr w:type="spellEnd"/>
      <w:r w:rsidRPr="00571585">
        <w:rPr>
          <w:sz w:val="28"/>
          <w:szCs w:val="28"/>
        </w:rPr>
        <w:t>—using service-level modelling rather than rule-of-thumb multipliers—can also free up substantial working capital.</w:t>
      </w:r>
    </w:p>
    <w:p w14:paraId="2EA2A1DE" w14:textId="2DD3CAA0" w:rsidR="00571585" w:rsidRPr="00571585" w:rsidRDefault="00571585" w:rsidP="009558E3">
      <w:pPr>
        <w:jc w:val="both"/>
        <w:rPr>
          <w:sz w:val="28"/>
          <w:szCs w:val="28"/>
        </w:rPr>
      </w:pPr>
      <w:r w:rsidRPr="00571585">
        <w:rPr>
          <w:sz w:val="28"/>
          <w:szCs w:val="28"/>
        </w:rPr>
        <w:t>In the short term, GE should liquidate obsolete stock through discount channels or secondary markets. While this may temporarily reduce gross margin, it releases locked cash and improves the CCC.</w:t>
      </w:r>
    </w:p>
    <w:p w14:paraId="30289EA3" w14:textId="77777777" w:rsidR="00571585" w:rsidRPr="00571585" w:rsidRDefault="00571585" w:rsidP="009558E3">
      <w:pPr>
        <w:jc w:val="both"/>
        <w:rPr>
          <w:sz w:val="28"/>
          <w:szCs w:val="28"/>
        </w:rPr>
      </w:pPr>
      <w:r w:rsidRPr="00571585">
        <w:rPr>
          <w:sz w:val="28"/>
          <w:szCs w:val="28"/>
        </w:rPr>
        <w:t>2.4 Payables Management (</w:t>
      </w:r>
      <w:proofErr w:type="spellStart"/>
      <w:r w:rsidRPr="00571585">
        <w:rPr>
          <w:sz w:val="28"/>
          <w:szCs w:val="28"/>
        </w:rPr>
        <w:t>Optimising</w:t>
      </w:r>
      <w:proofErr w:type="spellEnd"/>
      <w:r w:rsidRPr="00571585">
        <w:rPr>
          <w:sz w:val="28"/>
          <w:szCs w:val="28"/>
        </w:rPr>
        <w:t>—Not Abusing—DPO)</w:t>
      </w:r>
    </w:p>
    <w:p w14:paraId="215A96A7" w14:textId="77777777" w:rsidR="00571585" w:rsidRPr="00571585" w:rsidRDefault="00571585" w:rsidP="009558E3">
      <w:pPr>
        <w:jc w:val="both"/>
        <w:rPr>
          <w:sz w:val="28"/>
          <w:szCs w:val="28"/>
        </w:rPr>
      </w:pPr>
      <w:r w:rsidRPr="00571585">
        <w:rPr>
          <w:sz w:val="28"/>
          <w:szCs w:val="28"/>
        </w:rPr>
        <w:t xml:space="preserve">GE’s DPO increased to 84 days in 2024, providing partial relief to the stretched CCC. Extending payables is a common strategy in liquidity crises; however, excessive stretching can damage supplier relationships, increase supply-chain disruption risk, and violate ethical procurement standards (Christopher, 2016). Since the assignment brief requires CSR considerations, GE must </w:t>
      </w:r>
      <w:proofErr w:type="spellStart"/>
      <w:r w:rsidRPr="00571585">
        <w:rPr>
          <w:sz w:val="28"/>
          <w:szCs w:val="28"/>
        </w:rPr>
        <w:t>prioritise</w:t>
      </w:r>
      <w:proofErr w:type="spellEnd"/>
      <w:r w:rsidRPr="00571585">
        <w:rPr>
          <w:sz w:val="28"/>
          <w:szCs w:val="28"/>
        </w:rPr>
        <w:t xml:space="preserve"> responsible payment practices, especially when dealing with small or financially vulnerable suppliers.</w:t>
      </w:r>
    </w:p>
    <w:p w14:paraId="2B524A6E" w14:textId="77777777" w:rsidR="00571585" w:rsidRPr="00571585" w:rsidRDefault="00571585" w:rsidP="009558E3">
      <w:pPr>
        <w:jc w:val="both"/>
        <w:rPr>
          <w:sz w:val="28"/>
          <w:szCs w:val="28"/>
        </w:rPr>
      </w:pPr>
      <w:r w:rsidRPr="00571585">
        <w:rPr>
          <w:sz w:val="28"/>
          <w:szCs w:val="28"/>
        </w:rPr>
        <w:t xml:space="preserve">To </w:t>
      </w:r>
      <w:proofErr w:type="spellStart"/>
      <w:r w:rsidRPr="00571585">
        <w:rPr>
          <w:sz w:val="28"/>
          <w:szCs w:val="28"/>
        </w:rPr>
        <w:t>optimise</w:t>
      </w:r>
      <w:proofErr w:type="spellEnd"/>
      <w:r w:rsidRPr="00571585">
        <w:rPr>
          <w:sz w:val="28"/>
          <w:szCs w:val="28"/>
        </w:rPr>
        <w:t xml:space="preserve"> DPO without straining relationships, GE should adopt Supply-Chain Finance (SCF) </w:t>
      </w:r>
      <w:proofErr w:type="spellStart"/>
      <w:r w:rsidRPr="00571585">
        <w:rPr>
          <w:sz w:val="28"/>
          <w:szCs w:val="28"/>
        </w:rPr>
        <w:t>programmes</w:t>
      </w:r>
      <w:proofErr w:type="spellEnd"/>
      <w:r w:rsidRPr="00571585">
        <w:rPr>
          <w:sz w:val="28"/>
          <w:szCs w:val="28"/>
        </w:rPr>
        <w:t>. SCF allows suppliers to be paid early—often at lower financing costs—while GE extends its payment terms. This maintains trust while improving GE’s cash flow. Studies show that SCF can reduce cost-to-serve and improve resilience in distressed corporations (Cull &amp; Xu, 2013).</w:t>
      </w:r>
    </w:p>
    <w:p w14:paraId="0EFE1590" w14:textId="77777777" w:rsidR="00571585" w:rsidRPr="00571585" w:rsidRDefault="00571585" w:rsidP="009558E3">
      <w:pPr>
        <w:jc w:val="both"/>
        <w:rPr>
          <w:sz w:val="28"/>
          <w:szCs w:val="28"/>
        </w:rPr>
      </w:pPr>
      <w:r w:rsidRPr="00571585">
        <w:rPr>
          <w:sz w:val="28"/>
          <w:szCs w:val="28"/>
        </w:rPr>
        <w:t>GE should also negotiate structured payment plans for large contracts and implement dynamic discounting, where discounts adjust based on payment speed and cash availability.</w:t>
      </w:r>
    </w:p>
    <w:p w14:paraId="11E0ADCD" w14:textId="6BBB3ABD" w:rsidR="00571585" w:rsidRPr="00571585" w:rsidRDefault="00571585" w:rsidP="009558E3">
      <w:pPr>
        <w:jc w:val="both"/>
        <w:rPr>
          <w:sz w:val="28"/>
          <w:szCs w:val="28"/>
        </w:rPr>
      </w:pPr>
      <w:r w:rsidRPr="00571585">
        <w:rPr>
          <w:sz w:val="28"/>
          <w:szCs w:val="28"/>
        </w:rPr>
        <w:t>However, payables management cannot solve GE’s liquidity problems alone. Extending DPO must be balanced against inventory and receivables reforms to avoid deepening supplier risk.</w:t>
      </w:r>
    </w:p>
    <w:p w14:paraId="73784DF0" w14:textId="77777777" w:rsidR="00571585" w:rsidRPr="00571585" w:rsidRDefault="00571585" w:rsidP="009558E3">
      <w:pPr>
        <w:jc w:val="both"/>
        <w:rPr>
          <w:sz w:val="28"/>
          <w:szCs w:val="28"/>
        </w:rPr>
      </w:pPr>
      <w:r w:rsidRPr="00571585">
        <w:rPr>
          <w:sz w:val="28"/>
          <w:szCs w:val="28"/>
        </w:rPr>
        <w:t>2.5 Short-Term vs Long-Term Financing Options</w:t>
      </w:r>
    </w:p>
    <w:p w14:paraId="6952E06E" w14:textId="77777777" w:rsidR="00571585" w:rsidRPr="00571585" w:rsidRDefault="00571585" w:rsidP="009558E3">
      <w:pPr>
        <w:jc w:val="both"/>
        <w:rPr>
          <w:sz w:val="28"/>
          <w:szCs w:val="28"/>
        </w:rPr>
      </w:pPr>
      <w:r w:rsidRPr="00571585">
        <w:rPr>
          <w:sz w:val="28"/>
          <w:szCs w:val="28"/>
        </w:rPr>
        <w:t xml:space="preserve">The cash-flow statement confirms GE’s dependence on short-term lines of credit, with borrowings of £102,193m in 2024 and repayments of £120,000m—indicative </w:t>
      </w:r>
      <w:r w:rsidRPr="00571585">
        <w:rPr>
          <w:sz w:val="28"/>
          <w:szCs w:val="28"/>
        </w:rPr>
        <w:lastRenderedPageBreak/>
        <w:t xml:space="preserve">of aggressive revolving debt usage. Short-term financing offers flexibility but exposes the firm to refinancing risk and interest-rate volatility, especially when earnings are negative (Brigham &amp; </w:t>
      </w:r>
      <w:proofErr w:type="spellStart"/>
      <w:r w:rsidRPr="00571585">
        <w:rPr>
          <w:sz w:val="28"/>
          <w:szCs w:val="28"/>
        </w:rPr>
        <w:t>Ehrhardt</w:t>
      </w:r>
      <w:proofErr w:type="spellEnd"/>
      <w:r w:rsidRPr="00571585">
        <w:rPr>
          <w:sz w:val="28"/>
          <w:szCs w:val="28"/>
        </w:rPr>
        <w:t>, 2022).</w:t>
      </w:r>
    </w:p>
    <w:p w14:paraId="2B78B9B3" w14:textId="77777777" w:rsidR="00571585" w:rsidRPr="00571585" w:rsidRDefault="00571585" w:rsidP="009558E3">
      <w:pPr>
        <w:jc w:val="both"/>
        <w:rPr>
          <w:sz w:val="28"/>
          <w:szCs w:val="28"/>
        </w:rPr>
      </w:pPr>
      <w:r w:rsidRPr="00571585">
        <w:rPr>
          <w:sz w:val="28"/>
          <w:szCs w:val="28"/>
        </w:rPr>
        <w:t xml:space="preserve">Long-term financing, in contrast, would </w:t>
      </w:r>
      <w:proofErr w:type="spellStart"/>
      <w:r w:rsidRPr="00571585">
        <w:rPr>
          <w:sz w:val="28"/>
          <w:szCs w:val="28"/>
        </w:rPr>
        <w:t>stabilise</w:t>
      </w:r>
      <w:proofErr w:type="spellEnd"/>
      <w:r w:rsidRPr="00571585">
        <w:rPr>
          <w:sz w:val="28"/>
          <w:szCs w:val="28"/>
        </w:rPr>
        <w:t xml:space="preserve"> GE’s capital structure by allowing predictable repayment schedules and reducing rollover risk. However, long-term debt introduces covenants, requires stronger financial discipline, and may be costly given GE’s deteriorating creditworthiness.</w:t>
      </w:r>
    </w:p>
    <w:p w14:paraId="5178C46B" w14:textId="77777777" w:rsidR="00571585" w:rsidRPr="00571585" w:rsidRDefault="00571585" w:rsidP="009558E3">
      <w:pPr>
        <w:jc w:val="both"/>
        <w:rPr>
          <w:sz w:val="28"/>
          <w:szCs w:val="28"/>
        </w:rPr>
      </w:pPr>
      <w:r w:rsidRPr="00571585">
        <w:rPr>
          <w:sz w:val="28"/>
          <w:szCs w:val="28"/>
        </w:rPr>
        <w:t>A balanced approach is required. GE should:</w:t>
      </w:r>
    </w:p>
    <w:p w14:paraId="21142626" w14:textId="77777777" w:rsidR="00571585" w:rsidRPr="00571585" w:rsidRDefault="00571585" w:rsidP="009558E3">
      <w:pPr>
        <w:numPr>
          <w:ilvl w:val="0"/>
          <w:numId w:val="7"/>
        </w:numPr>
        <w:jc w:val="both"/>
        <w:rPr>
          <w:sz w:val="28"/>
          <w:szCs w:val="28"/>
        </w:rPr>
      </w:pPr>
      <w:r w:rsidRPr="00571585">
        <w:rPr>
          <w:sz w:val="28"/>
          <w:szCs w:val="28"/>
        </w:rPr>
        <w:t>Refinance a portion of short-term debt into medium-term instruments, smoothing liquidity pressures.</w:t>
      </w:r>
    </w:p>
    <w:p w14:paraId="1D083B26" w14:textId="77777777" w:rsidR="00571585" w:rsidRPr="00571585" w:rsidRDefault="00571585" w:rsidP="009558E3">
      <w:pPr>
        <w:numPr>
          <w:ilvl w:val="0"/>
          <w:numId w:val="7"/>
        </w:numPr>
        <w:jc w:val="both"/>
        <w:rPr>
          <w:sz w:val="28"/>
          <w:szCs w:val="28"/>
        </w:rPr>
      </w:pPr>
      <w:r w:rsidRPr="00571585">
        <w:rPr>
          <w:sz w:val="28"/>
          <w:szCs w:val="28"/>
        </w:rPr>
        <w:t>Stagger debt maturities to avoid concentration risk.</w:t>
      </w:r>
    </w:p>
    <w:p w14:paraId="5FD1F53F" w14:textId="77777777" w:rsidR="00571585" w:rsidRPr="00571585" w:rsidRDefault="00571585" w:rsidP="009558E3">
      <w:pPr>
        <w:numPr>
          <w:ilvl w:val="0"/>
          <w:numId w:val="7"/>
        </w:numPr>
        <w:jc w:val="both"/>
        <w:rPr>
          <w:sz w:val="28"/>
          <w:szCs w:val="28"/>
        </w:rPr>
      </w:pPr>
      <w:r w:rsidRPr="00571585">
        <w:rPr>
          <w:sz w:val="28"/>
          <w:szCs w:val="28"/>
        </w:rPr>
        <w:t>Avoid over-leveraging, given the Z-Score distress signals.</w:t>
      </w:r>
    </w:p>
    <w:p w14:paraId="14BA66ED" w14:textId="77777777" w:rsidR="00571585" w:rsidRPr="00571585" w:rsidRDefault="00571585" w:rsidP="009558E3">
      <w:pPr>
        <w:jc w:val="both"/>
        <w:rPr>
          <w:sz w:val="28"/>
          <w:szCs w:val="28"/>
        </w:rPr>
      </w:pPr>
      <w:r w:rsidRPr="00571585">
        <w:rPr>
          <w:sz w:val="28"/>
          <w:szCs w:val="28"/>
        </w:rPr>
        <w:t>Given GE’s current Z-Score (2.82 in 2024), any additional long-term borrowing must be linked to a credible turnaround plan focusing on EBIT recovery and CCC reduction.</w:t>
      </w:r>
    </w:p>
    <w:p w14:paraId="187DBFD7" w14:textId="77777777" w:rsidR="00571585" w:rsidRPr="00571585" w:rsidRDefault="00571585" w:rsidP="009558E3">
      <w:pPr>
        <w:jc w:val="both"/>
        <w:rPr>
          <w:sz w:val="28"/>
          <w:szCs w:val="28"/>
        </w:rPr>
      </w:pPr>
      <w:r w:rsidRPr="00571585">
        <w:rPr>
          <w:sz w:val="28"/>
          <w:szCs w:val="28"/>
        </w:rPr>
        <w:t>Working-capital reform represents one of GE’s most powerful short-term levers for liquidity relief. Improving DSO, reducing DIO, and responsibly using DPO could collectively release billions in trapped cash, reduce financial distress, and materially strengthen the company’s solvency position. These improvements are essential prerequisites for any sustainable restructuring or investment decision.</w:t>
      </w:r>
    </w:p>
    <w:p w14:paraId="4C8D6807" w14:textId="77777777" w:rsidR="006B51A1" w:rsidRPr="006B51A1" w:rsidRDefault="006B51A1" w:rsidP="009558E3">
      <w:pPr>
        <w:jc w:val="both"/>
        <w:rPr>
          <w:sz w:val="28"/>
          <w:szCs w:val="28"/>
        </w:rPr>
      </w:pPr>
      <w:r w:rsidRPr="006B51A1">
        <w:rPr>
          <w:sz w:val="28"/>
          <w:szCs w:val="28"/>
        </w:rPr>
        <w:t>SECTION 3 — STRATEGIC FINANCIAL RESTRUCTURING PLAN (Revised With Excel Evidence)</w:t>
      </w:r>
    </w:p>
    <w:p w14:paraId="17711EE8" w14:textId="763D0AAA" w:rsidR="006B51A1" w:rsidRPr="006B51A1" w:rsidRDefault="006B51A1" w:rsidP="009558E3">
      <w:pPr>
        <w:jc w:val="both"/>
        <w:rPr>
          <w:sz w:val="28"/>
          <w:szCs w:val="28"/>
        </w:rPr>
      </w:pPr>
      <w:r w:rsidRPr="006B51A1">
        <w:rPr>
          <w:sz w:val="28"/>
          <w:szCs w:val="28"/>
        </w:rPr>
        <w:t xml:space="preserve">General Electronics’ Excel-derived financial statements reveal a company under acute operational and financial strain. The sharp revenue fall from £542,751m (2022) to £394,879m (2024), combined with EBIT collapsing from £14,548m to –£85,301m (2023) and remaining negative in 2024 at –£15,297m, signals an </w:t>
      </w:r>
      <w:proofErr w:type="spellStart"/>
      <w:r w:rsidRPr="006B51A1">
        <w:rPr>
          <w:sz w:val="28"/>
          <w:szCs w:val="28"/>
        </w:rPr>
        <w:t>organisation</w:t>
      </w:r>
      <w:proofErr w:type="spellEnd"/>
      <w:r w:rsidRPr="006B51A1">
        <w:rPr>
          <w:sz w:val="28"/>
          <w:szCs w:val="28"/>
        </w:rPr>
        <w:t xml:space="preserve"> suffering from severe operational deleverage. At the same time, equity has eroded from £330,698m (2022) to only £153,105m (2024), weakening solvency and pushing the Altman Z-Score into the distress-prone grey zone (2024 = 2.82). </w:t>
      </w:r>
      <w:r w:rsidRPr="006B51A1">
        <w:rPr>
          <w:sz w:val="28"/>
          <w:szCs w:val="28"/>
        </w:rPr>
        <w:lastRenderedPageBreak/>
        <w:t>Excel cash flow data also show heavy reliance on credit lines (borrowing £102bn, repaying £120bn in 2024) and drastic cuts in capital expenditure (from £14bn in 2022 to £4.6bn in 2024). These figures collectively justify a comprehensive, CFO-led restructuring plan.</w:t>
      </w:r>
    </w:p>
    <w:p w14:paraId="69BB6A45" w14:textId="77777777" w:rsidR="006B51A1" w:rsidRPr="006B51A1" w:rsidRDefault="006B51A1" w:rsidP="009558E3">
      <w:pPr>
        <w:jc w:val="both"/>
        <w:rPr>
          <w:sz w:val="28"/>
          <w:szCs w:val="28"/>
        </w:rPr>
      </w:pPr>
      <w:r w:rsidRPr="006B51A1">
        <w:rPr>
          <w:sz w:val="28"/>
          <w:szCs w:val="28"/>
        </w:rPr>
        <w:t>3.1 Operational Turnaround Strategy</w:t>
      </w:r>
    </w:p>
    <w:p w14:paraId="55E8B78D" w14:textId="77777777" w:rsidR="006B51A1" w:rsidRPr="006B51A1" w:rsidRDefault="006B51A1" w:rsidP="009558E3">
      <w:pPr>
        <w:jc w:val="both"/>
        <w:rPr>
          <w:sz w:val="28"/>
          <w:szCs w:val="28"/>
        </w:rPr>
      </w:pPr>
      <w:r w:rsidRPr="006B51A1">
        <w:rPr>
          <w:sz w:val="28"/>
          <w:szCs w:val="28"/>
        </w:rPr>
        <w:t>The Excel income statements make clear that operating costs have remained high despite falling sales. Selling, general and administrative expenses (SG&amp;A) fell marginally, but not enough to offset the revenue shock. A zero-based budgeting (ZBB) approach is therefore essential to realign SG&amp;A with the new revenue base. Given EBIT deteriorated by over £100bn between 2022 and 2023, even a 10% SG&amp;A reduction (consistent with Bain &amp; Co., 2021) would materially improve margins.</w:t>
      </w:r>
    </w:p>
    <w:p w14:paraId="5BD677EF" w14:textId="77777777" w:rsidR="006B51A1" w:rsidRPr="006B51A1" w:rsidRDefault="006B51A1" w:rsidP="009558E3">
      <w:pPr>
        <w:jc w:val="both"/>
        <w:rPr>
          <w:sz w:val="28"/>
          <w:szCs w:val="28"/>
        </w:rPr>
      </w:pPr>
      <w:r w:rsidRPr="006B51A1">
        <w:rPr>
          <w:sz w:val="28"/>
          <w:szCs w:val="28"/>
        </w:rPr>
        <w:t xml:space="preserve">The company’s fixed-cost structure amplifies earnings volatility: with sales down 27%, EBIT fell disproportionately into deep negative territory. This confirms Brigham and </w:t>
      </w:r>
      <w:proofErr w:type="spellStart"/>
      <w:r w:rsidRPr="006B51A1">
        <w:rPr>
          <w:sz w:val="28"/>
          <w:szCs w:val="28"/>
        </w:rPr>
        <w:t>Ehrhardt’s</w:t>
      </w:r>
      <w:proofErr w:type="spellEnd"/>
      <w:r w:rsidRPr="006B51A1">
        <w:rPr>
          <w:sz w:val="28"/>
          <w:szCs w:val="28"/>
        </w:rPr>
        <w:t xml:space="preserve"> (2022) observation that high operating leverage accelerates profit declines when revenues fall. GE must convert fixed costs into variable costs through outsourced production, facility consolidation, and flexible </w:t>
      </w:r>
      <w:proofErr w:type="spellStart"/>
      <w:r w:rsidRPr="006B51A1">
        <w:rPr>
          <w:sz w:val="28"/>
          <w:szCs w:val="28"/>
        </w:rPr>
        <w:t>labour</w:t>
      </w:r>
      <w:proofErr w:type="spellEnd"/>
      <w:r w:rsidRPr="006B51A1">
        <w:rPr>
          <w:sz w:val="28"/>
          <w:szCs w:val="28"/>
        </w:rPr>
        <w:t xml:space="preserve"> models.</w:t>
      </w:r>
    </w:p>
    <w:p w14:paraId="4DC3F240" w14:textId="77777777" w:rsidR="006B51A1" w:rsidRPr="006B51A1" w:rsidRDefault="006B51A1" w:rsidP="009558E3">
      <w:pPr>
        <w:jc w:val="both"/>
        <w:rPr>
          <w:sz w:val="28"/>
          <w:szCs w:val="28"/>
        </w:rPr>
      </w:pPr>
      <w:r w:rsidRPr="006B51A1">
        <w:rPr>
          <w:sz w:val="28"/>
          <w:szCs w:val="28"/>
        </w:rPr>
        <w:t xml:space="preserve">Although GE maintained a stable 28–29% gross margin, Excel SKU-level costing (reflected indirectly in stable COGS ratios) suggests that many product lines remain profitable at the unit level but are burdened by overhead. The CFO must therefore </w:t>
      </w:r>
      <w:proofErr w:type="spellStart"/>
      <w:r w:rsidRPr="006B51A1">
        <w:rPr>
          <w:sz w:val="28"/>
          <w:szCs w:val="28"/>
        </w:rPr>
        <w:t>rationalise</w:t>
      </w:r>
      <w:proofErr w:type="spellEnd"/>
      <w:r w:rsidRPr="006B51A1">
        <w:rPr>
          <w:sz w:val="28"/>
          <w:szCs w:val="28"/>
        </w:rPr>
        <w:t xml:space="preserve"> SKUs—discontinuing loss-making models and </w:t>
      </w:r>
      <w:proofErr w:type="spellStart"/>
      <w:r w:rsidRPr="006B51A1">
        <w:rPr>
          <w:sz w:val="28"/>
          <w:szCs w:val="28"/>
        </w:rPr>
        <w:t>prioritising</w:t>
      </w:r>
      <w:proofErr w:type="spellEnd"/>
      <w:r w:rsidRPr="006B51A1">
        <w:rPr>
          <w:sz w:val="28"/>
          <w:szCs w:val="28"/>
        </w:rPr>
        <w:t xml:space="preserve"> high-margin segments—to reduce inventory complexity and decrease DIO (currently &gt;100 days).</w:t>
      </w:r>
    </w:p>
    <w:p w14:paraId="0F3DDEFC" w14:textId="0731DDD6" w:rsidR="006B51A1" w:rsidRPr="006B51A1" w:rsidRDefault="006B51A1" w:rsidP="009558E3">
      <w:pPr>
        <w:jc w:val="both"/>
        <w:rPr>
          <w:sz w:val="28"/>
          <w:szCs w:val="28"/>
        </w:rPr>
      </w:pPr>
      <w:r w:rsidRPr="006B51A1">
        <w:rPr>
          <w:sz w:val="28"/>
          <w:szCs w:val="28"/>
        </w:rPr>
        <w:t>Excel reveals that capex collapsed from £14bn (2022) to £4.6bn (2024) during the downturn. While this protected short-term cash, it risks long-term competitiveness. The turnaround requires selective reinvestment in automation and AI-driven supply-chain systems with rapid payback (&lt;2 years). McKinsey (2022) reports that such investments raise electronics EBIT by 4–6 percentage points, supporting GE’s pathway back to profitability.</w:t>
      </w:r>
    </w:p>
    <w:p w14:paraId="53A02A0F" w14:textId="77777777" w:rsidR="006B51A1" w:rsidRPr="006B51A1" w:rsidRDefault="006B51A1" w:rsidP="009558E3">
      <w:pPr>
        <w:jc w:val="both"/>
        <w:rPr>
          <w:sz w:val="28"/>
          <w:szCs w:val="28"/>
        </w:rPr>
      </w:pPr>
      <w:r w:rsidRPr="006B51A1">
        <w:rPr>
          <w:sz w:val="28"/>
          <w:szCs w:val="28"/>
        </w:rPr>
        <w:t>3.2 Capital Structure &amp; Balance Sheet Strategy</w:t>
      </w:r>
    </w:p>
    <w:p w14:paraId="427A6A59" w14:textId="77777777" w:rsidR="006B51A1" w:rsidRPr="006B51A1" w:rsidRDefault="006B51A1" w:rsidP="009558E3">
      <w:pPr>
        <w:jc w:val="both"/>
        <w:rPr>
          <w:sz w:val="28"/>
          <w:szCs w:val="28"/>
        </w:rPr>
      </w:pPr>
      <w:r w:rsidRPr="006B51A1">
        <w:rPr>
          <w:sz w:val="28"/>
          <w:szCs w:val="28"/>
        </w:rPr>
        <w:t xml:space="preserve">Excel </w:t>
      </w:r>
      <w:proofErr w:type="spellStart"/>
      <w:r w:rsidRPr="006B51A1">
        <w:rPr>
          <w:sz w:val="28"/>
          <w:szCs w:val="28"/>
        </w:rPr>
        <w:t>cashflows</w:t>
      </w:r>
      <w:proofErr w:type="spellEnd"/>
      <w:r w:rsidRPr="006B51A1">
        <w:rPr>
          <w:sz w:val="28"/>
          <w:szCs w:val="28"/>
        </w:rPr>
        <w:t xml:space="preserve"> expose GE’s heavy dependence on short-term financing. In 2024 alone, the firm borrowed £102,193m and repaid £120,000m via credit lines—</w:t>
      </w:r>
      <w:r w:rsidRPr="006B51A1">
        <w:rPr>
          <w:sz w:val="28"/>
          <w:szCs w:val="28"/>
        </w:rPr>
        <w:lastRenderedPageBreak/>
        <w:t>evidence of liquidity fragility and refinancing risk. Short-term leverage also contributed to GE’s Debt/Equity ratio rising to 1.11×, well above the sector norm (~0.7×).</w:t>
      </w:r>
    </w:p>
    <w:p w14:paraId="6D4EBD8F" w14:textId="77777777" w:rsidR="006B51A1" w:rsidRPr="006B51A1" w:rsidRDefault="006B51A1" w:rsidP="009558E3">
      <w:pPr>
        <w:jc w:val="both"/>
        <w:rPr>
          <w:sz w:val="28"/>
          <w:szCs w:val="28"/>
        </w:rPr>
      </w:pPr>
      <w:r w:rsidRPr="006B51A1">
        <w:rPr>
          <w:sz w:val="28"/>
          <w:szCs w:val="28"/>
        </w:rPr>
        <w:t>The CFO must term-out short-term debt by converting revolving credit into medium-term instruments with predictable maturities. By doing so, GE reduces refinancing exposure at a time when its negative interest coverage (EBIT &lt; interest expense) threatens covenant breaches.</w:t>
      </w:r>
    </w:p>
    <w:p w14:paraId="00CB0001" w14:textId="77777777" w:rsidR="006B51A1" w:rsidRPr="006B51A1" w:rsidRDefault="006B51A1" w:rsidP="009558E3">
      <w:pPr>
        <w:jc w:val="both"/>
        <w:rPr>
          <w:sz w:val="28"/>
          <w:szCs w:val="28"/>
        </w:rPr>
      </w:pPr>
      <w:r w:rsidRPr="006B51A1">
        <w:rPr>
          <w:sz w:val="28"/>
          <w:szCs w:val="28"/>
        </w:rPr>
        <w:t>Covenant renegotiation is crucial. Excel shows retained earnings shrinking from £330bn (2022) to £208bn (2024), weakening capital buffers. Hotchkiss et al. (2020) highlight that distressed firms with early covenant renegotiation avoid forced asset sales and maintain strategic control. GE must proactively secure maturity extensions and financial covenant resets aligned with turnaround milestones.</w:t>
      </w:r>
    </w:p>
    <w:p w14:paraId="06CBCCF5" w14:textId="77777777" w:rsidR="006B51A1" w:rsidRPr="006B51A1" w:rsidRDefault="006B51A1" w:rsidP="009558E3">
      <w:pPr>
        <w:jc w:val="both"/>
        <w:rPr>
          <w:sz w:val="28"/>
          <w:szCs w:val="28"/>
        </w:rPr>
      </w:pPr>
      <w:r w:rsidRPr="006B51A1">
        <w:rPr>
          <w:sz w:val="28"/>
          <w:szCs w:val="28"/>
        </w:rPr>
        <w:t>The balance sheet could also benefit from opportunistic bond buybacks if GE’s debt trades at a discount. However, Excel indicates limited free cash flow beyond operating inflows (£14.8bn in 2024), meaning any repurchases should be funded via divestiture proceeds to avoid deepening leverage.</w:t>
      </w:r>
    </w:p>
    <w:p w14:paraId="4ED037FD" w14:textId="7167EE0F" w:rsidR="006B51A1" w:rsidRPr="006B51A1" w:rsidRDefault="006B51A1" w:rsidP="009558E3">
      <w:pPr>
        <w:jc w:val="both"/>
        <w:rPr>
          <w:sz w:val="28"/>
          <w:szCs w:val="28"/>
        </w:rPr>
      </w:pPr>
      <w:r w:rsidRPr="006B51A1">
        <w:rPr>
          <w:sz w:val="28"/>
          <w:szCs w:val="28"/>
        </w:rPr>
        <w:t>Finally, the CFO should restructure interest-rate exposure by shifting variable-rate debt to fixed-rate using swaps. Negative interest coverage and volatile operating earnings  make GE highly vulnerable to rate increases.</w:t>
      </w:r>
    </w:p>
    <w:p w14:paraId="2500CE1D" w14:textId="77777777" w:rsidR="006B51A1" w:rsidRPr="006B51A1" w:rsidRDefault="006B51A1" w:rsidP="009558E3">
      <w:pPr>
        <w:jc w:val="both"/>
        <w:rPr>
          <w:sz w:val="28"/>
          <w:szCs w:val="28"/>
        </w:rPr>
      </w:pPr>
      <w:r w:rsidRPr="006B51A1">
        <w:rPr>
          <w:sz w:val="28"/>
          <w:szCs w:val="28"/>
        </w:rPr>
        <w:t xml:space="preserve">3.3 Portfolio </w:t>
      </w:r>
      <w:proofErr w:type="spellStart"/>
      <w:r w:rsidRPr="006B51A1">
        <w:rPr>
          <w:sz w:val="28"/>
          <w:szCs w:val="28"/>
        </w:rPr>
        <w:t>Rationalisation</w:t>
      </w:r>
      <w:proofErr w:type="spellEnd"/>
      <w:r w:rsidRPr="006B51A1">
        <w:rPr>
          <w:sz w:val="28"/>
          <w:szCs w:val="28"/>
        </w:rPr>
        <w:t xml:space="preserve"> &amp; Divestitures</w:t>
      </w:r>
    </w:p>
    <w:p w14:paraId="2AEFE2E9" w14:textId="77777777" w:rsidR="006B51A1" w:rsidRPr="006B51A1" w:rsidRDefault="006B51A1" w:rsidP="009558E3">
      <w:pPr>
        <w:jc w:val="both"/>
        <w:rPr>
          <w:sz w:val="28"/>
          <w:szCs w:val="28"/>
        </w:rPr>
      </w:pPr>
      <w:r w:rsidRPr="006B51A1">
        <w:rPr>
          <w:sz w:val="28"/>
          <w:szCs w:val="28"/>
        </w:rPr>
        <w:t>The Excel statements show recurring impairment charges—most notably the £49bn goodwill impairment in 2023—suggesting persistent underperformance of certain business units. This reinforces the need for a strategic portfolio cleanse.</w:t>
      </w:r>
    </w:p>
    <w:p w14:paraId="4FE0DD36" w14:textId="77777777" w:rsidR="006B51A1" w:rsidRPr="006B51A1" w:rsidRDefault="006B51A1" w:rsidP="009558E3">
      <w:pPr>
        <w:jc w:val="both"/>
        <w:rPr>
          <w:sz w:val="28"/>
          <w:szCs w:val="28"/>
        </w:rPr>
      </w:pPr>
      <w:r w:rsidRPr="006B51A1">
        <w:rPr>
          <w:sz w:val="28"/>
          <w:szCs w:val="28"/>
        </w:rPr>
        <w:t xml:space="preserve">GE should </w:t>
      </w:r>
      <w:proofErr w:type="spellStart"/>
      <w:r w:rsidRPr="006B51A1">
        <w:rPr>
          <w:sz w:val="28"/>
          <w:szCs w:val="28"/>
        </w:rPr>
        <w:t>prioritise</w:t>
      </w:r>
      <w:proofErr w:type="spellEnd"/>
      <w:r w:rsidRPr="006B51A1">
        <w:rPr>
          <w:sz w:val="28"/>
          <w:szCs w:val="28"/>
        </w:rPr>
        <w:t xml:space="preserve"> high-margin segments identified through stable gross-margin performance. Meanwhile, capital-intensive or chronically loss-making divisions—evidenced by sustained negative EBIT—should be divested. Divestitures would generate immediate liquidity and strengthen solvency by reducing asset intensity. John et al. (1992) show that divestiture-led restructuring significantly increases survival probability for distressed firms.</w:t>
      </w:r>
    </w:p>
    <w:p w14:paraId="00932EEC" w14:textId="77777777" w:rsidR="006B51A1" w:rsidRPr="006B51A1" w:rsidRDefault="006B51A1" w:rsidP="009558E3">
      <w:pPr>
        <w:jc w:val="both"/>
        <w:rPr>
          <w:sz w:val="28"/>
          <w:szCs w:val="28"/>
        </w:rPr>
      </w:pPr>
      <w:r w:rsidRPr="006B51A1">
        <w:rPr>
          <w:sz w:val="28"/>
          <w:szCs w:val="28"/>
        </w:rPr>
        <w:lastRenderedPageBreak/>
        <w:t>Furthermore, GE’s large working-capital footprint (e.g., inventory £79bn, receivables £114bn in 2024) suggests operational sprawl. Portfolio simplification will shorten supply chains, lower working-capital needs, and sharpen managerial focus.</w:t>
      </w:r>
    </w:p>
    <w:p w14:paraId="0B852094" w14:textId="0182EB47" w:rsidR="006B51A1" w:rsidRPr="006B51A1" w:rsidRDefault="006B51A1" w:rsidP="009558E3">
      <w:pPr>
        <w:jc w:val="both"/>
        <w:rPr>
          <w:sz w:val="28"/>
          <w:szCs w:val="28"/>
        </w:rPr>
      </w:pPr>
      <w:r w:rsidRPr="006B51A1">
        <w:rPr>
          <w:sz w:val="28"/>
          <w:szCs w:val="28"/>
        </w:rPr>
        <w:t xml:space="preserve">The strategic end-state is a more coherent business </w:t>
      </w:r>
      <w:proofErr w:type="spellStart"/>
      <w:r w:rsidRPr="006B51A1">
        <w:rPr>
          <w:sz w:val="28"/>
          <w:szCs w:val="28"/>
        </w:rPr>
        <w:t>centred</w:t>
      </w:r>
      <w:proofErr w:type="spellEnd"/>
      <w:r w:rsidRPr="006B51A1">
        <w:rPr>
          <w:sz w:val="28"/>
          <w:szCs w:val="28"/>
        </w:rPr>
        <w:t xml:space="preserve"> on consumer electronics integrated with software ecosystems, mirroring successful industry models (Linz et al., 2020). This shift would improve margin quality and competitive positioning.</w:t>
      </w:r>
    </w:p>
    <w:p w14:paraId="0D3F942A" w14:textId="77777777" w:rsidR="006B51A1" w:rsidRPr="006B51A1" w:rsidRDefault="006B51A1" w:rsidP="009558E3">
      <w:pPr>
        <w:jc w:val="both"/>
        <w:rPr>
          <w:sz w:val="28"/>
          <w:szCs w:val="28"/>
        </w:rPr>
      </w:pPr>
      <w:r w:rsidRPr="006B51A1">
        <w:rPr>
          <w:sz w:val="28"/>
          <w:szCs w:val="28"/>
        </w:rPr>
        <w:t>3.4 Equity Options &amp; Shareholder Resilience</w:t>
      </w:r>
    </w:p>
    <w:p w14:paraId="5B23C88A" w14:textId="77777777" w:rsidR="006B51A1" w:rsidRPr="006B51A1" w:rsidRDefault="006B51A1" w:rsidP="009558E3">
      <w:pPr>
        <w:jc w:val="both"/>
        <w:rPr>
          <w:sz w:val="28"/>
          <w:szCs w:val="28"/>
        </w:rPr>
      </w:pPr>
      <w:r w:rsidRPr="006B51A1">
        <w:rPr>
          <w:sz w:val="28"/>
          <w:szCs w:val="28"/>
        </w:rPr>
        <w:t>The Excel balance sheet shows equity falling by nearly £180bn between 2022 and 2024. Such erosion increases financial fragility and constrains borrowing capacity. To rebuild resilience, GE should consider a rights issue. Rights issues allow existing shareholders to maintain proportional ownership, supporting fairness and governance integrity.</w:t>
      </w:r>
    </w:p>
    <w:p w14:paraId="06D13DF3" w14:textId="77777777" w:rsidR="006B51A1" w:rsidRPr="006B51A1" w:rsidRDefault="006B51A1" w:rsidP="009558E3">
      <w:pPr>
        <w:jc w:val="both"/>
        <w:rPr>
          <w:sz w:val="28"/>
          <w:szCs w:val="28"/>
        </w:rPr>
      </w:pPr>
      <w:r w:rsidRPr="006B51A1">
        <w:rPr>
          <w:sz w:val="28"/>
          <w:szCs w:val="28"/>
        </w:rPr>
        <w:t>Alternatively, GE could seek a strategic equity partner—a major technology manufacturer or sovereign wealth fund. This would provide capital without over-reliance on debt and could unlock supply-chain or market-access synergies.</w:t>
      </w:r>
    </w:p>
    <w:p w14:paraId="24424CF9" w14:textId="77777777" w:rsidR="006B51A1" w:rsidRPr="006B51A1" w:rsidRDefault="006B51A1" w:rsidP="009558E3">
      <w:pPr>
        <w:jc w:val="both"/>
        <w:rPr>
          <w:sz w:val="28"/>
          <w:szCs w:val="28"/>
        </w:rPr>
      </w:pPr>
      <w:r w:rsidRPr="006B51A1">
        <w:rPr>
          <w:sz w:val="28"/>
          <w:szCs w:val="28"/>
        </w:rPr>
        <w:t xml:space="preserve">Ethical communication with investors is essential. Eccles and </w:t>
      </w:r>
      <w:proofErr w:type="spellStart"/>
      <w:r w:rsidRPr="006B51A1">
        <w:rPr>
          <w:sz w:val="28"/>
          <w:szCs w:val="28"/>
        </w:rPr>
        <w:t>Youmans</w:t>
      </w:r>
      <w:proofErr w:type="spellEnd"/>
      <w:r w:rsidRPr="006B51A1">
        <w:rPr>
          <w:sz w:val="28"/>
          <w:szCs w:val="28"/>
        </w:rPr>
        <w:t xml:space="preserve"> (2016) </w:t>
      </w:r>
      <w:proofErr w:type="spellStart"/>
      <w:r w:rsidRPr="006B51A1">
        <w:rPr>
          <w:sz w:val="28"/>
          <w:szCs w:val="28"/>
        </w:rPr>
        <w:t>emphasise</w:t>
      </w:r>
      <w:proofErr w:type="spellEnd"/>
      <w:r w:rsidRPr="006B51A1">
        <w:rPr>
          <w:sz w:val="28"/>
          <w:szCs w:val="28"/>
        </w:rPr>
        <w:t xml:space="preserve"> that transparent reporting during distress preserves shareholder trust and reduces litigation risk. GE must avoid over-optimistic disclosures and clearly articulate restructuring milestones.</w:t>
      </w:r>
    </w:p>
    <w:p w14:paraId="0BEDEC56" w14:textId="4D04BDFD" w:rsidR="006B51A1" w:rsidRPr="006B51A1" w:rsidRDefault="006B51A1" w:rsidP="009558E3">
      <w:pPr>
        <w:jc w:val="both"/>
        <w:rPr>
          <w:sz w:val="28"/>
          <w:szCs w:val="28"/>
        </w:rPr>
      </w:pPr>
      <w:r w:rsidRPr="006B51A1">
        <w:rPr>
          <w:sz w:val="28"/>
          <w:szCs w:val="28"/>
        </w:rPr>
        <w:t>Equity raising should occur after demonstrating early turnaround results to avoid value-destructive dilution.</w:t>
      </w:r>
    </w:p>
    <w:p w14:paraId="41906633" w14:textId="77777777" w:rsidR="006B51A1" w:rsidRPr="006B51A1" w:rsidRDefault="006B51A1" w:rsidP="009558E3">
      <w:pPr>
        <w:jc w:val="both"/>
        <w:rPr>
          <w:sz w:val="28"/>
          <w:szCs w:val="28"/>
        </w:rPr>
      </w:pPr>
      <w:r w:rsidRPr="006B51A1">
        <w:rPr>
          <w:sz w:val="28"/>
          <w:szCs w:val="28"/>
        </w:rPr>
        <w:t>3.5 International, CSR, Taxation &amp; Currency Risks</w:t>
      </w:r>
    </w:p>
    <w:p w14:paraId="5BAD8CE4" w14:textId="77777777" w:rsidR="006B51A1" w:rsidRPr="006B51A1" w:rsidRDefault="006B51A1" w:rsidP="009558E3">
      <w:pPr>
        <w:jc w:val="both"/>
        <w:rPr>
          <w:sz w:val="28"/>
          <w:szCs w:val="28"/>
        </w:rPr>
      </w:pPr>
      <w:r w:rsidRPr="006B51A1">
        <w:rPr>
          <w:sz w:val="28"/>
          <w:szCs w:val="28"/>
        </w:rPr>
        <w:t>GE’s global operations expose it to currency volatility. Excel shows multi-currency revenue streams with declining profitability, making FX management essential. The CFO should deploy layered hedging, combining forwards, options, and natural hedging by matching currency inflows and outflows (Shapiro, 2020).</w:t>
      </w:r>
    </w:p>
    <w:p w14:paraId="2C02E2EB" w14:textId="77777777" w:rsidR="006B51A1" w:rsidRPr="006B51A1" w:rsidRDefault="006B51A1" w:rsidP="009558E3">
      <w:pPr>
        <w:jc w:val="both"/>
        <w:rPr>
          <w:sz w:val="28"/>
          <w:szCs w:val="28"/>
        </w:rPr>
      </w:pPr>
      <w:r w:rsidRPr="006B51A1">
        <w:rPr>
          <w:sz w:val="28"/>
          <w:szCs w:val="28"/>
        </w:rPr>
        <w:lastRenderedPageBreak/>
        <w:t>Inflation-linked supplier contracts can reduce exposure to input-price shocks, which contributed to the rising COGS in earlier years. Meanwhile, a CSR-aligned supply-chain policy is critical. GE must avoid extending payables beyond sustainable limits. DPO reached 84 days, and further extension risks harming small suppliers—contrary to responsible procurement principles (Christopher, 2016).</w:t>
      </w:r>
    </w:p>
    <w:p w14:paraId="66CA9ADA" w14:textId="0FC66965" w:rsidR="006B51A1" w:rsidRPr="006B51A1" w:rsidRDefault="006B51A1" w:rsidP="009558E3">
      <w:pPr>
        <w:jc w:val="both"/>
        <w:rPr>
          <w:sz w:val="28"/>
          <w:szCs w:val="28"/>
        </w:rPr>
      </w:pPr>
      <w:r w:rsidRPr="006B51A1">
        <w:rPr>
          <w:sz w:val="28"/>
          <w:szCs w:val="28"/>
        </w:rPr>
        <w:t xml:space="preserve">Tax planning should </w:t>
      </w:r>
      <w:proofErr w:type="spellStart"/>
      <w:r w:rsidRPr="006B51A1">
        <w:rPr>
          <w:sz w:val="28"/>
          <w:szCs w:val="28"/>
        </w:rPr>
        <w:t>emphasise</w:t>
      </w:r>
      <w:proofErr w:type="spellEnd"/>
      <w:r w:rsidRPr="006B51A1">
        <w:rPr>
          <w:sz w:val="28"/>
          <w:szCs w:val="28"/>
        </w:rPr>
        <w:t xml:space="preserve"> compliance using loss carryforwards, transfer-pricing documentation, and Advance Pricing Agreements to prevent disputes. With Excel showing large taxable losses in 2023–2024, GE can use loss </w:t>
      </w:r>
      <w:proofErr w:type="spellStart"/>
      <w:r w:rsidRPr="006B51A1">
        <w:rPr>
          <w:sz w:val="28"/>
          <w:szCs w:val="28"/>
        </w:rPr>
        <w:t>utilisation</w:t>
      </w:r>
      <w:proofErr w:type="spellEnd"/>
      <w:r w:rsidRPr="006B51A1">
        <w:rPr>
          <w:sz w:val="28"/>
          <w:szCs w:val="28"/>
        </w:rPr>
        <w:t xml:space="preserve"> to generate </w:t>
      </w:r>
      <w:proofErr w:type="spellStart"/>
      <w:r w:rsidRPr="006B51A1">
        <w:rPr>
          <w:sz w:val="28"/>
          <w:szCs w:val="28"/>
        </w:rPr>
        <w:t>cashflow</w:t>
      </w:r>
      <w:proofErr w:type="spellEnd"/>
      <w:r w:rsidRPr="006B51A1">
        <w:rPr>
          <w:sz w:val="28"/>
          <w:szCs w:val="28"/>
        </w:rPr>
        <w:t xml:space="preserve"> benefits.</w:t>
      </w:r>
    </w:p>
    <w:p w14:paraId="05A39D07" w14:textId="77777777" w:rsidR="006B51A1" w:rsidRPr="006B51A1" w:rsidRDefault="006B51A1" w:rsidP="009558E3">
      <w:pPr>
        <w:jc w:val="both"/>
        <w:rPr>
          <w:sz w:val="28"/>
          <w:szCs w:val="28"/>
        </w:rPr>
      </w:pPr>
      <w:r w:rsidRPr="006B51A1">
        <w:rPr>
          <w:sz w:val="28"/>
          <w:szCs w:val="28"/>
        </w:rPr>
        <w:t>3.6 Expected Impact on Financial Health</w:t>
      </w:r>
    </w:p>
    <w:p w14:paraId="70CBC45F" w14:textId="77777777" w:rsidR="006B51A1" w:rsidRPr="006B51A1" w:rsidRDefault="006B51A1" w:rsidP="009558E3">
      <w:pPr>
        <w:jc w:val="both"/>
        <w:rPr>
          <w:sz w:val="28"/>
          <w:szCs w:val="28"/>
        </w:rPr>
      </w:pPr>
      <w:r w:rsidRPr="006B51A1">
        <w:rPr>
          <w:sz w:val="28"/>
          <w:szCs w:val="28"/>
        </w:rPr>
        <w:t>If implemented effectively, the restructuring plan would materially improve GE’s financial metrics:</w:t>
      </w:r>
    </w:p>
    <w:p w14:paraId="54395E81" w14:textId="77777777" w:rsidR="006B51A1" w:rsidRPr="006B51A1" w:rsidRDefault="006B51A1" w:rsidP="009558E3">
      <w:pPr>
        <w:numPr>
          <w:ilvl w:val="0"/>
          <w:numId w:val="8"/>
        </w:numPr>
        <w:jc w:val="both"/>
        <w:rPr>
          <w:sz w:val="28"/>
          <w:szCs w:val="28"/>
        </w:rPr>
      </w:pPr>
      <w:r w:rsidRPr="006B51A1">
        <w:rPr>
          <w:sz w:val="28"/>
          <w:szCs w:val="28"/>
        </w:rPr>
        <w:t>CCC reduction (target: from ~130 days to &lt;100 days) would release billions in working capital.</w:t>
      </w:r>
    </w:p>
    <w:p w14:paraId="37EB6D94" w14:textId="77777777" w:rsidR="006B51A1" w:rsidRPr="006B51A1" w:rsidRDefault="006B51A1" w:rsidP="009558E3">
      <w:pPr>
        <w:numPr>
          <w:ilvl w:val="0"/>
          <w:numId w:val="8"/>
        </w:numPr>
        <w:jc w:val="both"/>
        <w:rPr>
          <w:sz w:val="28"/>
          <w:szCs w:val="28"/>
        </w:rPr>
      </w:pPr>
      <w:r w:rsidRPr="006B51A1">
        <w:rPr>
          <w:sz w:val="28"/>
          <w:szCs w:val="28"/>
        </w:rPr>
        <w:t xml:space="preserve">Restoring positive EBIT—through ZBB, automation, and SKU </w:t>
      </w:r>
      <w:proofErr w:type="spellStart"/>
      <w:r w:rsidRPr="006B51A1">
        <w:rPr>
          <w:sz w:val="28"/>
          <w:szCs w:val="28"/>
        </w:rPr>
        <w:t>rationalisation</w:t>
      </w:r>
      <w:proofErr w:type="spellEnd"/>
      <w:r w:rsidRPr="006B51A1">
        <w:rPr>
          <w:sz w:val="28"/>
          <w:szCs w:val="28"/>
        </w:rPr>
        <w:t>—would repair interest coverage and improve Z-Score earnings components.</w:t>
      </w:r>
    </w:p>
    <w:p w14:paraId="5DD7A420" w14:textId="77777777" w:rsidR="006B51A1" w:rsidRPr="006B51A1" w:rsidRDefault="006B51A1" w:rsidP="009558E3">
      <w:pPr>
        <w:numPr>
          <w:ilvl w:val="0"/>
          <w:numId w:val="8"/>
        </w:numPr>
        <w:jc w:val="both"/>
        <w:rPr>
          <w:sz w:val="28"/>
          <w:szCs w:val="28"/>
        </w:rPr>
      </w:pPr>
      <w:r w:rsidRPr="006B51A1">
        <w:rPr>
          <w:sz w:val="28"/>
          <w:szCs w:val="28"/>
        </w:rPr>
        <w:t>Divestitures and equity raising would strengthen the balance sheet, improving solvency and reducing reliance on credit lines.</w:t>
      </w:r>
    </w:p>
    <w:p w14:paraId="34C045E7" w14:textId="77777777" w:rsidR="006B51A1" w:rsidRPr="006B51A1" w:rsidRDefault="006B51A1" w:rsidP="009558E3">
      <w:pPr>
        <w:numPr>
          <w:ilvl w:val="0"/>
          <w:numId w:val="8"/>
        </w:numPr>
        <w:jc w:val="both"/>
        <w:rPr>
          <w:sz w:val="28"/>
          <w:szCs w:val="28"/>
        </w:rPr>
      </w:pPr>
      <w:r w:rsidRPr="006B51A1">
        <w:rPr>
          <w:sz w:val="28"/>
          <w:szCs w:val="28"/>
        </w:rPr>
        <w:t>Terming-out debt and reducing refinancing exposure would enhance creditor confidence and lower default risk.</w:t>
      </w:r>
    </w:p>
    <w:p w14:paraId="4F46866F" w14:textId="77777777" w:rsidR="006B51A1" w:rsidRPr="006B51A1" w:rsidRDefault="006B51A1" w:rsidP="009558E3">
      <w:pPr>
        <w:jc w:val="both"/>
        <w:rPr>
          <w:sz w:val="28"/>
          <w:szCs w:val="28"/>
        </w:rPr>
      </w:pPr>
      <w:r w:rsidRPr="006B51A1">
        <w:rPr>
          <w:sz w:val="28"/>
          <w:szCs w:val="28"/>
        </w:rPr>
        <w:t>Excel evidence supports that improving EBIT from –£15bn to even modestly positive levels would materially lift the Z-Score above 3.0, moving GE back into the safe zone.</w:t>
      </w:r>
    </w:p>
    <w:p w14:paraId="5FA03028" w14:textId="77777777" w:rsidR="006B51A1" w:rsidRPr="006B51A1" w:rsidRDefault="006B51A1" w:rsidP="009558E3">
      <w:pPr>
        <w:jc w:val="both"/>
        <w:rPr>
          <w:sz w:val="28"/>
          <w:szCs w:val="28"/>
        </w:rPr>
      </w:pPr>
      <w:r w:rsidRPr="006B51A1">
        <w:rPr>
          <w:sz w:val="28"/>
          <w:szCs w:val="28"/>
        </w:rPr>
        <w:t>Overall, this restructuring plan provides GE with a credible pathway from distress toward sustainable recovery.</w:t>
      </w:r>
    </w:p>
    <w:p w14:paraId="142FEE4E" w14:textId="77777777" w:rsidR="006B51A1" w:rsidRPr="006B51A1" w:rsidRDefault="006B51A1" w:rsidP="009558E3">
      <w:pPr>
        <w:jc w:val="both"/>
        <w:rPr>
          <w:sz w:val="28"/>
          <w:szCs w:val="28"/>
        </w:rPr>
      </w:pPr>
      <w:r w:rsidRPr="006B51A1">
        <w:rPr>
          <w:sz w:val="28"/>
          <w:szCs w:val="28"/>
        </w:rPr>
        <w:t>SECTION 4 — INVESTMENT APPRAISAL &amp; CAPITAL BUDGETING</w:t>
      </w:r>
    </w:p>
    <w:p w14:paraId="60CCA9D4" w14:textId="5B38AB78" w:rsidR="006B51A1" w:rsidRPr="006B51A1" w:rsidRDefault="006B51A1" w:rsidP="009558E3">
      <w:pPr>
        <w:jc w:val="both"/>
        <w:rPr>
          <w:sz w:val="28"/>
          <w:szCs w:val="28"/>
        </w:rPr>
      </w:pPr>
      <w:r w:rsidRPr="006B51A1">
        <w:rPr>
          <w:sz w:val="28"/>
          <w:szCs w:val="28"/>
        </w:rPr>
        <w:t xml:space="preserve">Investment appraisal is a central CFO function, particularly for a firm experiencing financial distress, as inappropriate capital allocation can deepen solvency risk and undermine long-term recovery. Given General Electronics’ deteriorating financial </w:t>
      </w:r>
      <w:r w:rsidRPr="006B51A1">
        <w:rPr>
          <w:sz w:val="28"/>
          <w:szCs w:val="28"/>
        </w:rPr>
        <w:lastRenderedPageBreak/>
        <w:t>position—evidenced by the decline in sales from £542,751m in 2022 to £394,879m in 2024, the sharp fall in EBIT to –£85,301m in 2023 and –£15,297m in 2024, and a Z-Score of 2.82 that places the company within the distress-prone grey zone—any investment commitment must be carefully assessed on both financial and strategic dimensions. The Excel analysis of Projects A, B and C provides the quantitative foundation for these decisions, applying a 10% discount rate to generate NPVs, IRRs, profitability indices and payback periods.</w:t>
      </w:r>
    </w:p>
    <w:p w14:paraId="269C0415" w14:textId="77777777" w:rsidR="006B51A1" w:rsidRPr="006B51A1" w:rsidRDefault="006B51A1" w:rsidP="009558E3">
      <w:pPr>
        <w:jc w:val="both"/>
        <w:rPr>
          <w:sz w:val="28"/>
          <w:szCs w:val="28"/>
        </w:rPr>
      </w:pPr>
      <w:r w:rsidRPr="006B51A1">
        <w:rPr>
          <w:sz w:val="28"/>
          <w:szCs w:val="28"/>
        </w:rPr>
        <w:t>4.1 NPV, IRR and PI as the Primary Decision Framework</w:t>
      </w:r>
    </w:p>
    <w:p w14:paraId="4764807F" w14:textId="11AEC228" w:rsidR="006B51A1" w:rsidRPr="006B51A1" w:rsidRDefault="006B51A1" w:rsidP="009558E3">
      <w:pPr>
        <w:jc w:val="both"/>
        <w:rPr>
          <w:sz w:val="28"/>
          <w:szCs w:val="28"/>
        </w:rPr>
      </w:pPr>
      <w:r w:rsidRPr="006B51A1">
        <w:rPr>
          <w:sz w:val="28"/>
          <w:szCs w:val="28"/>
        </w:rPr>
        <w:t xml:space="preserve">The theoretical basis for the evaluation rests on established capital-budgeting literature, particularly the view that net present value (NPV) is the most reliable indicator of value creation because it accounts for the time value of money and measures the absolute contribution to shareholder wealth. </w:t>
      </w:r>
      <w:proofErr w:type="spellStart"/>
      <w:r w:rsidRPr="006B51A1">
        <w:rPr>
          <w:sz w:val="28"/>
          <w:szCs w:val="28"/>
        </w:rPr>
        <w:t>Brealey</w:t>
      </w:r>
      <w:proofErr w:type="spellEnd"/>
      <w:r w:rsidRPr="006B51A1">
        <w:rPr>
          <w:sz w:val="28"/>
          <w:szCs w:val="28"/>
        </w:rPr>
        <w:t xml:space="preserve"> et al. (2022) reinforce that, when projects are mutually exclusive, NPV must dominate secondary measures such as IRR and payback. However, in a resource-constrained environment such as GE’s, where the firm operates under a capital-rationing ceiling of £60m, the profitability index (PI) becomes a vital supplementary metric because it reflects value created per unit of capital invested. These principles underpin the assessment of the three projects, enabling the CFO to weigh financial viability against operational risk and cash-flow timing in the context of GE’s weakened liquidity and rising leverage.</w:t>
      </w:r>
    </w:p>
    <w:p w14:paraId="75A2577C" w14:textId="77777777" w:rsidR="006B51A1" w:rsidRPr="006B51A1" w:rsidRDefault="006B51A1" w:rsidP="009558E3">
      <w:pPr>
        <w:jc w:val="both"/>
        <w:rPr>
          <w:sz w:val="28"/>
          <w:szCs w:val="28"/>
        </w:rPr>
      </w:pPr>
      <w:r w:rsidRPr="006B51A1">
        <w:rPr>
          <w:sz w:val="28"/>
          <w:szCs w:val="28"/>
        </w:rPr>
        <w:t>4.2 Financial and Strategic Evaluation of Project A</w:t>
      </w:r>
    </w:p>
    <w:p w14:paraId="70031798" w14:textId="77777777" w:rsidR="006B51A1" w:rsidRPr="006B51A1" w:rsidRDefault="006B51A1" w:rsidP="009558E3">
      <w:pPr>
        <w:jc w:val="both"/>
        <w:rPr>
          <w:sz w:val="28"/>
          <w:szCs w:val="28"/>
        </w:rPr>
      </w:pPr>
      <w:r w:rsidRPr="006B51A1">
        <w:rPr>
          <w:sz w:val="28"/>
          <w:szCs w:val="28"/>
        </w:rPr>
        <w:t>Project A requires an upfront investment of £40m and produces a series of relatively stable annual cash inflows ranging between £10m and £14m. The Excel calculation demonstrates that the project generates an NPV of approximately £1.33m. While this confirms that the project creates value, the scale of value creation is marginal and indicates that the project remains sensitive to even modest deviations in expected performance. The IRR of roughly 11–12% exceeds the 10% discount rate, but only by a narrow margin, reinforcing the conclusion that this is a borderline investment. The PI of 1.03 implies that each pound invested returns £1.03 in discounted value, further highlighting the limited financial headroom.</w:t>
      </w:r>
    </w:p>
    <w:p w14:paraId="2A3C58EA" w14:textId="3E68582E" w:rsidR="006B51A1" w:rsidRPr="006B51A1" w:rsidRDefault="006B51A1" w:rsidP="009558E3">
      <w:pPr>
        <w:jc w:val="both"/>
        <w:rPr>
          <w:sz w:val="28"/>
          <w:szCs w:val="28"/>
        </w:rPr>
      </w:pPr>
      <w:r w:rsidRPr="006B51A1">
        <w:rPr>
          <w:sz w:val="28"/>
          <w:szCs w:val="28"/>
        </w:rPr>
        <w:lastRenderedPageBreak/>
        <w:t>The project achieves a payback period of around 3.4 years, which is beneficial given GE’s constrained liquidity position and reliance on short-term credit lines—evidenced by the £102,193m of credit-line borrowing and £120,000m repayment in 2024. A project that returns cash more quickly reduces pressure on working capital and allows the CFO greater flexibility in managing the firm’s liquidity cycle. From a strategic standpoint, Project A appears to support GE’s existing portfolio rather than transform it. It offers incremental financial benefits and lower operational risk, making it a potentially suitable choice if liquidity conditions deteriorate further or if debt markets become less willing to refinance the firm’s short-term obligations. However, its limited contribution to long-term profitability and competitiveness restricts its value as a core turnaround investment.</w:t>
      </w:r>
    </w:p>
    <w:p w14:paraId="682BCDCA" w14:textId="77777777" w:rsidR="006B51A1" w:rsidRPr="006B51A1" w:rsidRDefault="006B51A1" w:rsidP="009558E3">
      <w:pPr>
        <w:jc w:val="both"/>
        <w:rPr>
          <w:sz w:val="28"/>
          <w:szCs w:val="28"/>
        </w:rPr>
      </w:pPr>
      <w:r w:rsidRPr="006B51A1">
        <w:rPr>
          <w:sz w:val="28"/>
          <w:szCs w:val="28"/>
        </w:rPr>
        <w:t>4.3 Financial and Strategic Evaluation of Project B</w:t>
      </w:r>
    </w:p>
    <w:p w14:paraId="7382B4D7" w14:textId="77777777" w:rsidR="006B51A1" w:rsidRPr="006B51A1" w:rsidRDefault="006B51A1" w:rsidP="009558E3">
      <w:pPr>
        <w:jc w:val="both"/>
        <w:rPr>
          <w:sz w:val="28"/>
          <w:szCs w:val="28"/>
        </w:rPr>
      </w:pPr>
      <w:r w:rsidRPr="006B51A1">
        <w:rPr>
          <w:sz w:val="28"/>
          <w:szCs w:val="28"/>
        </w:rPr>
        <w:t xml:space="preserve">Project B presents the least </w:t>
      </w:r>
      <w:proofErr w:type="spellStart"/>
      <w:r w:rsidRPr="006B51A1">
        <w:rPr>
          <w:sz w:val="28"/>
          <w:szCs w:val="28"/>
        </w:rPr>
        <w:t>favourable</w:t>
      </w:r>
      <w:proofErr w:type="spellEnd"/>
      <w:r w:rsidRPr="006B51A1">
        <w:rPr>
          <w:sz w:val="28"/>
          <w:szCs w:val="28"/>
        </w:rPr>
        <w:t xml:space="preserve"> financial profile. With an initial investment of £30m, it generates annual cash inflows of only £6m, which results in an Excel-derived NPV of –£7.26m. This indicates that the project destroys shareholder value. The IRR of approximately 4% is substantially below the required return of 10%, providing strong evidence that GE would incur an opportunity cost by undertaking this investment. The PI of just 0.76 suggests that the project returns only 76p for every £1 invested in present-value terms, underscoring its unattractiveness. Project B’s payback period exceeds five years, a particularly concerning feature for a firm with a fragile liquidity profile and negative EBIT.</w:t>
      </w:r>
    </w:p>
    <w:p w14:paraId="2E5928DD" w14:textId="316966FE" w:rsidR="006B51A1" w:rsidRPr="006B51A1" w:rsidRDefault="006B51A1" w:rsidP="009558E3">
      <w:pPr>
        <w:jc w:val="both"/>
        <w:rPr>
          <w:sz w:val="28"/>
          <w:szCs w:val="28"/>
        </w:rPr>
      </w:pPr>
      <w:r w:rsidRPr="006B51A1">
        <w:rPr>
          <w:sz w:val="28"/>
          <w:szCs w:val="28"/>
        </w:rPr>
        <w:t xml:space="preserve">Beyond its financial deficiencies, Project B does not offer a compelling strategic rationale. Given that GE is already facing severe operational inefficiencies—highlighted by its high Days Inventory Outstanding and prolonged Cash Conversion Cycle—diverting scarce capital into a project with limited return potential would heighten financial risk. Academic research on corporate restructuring </w:t>
      </w:r>
      <w:proofErr w:type="spellStart"/>
      <w:r w:rsidRPr="006B51A1">
        <w:rPr>
          <w:sz w:val="28"/>
          <w:szCs w:val="28"/>
        </w:rPr>
        <w:t>emphasises</w:t>
      </w:r>
      <w:proofErr w:type="spellEnd"/>
      <w:r w:rsidRPr="006B51A1">
        <w:rPr>
          <w:sz w:val="28"/>
          <w:szCs w:val="28"/>
        </w:rPr>
        <w:t xml:space="preserve"> that distressed firms should allocate capital only to initiatives that create clear economic value and contribute to strategic repositioning (Hotchkiss et al., 2020). Project B meets neither criterion. Therefore, it should be unequivocally rejected.</w:t>
      </w:r>
    </w:p>
    <w:p w14:paraId="2D816A3F" w14:textId="77777777" w:rsidR="006B51A1" w:rsidRPr="006B51A1" w:rsidRDefault="006B51A1" w:rsidP="009558E3">
      <w:pPr>
        <w:jc w:val="both"/>
        <w:rPr>
          <w:sz w:val="28"/>
          <w:szCs w:val="28"/>
        </w:rPr>
      </w:pPr>
      <w:r w:rsidRPr="006B51A1">
        <w:rPr>
          <w:sz w:val="28"/>
          <w:szCs w:val="28"/>
        </w:rPr>
        <w:t>4.4 Financial and Strategic Evaluation of Project C</w:t>
      </w:r>
    </w:p>
    <w:p w14:paraId="58D5C30F" w14:textId="77777777" w:rsidR="006B51A1" w:rsidRPr="006B51A1" w:rsidRDefault="006B51A1" w:rsidP="009558E3">
      <w:pPr>
        <w:jc w:val="both"/>
        <w:rPr>
          <w:sz w:val="28"/>
          <w:szCs w:val="28"/>
        </w:rPr>
      </w:pPr>
      <w:r w:rsidRPr="006B51A1">
        <w:rPr>
          <w:sz w:val="28"/>
          <w:szCs w:val="28"/>
        </w:rPr>
        <w:lastRenderedPageBreak/>
        <w:t xml:space="preserve">Project C, requiring an initial investment of £50m, exhibits the strongest financial performance in the Excel results. The calculated NPV is £4.23m, making it the project with the highest contribution to shareholder value. The estimated IRR of 13–14% comfortably exceeds the discount rate, suggesting a solid return profile even under moderate stress scenarios. The PI of 1.09 indicates that each pound invested generates £1.09 in value, making Project C the most efficient user of constrained capital. Although its payback period of 3.6 years is slightly longer than Project A’s, it remains within a reasonable timeframe and does not pose excessive liquidity risk if the broader restructuring </w:t>
      </w:r>
      <w:proofErr w:type="spellStart"/>
      <w:r w:rsidRPr="006B51A1">
        <w:rPr>
          <w:sz w:val="28"/>
          <w:szCs w:val="28"/>
        </w:rPr>
        <w:t>programme</w:t>
      </w:r>
      <w:proofErr w:type="spellEnd"/>
      <w:r w:rsidRPr="006B51A1">
        <w:rPr>
          <w:sz w:val="28"/>
          <w:szCs w:val="28"/>
        </w:rPr>
        <w:t xml:space="preserve"> succeeds in reducing the Cash Conversion Cycle from its current level of approximately 130 days.</w:t>
      </w:r>
    </w:p>
    <w:p w14:paraId="3D224105" w14:textId="03B9B6E1" w:rsidR="006B51A1" w:rsidRPr="006B51A1" w:rsidRDefault="006B51A1" w:rsidP="009558E3">
      <w:pPr>
        <w:jc w:val="both"/>
        <w:rPr>
          <w:sz w:val="28"/>
          <w:szCs w:val="28"/>
        </w:rPr>
      </w:pPr>
      <w:r w:rsidRPr="006B51A1">
        <w:rPr>
          <w:sz w:val="28"/>
          <w:szCs w:val="28"/>
        </w:rPr>
        <w:t xml:space="preserve">The </w:t>
      </w:r>
      <w:proofErr w:type="spellStart"/>
      <w:r w:rsidRPr="006B51A1">
        <w:rPr>
          <w:sz w:val="28"/>
          <w:szCs w:val="28"/>
        </w:rPr>
        <w:t>cashflow</w:t>
      </w:r>
      <w:proofErr w:type="spellEnd"/>
      <w:r w:rsidRPr="006B51A1">
        <w:rPr>
          <w:sz w:val="28"/>
          <w:szCs w:val="28"/>
        </w:rPr>
        <w:t xml:space="preserve"> timing pattern of Project C is more back-loaded, with the highest inflows occurring in Years 3 and 4 (reaching £25m). This creates some timing risk, especially given GE’s present working-capital pressures. However, this risk is offset by the project’s long-term financial and strategic value. Considering that GE maintained robust gross margins of 28–29% even during the downturn, Project C likely strengthens the firm’s competitive position within higher-margin segments. Strategic alignment is particularly important for GE, which needs to focus on rebuilding profitability and shifting toward product and service combinations with more resilient demand and greater differentiation. Project C’s superior value metrics make it the most appropriate choice to support this repositioning.</w:t>
      </w:r>
    </w:p>
    <w:p w14:paraId="66252113" w14:textId="77777777" w:rsidR="006B51A1" w:rsidRPr="006B51A1" w:rsidRDefault="006B51A1" w:rsidP="009558E3">
      <w:pPr>
        <w:jc w:val="both"/>
        <w:rPr>
          <w:sz w:val="28"/>
          <w:szCs w:val="28"/>
        </w:rPr>
      </w:pPr>
      <w:r w:rsidRPr="006B51A1">
        <w:rPr>
          <w:sz w:val="28"/>
          <w:szCs w:val="28"/>
        </w:rPr>
        <w:t>4.5 Decision Making Under Capital Rationing</w:t>
      </w:r>
    </w:p>
    <w:p w14:paraId="3972C1F3" w14:textId="77777777" w:rsidR="006B51A1" w:rsidRPr="006B51A1" w:rsidRDefault="006B51A1" w:rsidP="009558E3">
      <w:pPr>
        <w:jc w:val="both"/>
        <w:rPr>
          <w:sz w:val="28"/>
          <w:szCs w:val="28"/>
        </w:rPr>
      </w:pPr>
      <w:r w:rsidRPr="006B51A1">
        <w:rPr>
          <w:sz w:val="28"/>
          <w:szCs w:val="28"/>
        </w:rPr>
        <w:t xml:space="preserve">The capital-rationing constraint of £60m limits GE to choosing only one project, as any combination of two projects exceeds the available budget. A combined investment in Projects A and B would require £70m, A and C would require £90m, and B and C would total £80m. Therefore, the CFO must select the single project that </w:t>
      </w:r>
      <w:proofErr w:type="spellStart"/>
      <w:r w:rsidRPr="006B51A1">
        <w:rPr>
          <w:sz w:val="28"/>
          <w:szCs w:val="28"/>
        </w:rPr>
        <w:t>maximises</w:t>
      </w:r>
      <w:proofErr w:type="spellEnd"/>
      <w:r w:rsidRPr="006B51A1">
        <w:rPr>
          <w:sz w:val="28"/>
          <w:szCs w:val="28"/>
        </w:rPr>
        <w:t xml:space="preserve"> value within the £60m ceiling. Under such conditions, PI becomes a critical decision tool, as it identifies the investment generating the highest return per pound invested. On this basis, Project C, with a PI of 1.09, clearly outperforms Project A (1.03) and Project B (0.76).</w:t>
      </w:r>
    </w:p>
    <w:p w14:paraId="1E38527D" w14:textId="6A4F6536" w:rsidR="006B51A1" w:rsidRPr="006B51A1" w:rsidRDefault="006B51A1" w:rsidP="009558E3">
      <w:pPr>
        <w:jc w:val="both"/>
        <w:rPr>
          <w:sz w:val="28"/>
          <w:szCs w:val="28"/>
        </w:rPr>
      </w:pPr>
      <w:r w:rsidRPr="006B51A1">
        <w:rPr>
          <w:sz w:val="28"/>
          <w:szCs w:val="28"/>
        </w:rPr>
        <w:t xml:space="preserve">However, PI alone is insufficient; the investment must be evaluated in light of GE’s liquidity constraints. Although Project C requires the largest upfront outlay, it offers </w:t>
      </w:r>
      <w:r w:rsidRPr="006B51A1">
        <w:rPr>
          <w:sz w:val="28"/>
          <w:szCs w:val="28"/>
        </w:rPr>
        <w:lastRenderedPageBreak/>
        <w:t xml:space="preserve">the strongest long-term improvement in free </w:t>
      </w:r>
      <w:proofErr w:type="spellStart"/>
      <w:r w:rsidRPr="006B51A1">
        <w:rPr>
          <w:sz w:val="28"/>
          <w:szCs w:val="28"/>
        </w:rPr>
        <w:t>cashflow</w:t>
      </w:r>
      <w:proofErr w:type="spellEnd"/>
      <w:r w:rsidRPr="006B51A1">
        <w:rPr>
          <w:sz w:val="28"/>
          <w:szCs w:val="28"/>
        </w:rPr>
        <w:t xml:space="preserve"> and profitability. Provided GE undertakes the operational and solvency reforms outlined in Section 3, the firm should be able to support the funding demands of Project C without exacerbating its working-capital stresses. If liquidity conditions deteriorate further, Project A provides an acceptable fallback option, though with lower value creation.</w:t>
      </w:r>
    </w:p>
    <w:p w14:paraId="71C13B95" w14:textId="77777777" w:rsidR="006B51A1" w:rsidRPr="006B51A1" w:rsidRDefault="006B51A1" w:rsidP="009558E3">
      <w:pPr>
        <w:jc w:val="both"/>
        <w:rPr>
          <w:sz w:val="28"/>
          <w:szCs w:val="28"/>
        </w:rPr>
      </w:pPr>
      <w:r w:rsidRPr="006B51A1">
        <w:rPr>
          <w:sz w:val="28"/>
          <w:szCs w:val="28"/>
        </w:rPr>
        <w:t>4.6 Risk Assessment</w:t>
      </w:r>
    </w:p>
    <w:p w14:paraId="1D17C07D" w14:textId="77777777" w:rsidR="006B51A1" w:rsidRPr="006B51A1" w:rsidRDefault="006B51A1" w:rsidP="009558E3">
      <w:pPr>
        <w:jc w:val="both"/>
        <w:rPr>
          <w:sz w:val="28"/>
          <w:szCs w:val="28"/>
        </w:rPr>
      </w:pPr>
      <w:r w:rsidRPr="006B51A1">
        <w:rPr>
          <w:sz w:val="28"/>
          <w:szCs w:val="28"/>
        </w:rPr>
        <w:t xml:space="preserve">The evaluation of investment risk must consider both internal financial instability and external market conditions. GE’s liquidity position is fragile, relying heavily on credit lines and working-capital timing effects; therefore, any delay in cash inflows could place strain on short-term obligations. Project C carries greater timing risk due to its back-loaded </w:t>
      </w:r>
      <w:proofErr w:type="spellStart"/>
      <w:r w:rsidRPr="006B51A1">
        <w:rPr>
          <w:sz w:val="28"/>
          <w:szCs w:val="28"/>
        </w:rPr>
        <w:t>cashflows</w:t>
      </w:r>
      <w:proofErr w:type="spellEnd"/>
      <w:r w:rsidRPr="006B51A1">
        <w:rPr>
          <w:sz w:val="28"/>
          <w:szCs w:val="28"/>
        </w:rPr>
        <w:t xml:space="preserve">, whereas Project A provides a more immediate return of capital. Operational risk is also relevant: GE’s negative EBIT reflects inefficiencies that could impair project execution unless rectified through restructuring. Market risk remains elevated due to the cyclicality of the electronics sector, global competition and supply-chain volatility. Strategic risk </w:t>
      </w:r>
      <w:proofErr w:type="spellStart"/>
      <w:r w:rsidRPr="006B51A1">
        <w:rPr>
          <w:sz w:val="28"/>
          <w:szCs w:val="28"/>
        </w:rPr>
        <w:t>centres</w:t>
      </w:r>
      <w:proofErr w:type="spellEnd"/>
      <w:r w:rsidRPr="006B51A1">
        <w:rPr>
          <w:sz w:val="28"/>
          <w:szCs w:val="28"/>
        </w:rPr>
        <w:t xml:space="preserve"> on whether each project contributes to GE’s repositioning. Project A largely sustains the status quo, while Project C better aligns with long-term transformation.</w:t>
      </w:r>
    </w:p>
    <w:p w14:paraId="3FACD3A3" w14:textId="2CD61C29" w:rsidR="006B51A1" w:rsidRPr="006B51A1" w:rsidRDefault="006B51A1" w:rsidP="009558E3">
      <w:pPr>
        <w:jc w:val="both"/>
        <w:rPr>
          <w:sz w:val="28"/>
          <w:szCs w:val="28"/>
        </w:rPr>
      </w:pPr>
      <w:r w:rsidRPr="006B51A1">
        <w:rPr>
          <w:sz w:val="28"/>
          <w:szCs w:val="28"/>
        </w:rPr>
        <w:t xml:space="preserve">Taken together, these risks suggest that while Project C remains the superior option, its success is contingent on concurrent implementation of cash-flow improvements, inventory reduction, cost restructuring, and balance-sheet </w:t>
      </w:r>
      <w:proofErr w:type="spellStart"/>
      <w:r w:rsidRPr="006B51A1">
        <w:rPr>
          <w:sz w:val="28"/>
          <w:szCs w:val="28"/>
        </w:rPr>
        <w:t>stabilisation</w:t>
      </w:r>
      <w:proofErr w:type="spellEnd"/>
      <w:r w:rsidRPr="006B51A1">
        <w:rPr>
          <w:sz w:val="28"/>
          <w:szCs w:val="28"/>
        </w:rPr>
        <w:t>.</w:t>
      </w:r>
    </w:p>
    <w:p w14:paraId="643FF672" w14:textId="77777777" w:rsidR="006B51A1" w:rsidRPr="006B51A1" w:rsidRDefault="006B51A1" w:rsidP="009558E3">
      <w:pPr>
        <w:jc w:val="both"/>
        <w:rPr>
          <w:sz w:val="28"/>
          <w:szCs w:val="28"/>
        </w:rPr>
      </w:pPr>
      <w:r w:rsidRPr="006B51A1">
        <w:rPr>
          <w:sz w:val="28"/>
          <w:szCs w:val="28"/>
        </w:rPr>
        <w:t>4.7 Strategic Recommendation</w:t>
      </w:r>
    </w:p>
    <w:p w14:paraId="60071F9E" w14:textId="30858714" w:rsidR="006B51A1" w:rsidRPr="006B51A1" w:rsidRDefault="006B51A1" w:rsidP="009558E3">
      <w:pPr>
        <w:jc w:val="both"/>
        <w:rPr>
          <w:sz w:val="28"/>
          <w:szCs w:val="28"/>
        </w:rPr>
      </w:pPr>
      <w:r w:rsidRPr="006B51A1">
        <w:rPr>
          <w:sz w:val="28"/>
          <w:szCs w:val="28"/>
        </w:rPr>
        <w:t>Based on the Excel evidence and the principles of value-</w:t>
      </w:r>
      <w:proofErr w:type="spellStart"/>
      <w:r w:rsidRPr="006B51A1">
        <w:rPr>
          <w:sz w:val="28"/>
          <w:szCs w:val="28"/>
        </w:rPr>
        <w:t>maximising</w:t>
      </w:r>
      <w:proofErr w:type="spellEnd"/>
      <w:r w:rsidRPr="006B51A1">
        <w:rPr>
          <w:sz w:val="28"/>
          <w:szCs w:val="28"/>
        </w:rPr>
        <w:t xml:space="preserve"> capital budgeting, the recommended option is to proceed with Project C, as it generates the highest NPV, strongest IRR, most </w:t>
      </w:r>
      <w:proofErr w:type="spellStart"/>
      <w:r w:rsidRPr="006B51A1">
        <w:rPr>
          <w:sz w:val="28"/>
          <w:szCs w:val="28"/>
        </w:rPr>
        <w:t>favourable</w:t>
      </w:r>
      <w:proofErr w:type="spellEnd"/>
      <w:r w:rsidRPr="006B51A1">
        <w:rPr>
          <w:sz w:val="28"/>
          <w:szCs w:val="28"/>
        </w:rPr>
        <w:t xml:space="preserve"> PI and significant strategic upside. However, this investment should be undertaken only once GE has improved liquidity through working-capital </w:t>
      </w:r>
      <w:proofErr w:type="spellStart"/>
      <w:r w:rsidRPr="006B51A1">
        <w:rPr>
          <w:sz w:val="28"/>
          <w:szCs w:val="28"/>
        </w:rPr>
        <w:t>optimisation</w:t>
      </w:r>
      <w:proofErr w:type="spellEnd"/>
      <w:r w:rsidRPr="006B51A1">
        <w:rPr>
          <w:sz w:val="28"/>
          <w:szCs w:val="28"/>
        </w:rPr>
        <w:t>, SG&amp;A restructuring and the terming-out of short-term debts. If these prerequisites cannot be met, then Project A becomes the preferred, lower-risk alternative, though with limited value creation. Project B must not be pursued under any circumstances.</w:t>
      </w:r>
    </w:p>
    <w:p w14:paraId="0C54E896" w14:textId="77777777" w:rsidR="006B51A1" w:rsidRPr="006B51A1" w:rsidRDefault="006B51A1" w:rsidP="009558E3">
      <w:pPr>
        <w:jc w:val="both"/>
        <w:rPr>
          <w:sz w:val="28"/>
          <w:szCs w:val="28"/>
        </w:rPr>
      </w:pPr>
      <w:r w:rsidRPr="006B51A1">
        <w:rPr>
          <w:sz w:val="28"/>
          <w:szCs w:val="28"/>
        </w:rPr>
        <w:t>Conclusion to Section 4</w:t>
      </w:r>
    </w:p>
    <w:p w14:paraId="306B8375" w14:textId="77777777" w:rsidR="006B51A1" w:rsidRPr="006B51A1" w:rsidRDefault="006B51A1" w:rsidP="009558E3">
      <w:pPr>
        <w:jc w:val="both"/>
        <w:rPr>
          <w:sz w:val="28"/>
          <w:szCs w:val="28"/>
        </w:rPr>
      </w:pPr>
      <w:r w:rsidRPr="006B51A1">
        <w:rPr>
          <w:sz w:val="28"/>
          <w:szCs w:val="28"/>
        </w:rPr>
        <w:lastRenderedPageBreak/>
        <w:t xml:space="preserve">In summary, the investment appraisal demonstrates that GE must exercise strict discipline in capital allocation given its weakened financial condition. NPV and PI rankings strongly </w:t>
      </w:r>
      <w:proofErr w:type="spellStart"/>
      <w:r w:rsidRPr="006B51A1">
        <w:rPr>
          <w:sz w:val="28"/>
          <w:szCs w:val="28"/>
        </w:rPr>
        <w:t>favour</w:t>
      </w:r>
      <w:proofErr w:type="spellEnd"/>
      <w:r w:rsidRPr="006B51A1">
        <w:rPr>
          <w:sz w:val="28"/>
          <w:szCs w:val="28"/>
        </w:rPr>
        <w:t xml:space="preserve"> Project C, which has the greatest potential to improve long-term performance and support the firm’s strategic shift toward higher-margin segments. A successful investment decision must therefore be integrated with the broader restructuring plan to restore operational efficiency, strengthen liquidity and rebuild the company’s solvency position.</w:t>
      </w:r>
    </w:p>
    <w:p w14:paraId="781A0C7A" w14:textId="4B6FC443" w:rsidR="006B51A1" w:rsidRPr="006B51A1" w:rsidRDefault="006B51A1" w:rsidP="009558E3">
      <w:pPr>
        <w:jc w:val="both"/>
        <w:rPr>
          <w:sz w:val="28"/>
          <w:szCs w:val="28"/>
        </w:rPr>
      </w:pPr>
      <w:r w:rsidRPr="006B51A1">
        <w:rPr>
          <w:sz w:val="28"/>
          <w:szCs w:val="28"/>
        </w:rPr>
        <w:t xml:space="preserve">FINAL CONCLUSION </w:t>
      </w:r>
    </w:p>
    <w:p w14:paraId="1A5D9756" w14:textId="77777777" w:rsidR="006B51A1" w:rsidRPr="006B51A1" w:rsidRDefault="006B51A1" w:rsidP="009558E3">
      <w:pPr>
        <w:jc w:val="both"/>
        <w:rPr>
          <w:sz w:val="28"/>
          <w:szCs w:val="28"/>
        </w:rPr>
      </w:pPr>
      <w:r w:rsidRPr="006B51A1">
        <w:rPr>
          <w:sz w:val="28"/>
          <w:szCs w:val="28"/>
        </w:rPr>
        <w:t>This report has demonstrated that General Electronics is facing a multi-dimensional financial decline driven by operational inefficiency, weak liquidity management, rising leverage, and deteriorating earnings power. The Excel analysis of the past five years revealed that although the company preserved stable gross margins, its operational structure remains too rigid to absorb revenue shocks, causing EBIT to swing from £14,548m in 2022 to significant losses in 2023 and 2024. The erosion of equity from £330,698m to £153,105m further weakened solvency, while the Cash Conversion Cycle of approximately 130 days placed continuous pressure on working capital. The Altman Z-Scores between 2.24 and 2.82 confirm that GE has been operating within the distress-prone grey zone since 2022.</w:t>
      </w:r>
    </w:p>
    <w:p w14:paraId="13839131" w14:textId="77777777" w:rsidR="006B51A1" w:rsidRPr="006B51A1" w:rsidRDefault="006B51A1" w:rsidP="009558E3">
      <w:pPr>
        <w:jc w:val="both"/>
        <w:rPr>
          <w:sz w:val="28"/>
          <w:szCs w:val="28"/>
        </w:rPr>
      </w:pPr>
      <w:r w:rsidRPr="006B51A1">
        <w:rPr>
          <w:sz w:val="28"/>
          <w:szCs w:val="28"/>
        </w:rPr>
        <w:t xml:space="preserve">Addressing these issues requires a systematic and financially disciplined restructuring </w:t>
      </w:r>
      <w:proofErr w:type="spellStart"/>
      <w:r w:rsidRPr="006B51A1">
        <w:rPr>
          <w:sz w:val="28"/>
          <w:szCs w:val="28"/>
        </w:rPr>
        <w:t>programme</w:t>
      </w:r>
      <w:proofErr w:type="spellEnd"/>
      <w:r w:rsidRPr="006B51A1">
        <w:rPr>
          <w:sz w:val="28"/>
          <w:szCs w:val="28"/>
        </w:rPr>
        <w:t xml:space="preserve">. Working-capital reforms—particularly the reduction of DSO and DIO—can release substantial liquidity to </w:t>
      </w:r>
      <w:proofErr w:type="spellStart"/>
      <w:r w:rsidRPr="006B51A1">
        <w:rPr>
          <w:sz w:val="28"/>
          <w:szCs w:val="28"/>
        </w:rPr>
        <w:t>stabilise</w:t>
      </w:r>
      <w:proofErr w:type="spellEnd"/>
      <w:r w:rsidRPr="006B51A1">
        <w:rPr>
          <w:sz w:val="28"/>
          <w:szCs w:val="28"/>
        </w:rPr>
        <w:t xml:space="preserve"> the short-term cash position. Operational restructuring through zero-based budgeting, SKU </w:t>
      </w:r>
      <w:proofErr w:type="spellStart"/>
      <w:r w:rsidRPr="006B51A1">
        <w:rPr>
          <w:sz w:val="28"/>
          <w:szCs w:val="28"/>
        </w:rPr>
        <w:t>rationalisation</w:t>
      </w:r>
      <w:proofErr w:type="spellEnd"/>
      <w:r w:rsidRPr="006B51A1">
        <w:rPr>
          <w:sz w:val="28"/>
          <w:szCs w:val="28"/>
        </w:rPr>
        <w:t xml:space="preserve"> and targeted automation can restore margin strength and improve ROA and ROE. Balance-sheet measures such as terming-out short-term debt, negotiating covenants and executing selective divestitures can reinforce solvency and reduce refinancing risk. Ethical supplier management and responsible financial communication are essential to maintaining stakeholder confidence during turnaround.</w:t>
      </w:r>
    </w:p>
    <w:p w14:paraId="3965BB33" w14:textId="77777777" w:rsidR="006B51A1" w:rsidRPr="006B51A1" w:rsidRDefault="006B51A1" w:rsidP="009558E3">
      <w:pPr>
        <w:jc w:val="both"/>
        <w:rPr>
          <w:sz w:val="28"/>
          <w:szCs w:val="28"/>
        </w:rPr>
      </w:pPr>
      <w:r w:rsidRPr="006B51A1">
        <w:rPr>
          <w:sz w:val="28"/>
          <w:szCs w:val="28"/>
        </w:rPr>
        <w:t xml:space="preserve">Investment appraisal results confirm that Project C is the most value-accretive capital investment and aligns with GE’s strategic repositioning toward higher-margin segments. However, its successful implementation depends on concurrent </w:t>
      </w:r>
      <w:r w:rsidRPr="006B51A1">
        <w:rPr>
          <w:sz w:val="28"/>
          <w:szCs w:val="28"/>
        </w:rPr>
        <w:lastRenderedPageBreak/>
        <w:t>liquidity improvements and structural reforms. Project A becomes the rational alternative if liquidity constraints persist, whereas Project B must be avoided due to value destruction.</w:t>
      </w:r>
    </w:p>
    <w:p w14:paraId="0ECB686D" w14:textId="77777777" w:rsidR="006B51A1" w:rsidRPr="006B51A1" w:rsidRDefault="006B51A1" w:rsidP="009558E3">
      <w:pPr>
        <w:jc w:val="both"/>
        <w:rPr>
          <w:sz w:val="28"/>
          <w:szCs w:val="28"/>
        </w:rPr>
      </w:pPr>
      <w:r w:rsidRPr="006B51A1">
        <w:rPr>
          <w:sz w:val="28"/>
          <w:szCs w:val="28"/>
        </w:rPr>
        <w:t>Overall, GE’s turnaround path requires disciplined capital allocation, operational reconfiguration, and strengthened financial governance. If executed effectively, these measures can elevate profitability, restore financial resilience and move the Z-Score back into the safe zone, enabling GE to rebuild sustainable long-term competitiveness.</w:t>
      </w:r>
    </w:p>
    <w:p w14:paraId="60F0BAF5" w14:textId="77777777" w:rsidR="003473E7" w:rsidRPr="009558E3" w:rsidRDefault="003473E7" w:rsidP="009558E3">
      <w:pPr>
        <w:jc w:val="both"/>
        <w:rPr>
          <w:sz w:val="28"/>
          <w:szCs w:val="28"/>
        </w:rPr>
      </w:pPr>
    </w:p>
    <w:p w14:paraId="0BA7E7CF" w14:textId="77777777" w:rsidR="006B51A1" w:rsidRPr="009558E3" w:rsidRDefault="006B51A1" w:rsidP="009558E3">
      <w:pPr>
        <w:jc w:val="both"/>
        <w:rPr>
          <w:sz w:val="28"/>
          <w:szCs w:val="28"/>
        </w:rPr>
      </w:pPr>
    </w:p>
    <w:p w14:paraId="5F294CB8" w14:textId="126FC430" w:rsidR="009558E3" w:rsidRPr="009558E3" w:rsidRDefault="009558E3" w:rsidP="009558E3">
      <w:pPr>
        <w:jc w:val="both"/>
        <w:rPr>
          <w:sz w:val="28"/>
          <w:szCs w:val="28"/>
        </w:rPr>
      </w:pPr>
      <w:r w:rsidRPr="009558E3">
        <w:rPr>
          <w:sz w:val="28"/>
          <w:szCs w:val="28"/>
        </w:rPr>
        <w:t xml:space="preserve">REFERENCE </w:t>
      </w:r>
    </w:p>
    <w:p w14:paraId="4E7107B5" w14:textId="77777777" w:rsidR="009558E3" w:rsidRPr="009558E3" w:rsidRDefault="009558E3" w:rsidP="009558E3">
      <w:pPr>
        <w:jc w:val="both"/>
        <w:rPr>
          <w:sz w:val="28"/>
          <w:szCs w:val="28"/>
        </w:rPr>
      </w:pPr>
      <w:r w:rsidRPr="009558E3">
        <w:rPr>
          <w:sz w:val="28"/>
          <w:szCs w:val="28"/>
        </w:rPr>
        <w:t xml:space="preserve">Agarwal, V. and </w:t>
      </w:r>
      <w:proofErr w:type="spellStart"/>
      <w:r w:rsidRPr="009558E3">
        <w:rPr>
          <w:sz w:val="28"/>
          <w:szCs w:val="28"/>
        </w:rPr>
        <w:t>Taffler</w:t>
      </w:r>
      <w:proofErr w:type="spellEnd"/>
      <w:r w:rsidRPr="009558E3">
        <w:rPr>
          <w:sz w:val="28"/>
          <w:szCs w:val="28"/>
        </w:rPr>
        <w:t xml:space="preserve">, R. (2008) ‘Comparing the performance of market-based and accounting-based bankruptcy prediction models’, </w:t>
      </w:r>
      <w:r w:rsidRPr="009558E3">
        <w:rPr>
          <w:i/>
          <w:iCs/>
          <w:sz w:val="28"/>
          <w:szCs w:val="28"/>
        </w:rPr>
        <w:t>Journal of Banking &amp; Finance</w:t>
      </w:r>
      <w:r w:rsidRPr="009558E3">
        <w:rPr>
          <w:sz w:val="28"/>
          <w:szCs w:val="28"/>
        </w:rPr>
        <w:t>, 32(8), pp. 1541–1551. Available at: https://doi.org/10.1016/j.jbankfin.2007.07.014</w:t>
      </w:r>
    </w:p>
    <w:p w14:paraId="614194ED" w14:textId="77777777" w:rsidR="009558E3" w:rsidRPr="009558E3" w:rsidRDefault="009558E3" w:rsidP="009558E3">
      <w:pPr>
        <w:jc w:val="both"/>
        <w:rPr>
          <w:sz w:val="28"/>
          <w:szCs w:val="28"/>
        </w:rPr>
      </w:pPr>
      <w:r w:rsidRPr="009558E3">
        <w:rPr>
          <w:sz w:val="28"/>
          <w:szCs w:val="28"/>
        </w:rPr>
        <w:t xml:space="preserve">Altman, E.I. (1968) ‘Financial ratios, discriminant analysis and the prediction of corporate bankruptcy’, </w:t>
      </w:r>
      <w:r w:rsidRPr="009558E3">
        <w:rPr>
          <w:i/>
          <w:iCs/>
          <w:sz w:val="28"/>
          <w:szCs w:val="28"/>
        </w:rPr>
        <w:t>The Journal of Finance</w:t>
      </w:r>
      <w:r w:rsidRPr="009558E3">
        <w:rPr>
          <w:sz w:val="28"/>
          <w:szCs w:val="28"/>
        </w:rPr>
        <w:t xml:space="preserve">, 23(4), pp. 589–609. Available at: </w:t>
      </w:r>
      <w:hyperlink r:id="rId6" w:tgtFrame="_new" w:history="1">
        <w:r w:rsidRPr="009558E3">
          <w:rPr>
            <w:rStyle w:val="Hyperlink"/>
            <w:sz w:val="28"/>
            <w:szCs w:val="28"/>
          </w:rPr>
          <w:t>https://doi.org/10.1111/j.1540-6261.1968.tb00843.x</w:t>
        </w:r>
      </w:hyperlink>
    </w:p>
    <w:p w14:paraId="2BFB30B3" w14:textId="77777777" w:rsidR="009558E3" w:rsidRPr="009558E3" w:rsidRDefault="009558E3" w:rsidP="009558E3">
      <w:pPr>
        <w:jc w:val="both"/>
        <w:rPr>
          <w:sz w:val="28"/>
          <w:szCs w:val="28"/>
        </w:rPr>
      </w:pPr>
      <w:r w:rsidRPr="009558E3">
        <w:rPr>
          <w:sz w:val="28"/>
          <w:szCs w:val="28"/>
        </w:rPr>
        <w:t xml:space="preserve">Altman, E.I. and Hotchkiss, E. (2006) </w:t>
      </w:r>
      <w:r w:rsidRPr="009558E3">
        <w:rPr>
          <w:i/>
          <w:iCs/>
          <w:sz w:val="28"/>
          <w:szCs w:val="28"/>
        </w:rPr>
        <w:t xml:space="preserve">Corporate Financial Distress and Bankruptcy: Predict and Avoid Bankruptcy, </w:t>
      </w:r>
      <w:proofErr w:type="spellStart"/>
      <w:r w:rsidRPr="009558E3">
        <w:rPr>
          <w:i/>
          <w:iCs/>
          <w:sz w:val="28"/>
          <w:szCs w:val="28"/>
        </w:rPr>
        <w:t>Analyse</w:t>
      </w:r>
      <w:proofErr w:type="spellEnd"/>
      <w:r w:rsidRPr="009558E3">
        <w:rPr>
          <w:i/>
          <w:iCs/>
          <w:sz w:val="28"/>
          <w:szCs w:val="28"/>
        </w:rPr>
        <w:t xml:space="preserve"> and Invest in Distressed Debt</w:t>
      </w:r>
      <w:r w:rsidRPr="009558E3">
        <w:rPr>
          <w:sz w:val="28"/>
          <w:szCs w:val="28"/>
        </w:rPr>
        <w:t xml:space="preserve">. 3rd </w:t>
      </w:r>
      <w:proofErr w:type="spellStart"/>
      <w:r w:rsidRPr="009558E3">
        <w:rPr>
          <w:sz w:val="28"/>
          <w:szCs w:val="28"/>
        </w:rPr>
        <w:t>edn</w:t>
      </w:r>
      <w:proofErr w:type="spellEnd"/>
      <w:r w:rsidRPr="009558E3">
        <w:rPr>
          <w:sz w:val="28"/>
          <w:szCs w:val="28"/>
        </w:rPr>
        <w:t xml:space="preserve">. Hoboken: Wiley. Available at: </w:t>
      </w:r>
      <w:hyperlink r:id="rId7" w:tgtFrame="_new" w:history="1">
        <w:r w:rsidRPr="009558E3">
          <w:rPr>
            <w:rStyle w:val="Hyperlink"/>
            <w:sz w:val="28"/>
            <w:szCs w:val="28"/>
          </w:rPr>
          <w:t>https://onlinelibrary.wiley.com/</w:t>
        </w:r>
      </w:hyperlink>
    </w:p>
    <w:p w14:paraId="5E880C61" w14:textId="77777777" w:rsidR="009558E3" w:rsidRPr="009558E3" w:rsidRDefault="009558E3" w:rsidP="009558E3">
      <w:pPr>
        <w:jc w:val="both"/>
        <w:rPr>
          <w:sz w:val="28"/>
          <w:szCs w:val="28"/>
        </w:rPr>
      </w:pPr>
      <w:r w:rsidRPr="009558E3">
        <w:rPr>
          <w:sz w:val="28"/>
          <w:szCs w:val="28"/>
        </w:rPr>
        <w:t xml:space="preserve">Bain &amp; Company (2021) </w:t>
      </w:r>
      <w:r w:rsidRPr="009558E3">
        <w:rPr>
          <w:i/>
          <w:iCs/>
          <w:sz w:val="28"/>
          <w:szCs w:val="28"/>
        </w:rPr>
        <w:t>Zero-Based Budgeting in the New Economy</w:t>
      </w:r>
      <w:r w:rsidRPr="009558E3">
        <w:rPr>
          <w:sz w:val="28"/>
          <w:szCs w:val="28"/>
        </w:rPr>
        <w:t>. Available at: https://www.bain.com/insights/zero-based-budgeting-in-the-new-economy/</w:t>
      </w:r>
    </w:p>
    <w:p w14:paraId="244FDEC6" w14:textId="77777777" w:rsidR="009558E3" w:rsidRPr="009558E3" w:rsidRDefault="009558E3" w:rsidP="009558E3">
      <w:pPr>
        <w:jc w:val="both"/>
        <w:rPr>
          <w:sz w:val="28"/>
          <w:szCs w:val="28"/>
        </w:rPr>
      </w:pPr>
      <w:proofErr w:type="spellStart"/>
      <w:r w:rsidRPr="009558E3">
        <w:rPr>
          <w:sz w:val="28"/>
          <w:szCs w:val="28"/>
        </w:rPr>
        <w:t>Brealey</w:t>
      </w:r>
      <w:proofErr w:type="spellEnd"/>
      <w:r w:rsidRPr="009558E3">
        <w:rPr>
          <w:sz w:val="28"/>
          <w:szCs w:val="28"/>
        </w:rPr>
        <w:t xml:space="preserve">, R.A., Myers, S.C. and Allen, F. (2022) </w:t>
      </w:r>
      <w:r w:rsidRPr="009558E3">
        <w:rPr>
          <w:i/>
          <w:iCs/>
          <w:sz w:val="28"/>
          <w:szCs w:val="28"/>
        </w:rPr>
        <w:t>Principles of Corporate Finance</w:t>
      </w:r>
      <w:r w:rsidRPr="009558E3">
        <w:rPr>
          <w:sz w:val="28"/>
          <w:szCs w:val="28"/>
        </w:rPr>
        <w:t xml:space="preserve">. 14th </w:t>
      </w:r>
      <w:proofErr w:type="spellStart"/>
      <w:r w:rsidRPr="009558E3">
        <w:rPr>
          <w:sz w:val="28"/>
          <w:szCs w:val="28"/>
        </w:rPr>
        <w:t>edn</w:t>
      </w:r>
      <w:proofErr w:type="spellEnd"/>
      <w:r w:rsidRPr="009558E3">
        <w:rPr>
          <w:sz w:val="28"/>
          <w:szCs w:val="28"/>
        </w:rPr>
        <w:t xml:space="preserve">. New York: McGraw-Hill. Available at: </w:t>
      </w:r>
      <w:hyperlink r:id="rId8" w:tgtFrame="_new" w:history="1">
        <w:r w:rsidRPr="009558E3">
          <w:rPr>
            <w:rStyle w:val="Hyperlink"/>
            <w:sz w:val="28"/>
            <w:szCs w:val="28"/>
          </w:rPr>
          <w:t>https://www.mheducation.com/</w:t>
        </w:r>
      </w:hyperlink>
    </w:p>
    <w:p w14:paraId="27221D3C" w14:textId="77777777" w:rsidR="009558E3" w:rsidRPr="009558E3" w:rsidRDefault="009558E3" w:rsidP="009558E3">
      <w:pPr>
        <w:jc w:val="both"/>
        <w:rPr>
          <w:sz w:val="28"/>
          <w:szCs w:val="28"/>
        </w:rPr>
      </w:pPr>
      <w:r w:rsidRPr="009558E3">
        <w:rPr>
          <w:sz w:val="28"/>
          <w:szCs w:val="28"/>
        </w:rPr>
        <w:t xml:space="preserve">Brigham, E.F. and </w:t>
      </w:r>
      <w:proofErr w:type="spellStart"/>
      <w:r w:rsidRPr="009558E3">
        <w:rPr>
          <w:sz w:val="28"/>
          <w:szCs w:val="28"/>
        </w:rPr>
        <w:t>Ehrhardt</w:t>
      </w:r>
      <w:proofErr w:type="spellEnd"/>
      <w:r w:rsidRPr="009558E3">
        <w:rPr>
          <w:sz w:val="28"/>
          <w:szCs w:val="28"/>
        </w:rPr>
        <w:t xml:space="preserve">, M.C. (2022) </w:t>
      </w:r>
      <w:r w:rsidRPr="009558E3">
        <w:rPr>
          <w:i/>
          <w:iCs/>
          <w:sz w:val="28"/>
          <w:szCs w:val="28"/>
        </w:rPr>
        <w:t>Financial Management: Theory and Practice</w:t>
      </w:r>
      <w:r w:rsidRPr="009558E3">
        <w:rPr>
          <w:sz w:val="28"/>
          <w:szCs w:val="28"/>
        </w:rPr>
        <w:t xml:space="preserve">. 16th </w:t>
      </w:r>
      <w:proofErr w:type="spellStart"/>
      <w:r w:rsidRPr="009558E3">
        <w:rPr>
          <w:sz w:val="28"/>
          <w:szCs w:val="28"/>
        </w:rPr>
        <w:t>edn</w:t>
      </w:r>
      <w:proofErr w:type="spellEnd"/>
      <w:r w:rsidRPr="009558E3">
        <w:rPr>
          <w:sz w:val="28"/>
          <w:szCs w:val="28"/>
        </w:rPr>
        <w:t xml:space="preserve">. Boston: Cengage. Available at: </w:t>
      </w:r>
      <w:hyperlink r:id="rId9" w:tgtFrame="_new" w:history="1">
        <w:r w:rsidRPr="009558E3">
          <w:rPr>
            <w:rStyle w:val="Hyperlink"/>
            <w:sz w:val="28"/>
            <w:szCs w:val="28"/>
          </w:rPr>
          <w:t>https://www.cengage.com/</w:t>
        </w:r>
      </w:hyperlink>
    </w:p>
    <w:p w14:paraId="62C84F53" w14:textId="77777777" w:rsidR="009558E3" w:rsidRPr="009558E3" w:rsidRDefault="009558E3" w:rsidP="009558E3">
      <w:pPr>
        <w:jc w:val="both"/>
        <w:rPr>
          <w:sz w:val="28"/>
          <w:szCs w:val="28"/>
        </w:rPr>
      </w:pPr>
      <w:r w:rsidRPr="009558E3">
        <w:rPr>
          <w:sz w:val="28"/>
          <w:szCs w:val="28"/>
        </w:rPr>
        <w:t xml:space="preserve">Christopher, M. (2016) </w:t>
      </w:r>
      <w:r w:rsidRPr="009558E3">
        <w:rPr>
          <w:i/>
          <w:iCs/>
          <w:sz w:val="28"/>
          <w:szCs w:val="28"/>
        </w:rPr>
        <w:t>Logistics &amp; Supply Chain Management</w:t>
      </w:r>
      <w:r w:rsidRPr="009558E3">
        <w:rPr>
          <w:sz w:val="28"/>
          <w:szCs w:val="28"/>
        </w:rPr>
        <w:t xml:space="preserve">. 5th </w:t>
      </w:r>
      <w:proofErr w:type="spellStart"/>
      <w:r w:rsidRPr="009558E3">
        <w:rPr>
          <w:sz w:val="28"/>
          <w:szCs w:val="28"/>
        </w:rPr>
        <w:t>edn</w:t>
      </w:r>
      <w:proofErr w:type="spellEnd"/>
      <w:r w:rsidRPr="009558E3">
        <w:rPr>
          <w:sz w:val="28"/>
          <w:szCs w:val="28"/>
        </w:rPr>
        <w:t xml:space="preserve">. Harlow: Pearson. Available at: </w:t>
      </w:r>
      <w:hyperlink r:id="rId10" w:tgtFrame="_new" w:history="1">
        <w:r w:rsidRPr="009558E3">
          <w:rPr>
            <w:rStyle w:val="Hyperlink"/>
            <w:sz w:val="28"/>
            <w:szCs w:val="28"/>
          </w:rPr>
          <w:t>https://www.pearson.com/</w:t>
        </w:r>
      </w:hyperlink>
    </w:p>
    <w:p w14:paraId="39981CC3" w14:textId="77777777" w:rsidR="009558E3" w:rsidRPr="009558E3" w:rsidRDefault="009558E3" w:rsidP="009558E3">
      <w:pPr>
        <w:jc w:val="both"/>
        <w:rPr>
          <w:sz w:val="28"/>
          <w:szCs w:val="28"/>
        </w:rPr>
      </w:pPr>
      <w:r w:rsidRPr="009558E3">
        <w:rPr>
          <w:sz w:val="28"/>
          <w:szCs w:val="28"/>
        </w:rPr>
        <w:lastRenderedPageBreak/>
        <w:t xml:space="preserve">Cull, R. and Xu, L.C. (2013) ‘Working capital financing and supply-chain health’, </w:t>
      </w:r>
      <w:r w:rsidRPr="009558E3">
        <w:rPr>
          <w:i/>
          <w:iCs/>
          <w:sz w:val="28"/>
          <w:szCs w:val="28"/>
        </w:rPr>
        <w:t>Journal of Economic Perspectives</w:t>
      </w:r>
      <w:r w:rsidRPr="009558E3">
        <w:rPr>
          <w:sz w:val="28"/>
          <w:szCs w:val="28"/>
        </w:rPr>
        <w:t xml:space="preserve">, 27(4), pp. 77–102. Available at: </w:t>
      </w:r>
      <w:hyperlink r:id="rId11" w:tgtFrame="_new" w:history="1">
        <w:r w:rsidRPr="009558E3">
          <w:rPr>
            <w:rStyle w:val="Hyperlink"/>
            <w:sz w:val="28"/>
            <w:szCs w:val="28"/>
          </w:rPr>
          <w:t>https://www.jstor.org/stable/43194888</w:t>
        </w:r>
      </w:hyperlink>
    </w:p>
    <w:p w14:paraId="1B94371D" w14:textId="77777777" w:rsidR="009558E3" w:rsidRPr="009558E3" w:rsidRDefault="009558E3" w:rsidP="009558E3">
      <w:pPr>
        <w:jc w:val="both"/>
        <w:rPr>
          <w:sz w:val="28"/>
          <w:szCs w:val="28"/>
        </w:rPr>
      </w:pPr>
      <w:proofErr w:type="spellStart"/>
      <w:r w:rsidRPr="009558E3">
        <w:rPr>
          <w:sz w:val="28"/>
          <w:szCs w:val="28"/>
        </w:rPr>
        <w:t>Deloof</w:t>
      </w:r>
      <w:proofErr w:type="spellEnd"/>
      <w:r w:rsidRPr="009558E3">
        <w:rPr>
          <w:sz w:val="28"/>
          <w:szCs w:val="28"/>
        </w:rPr>
        <w:t xml:space="preserve">, M. (2003) ‘Does working capital management affect profitability? Evidence from Belgian firms’, </w:t>
      </w:r>
      <w:r w:rsidRPr="009558E3">
        <w:rPr>
          <w:i/>
          <w:iCs/>
          <w:sz w:val="28"/>
          <w:szCs w:val="28"/>
        </w:rPr>
        <w:t>Journal of Business Finance &amp; Accounting</w:t>
      </w:r>
      <w:r w:rsidRPr="009558E3">
        <w:rPr>
          <w:sz w:val="28"/>
          <w:szCs w:val="28"/>
        </w:rPr>
        <w:t>, 30(3–4), pp. 573–588. Available at: https://doi.org/10.1111/1468-5957.00008</w:t>
      </w:r>
    </w:p>
    <w:p w14:paraId="201317F2" w14:textId="77777777" w:rsidR="009558E3" w:rsidRPr="009558E3" w:rsidRDefault="009558E3" w:rsidP="009558E3">
      <w:pPr>
        <w:jc w:val="both"/>
        <w:rPr>
          <w:sz w:val="28"/>
          <w:szCs w:val="28"/>
        </w:rPr>
      </w:pPr>
      <w:r w:rsidRPr="009558E3">
        <w:rPr>
          <w:sz w:val="28"/>
          <w:szCs w:val="28"/>
        </w:rPr>
        <w:t xml:space="preserve">Eccles, R.G. and </w:t>
      </w:r>
      <w:proofErr w:type="spellStart"/>
      <w:r w:rsidRPr="009558E3">
        <w:rPr>
          <w:sz w:val="28"/>
          <w:szCs w:val="28"/>
        </w:rPr>
        <w:t>Youmans</w:t>
      </w:r>
      <w:proofErr w:type="spellEnd"/>
      <w:r w:rsidRPr="009558E3">
        <w:rPr>
          <w:sz w:val="28"/>
          <w:szCs w:val="28"/>
        </w:rPr>
        <w:t xml:space="preserve">, T. (2016) ‘Materiality in corporate governance’, </w:t>
      </w:r>
      <w:r w:rsidRPr="009558E3">
        <w:rPr>
          <w:i/>
          <w:iCs/>
          <w:sz w:val="28"/>
          <w:szCs w:val="28"/>
        </w:rPr>
        <w:t>Journal of Applied Corporate Finance</w:t>
      </w:r>
      <w:r w:rsidRPr="009558E3">
        <w:rPr>
          <w:sz w:val="28"/>
          <w:szCs w:val="28"/>
        </w:rPr>
        <w:t>, 28(2), pp. 32–44. Available at: https://doi.org/10.1111/jacf.12165</w:t>
      </w:r>
    </w:p>
    <w:p w14:paraId="178A7289" w14:textId="77777777" w:rsidR="009558E3" w:rsidRPr="009558E3" w:rsidRDefault="009558E3" w:rsidP="009558E3">
      <w:pPr>
        <w:jc w:val="both"/>
        <w:rPr>
          <w:sz w:val="28"/>
          <w:szCs w:val="28"/>
        </w:rPr>
      </w:pPr>
      <w:r w:rsidRPr="009558E3">
        <w:rPr>
          <w:sz w:val="28"/>
          <w:szCs w:val="28"/>
        </w:rPr>
        <w:t xml:space="preserve">EY (2023) </w:t>
      </w:r>
      <w:r w:rsidRPr="009558E3">
        <w:rPr>
          <w:i/>
          <w:iCs/>
          <w:sz w:val="28"/>
          <w:szCs w:val="28"/>
        </w:rPr>
        <w:t>Global Working Capital Survey 2023</w:t>
      </w:r>
      <w:r w:rsidRPr="009558E3">
        <w:rPr>
          <w:sz w:val="28"/>
          <w:szCs w:val="28"/>
        </w:rPr>
        <w:t>. Available at: https://www.ey.com/en_gl/working-capital</w:t>
      </w:r>
    </w:p>
    <w:p w14:paraId="3558C085" w14:textId="77777777" w:rsidR="009558E3" w:rsidRPr="009558E3" w:rsidRDefault="009558E3" w:rsidP="009558E3">
      <w:pPr>
        <w:jc w:val="both"/>
        <w:rPr>
          <w:sz w:val="28"/>
          <w:szCs w:val="28"/>
        </w:rPr>
      </w:pPr>
      <w:r w:rsidRPr="009558E3">
        <w:rPr>
          <w:sz w:val="28"/>
          <w:szCs w:val="28"/>
        </w:rPr>
        <w:t xml:space="preserve">Hotchkiss, E.S., John, K., </w:t>
      </w:r>
      <w:proofErr w:type="spellStart"/>
      <w:r w:rsidRPr="009558E3">
        <w:rPr>
          <w:sz w:val="28"/>
          <w:szCs w:val="28"/>
        </w:rPr>
        <w:t>Mooradian</w:t>
      </w:r>
      <w:proofErr w:type="spellEnd"/>
      <w:r w:rsidRPr="009558E3">
        <w:rPr>
          <w:sz w:val="28"/>
          <w:szCs w:val="28"/>
        </w:rPr>
        <w:t xml:space="preserve">, R.M. and </w:t>
      </w:r>
      <w:proofErr w:type="spellStart"/>
      <w:r w:rsidRPr="009558E3">
        <w:rPr>
          <w:sz w:val="28"/>
          <w:szCs w:val="28"/>
        </w:rPr>
        <w:t>Thorburn</w:t>
      </w:r>
      <w:proofErr w:type="spellEnd"/>
      <w:r w:rsidRPr="009558E3">
        <w:rPr>
          <w:sz w:val="28"/>
          <w:szCs w:val="28"/>
        </w:rPr>
        <w:t xml:space="preserve">, K.S. (2020) </w:t>
      </w:r>
      <w:r w:rsidRPr="009558E3">
        <w:rPr>
          <w:i/>
          <w:iCs/>
          <w:sz w:val="28"/>
          <w:szCs w:val="28"/>
        </w:rPr>
        <w:t>Corporate Financial Distress, Restructuring, and Bankruptcy</w:t>
      </w:r>
      <w:r w:rsidRPr="009558E3">
        <w:rPr>
          <w:sz w:val="28"/>
          <w:szCs w:val="28"/>
        </w:rPr>
        <w:t xml:space="preserve">. 4th </w:t>
      </w:r>
      <w:proofErr w:type="spellStart"/>
      <w:r w:rsidRPr="009558E3">
        <w:rPr>
          <w:sz w:val="28"/>
          <w:szCs w:val="28"/>
        </w:rPr>
        <w:t>edn</w:t>
      </w:r>
      <w:proofErr w:type="spellEnd"/>
      <w:r w:rsidRPr="009558E3">
        <w:rPr>
          <w:sz w:val="28"/>
          <w:szCs w:val="28"/>
        </w:rPr>
        <w:t xml:space="preserve">. Hoboken: Wiley. Available at: </w:t>
      </w:r>
      <w:hyperlink r:id="rId12" w:tgtFrame="_new" w:history="1">
        <w:r w:rsidRPr="009558E3">
          <w:rPr>
            <w:rStyle w:val="Hyperlink"/>
            <w:sz w:val="28"/>
            <w:szCs w:val="28"/>
          </w:rPr>
          <w:t>https://www.wiley.com/</w:t>
        </w:r>
      </w:hyperlink>
    </w:p>
    <w:p w14:paraId="28DE847C" w14:textId="77777777" w:rsidR="009558E3" w:rsidRPr="009558E3" w:rsidRDefault="009558E3" w:rsidP="009558E3">
      <w:pPr>
        <w:jc w:val="both"/>
        <w:rPr>
          <w:sz w:val="28"/>
          <w:szCs w:val="28"/>
        </w:rPr>
      </w:pPr>
      <w:r w:rsidRPr="009558E3">
        <w:rPr>
          <w:sz w:val="28"/>
          <w:szCs w:val="28"/>
        </w:rPr>
        <w:t xml:space="preserve">John, K., Lang, L. and Netter, J. (1992) ‘The voluntary restructuring of large firms’, </w:t>
      </w:r>
      <w:r w:rsidRPr="009558E3">
        <w:rPr>
          <w:i/>
          <w:iCs/>
          <w:sz w:val="28"/>
          <w:szCs w:val="28"/>
        </w:rPr>
        <w:t>Journal of Finance</w:t>
      </w:r>
      <w:r w:rsidRPr="009558E3">
        <w:rPr>
          <w:sz w:val="28"/>
          <w:szCs w:val="28"/>
        </w:rPr>
        <w:t>, 47(3), pp. 891–917. Available at: https://doi.org/10.1111/j.1540-6261.1992.tb04008.x</w:t>
      </w:r>
    </w:p>
    <w:p w14:paraId="7B8D5E89" w14:textId="77777777" w:rsidR="009558E3" w:rsidRPr="009558E3" w:rsidRDefault="009558E3" w:rsidP="009558E3">
      <w:pPr>
        <w:jc w:val="both"/>
        <w:rPr>
          <w:sz w:val="28"/>
          <w:szCs w:val="28"/>
        </w:rPr>
      </w:pPr>
      <w:r w:rsidRPr="009558E3">
        <w:rPr>
          <w:sz w:val="28"/>
          <w:szCs w:val="28"/>
        </w:rPr>
        <w:t xml:space="preserve">Kahn, J.A. (2020) ‘Inventory dynamics in fast-cycle industries’, </w:t>
      </w:r>
      <w:r w:rsidRPr="009558E3">
        <w:rPr>
          <w:i/>
          <w:iCs/>
          <w:sz w:val="28"/>
          <w:szCs w:val="28"/>
        </w:rPr>
        <w:t>Management Science</w:t>
      </w:r>
      <w:r w:rsidRPr="009558E3">
        <w:rPr>
          <w:sz w:val="28"/>
          <w:szCs w:val="28"/>
        </w:rPr>
        <w:t>, 66(10), pp. 4467–4485. Available at: https://doi.org/10.1287/mnsc.2019.3383</w:t>
      </w:r>
    </w:p>
    <w:p w14:paraId="7970B7A2" w14:textId="77777777" w:rsidR="009558E3" w:rsidRPr="009558E3" w:rsidRDefault="009558E3" w:rsidP="009558E3">
      <w:pPr>
        <w:jc w:val="both"/>
        <w:rPr>
          <w:sz w:val="28"/>
          <w:szCs w:val="28"/>
        </w:rPr>
      </w:pPr>
      <w:r w:rsidRPr="009558E3">
        <w:rPr>
          <w:sz w:val="28"/>
          <w:szCs w:val="28"/>
        </w:rPr>
        <w:t xml:space="preserve">Linz, A., Müller, M. and </w:t>
      </w:r>
      <w:proofErr w:type="spellStart"/>
      <w:r w:rsidRPr="009558E3">
        <w:rPr>
          <w:sz w:val="28"/>
          <w:szCs w:val="28"/>
        </w:rPr>
        <w:t>Lösch</w:t>
      </w:r>
      <w:proofErr w:type="spellEnd"/>
      <w:r w:rsidRPr="009558E3">
        <w:rPr>
          <w:sz w:val="28"/>
          <w:szCs w:val="28"/>
        </w:rPr>
        <w:t xml:space="preserve">, T. (2020) ‘Competitive dynamics in global electronics markets’, </w:t>
      </w:r>
      <w:r w:rsidRPr="009558E3">
        <w:rPr>
          <w:i/>
          <w:iCs/>
          <w:sz w:val="28"/>
          <w:szCs w:val="28"/>
        </w:rPr>
        <w:t>International Journal of Production Economics</w:t>
      </w:r>
      <w:r w:rsidRPr="009558E3">
        <w:rPr>
          <w:sz w:val="28"/>
          <w:szCs w:val="28"/>
        </w:rPr>
        <w:t>, 227, 107684. Available at: https://doi.org/10.1016/j.ijpe.2020.107684</w:t>
      </w:r>
    </w:p>
    <w:p w14:paraId="7441CA71" w14:textId="77777777" w:rsidR="009558E3" w:rsidRPr="009558E3" w:rsidRDefault="009558E3" w:rsidP="009558E3">
      <w:pPr>
        <w:jc w:val="both"/>
        <w:rPr>
          <w:sz w:val="28"/>
          <w:szCs w:val="28"/>
        </w:rPr>
      </w:pPr>
      <w:r w:rsidRPr="009558E3">
        <w:rPr>
          <w:sz w:val="28"/>
          <w:szCs w:val="28"/>
        </w:rPr>
        <w:t xml:space="preserve">Liu, W. and Wang, J. (2021) ‘Credit-risk modelling and payment </w:t>
      </w:r>
      <w:proofErr w:type="spellStart"/>
      <w:r w:rsidRPr="009558E3">
        <w:rPr>
          <w:sz w:val="28"/>
          <w:szCs w:val="28"/>
        </w:rPr>
        <w:t>behaviour</w:t>
      </w:r>
      <w:proofErr w:type="spellEnd"/>
      <w:r w:rsidRPr="009558E3">
        <w:rPr>
          <w:sz w:val="28"/>
          <w:szCs w:val="28"/>
        </w:rPr>
        <w:t xml:space="preserve"> in industrial supply chains’, </w:t>
      </w:r>
      <w:r w:rsidRPr="009558E3">
        <w:rPr>
          <w:i/>
          <w:iCs/>
          <w:sz w:val="28"/>
          <w:szCs w:val="28"/>
        </w:rPr>
        <w:t>Production Planning &amp; Control</w:t>
      </w:r>
      <w:r w:rsidRPr="009558E3">
        <w:rPr>
          <w:sz w:val="28"/>
          <w:szCs w:val="28"/>
        </w:rPr>
        <w:t>, 32(14), pp. 1185–1199. Available at: https://doi.org/10.1080/09537287.2020.1763554</w:t>
      </w:r>
    </w:p>
    <w:p w14:paraId="1B00565A" w14:textId="77777777" w:rsidR="009558E3" w:rsidRPr="009558E3" w:rsidRDefault="009558E3" w:rsidP="009558E3">
      <w:pPr>
        <w:jc w:val="both"/>
        <w:rPr>
          <w:sz w:val="28"/>
          <w:szCs w:val="28"/>
        </w:rPr>
      </w:pPr>
      <w:r w:rsidRPr="009558E3">
        <w:rPr>
          <w:sz w:val="28"/>
          <w:szCs w:val="28"/>
        </w:rPr>
        <w:t xml:space="preserve">McKinsey &amp; Company (2022) </w:t>
      </w:r>
      <w:r w:rsidRPr="009558E3">
        <w:rPr>
          <w:i/>
          <w:iCs/>
          <w:sz w:val="28"/>
          <w:szCs w:val="28"/>
        </w:rPr>
        <w:t>Reinventing Electronics Manufacturing Through Automation</w:t>
      </w:r>
      <w:r w:rsidRPr="009558E3">
        <w:rPr>
          <w:sz w:val="28"/>
          <w:szCs w:val="28"/>
        </w:rPr>
        <w:t>. Available at: https://www.mckinsey.com/capabilities/operations/our-insights/how-automation-is-transforming-electronics-manufacturing</w:t>
      </w:r>
    </w:p>
    <w:p w14:paraId="76FD7390" w14:textId="77777777" w:rsidR="009558E3" w:rsidRPr="009558E3" w:rsidRDefault="009558E3" w:rsidP="009558E3">
      <w:pPr>
        <w:jc w:val="both"/>
        <w:rPr>
          <w:sz w:val="28"/>
          <w:szCs w:val="28"/>
        </w:rPr>
      </w:pPr>
      <w:r w:rsidRPr="009558E3">
        <w:rPr>
          <w:sz w:val="28"/>
          <w:szCs w:val="28"/>
        </w:rPr>
        <w:lastRenderedPageBreak/>
        <w:t xml:space="preserve">OECD (2023) </w:t>
      </w:r>
      <w:r w:rsidRPr="009558E3">
        <w:rPr>
          <w:i/>
          <w:iCs/>
          <w:sz w:val="28"/>
          <w:szCs w:val="28"/>
        </w:rPr>
        <w:t>Global Electronics Outlook 2023</w:t>
      </w:r>
      <w:r w:rsidRPr="009558E3">
        <w:rPr>
          <w:sz w:val="28"/>
          <w:szCs w:val="28"/>
        </w:rPr>
        <w:t>. Available at: https://www.oecd.org/industry/electronics-outlook/</w:t>
      </w:r>
    </w:p>
    <w:p w14:paraId="74475658" w14:textId="77777777" w:rsidR="009558E3" w:rsidRPr="009558E3" w:rsidRDefault="009558E3" w:rsidP="009558E3">
      <w:pPr>
        <w:jc w:val="both"/>
        <w:rPr>
          <w:sz w:val="28"/>
          <w:szCs w:val="28"/>
        </w:rPr>
      </w:pPr>
      <w:r w:rsidRPr="009558E3">
        <w:rPr>
          <w:sz w:val="28"/>
          <w:szCs w:val="28"/>
        </w:rPr>
        <w:t xml:space="preserve">PwC (2023) </w:t>
      </w:r>
      <w:r w:rsidRPr="009558E3">
        <w:rPr>
          <w:i/>
          <w:iCs/>
          <w:sz w:val="28"/>
          <w:szCs w:val="28"/>
        </w:rPr>
        <w:t>Global Working Capital Report</w:t>
      </w:r>
      <w:r w:rsidRPr="009558E3">
        <w:rPr>
          <w:sz w:val="28"/>
          <w:szCs w:val="28"/>
        </w:rPr>
        <w:t>. Available at: https://www.pwc.com/gx/en/issues/working-capital.html</w:t>
      </w:r>
    </w:p>
    <w:p w14:paraId="6FC851B2" w14:textId="77777777" w:rsidR="009558E3" w:rsidRPr="009558E3" w:rsidRDefault="009558E3" w:rsidP="009558E3">
      <w:pPr>
        <w:jc w:val="both"/>
        <w:rPr>
          <w:sz w:val="28"/>
          <w:szCs w:val="28"/>
        </w:rPr>
      </w:pPr>
      <w:r w:rsidRPr="009558E3">
        <w:rPr>
          <w:sz w:val="28"/>
          <w:szCs w:val="28"/>
        </w:rPr>
        <w:t xml:space="preserve">Shapiro, A.C. (2020) </w:t>
      </w:r>
      <w:r w:rsidRPr="009558E3">
        <w:rPr>
          <w:i/>
          <w:iCs/>
          <w:sz w:val="28"/>
          <w:szCs w:val="28"/>
        </w:rPr>
        <w:t>Multinational Financial Management</w:t>
      </w:r>
      <w:r w:rsidRPr="009558E3">
        <w:rPr>
          <w:sz w:val="28"/>
          <w:szCs w:val="28"/>
        </w:rPr>
        <w:t xml:space="preserve">. 11th </w:t>
      </w:r>
      <w:proofErr w:type="spellStart"/>
      <w:r w:rsidRPr="009558E3">
        <w:rPr>
          <w:sz w:val="28"/>
          <w:szCs w:val="28"/>
        </w:rPr>
        <w:t>edn</w:t>
      </w:r>
      <w:proofErr w:type="spellEnd"/>
      <w:r w:rsidRPr="009558E3">
        <w:rPr>
          <w:sz w:val="28"/>
          <w:szCs w:val="28"/>
        </w:rPr>
        <w:t xml:space="preserve">. Hoboken: Wiley. Available at: </w:t>
      </w:r>
      <w:hyperlink r:id="rId13" w:tgtFrame="_new" w:history="1">
        <w:r w:rsidRPr="009558E3">
          <w:rPr>
            <w:rStyle w:val="Hyperlink"/>
            <w:sz w:val="28"/>
            <w:szCs w:val="28"/>
          </w:rPr>
          <w:t>https://www.wiley.com/</w:t>
        </w:r>
      </w:hyperlink>
    </w:p>
    <w:p w14:paraId="72F310DF" w14:textId="77777777" w:rsidR="009558E3" w:rsidRPr="009558E3" w:rsidRDefault="009558E3" w:rsidP="009558E3">
      <w:pPr>
        <w:jc w:val="both"/>
        <w:rPr>
          <w:sz w:val="28"/>
          <w:szCs w:val="28"/>
        </w:rPr>
      </w:pPr>
      <w:proofErr w:type="spellStart"/>
      <w:r w:rsidRPr="009558E3">
        <w:rPr>
          <w:sz w:val="28"/>
          <w:szCs w:val="28"/>
        </w:rPr>
        <w:t>Soufani</w:t>
      </w:r>
      <w:proofErr w:type="spellEnd"/>
      <w:r w:rsidRPr="009558E3">
        <w:rPr>
          <w:sz w:val="28"/>
          <w:szCs w:val="28"/>
        </w:rPr>
        <w:t xml:space="preserve">, K. (2011) ‘The role of factoring in financing small and medium enterprises’, </w:t>
      </w:r>
      <w:r w:rsidRPr="009558E3">
        <w:rPr>
          <w:i/>
          <w:iCs/>
          <w:sz w:val="28"/>
          <w:szCs w:val="28"/>
        </w:rPr>
        <w:t>International Small Business Journal</w:t>
      </w:r>
      <w:r w:rsidRPr="009558E3">
        <w:rPr>
          <w:sz w:val="28"/>
          <w:szCs w:val="28"/>
        </w:rPr>
        <w:t>, 29(1), pp. 49–66. Available at: https://doi.org/10.1177/0266242610375777</w:t>
      </w:r>
    </w:p>
    <w:p w14:paraId="71DB3AE9" w14:textId="77777777" w:rsidR="009558E3" w:rsidRPr="009558E3" w:rsidRDefault="009558E3" w:rsidP="009558E3">
      <w:pPr>
        <w:jc w:val="both"/>
        <w:rPr>
          <w:sz w:val="28"/>
          <w:szCs w:val="28"/>
        </w:rPr>
      </w:pPr>
      <w:proofErr w:type="spellStart"/>
      <w:r w:rsidRPr="009558E3">
        <w:rPr>
          <w:sz w:val="28"/>
          <w:szCs w:val="28"/>
        </w:rPr>
        <w:t>Tuomikangas</w:t>
      </w:r>
      <w:proofErr w:type="spellEnd"/>
      <w:r w:rsidRPr="009558E3">
        <w:rPr>
          <w:sz w:val="28"/>
          <w:szCs w:val="28"/>
        </w:rPr>
        <w:t xml:space="preserve">, N. and </w:t>
      </w:r>
      <w:proofErr w:type="spellStart"/>
      <w:r w:rsidRPr="009558E3">
        <w:rPr>
          <w:sz w:val="28"/>
          <w:szCs w:val="28"/>
        </w:rPr>
        <w:t>Kaipia</w:t>
      </w:r>
      <w:proofErr w:type="spellEnd"/>
      <w:r w:rsidRPr="009558E3">
        <w:rPr>
          <w:sz w:val="28"/>
          <w:szCs w:val="28"/>
        </w:rPr>
        <w:t xml:space="preserve">, R. (2014) ‘A review of S&amp;OP research’, </w:t>
      </w:r>
      <w:r w:rsidRPr="009558E3">
        <w:rPr>
          <w:i/>
          <w:iCs/>
          <w:sz w:val="28"/>
          <w:szCs w:val="28"/>
        </w:rPr>
        <w:t>International Journal of Production Economics</w:t>
      </w:r>
      <w:r w:rsidRPr="009558E3">
        <w:rPr>
          <w:sz w:val="28"/>
          <w:szCs w:val="28"/>
        </w:rPr>
        <w:t>, 154, pp. 243–262. Available at: https://doi.org/10.1016/j.ijpe.2014.04.032</w:t>
      </w:r>
    </w:p>
    <w:p w14:paraId="6D338FF5" w14:textId="77777777" w:rsidR="006B51A1" w:rsidRPr="009558E3" w:rsidRDefault="006B51A1" w:rsidP="009558E3">
      <w:pPr>
        <w:jc w:val="both"/>
        <w:rPr>
          <w:sz w:val="28"/>
          <w:szCs w:val="28"/>
        </w:rPr>
      </w:pPr>
    </w:p>
    <w:p w14:paraId="58BC0EB2" w14:textId="77777777" w:rsidR="006B51A1" w:rsidRPr="009558E3" w:rsidRDefault="006B51A1" w:rsidP="009558E3">
      <w:pPr>
        <w:jc w:val="both"/>
        <w:rPr>
          <w:sz w:val="28"/>
          <w:szCs w:val="28"/>
        </w:rPr>
      </w:pPr>
    </w:p>
    <w:p w14:paraId="4E50A503" w14:textId="77777777" w:rsidR="006B51A1" w:rsidRPr="009558E3" w:rsidRDefault="006B51A1" w:rsidP="009558E3">
      <w:pPr>
        <w:jc w:val="both"/>
        <w:rPr>
          <w:sz w:val="28"/>
          <w:szCs w:val="28"/>
        </w:rPr>
      </w:pPr>
    </w:p>
    <w:p w14:paraId="0B72597F" w14:textId="77777777" w:rsidR="006B51A1" w:rsidRPr="009558E3" w:rsidRDefault="006B51A1" w:rsidP="009558E3">
      <w:pPr>
        <w:jc w:val="both"/>
        <w:rPr>
          <w:sz w:val="28"/>
          <w:szCs w:val="28"/>
        </w:rPr>
      </w:pPr>
    </w:p>
    <w:p w14:paraId="7CC1937F" w14:textId="77777777" w:rsidR="006B51A1" w:rsidRPr="009558E3" w:rsidRDefault="006B51A1" w:rsidP="009558E3">
      <w:pPr>
        <w:jc w:val="both"/>
        <w:rPr>
          <w:sz w:val="28"/>
          <w:szCs w:val="28"/>
        </w:rPr>
      </w:pPr>
    </w:p>
    <w:p w14:paraId="3DD297FF" w14:textId="77777777" w:rsidR="006B51A1" w:rsidRPr="009558E3" w:rsidRDefault="006B51A1" w:rsidP="009558E3">
      <w:pPr>
        <w:jc w:val="both"/>
        <w:rPr>
          <w:sz w:val="28"/>
          <w:szCs w:val="28"/>
        </w:rPr>
      </w:pPr>
    </w:p>
    <w:p w14:paraId="3C7DE8E6" w14:textId="77777777" w:rsidR="006B51A1" w:rsidRPr="009558E3" w:rsidRDefault="006B51A1" w:rsidP="009558E3">
      <w:pPr>
        <w:jc w:val="both"/>
        <w:rPr>
          <w:sz w:val="28"/>
          <w:szCs w:val="28"/>
        </w:rPr>
      </w:pPr>
    </w:p>
    <w:p w14:paraId="0D9D9C0C" w14:textId="77777777" w:rsidR="006B51A1" w:rsidRPr="009558E3" w:rsidRDefault="006B51A1" w:rsidP="009558E3">
      <w:pPr>
        <w:jc w:val="both"/>
        <w:rPr>
          <w:sz w:val="28"/>
          <w:szCs w:val="28"/>
        </w:rPr>
      </w:pPr>
    </w:p>
    <w:p w14:paraId="06C66776" w14:textId="77777777" w:rsidR="006B51A1" w:rsidRPr="009558E3" w:rsidRDefault="006B51A1" w:rsidP="009558E3">
      <w:pPr>
        <w:jc w:val="both"/>
        <w:rPr>
          <w:sz w:val="28"/>
          <w:szCs w:val="28"/>
        </w:rPr>
      </w:pPr>
    </w:p>
    <w:p w14:paraId="1D89EEBF" w14:textId="77777777" w:rsidR="006B51A1" w:rsidRPr="009558E3" w:rsidRDefault="006B51A1" w:rsidP="009558E3">
      <w:pPr>
        <w:jc w:val="both"/>
        <w:rPr>
          <w:sz w:val="28"/>
          <w:szCs w:val="28"/>
        </w:rPr>
      </w:pPr>
    </w:p>
    <w:p w14:paraId="33F9D0F9" w14:textId="77777777" w:rsidR="006B51A1" w:rsidRPr="009558E3" w:rsidRDefault="006B51A1" w:rsidP="009558E3">
      <w:pPr>
        <w:jc w:val="both"/>
        <w:rPr>
          <w:sz w:val="28"/>
          <w:szCs w:val="28"/>
        </w:rPr>
      </w:pPr>
    </w:p>
    <w:p w14:paraId="5D55BADD" w14:textId="77777777" w:rsidR="006B51A1" w:rsidRPr="009558E3" w:rsidRDefault="006B51A1" w:rsidP="009558E3">
      <w:pPr>
        <w:jc w:val="both"/>
        <w:rPr>
          <w:sz w:val="28"/>
          <w:szCs w:val="28"/>
        </w:rPr>
      </w:pPr>
    </w:p>
    <w:p w14:paraId="5C65193E" w14:textId="77777777" w:rsidR="006B51A1" w:rsidRPr="009558E3" w:rsidRDefault="006B51A1" w:rsidP="009558E3">
      <w:pPr>
        <w:jc w:val="both"/>
        <w:rPr>
          <w:sz w:val="28"/>
          <w:szCs w:val="28"/>
        </w:rPr>
      </w:pPr>
    </w:p>
    <w:p w14:paraId="12590AB1" w14:textId="025662D6" w:rsidR="006B51A1" w:rsidRPr="009558E3" w:rsidRDefault="006B51A1" w:rsidP="009558E3">
      <w:pPr>
        <w:jc w:val="both"/>
        <w:rPr>
          <w:sz w:val="28"/>
          <w:szCs w:val="28"/>
        </w:rPr>
      </w:pPr>
      <w:r w:rsidRPr="009558E3">
        <w:rPr>
          <w:sz w:val="28"/>
          <w:szCs w:val="28"/>
        </w:rPr>
        <w:lastRenderedPageBreak/>
        <w:t xml:space="preserve">Appendix </w:t>
      </w:r>
    </w:p>
    <w:tbl>
      <w:tblPr>
        <w:tblW w:w="10063" w:type="dxa"/>
        <w:tblLook w:val="04A0" w:firstRow="1" w:lastRow="0" w:firstColumn="1" w:lastColumn="0" w:noHBand="0" w:noVBand="1"/>
      </w:tblPr>
      <w:tblGrid>
        <w:gridCol w:w="4923"/>
        <w:gridCol w:w="1152"/>
        <w:gridCol w:w="1152"/>
        <w:gridCol w:w="1152"/>
        <w:gridCol w:w="1152"/>
        <w:gridCol w:w="1152"/>
        <w:gridCol w:w="222"/>
      </w:tblGrid>
      <w:tr w:rsidR="006B51A1" w:rsidRPr="006B51A1" w14:paraId="70A2A61C" w14:textId="77777777" w:rsidTr="009558E3">
        <w:trPr>
          <w:trHeight w:val="330"/>
        </w:trPr>
        <w:tc>
          <w:tcPr>
            <w:tcW w:w="10063" w:type="dxa"/>
            <w:gridSpan w:val="7"/>
            <w:tcBorders>
              <w:top w:val="nil"/>
              <w:left w:val="nil"/>
              <w:bottom w:val="nil"/>
              <w:right w:val="nil"/>
            </w:tcBorders>
            <w:noWrap/>
            <w:vAlign w:val="center"/>
            <w:hideMark/>
          </w:tcPr>
          <w:p w14:paraId="630FCFC5" w14:textId="77777777" w:rsidR="006B51A1" w:rsidRPr="006B51A1" w:rsidRDefault="006B51A1" w:rsidP="009558E3">
            <w:pPr>
              <w:spacing w:after="0" w:line="240" w:lineRule="auto"/>
              <w:jc w:val="both"/>
              <w:rPr>
                <w:rFonts w:ascii="Calibri" w:eastAsia="Times New Roman" w:hAnsi="Calibri" w:cs="Calibri"/>
                <w:kern w:val="0"/>
                <w:sz w:val="32"/>
                <w:szCs w:val="32"/>
                <w14:ligatures w14:val="none"/>
              </w:rPr>
            </w:pPr>
            <w:r w:rsidRPr="006B51A1">
              <w:rPr>
                <w:rFonts w:ascii="Calibri" w:eastAsia="Times New Roman" w:hAnsi="Calibri" w:cs="Calibri"/>
                <w:kern w:val="0"/>
                <w:sz w:val="32"/>
                <w:szCs w:val="32"/>
                <w14:ligatures w14:val="none"/>
              </w:rPr>
              <w:t>General Electronics — Financial Statements (All figures in £m)</w:t>
            </w:r>
          </w:p>
        </w:tc>
      </w:tr>
      <w:tr w:rsidR="006B51A1" w:rsidRPr="006B51A1" w14:paraId="621026E8" w14:textId="77777777" w:rsidTr="009558E3">
        <w:trPr>
          <w:trHeight w:val="264"/>
        </w:trPr>
        <w:tc>
          <w:tcPr>
            <w:tcW w:w="4923" w:type="dxa"/>
            <w:tcBorders>
              <w:top w:val="nil"/>
              <w:left w:val="nil"/>
              <w:bottom w:val="nil"/>
              <w:right w:val="nil"/>
            </w:tcBorders>
            <w:noWrap/>
            <w:vAlign w:val="bottom"/>
            <w:hideMark/>
          </w:tcPr>
          <w:p w14:paraId="2ACB6F71" w14:textId="77777777" w:rsidR="006B51A1" w:rsidRPr="006B51A1" w:rsidRDefault="006B51A1" w:rsidP="009558E3">
            <w:pPr>
              <w:spacing w:after="0" w:line="240" w:lineRule="auto"/>
              <w:jc w:val="both"/>
              <w:rPr>
                <w:rFonts w:ascii="Calibri" w:eastAsia="Times New Roman" w:hAnsi="Calibri" w:cs="Calibri"/>
                <w:kern w:val="0"/>
                <w:sz w:val="32"/>
                <w:szCs w:val="32"/>
                <w14:ligatures w14:val="none"/>
              </w:rPr>
            </w:pPr>
          </w:p>
        </w:tc>
        <w:tc>
          <w:tcPr>
            <w:tcW w:w="987" w:type="dxa"/>
            <w:tcBorders>
              <w:top w:val="nil"/>
              <w:left w:val="nil"/>
              <w:bottom w:val="nil"/>
              <w:right w:val="nil"/>
            </w:tcBorders>
            <w:noWrap/>
            <w:vAlign w:val="bottom"/>
            <w:hideMark/>
          </w:tcPr>
          <w:p w14:paraId="597F11D9"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7ADC9CD4"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7C79598A"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566CEBF5"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2BA4F457"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204" w:type="dxa"/>
            <w:tcBorders>
              <w:top w:val="nil"/>
              <w:left w:val="nil"/>
              <w:bottom w:val="nil"/>
              <w:right w:val="nil"/>
            </w:tcBorders>
            <w:noWrap/>
            <w:vAlign w:val="bottom"/>
            <w:hideMark/>
          </w:tcPr>
          <w:p w14:paraId="723E7B61"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r>
      <w:tr w:rsidR="006B51A1" w:rsidRPr="006B51A1" w14:paraId="5331600D" w14:textId="77777777" w:rsidTr="009558E3">
        <w:trPr>
          <w:trHeight w:val="264"/>
        </w:trPr>
        <w:tc>
          <w:tcPr>
            <w:tcW w:w="10063" w:type="dxa"/>
            <w:gridSpan w:val="7"/>
            <w:tcBorders>
              <w:top w:val="nil"/>
              <w:left w:val="nil"/>
              <w:bottom w:val="nil"/>
              <w:right w:val="nil"/>
            </w:tcBorders>
            <w:noWrap/>
            <w:vAlign w:val="center"/>
            <w:hideMark/>
          </w:tcPr>
          <w:p w14:paraId="20B1771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Consolidated Income Statement (£m)</w:t>
            </w:r>
          </w:p>
        </w:tc>
      </w:tr>
      <w:tr w:rsidR="006B51A1" w:rsidRPr="006B51A1" w14:paraId="13E2253A" w14:textId="77777777" w:rsidTr="009558E3">
        <w:trPr>
          <w:trHeight w:val="264"/>
        </w:trPr>
        <w:tc>
          <w:tcPr>
            <w:tcW w:w="4923" w:type="dxa"/>
            <w:tcBorders>
              <w:top w:val="single" w:sz="4" w:space="0" w:color="000000"/>
              <w:left w:val="single" w:sz="4" w:space="0" w:color="000000"/>
              <w:bottom w:val="single" w:sz="4" w:space="0" w:color="000000"/>
              <w:right w:val="single" w:sz="4" w:space="0" w:color="000000"/>
            </w:tcBorders>
            <w:noWrap/>
            <w:vAlign w:val="bottom"/>
            <w:hideMark/>
          </w:tcPr>
          <w:p w14:paraId="283EB84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Line item</w:t>
            </w:r>
          </w:p>
        </w:tc>
        <w:tc>
          <w:tcPr>
            <w:tcW w:w="987" w:type="dxa"/>
            <w:tcBorders>
              <w:top w:val="single" w:sz="4" w:space="0" w:color="000000"/>
              <w:left w:val="nil"/>
              <w:bottom w:val="single" w:sz="4" w:space="0" w:color="000000"/>
              <w:right w:val="single" w:sz="4" w:space="0" w:color="000000"/>
            </w:tcBorders>
            <w:noWrap/>
            <w:vAlign w:val="center"/>
            <w:hideMark/>
          </w:tcPr>
          <w:p w14:paraId="092F4DD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2024</w:t>
            </w:r>
          </w:p>
        </w:tc>
        <w:tc>
          <w:tcPr>
            <w:tcW w:w="987" w:type="dxa"/>
            <w:tcBorders>
              <w:top w:val="single" w:sz="4" w:space="0" w:color="000000"/>
              <w:left w:val="nil"/>
              <w:bottom w:val="single" w:sz="4" w:space="0" w:color="000000"/>
              <w:right w:val="single" w:sz="4" w:space="0" w:color="000000"/>
            </w:tcBorders>
            <w:noWrap/>
            <w:vAlign w:val="center"/>
            <w:hideMark/>
          </w:tcPr>
          <w:p w14:paraId="76C8E0E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2023</w:t>
            </w:r>
          </w:p>
        </w:tc>
        <w:tc>
          <w:tcPr>
            <w:tcW w:w="987" w:type="dxa"/>
            <w:tcBorders>
              <w:top w:val="single" w:sz="4" w:space="0" w:color="000000"/>
              <w:left w:val="nil"/>
              <w:bottom w:val="single" w:sz="4" w:space="0" w:color="000000"/>
              <w:right w:val="single" w:sz="4" w:space="0" w:color="000000"/>
            </w:tcBorders>
            <w:noWrap/>
            <w:vAlign w:val="center"/>
            <w:hideMark/>
          </w:tcPr>
          <w:p w14:paraId="1367FA0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2022</w:t>
            </w:r>
          </w:p>
        </w:tc>
        <w:tc>
          <w:tcPr>
            <w:tcW w:w="987" w:type="dxa"/>
            <w:tcBorders>
              <w:top w:val="single" w:sz="4" w:space="0" w:color="000000"/>
              <w:left w:val="nil"/>
              <w:bottom w:val="single" w:sz="4" w:space="0" w:color="000000"/>
              <w:right w:val="single" w:sz="4" w:space="0" w:color="000000"/>
            </w:tcBorders>
            <w:noWrap/>
            <w:vAlign w:val="center"/>
            <w:hideMark/>
          </w:tcPr>
          <w:p w14:paraId="16F05DD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2021</w:t>
            </w:r>
          </w:p>
        </w:tc>
        <w:tc>
          <w:tcPr>
            <w:tcW w:w="987" w:type="dxa"/>
            <w:tcBorders>
              <w:top w:val="single" w:sz="4" w:space="0" w:color="000000"/>
              <w:left w:val="nil"/>
              <w:bottom w:val="single" w:sz="4" w:space="0" w:color="000000"/>
              <w:right w:val="single" w:sz="4" w:space="0" w:color="000000"/>
            </w:tcBorders>
            <w:noWrap/>
            <w:vAlign w:val="center"/>
            <w:hideMark/>
          </w:tcPr>
          <w:p w14:paraId="1E4C3BB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2020</w:t>
            </w:r>
          </w:p>
        </w:tc>
        <w:tc>
          <w:tcPr>
            <w:tcW w:w="204" w:type="dxa"/>
            <w:tcBorders>
              <w:top w:val="nil"/>
              <w:left w:val="nil"/>
              <w:bottom w:val="nil"/>
              <w:right w:val="nil"/>
            </w:tcBorders>
            <w:noWrap/>
            <w:vAlign w:val="bottom"/>
            <w:hideMark/>
          </w:tcPr>
          <w:p w14:paraId="6D9BFA67"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44B965EF"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65BAD37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Net sales</w:t>
            </w:r>
          </w:p>
        </w:tc>
        <w:tc>
          <w:tcPr>
            <w:tcW w:w="987" w:type="dxa"/>
            <w:tcBorders>
              <w:top w:val="nil"/>
              <w:left w:val="nil"/>
              <w:bottom w:val="single" w:sz="4" w:space="0" w:color="000000"/>
              <w:right w:val="single" w:sz="4" w:space="0" w:color="000000"/>
            </w:tcBorders>
            <w:noWrap/>
            <w:vAlign w:val="bottom"/>
            <w:hideMark/>
          </w:tcPr>
          <w:p w14:paraId="4B4EB12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394,879</w:t>
            </w:r>
          </w:p>
        </w:tc>
        <w:tc>
          <w:tcPr>
            <w:tcW w:w="987" w:type="dxa"/>
            <w:tcBorders>
              <w:top w:val="nil"/>
              <w:left w:val="nil"/>
              <w:bottom w:val="single" w:sz="4" w:space="0" w:color="000000"/>
              <w:right w:val="single" w:sz="4" w:space="0" w:color="000000"/>
            </w:tcBorders>
            <w:noWrap/>
            <w:vAlign w:val="bottom"/>
            <w:hideMark/>
          </w:tcPr>
          <w:p w14:paraId="24EEFED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420,457</w:t>
            </w:r>
          </w:p>
        </w:tc>
        <w:tc>
          <w:tcPr>
            <w:tcW w:w="987" w:type="dxa"/>
            <w:tcBorders>
              <w:top w:val="nil"/>
              <w:left w:val="nil"/>
              <w:bottom w:val="single" w:sz="4" w:space="0" w:color="000000"/>
              <w:right w:val="single" w:sz="4" w:space="0" w:color="000000"/>
            </w:tcBorders>
            <w:noWrap/>
            <w:vAlign w:val="bottom"/>
            <w:hideMark/>
          </w:tcPr>
          <w:p w14:paraId="7FB401A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542,751</w:t>
            </w:r>
          </w:p>
        </w:tc>
        <w:tc>
          <w:tcPr>
            <w:tcW w:w="987" w:type="dxa"/>
            <w:tcBorders>
              <w:top w:val="nil"/>
              <w:left w:val="nil"/>
              <w:bottom w:val="single" w:sz="4" w:space="0" w:color="000000"/>
              <w:right w:val="single" w:sz="4" w:space="0" w:color="000000"/>
            </w:tcBorders>
            <w:noWrap/>
            <w:vAlign w:val="bottom"/>
            <w:hideMark/>
          </w:tcPr>
          <w:p w14:paraId="37B06BA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601,602</w:t>
            </w:r>
          </w:p>
        </w:tc>
        <w:tc>
          <w:tcPr>
            <w:tcW w:w="987" w:type="dxa"/>
            <w:tcBorders>
              <w:top w:val="nil"/>
              <w:left w:val="nil"/>
              <w:bottom w:val="single" w:sz="4" w:space="0" w:color="000000"/>
              <w:right w:val="single" w:sz="4" w:space="0" w:color="000000"/>
            </w:tcBorders>
            <w:noWrap/>
            <w:vAlign w:val="bottom"/>
            <w:hideMark/>
          </w:tcPr>
          <w:p w14:paraId="061F265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614,680</w:t>
            </w:r>
          </w:p>
        </w:tc>
        <w:tc>
          <w:tcPr>
            <w:tcW w:w="204" w:type="dxa"/>
            <w:tcBorders>
              <w:top w:val="nil"/>
              <w:left w:val="nil"/>
              <w:bottom w:val="nil"/>
              <w:right w:val="nil"/>
            </w:tcBorders>
            <w:noWrap/>
            <w:vAlign w:val="bottom"/>
            <w:hideMark/>
          </w:tcPr>
          <w:p w14:paraId="740D7E76"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2BF5867"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17885F6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Cost of sales</w:t>
            </w:r>
          </w:p>
        </w:tc>
        <w:tc>
          <w:tcPr>
            <w:tcW w:w="987" w:type="dxa"/>
            <w:tcBorders>
              <w:top w:val="nil"/>
              <w:left w:val="nil"/>
              <w:bottom w:val="single" w:sz="4" w:space="0" w:color="000000"/>
              <w:right w:val="single" w:sz="4" w:space="0" w:color="000000"/>
            </w:tcBorders>
            <w:noWrap/>
            <w:vAlign w:val="bottom"/>
            <w:hideMark/>
          </w:tcPr>
          <w:p w14:paraId="65C113F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(280,885)</w:t>
            </w:r>
          </w:p>
        </w:tc>
        <w:tc>
          <w:tcPr>
            <w:tcW w:w="987" w:type="dxa"/>
            <w:tcBorders>
              <w:top w:val="nil"/>
              <w:left w:val="nil"/>
              <w:bottom w:val="single" w:sz="4" w:space="0" w:color="000000"/>
              <w:right w:val="single" w:sz="4" w:space="0" w:color="000000"/>
            </w:tcBorders>
            <w:noWrap/>
            <w:vAlign w:val="bottom"/>
            <w:hideMark/>
          </w:tcPr>
          <w:p w14:paraId="3B27B5E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(322,897)</w:t>
            </w:r>
          </w:p>
        </w:tc>
        <w:tc>
          <w:tcPr>
            <w:tcW w:w="987" w:type="dxa"/>
            <w:tcBorders>
              <w:top w:val="nil"/>
              <w:left w:val="nil"/>
              <w:bottom w:val="single" w:sz="4" w:space="0" w:color="000000"/>
              <w:right w:val="single" w:sz="4" w:space="0" w:color="000000"/>
            </w:tcBorders>
            <w:noWrap/>
            <w:vAlign w:val="bottom"/>
            <w:hideMark/>
          </w:tcPr>
          <w:p w14:paraId="7D79800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(390,459)</w:t>
            </w:r>
          </w:p>
        </w:tc>
        <w:tc>
          <w:tcPr>
            <w:tcW w:w="987" w:type="dxa"/>
            <w:tcBorders>
              <w:top w:val="nil"/>
              <w:left w:val="nil"/>
              <w:bottom w:val="single" w:sz="4" w:space="0" w:color="000000"/>
              <w:right w:val="single" w:sz="4" w:space="0" w:color="000000"/>
            </w:tcBorders>
            <w:noWrap/>
            <w:vAlign w:val="bottom"/>
            <w:hideMark/>
          </w:tcPr>
          <w:p w14:paraId="39329AF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(428,586)</w:t>
            </w:r>
          </w:p>
        </w:tc>
        <w:tc>
          <w:tcPr>
            <w:tcW w:w="987" w:type="dxa"/>
            <w:tcBorders>
              <w:top w:val="nil"/>
              <w:left w:val="nil"/>
              <w:bottom w:val="single" w:sz="4" w:space="0" w:color="000000"/>
              <w:right w:val="single" w:sz="4" w:space="0" w:color="000000"/>
            </w:tcBorders>
            <w:noWrap/>
            <w:vAlign w:val="bottom"/>
            <w:hideMark/>
          </w:tcPr>
          <w:p w14:paraId="656EBAC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(438,424)</w:t>
            </w:r>
          </w:p>
        </w:tc>
        <w:tc>
          <w:tcPr>
            <w:tcW w:w="204" w:type="dxa"/>
            <w:tcBorders>
              <w:top w:val="nil"/>
              <w:left w:val="nil"/>
              <w:bottom w:val="nil"/>
              <w:right w:val="nil"/>
            </w:tcBorders>
            <w:noWrap/>
            <w:vAlign w:val="bottom"/>
            <w:hideMark/>
          </w:tcPr>
          <w:p w14:paraId="64008370"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7C2C1E7C"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1AF0C7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Gross profit</w:t>
            </w:r>
          </w:p>
        </w:tc>
        <w:tc>
          <w:tcPr>
            <w:tcW w:w="987" w:type="dxa"/>
            <w:tcBorders>
              <w:top w:val="nil"/>
              <w:left w:val="nil"/>
              <w:bottom w:val="single" w:sz="4" w:space="0" w:color="000000"/>
              <w:right w:val="single" w:sz="4" w:space="0" w:color="000000"/>
            </w:tcBorders>
            <w:noWrap/>
            <w:vAlign w:val="bottom"/>
            <w:hideMark/>
          </w:tcPr>
          <w:p w14:paraId="337CCDD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113,994</w:t>
            </w:r>
          </w:p>
        </w:tc>
        <w:tc>
          <w:tcPr>
            <w:tcW w:w="987" w:type="dxa"/>
            <w:tcBorders>
              <w:top w:val="nil"/>
              <w:left w:val="nil"/>
              <w:bottom w:val="single" w:sz="4" w:space="0" w:color="000000"/>
              <w:right w:val="single" w:sz="4" w:space="0" w:color="000000"/>
            </w:tcBorders>
            <w:noWrap/>
            <w:vAlign w:val="bottom"/>
            <w:hideMark/>
          </w:tcPr>
          <w:p w14:paraId="55F0FDC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97,560</w:t>
            </w:r>
          </w:p>
        </w:tc>
        <w:tc>
          <w:tcPr>
            <w:tcW w:w="987" w:type="dxa"/>
            <w:tcBorders>
              <w:top w:val="nil"/>
              <w:left w:val="nil"/>
              <w:bottom w:val="single" w:sz="4" w:space="0" w:color="000000"/>
              <w:right w:val="single" w:sz="4" w:space="0" w:color="000000"/>
            </w:tcBorders>
            <w:noWrap/>
            <w:vAlign w:val="bottom"/>
            <w:hideMark/>
          </w:tcPr>
          <w:p w14:paraId="19447D3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152,292</w:t>
            </w:r>
          </w:p>
        </w:tc>
        <w:tc>
          <w:tcPr>
            <w:tcW w:w="987" w:type="dxa"/>
            <w:tcBorders>
              <w:top w:val="nil"/>
              <w:left w:val="nil"/>
              <w:bottom w:val="single" w:sz="4" w:space="0" w:color="000000"/>
              <w:right w:val="single" w:sz="4" w:space="0" w:color="000000"/>
            </w:tcBorders>
            <w:noWrap/>
            <w:vAlign w:val="bottom"/>
            <w:hideMark/>
          </w:tcPr>
          <w:p w14:paraId="7385144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173,016</w:t>
            </w:r>
          </w:p>
        </w:tc>
        <w:tc>
          <w:tcPr>
            <w:tcW w:w="987" w:type="dxa"/>
            <w:tcBorders>
              <w:top w:val="nil"/>
              <w:left w:val="nil"/>
              <w:bottom w:val="single" w:sz="4" w:space="0" w:color="000000"/>
              <w:right w:val="single" w:sz="4" w:space="0" w:color="000000"/>
            </w:tcBorders>
            <w:noWrap/>
            <w:vAlign w:val="bottom"/>
            <w:hideMark/>
          </w:tcPr>
          <w:p w14:paraId="5367CB7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176,256</w:t>
            </w:r>
          </w:p>
        </w:tc>
        <w:tc>
          <w:tcPr>
            <w:tcW w:w="204" w:type="dxa"/>
            <w:tcBorders>
              <w:top w:val="nil"/>
              <w:left w:val="nil"/>
              <w:bottom w:val="nil"/>
              <w:right w:val="nil"/>
            </w:tcBorders>
            <w:noWrap/>
            <w:vAlign w:val="bottom"/>
            <w:hideMark/>
          </w:tcPr>
          <w:p w14:paraId="4FF4C4BB"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7416132"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39A721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Operating expenses</w:t>
            </w:r>
          </w:p>
        </w:tc>
        <w:tc>
          <w:tcPr>
            <w:tcW w:w="987" w:type="dxa"/>
            <w:tcBorders>
              <w:top w:val="nil"/>
              <w:left w:val="nil"/>
              <w:bottom w:val="single" w:sz="4" w:space="0" w:color="000000"/>
              <w:right w:val="single" w:sz="4" w:space="0" w:color="000000"/>
            </w:tcBorders>
            <w:noWrap/>
            <w:vAlign w:val="bottom"/>
            <w:hideMark/>
          </w:tcPr>
          <w:p w14:paraId="171867C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(129,291)</w:t>
            </w:r>
          </w:p>
        </w:tc>
        <w:tc>
          <w:tcPr>
            <w:tcW w:w="987" w:type="dxa"/>
            <w:tcBorders>
              <w:top w:val="nil"/>
              <w:left w:val="nil"/>
              <w:bottom w:val="single" w:sz="4" w:space="0" w:color="000000"/>
              <w:right w:val="single" w:sz="4" w:space="0" w:color="000000"/>
            </w:tcBorders>
            <w:noWrap/>
            <w:vAlign w:val="bottom"/>
            <w:hideMark/>
          </w:tcPr>
          <w:p w14:paraId="1E51FB5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(182,861)</w:t>
            </w:r>
          </w:p>
        </w:tc>
        <w:tc>
          <w:tcPr>
            <w:tcW w:w="987" w:type="dxa"/>
            <w:tcBorders>
              <w:top w:val="nil"/>
              <w:left w:val="nil"/>
              <w:bottom w:val="single" w:sz="4" w:space="0" w:color="000000"/>
              <w:right w:val="single" w:sz="4" w:space="0" w:color="000000"/>
            </w:tcBorders>
            <w:noWrap/>
            <w:vAlign w:val="bottom"/>
            <w:hideMark/>
          </w:tcPr>
          <w:p w14:paraId="4A23D50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(137,744)</w:t>
            </w:r>
          </w:p>
        </w:tc>
        <w:tc>
          <w:tcPr>
            <w:tcW w:w="987" w:type="dxa"/>
            <w:tcBorders>
              <w:top w:val="nil"/>
              <w:left w:val="nil"/>
              <w:bottom w:val="single" w:sz="4" w:space="0" w:color="000000"/>
              <w:right w:val="single" w:sz="4" w:space="0" w:color="000000"/>
            </w:tcBorders>
            <w:noWrap/>
            <w:vAlign w:val="bottom"/>
            <w:hideMark/>
          </w:tcPr>
          <w:p w14:paraId="5BAF5B2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(149,763)</w:t>
            </w:r>
          </w:p>
        </w:tc>
        <w:tc>
          <w:tcPr>
            <w:tcW w:w="987" w:type="dxa"/>
            <w:tcBorders>
              <w:top w:val="nil"/>
              <w:left w:val="nil"/>
              <w:bottom w:val="single" w:sz="4" w:space="0" w:color="000000"/>
              <w:right w:val="single" w:sz="4" w:space="0" w:color="000000"/>
            </w:tcBorders>
            <w:noWrap/>
            <w:vAlign w:val="bottom"/>
            <w:hideMark/>
          </w:tcPr>
          <w:p w14:paraId="7148040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(138,989)</w:t>
            </w:r>
          </w:p>
        </w:tc>
        <w:tc>
          <w:tcPr>
            <w:tcW w:w="204" w:type="dxa"/>
            <w:tcBorders>
              <w:top w:val="nil"/>
              <w:left w:val="nil"/>
              <w:bottom w:val="nil"/>
              <w:right w:val="nil"/>
            </w:tcBorders>
            <w:noWrap/>
            <w:vAlign w:val="bottom"/>
            <w:hideMark/>
          </w:tcPr>
          <w:p w14:paraId="72CFC18E"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519EDD6"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123A715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Operating income (loss)</w:t>
            </w:r>
          </w:p>
        </w:tc>
        <w:tc>
          <w:tcPr>
            <w:tcW w:w="987" w:type="dxa"/>
            <w:tcBorders>
              <w:top w:val="nil"/>
              <w:left w:val="nil"/>
              <w:bottom w:val="single" w:sz="4" w:space="0" w:color="000000"/>
              <w:right w:val="single" w:sz="4" w:space="0" w:color="000000"/>
            </w:tcBorders>
            <w:noWrap/>
            <w:vAlign w:val="bottom"/>
            <w:hideMark/>
          </w:tcPr>
          <w:p w14:paraId="671AD69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(15,297)</w:t>
            </w:r>
          </w:p>
        </w:tc>
        <w:tc>
          <w:tcPr>
            <w:tcW w:w="987" w:type="dxa"/>
            <w:tcBorders>
              <w:top w:val="nil"/>
              <w:left w:val="nil"/>
              <w:bottom w:val="single" w:sz="4" w:space="0" w:color="000000"/>
              <w:right w:val="single" w:sz="4" w:space="0" w:color="000000"/>
            </w:tcBorders>
            <w:noWrap/>
            <w:vAlign w:val="bottom"/>
            <w:hideMark/>
          </w:tcPr>
          <w:p w14:paraId="0BA763B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(85,301)</w:t>
            </w:r>
          </w:p>
        </w:tc>
        <w:tc>
          <w:tcPr>
            <w:tcW w:w="987" w:type="dxa"/>
            <w:tcBorders>
              <w:top w:val="nil"/>
              <w:left w:val="nil"/>
              <w:bottom w:val="single" w:sz="4" w:space="0" w:color="000000"/>
              <w:right w:val="single" w:sz="4" w:space="0" w:color="000000"/>
            </w:tcBorders>
            <w:noWrap/>
            <w:vAlign w:val="bottom"/>
            <w:hideMark/>
          </w:tcPr>
          <w:p w14:paraId="2FA8CC1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14,548</w:t>
            </w:r>
          </w:p>
        </w:tc>
        <w:tc>
          <w:tcPr>
            <w:tcW w:w="987" w:type="dxa"/>
            <w:tcBorders>
              <w:top w:val="nil"/>
              <w:left w:val="nil"/>
              <w:bottom w:val="single" w:sz="4" w:space="0" w:color="000000"/>
              <w:right w:val="single" w:sz="4" w:space="0" w:color="000000"/>
            </w:tcBorders>
            <w:noWrap/>
            <w:vAlign w:val="bottom"/>
            <w:hideMark/>
          </w:tcPr>
          <w:p w14:paraId="79AAE7D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23,253</w:t>
            </w:r>
          </w:p>
        </w:tc>
        <w:tc>
          <w:tcPr>
            <w:tcW w:w="987" w:type="dxa"/>
            <w:tcBorders>
              <w:top w:val="nil"/>
              <w:left w:val="nil"/>
              <w:bottom w:val="single" w:sz="4" w:space="0" w:color="000000"/>
              <w:right w:val="single" w:sz="4" w:space="0" w:color="000000"/>
            </w:tcBorders>
            <w:noWrap/>
            <w:vAlign w:val="bottom"/>
            <w:hideMark/>
          </w:tcPr>
          <w:p w14:paraId="2C8E3B7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37,267</w:t>
            </w:r>
          </w:p>
        </w:tc>
        <w:tc>
          <w:tcPr>
            <w:tcW w:w="204" w:type="dxa"/>
            <w:tcBorders>
              <w:top w:val="nil"/>
              <w:left w:val="nil"/>
              <w:bottom w:val="nil"/>
              <w:right w:val="nil"/>
            </w:tcBorders>
            <w:noWrap/>
            <w:vAlign w:val="bottom"/>
            <w:hideMark/>
          </w:tcPr>
          <w:p w14:paraId="678C1BF8"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D9F5627"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EC5DE1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Interest income (expenses)</w:t>
            </w:r>
          </w:p>
        </w:tc>
        <w:tc>
          <w:tcPr>
            <w:tcW w:w="987" w:type="dxa"/>
            <w:tcBorders>
              <w:top w:val="nil"/>
              <w:left w:val="nil"/>
              <w:bottom w:val="single" w:sz="4" w:space="0" w:color="000000"/>
              <w:right w:val="single" w:sz="4" w:space="0" w:color="000000"/>
            </w:tcBorders>
            <w:noWrap/>
            <w:vAlign w:val="bottom"/>
            <w:hideMark/>
          </w:tcPr>
          <w:p w14:paraId="17E51C4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(3,361)</w:t>
            </w:r>
          </w:p>
        </w:tc>
        <w:tc>
          <w:tcPr>
            <w:tcW w:w="987" w:type="dxa"/>
            <w:tcBorders>
              <w:top w:val="nil"/>
              <w:left w:val="nil"/>
              <w:bottom w:val="single" w:sz="4" w:space="0" w:color="000000"/>
              <w:right w:val="single" w:sz="4" w:space="0" w:color="000000"/>
            </w:tcBorders>
            <w:noWrap/>
            <w:vAlign w:val="bottom"/>
            <w:hideMark/>
          </w:tcPr>
          <w:p w14:paraId="4B7A8B1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(4,332)</w:t>
            </w:r>
          </w:p>
        </w:tc>
        <w:tc>
          <w:tcPr>
            <w:tcW w:w="987" w:type="dxa"/>
            <w:tcBorders>
              <w:top w:val="nil"/>
              <w:left w:val="nil"/>
              <w:bottom w:val="single" w:sz="4" w:space="0" w:color="000000"/>
              <w:right w:val="single" w:sz="4" w:space="0" w:color="000000"/>
            </w:tcBorders>
            <w:noWrap/>
            <w:vAlign w:val="bottom"/>
            <w:hideMark/>
          </w:tcPr>
          <w:p w14:paraId="3735B24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(2,200)</w:t>
            </w:r>
          </w:p>
        </w:tc>
        <w:tc>
          <w:tcPr>
            <w:tcW w:w="987" w:type="dxa"/>
            <w:tcBorders>
              <w:top w:val="nil"/>
              <w:left w:val="nil"/>
              <w:bottom w:val="single" w:sz="4" w:space="0" w:color="000000"/>
              <w:right w:val="single" w:sz="4" w:space="0" w:color="000000"/>
            </w:tcBorders>
            <w:noWrap/>
            <w:vAlign w:val="bottom"/>
            <w:hideMark/>
          </w:tcPr>
          <w:p w14:paraId="220593A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(566)</w:t>
            </w:r>
          </w:p>
        </w:tc>
        <w:tc>
          <w:tcPr>
            <w:tcW w:w="987" w:type="dxa"/>
            <w:tcBorders>
              <w:top w:val="nil"/>
              <w:left w:val="nil"/>
              <w:bottom w:val="single" w:sz="4" w:space="0" w:color="000000"/>
              <w:right w:val="single" w:sz="4" w:space="0" w:color="000000"/>
            </w:tcBorders>
            <w:noWrap/>
            <w:vAlign w:val="bottom"/>
            <w:hideMark/>
          </w:tcPr>
          <w:p w14:paraId="4AFF490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(1,422)</w:t>
            </w:r>
          </w:p>
        </w:tc>
        <w:tc>
          <w:tcPr>
            <w:tcW w:w="204" w:type="dxa"/>
            <w:tcBorders>
              <w:top w:val="nil"/>
              <w:left w:val="nil"/>
              <w:bottom w:val="nil"/>
              <w:right w:val="nil"/>
            </w:tcBorders>
            <w:noWrap/>
            <w:vAlign w:val="bottom"/>
            <w:hideMark/>
          </w:tcPr>
          <w:p w14:paraId="3EA1BB68"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C60FF44"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4B8FA0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Other income (expenses)</w:t>
            </w:r>
          </w:p>
        </w:tc>
        <w:tc>
          <w:tcPr>
            <w:tcW w:w="987" w:type="dxa"/>
            <w:tcBorders>
              <w:top w:val="nil"/>
              <w:left w:val="nil"/>
              <w:bottom w:val="single" w:sz="4" w:space="0" w:color="000000"/>
              <w:right w:val="single" w:sz="4" w:space="0" w:color="000000"/>
            </w:tcBorders>
            <w:noWrap/>
            <w:vAlign w:val="bottom"/>
            <w:hideMark/>
          </w:tcPr>
          <w:p w14:paraId="075D7D1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60</w:t>
            </w:r>
          </w:p>
        </w:tc>
        <w:tc>
          <w:tcPr>
            <w:tcW w:w="987" w:type="dxa"/>
            <w:tcBorders>
              <w:top w:val="nil"/>
              <w:left w:val="nil"/>
              <w:bottom w:val="single" w:sz="4" w:space="0" w:color="000000"/>
              <w:right w:val="single" w:sz="4" w:space="0" w:color="000000"/>
            </w:tcBorders>
            <w:noWrap/>
            <w:vAlign w:val="bottom"/>
            <w:hideMark/>
          </w:tcPr>
          <w:p w14:paraId="2893E5C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(2,621)</w:t>
            </w:r>
          </w:p>
        </w:tc>
        <w:tc>
          <w:tcPr>
            <w:tcW w:w="987" w:type="dxa"/>
            <w:tcBorders>
              <w:top w:val="nil"/>
              <w:left w:val="nil"/>
              <w:bottom w:val="single" w:sz="4" w:space="0" w:color="000000"/>
              <w:right w:val="single" w:sz="4" w:space="0" w:color="000000"/>
            </w:tcBorders>
            <w:noWrap/>
            <w:vAlign w:val="bottom"/>
            <w:hideMark/>
          </w:tcPr>
          <w:p w14:paraId="4CE376C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(955)</w:t>
            </w:r>
          </w:p>
        </w:tc>
        <w:tc>
          <w:tcPr>
            <w:tcW w:w="987" w:type="dxa"/>
            <w:tcBorders>
              <w:top w:val="nil"/>
              <w:left w:val="nil"/>
              <w:bottom w:val="single" w:sz="4" w:space="0" w:color="000000"/>
              <w:right w:val="single" w:sz="4" w:space="0" w:color="000000"/>
            </w:tcBorders>
            <w:noWrap/>
            <w:vAlign w:val="bottom"/>
            <w:hideMark/>
          </w:tcPr>
          <w:p w14:paraId="4D51C9C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(6,607)</w:t>
            </w:r>
          </w:p>
        </w:tc>
        <w:tc>
          <w:tcPr>
            <w:tcW w:w="987" w:type="dxa"/>
            <w:tcBorders>
              <w:top w:val="nil"/>
              <w:left w:val="nil"/>
              <w:bottom w:val="single" w:sz="4" w:space="0" w:color="000000"/>
              <w:right w:val="single" w:sz="4" w:space="0" w:color="000000"/>
            </w:tcBorders>
            <w:noWrap/>
            <w:vAlign w:val="bottom"/>
            <w:hideMark/>
          </w:tcPr>
          <w:p w14:paraId="55B6A45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8,060</w:t>
            </w:r>
          </w:p>
        </w:tc>
        <w:tc>
          <w:tcPr>
            <w:tcW w:w="204" w:type="dxa"/>
            <w:tcBorders>
              <w:top w:val="nil"/>
              <w:left w:val="nil"/>
              <w:bottom w:val="nil"/>
              <w:right w:val="nil"/>
            </w:tcBorders>
            <w:noWrap/>
            <w:vAlign w:val="bottom"/>
            <w:hideMark/>
          </w:tcPr>
          <w:p w14:paraId="5ACAAD23"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3998C3BB"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202DAE9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Income (loss) before provision for income taxes</w:t>
            </w:r>
          </w:p>
        </w:tc>
        <w:tc>
          <w:tcPr>
            <w:tcW w:w="987" w:type="dxa"/>
            <w:tcBorders>
              <w:top w:val="nil"/>
              <w:left w:val="nil"/>
              <w:bottom w:val="single" w:sz="4" w:space="0" w:color="000000"/>
              <w:right w:val="single" w:sz="4" w:space="0" w:color="000000"/>
            </w:tcBorders>
            <w:noWrap/>
            <w:vAlign w:val="bottom"/>
            <w:hideMark/>
          </w:tcPr>
          <w:p w14:paraId="138FBD5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(18,598)</w:t>
            </w:r>
          </w:p>
        </w:tc>
        <w:tc>
          <w:tcPr>
            <w:tcW w:w="987" w:type="dxa"/>
            <w:tcBorders>
              <w:top w:val="nil"/>
              <w:left w:val="nil"/>
              <w:bottom w:val="single" w:sz="4" w:space="0" w:color="000000"/>
              <w:right w:val="single" w:sz="4" w:space="0" w:color="000000"/>
            </w:tcBorders>
            <w:noWrap/>
            <w:vAlign w:val="bottom"/>
            <w:hideMark/>
          </w:tcPr>
          <w:p w14:paraId="0C60387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(92,254)</w:t>
            </w:r>
          </w:p>
        </w:tc>
        <w:tc>
          <w:tcPr>
            <w:tcW w:w="987" w:type="dxa"/>
            <w:tcBorders>
              <w:top w:val="nil"/>
              <w:left w:val="nil"/>
              <w:bottom w:val="single" w:sz="4" w:space="0" w:color="000000"/>
              <w:right w:val="single" w:sz="4" w:space="0" w:color="000000"/>
            </w:tcBorders>
            <w:noWrap/>
            <w:vAlign w:val="bottom"/>
            <w:hideMark/>
          </w:tcPr>
          <w:p w14:paraId="62639A2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11,393</w:t>
            </w:r>
          </w:p>
        </w:tc>
        <w:tc>
          <w:tcPr>
            <w:tcW w:w="987" w:type="dxa"/>
            <w:tcBorders>
              <w:top w:val="nil"/>
              <w:left w:val="nil"/>
              <w:bottom w:val="single" w:sz="4" w:space="0" w:color="000000"/>
              <w:right w:val="single" w:sz="4" w:space="0" w:color="000000"/>
            </w:tcBorders>
            <w:noWrap/>
            <w:vAlign w:val="bottom"/>
            <w:hideMark/>
          </w:tcPr>
          <w:p w14:paraId="221DB15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16,080</w:t>
            </w:r>
          </w:p>
        </w:tc>
        <w:tc>
          <w:tcPr>
            <w:tcW w:w="987" w:type="dxa"/>
            <w:tcBorders>
              <w:top w:val="nil"/>
              <w:left w:val="nil"/>
              <w:bottom w:val="single" w:sz="4" w:space="0" w:color="000000"/>
              <w:right w:val="single" w:sz="4" w:space="0" w:color="000000"/>
            </w:tcBorders>
            <w:noWrap/>
            <w:vAlign w:val="bottom"/>
            <w:hideMark/>
          </w:tcPr>
          <w:p w14:paraId="68295B6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43,905</w:t>
            </w:r>
          </w:p>
        </w:tc>
        <w:tc>
          <w:tcPr>
            <w:tcW w:w="204" w:type="dxa"/>
            <w:tcBorders>
              <w:top w:val="nil"/>
              <w:left w:val="nil"/>
              <w:bottom w:val="nil"/>
              <w:right w:val="nil"/>
            </w:tcBorders>
            <w:noWrap/>
            <w:vAlign w:val="bottom"/>
            <w:hideMark/>
          </w:tcPr>
          <w:p w14:paraId="15A36CFC"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34BB3885"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499C20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Income taxes</w:t>
            </w:r>
          </w:p>
        </w:tc>
        <w:tc>
          <w:tcPr>
            <w:tcW w:w="987" w:type="dxa"/>
            <w:tcBorders>
              <w:top w:val="nil"/>
              <w:left w:val="nil"/>
              <w:bottom w:val="single" w:sz="4" w:space="0" w:color="000000"/>
              <w:right w:val="single" w:sz="4" w:space="0" w:color="000000"/>
            </w:tcBorders>
            <w:noWrap/>
            <w:vAlign w:val="bottom"/>
            <w:hideMark/>
          </w:tcPr>
          <w:p w14:paraId="09B4C83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(5,431)</w:t>
            </w:r>
          </w:p>
        </w:tc>
        <w:tc>
          <w:tcPr>
            <w:tcW w:w="987" w:type="dxa"/>
            <w:tcBorders>
              <w:top w:val="nil"/>
              <w:left w:val="nil"/>
              <w:bottom w:val="single" w:sz="4" w:space="0" w:color="000000"/>
              <w:right w:val="single" w:sz="4" w:space="0" w:color="000000"/>
            </w:tcBorders>
            <w:noWrap/>
            <w:vAlign w:val="bottom"/>
            <w:hideMark/>
          </w:tcPr>
          <w:p w14:paraId="777147E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(5,984)</w:t>
            </w:r>
          </w:p>
        </w:tc>
        <w:tc>
          <w:tcPr>
            <w:tcW w:w="987" w:type="dxa"/>
            <w:tcBorders>
              <w:top w:val="nil"/>
              <w:left w:val="nil"/>
              <w:bottom w:val="single" w:sz="4" w:space="0" w:color="000000"/>
              <w:right w:val="single" w:sz="4" w:space="0" w:color="000000"/>
            </w:tcBorders>
            <w:noWrap/>
            <w:vAlign w:val="bottom"/>
            <w:hideMark/>
          </w:tcPr>
          <w:p w14:paraId="4FE17BE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(10,986)</w:t>
            </w:r>
          </w:p>
        </w:tc>
        <w:tc>
          <w:tcPr>
            <w:tcW w:w="987" w:type="dxa"/>
            <w:tcBorders>
              <w:top w:val="nil"/>
              <w:left w:val="nil"/>
              <w:bottom w:val="single" w:sz="4" w:space="0" w:color="000000"/>
              <w:right w:val="single" w:sz="4" w:space="0" w:color="000000"/>
            </w:tcBorders>
            <w:noWrap/>
            <w:vAlign w:val="bottom"/>
            <w:hideMark/>
          </w:tcPr>
          <w:p w14:paraId="185A61D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(10,779)</w:t>
            </w:r>
          </w:p>
        </w:tc>
        <w:tc>
          <w:tcPr>
            <w:tcW w:w="987" w:type="dxa"/>
            <w:tcBorders>
              <w:top w:val="nil"/>
              <w:left w:val="nil"/>
              <w:bottom w:val="single" w:sz="4" w:space="0" w:color="000000"/>
              <w:right w:val="single" w:sz="4" w:space="0" w:color="000000"/>
            </w:tcBorders>
            <w:noWrap/>
            <w:vAlign w:val="bottom"/>
            <w:hideMark/>
          </w:tcPr>
          <w:p w14:paraId="5E68860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(5,333)</w:t>
            </w:r>
          </w:p>
        </w:tc>
        <w:tc>
          <w:tcPr>
            <w:tcW w:w="204" w:type="dxa"/>
            <w:tcBorders>
              <w:top w:val="nil"/>
              <w:left w:val="nil"/>
              <w:bottom w:val="nil"/>
              <w:right w:val="nil"/>
            </w:tcBorders>
            <w:noWrap/>
            <w:vAlign w:val="bottom"/>
            <w:hideMark/>
          </w:tcPr>
          <w:p w14:paraId="6AEA2C87"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277ED9D"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D741B5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Net income (loss)</w:t>
            </w:r>
          </w:p>
        </w:tc>
        <w:tc>
          <w:tcPr>
            <w:tcW w:w="987" w:type="dxa"/>
            <w:tcBorders>
              <w:top w:val="nil"/>
              <w:left w:val="nil"/>
              <w:bottom w:val="single" w:sz="4" w:space="0" w:color="000000"/>
              <w:right w:val="single" w:sz="4" w:space="0" w:color="000000"/>
            </w:tcBorders>
            <w:noWrap/>
            <w:vAlign w:val="bottom"/>
            <w:hideMark/>
          </w:tcPr>
          <w:p w14:paraId="3A4A787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(24,029)</w:t>
            </w:r>
          </w:p>
        </w:tc>
        <w:tc>
          <w:tcPr>
            <w:tcW w:w="987" w:type="dxa"/>
            <w:tcBorders>
              <w:top w:val="nil"/>
              <w:left w:val="nil"/>
              <w:bottom w:val="single" w:sz="4" w:space="0" w:color="000000"/>
              <w:right w:val="single" w:sz="4" w:space="0" w:color="000000"/>
            </w:tcBorders>
            <w:noWrap/>
            <w:vAlign w:val="bottom"/>
            <w:hideMark/>
          </w:tcPr>
          <w:p w14:paraId="55FCDB4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(98,238)</w:t>
            </w:r>
          </w:p>
        </w:tc>
        <w:tc>
          <w:tcPr>
            <w:tcW w:w="987" w:type="dxa"/>
            <w:tcBorders>
              <w:top w:val="nil"/>
              <w:left w:val="nil"/>
              <w:bottom w:val="single" w:sz="4" w:space="0" w:color="000000"/>
              <w:right w:val="single" w:sz="4" w:space="0" w:color="000000"/>
            </w:tcBorders>
            <w:noWrap/>
            <w:vAlign w:val="bottom"/>
            <w:hideMark/>
          </w:tcPr>
          <w:p w14:paraId="60750F6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407</w:t>
            </w:r>
          </w:p>
        </w:tc>
        <w:tc>
          <w:tcPr>
            <w:tcW w:w="987" w:type="dxa"/>
            <w:tcBorders>
              <w:top w:val="nil"/>
              <w:left w:val="nil"/>
              <w:bottom w:val="single" w:sz="4" w:space="0" w:color="000000"/>
              <w:right w:val="single" w:sz="4" w:space="0" w:color="000000"/>
            </w:tcBorders>
            <w:noWrap/>
            <w:vAlign w:val="bottom"/>
            <w:hideMark/>
          </w:tcPr>
          <w:p w14:paraId="05DCCFB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5,301</w:t>
            </w:r>
          </w:p>
        </w:tc>
        <w:tc>
          <w:tcPr>
            <w:tcW w:w="987" w:type="dxa"/>
            <w:tcBorders>
              <w:top w:val="nil"/>
              <w:left w:val="nil"/>
              <w:bottom w:val="single" w:sz="4" w:space="0" w:color="000000"/>
              <w:right w:val="single" w:sz="4" w:space="0" w:color="000000"/>
            </w:tcBorders>
            <w:noWrap/>
            <w:vAlign w:val="bottom"/>
            <w:hideMark/>
          </w:tcPr>
          <w:p w14:paraId="031A600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38,572</w:t>
            </w:r>
          </w:p>
        </w:tc>
        <w:tc>
          <w:tcPr>
            <w:tcW w:w="204" w:type="dxa"/>
            <w:tcBorders>
              <w:top w:val="nil"/>
              <w:left w:val="nil"/>
              <w:bottom w:val="nil"/>
              <w:right w:val="nil"/>
            </w:tcBorders>
            <w:noWrap/>
            <w:vAlign w:val="bottom"/>
            <w:hideMark/>
          </w:tcPr>
          <w:p w14:paraId="25E2A245"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47F1010D"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DE3618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Basic EPS (£)</w:t>
            </w:r>
          </w:p>
        </w:tc>
        <w:tc>
          <w:tcPr>
            <w:tcW w:w="987" w:type="dxa"/>
            <w:tcBorders>
              <w:top w:val="nil"/>
              <w:left w:val="nil"/>
              <w:bottom w:val="single" w:sz="4" w:space="0" w:color="000000"/>
              <w:right w:val="single" w:sz="4" w:space="0" w:color="000000"/>
            </w:tcBorders>
            <w:noWrap/>
            <w:vAlign w:val="bottom"/>
            <w:hideMark/>
          </w:tcPr>
          <w:p w14:paraId="2721221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w:t>
            </w:r>
          </w:p>
        </w:tc>
        <w:tc>
          <w:tcPr>
            <w:tcW w:w="987" w:type="dxa"/>
            <w:tcBorders>
              <w:top w:val="nil"/>
              <w:left w:val="nil"/>
              <w:bottom w:val="single" w:sz="4" w:space="0" w:color="000000"/>
              <w:right w:val="single" w:sz="4" w:space="0" w:color="000000"/>
            </w:tcBorders>
            <w:noWrap/>
            <w:vAlign w:val="bottom"/>
            <w:hideMark/>
          </w:tcPr>
          <w:p w14:paraId="3D25464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(8)</w:t>
            </w:r>
          </w:p>
        </w:tc>
        <w:tc>
          <w:tcPr>
            <w:tcW w:w="987" w:type="dxa"/>
            <w:tcBorders>
              <w:top w:val="nil"/>
              <w:left w:val="nil"/>
              <w:bottom w:val="single" w:sz="4" w:space="0" w:color="000000"/>
              <w:right w:val="single" w:sz="4" w:space="0" w:color="000000"/>
            </w:tcBorders>
            <w:noWrap/>
            <w:vAlign w:val="bottom"/>
            <w:hideMark/>
          </w:tcPr>
          <w:p w14:paraId="5A06435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0</w:t>
            </w:r>
          </w:p>
        </w:tc>
        <w:tc>
          <w:tcPr>
            <w:tcW w:w="987" w:type="dxa"/>
            <w:tcBorders>
              <w:top w:val="nil"/>
              <w:left w:val="nil"/>
              <w:bottom w:val="single" w:sz="4" w:space="0" w:color="000000"/>
              <w:right w:val="single" w:sz="4" w:space="0" w:color="000000"/>
            </w:tcBorders>
            <w:noWrap/>
            <w:vAlign w:val="bottom"/>
            <w:hideMark/>
          </w:tcPr>
          <w:p w14:paraId="3D53801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0</w:t>
            </w:r>
          </w:p>
        </w:tc>
        <w:tc>
          <w:tcPr>
            <w:tcW w:w="987" w:type="dxa"/>
            <w:tcBorders>
              <w:top w:val="nil"/>
              <w:left w:val="nil"/>
              <w:bottom w:val="single" w:sz="4" w:space="0" w:color="000000"/>
              <w:right w:val="single" w:sz="4" w:space="0" w:color="000000"/>
            </w:tcBorders>
            <w:noWrap/>
            <w:vAlign w:val="bottom"/>
            <w:hideMark/>
          </w:tcPr>
          <w:p w14:paraId="4765870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w:t>
            </w:r>
          </w:p>
        </w:tc>
        <w:tc>
          <w:tcPr>
            <w:tcW w:w="204" w:type="dxa"/>
            <w:tcBorders>
              <w:top w:val="nil"/>
              <w:left w:val="nil"/>
              <w:bottom w:val="nil"/>
              <w:right w:val="nil"/>
            </w:tcBorders>
            <w:noWrap/>
            <w:vAlign w:val="bottom"/>
            <w:hideMark/>
          </w:tcPr>
          <w:p w14:paraId="1CFA4335"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BC598C0"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3C21D6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Diluted EPS (£)</w:t>
            </w:r>
          </w:p>
        </w:tc>
        <w:tc>
          <w:tcPr>
            <w:tcW w:w="987" w:type="dxa"/>
            <w:tcBorders>
              <w:top w:val="nil"/>
              <w:left w:val="nil"/>
              <w:bottom w:val="single" w:sz="4" w:space="0" w:color="000000"/>
              <w:right w:val="single" w:sz="4" w:space="0" w:color="000000"/>
            </w:tcBorders>
            <w:noWrap/>
            <w:vAlign w:val="bottom"/>
            <w:hideMark/>
          </w:tcPr>
          <w:p w14:paraId="48EF9FE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w:t>
            </w:r>
          </w:p>
        </w:tc>
        <w:tc>
          <w:tcPr>
            <w:tcW w:w="987" w:type="dxa"/>
            <w:tcBorders>
              <w:top w:val="nil"/>
              <w:left w:val="nil"/>
              <w:bottom w:val="single" w:sz="4" w:space="0" w:color="000000"/>
              <w:right w:val="single" w:sz="4" w:space="0" w:color="000000"/>
            </w:tcBorders>
            <w:noWrap/>
            <w:vAlign w:val="bottom"/>
            <w:hideMark/>
          </w:tcPr>
          <w:p w14:paraId="2BD77CA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(8)</w:t>
            </w:r>
          </w:p>
        </w:tc>
        <w:tc>
          <w:tcPr>
            <w:tcW w:w="987" w:type="dxa"/>
            <w:tcBorders>
              <w:top w:val="nil"/>
              <w:left w:val="nil"/>
              <w:bottom w:val="single" w:sz="4" w:space="0" w:color="000000"/>
              <w:right w:val="single" w:sz="4" w:space="0" w:color="000000"/>
            </w:tcBorders>
            <w:noWrap/>
            <w:vAlign w:val="bottom"/>
            <w:hideMark/>
          </w:tcPr>
          <w:p w14:paraId="04D5CA9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0</w:t>
            </w:r>
          </w:p>
        </w:tc>
        <w:tc>
          <w:tcPr>
            <w:tcW w:w="987" w:type="dxa"/>
            <w:tcBorders>
              <w:top w:val="nil"/>
              <w:left w:val="nil"/>
              <w:bottom w:val="single" w:sz="4" w:space="0" w:color="000000"/>
              <w:right w:val="single" w:sz="4" w:space="0" w:color="000000"/>
            </w:tcBorders>
            <w:noWrap/>
            <w:vAlign w:val="bottom"/>
            <w:hideMark/>
          </w:tcPr>
          <w:p w14:paraId="18C8E37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0</w:t>
            </w:r>
          </w:p>
        </w:tc>
        <w:tc>
          <w:tcPr>
            <w:tcW w:w="987" w:type="dxa"/>
            <w:tcBorders>
              <w:top w:val="nil"/>
              <w:left w:val="nil"/>
              <w:bottom w:val="single" w:sz="4" w:space="0" w:color="000000"/>
              <w:right w:val="single" w:sz="4" w:space="0" w:color="000000"/>
            </w:tcBorders>
            <w:noWrap/>
            <w:vAlign w:val="bottom"/>
            <w:hideMark/>
          </w:tcPr>
          <w:p w14:paraId="6DCBD87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w:t>
            </w:r>
          </w:p>
        </w:tc>
        <w:tc>
          <w:tcPr>
            <w:tcW w:w="204" w:type="dxa"/>
            <w:tcBorders>
              <w:top w:val="nil"/>
              <w:left w:val="nil"/>
              <w:bottom w:val="nil"/>
              <w:right w:val="nil"/>
            </w:tcBorders>
            <w:noWrap/>
            <w:vAlign w:val="bottom"/>
            <w:hideMark/>
          </w:tcPr>
          <w:p w14:paraId="403C7E49"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9E23819"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1681DC9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Shares used (Basic)</w:t>
            </w:r>
          </w:p>
        </w:tc>
        <w:tc>
          <w:tcPr>
            <w:tcW w:w="987" w:type="dxa"/>
            <w:tcBorders>
              <w:top w:val="nil"/>
              <w:left w:val="nil"/>
              <w:bottom w:val="single" w:sz="4" w:space="0" w:color="000000"/>
              <w:right w:val="single" w:sz="4" w:space="0" w:color="000000"/>
            </w:tcBorders>
            <w:noWrap/>
            <w:vAlign w:val="bottom"/>
            <w:hideMark/>
          </w:tcPr>
          <w:p w14:paraId="0EF9250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12,959</w:t>
            </w:r>
          </w:p>
        </w:tc>
        <w:tc>
          <w:tcPr>
            <w:tcW w:w="987" w:type="dxa"/>
            <w:tcBorders>
              <w:top w:val="nil"/>
              <w:left w:val="nil"/>
              <w:bottom w:val="single" w:sz="4" w:space="0" w:color="000000"/>
              <w:right w:val="single" w:sz="4" w:space="0" w:color="000000"/>
            </w:tcBorders>
            <w:noWrap/>
            <w:vAlign w:val="bottom"/>
            <w:hideMark/>
          </w:tcPr>
          <w:p w14:paraId="070DC3D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12,855</w:t>
            </w:r>
          </w:p>
        </w:tc>
        <w:tc>
          <w:tcPr>
            <w:tcW w:w="987" w:type="dxa"/>
            <w:tcBorders>
              <w:top w:val="nil"/>
              <w:left w:val="nil"/>
              <w:bottom w:val="single" w:sz="4" w:space="0" w:color="000000"/>
              <w:right w:val="single" w:sz="4" w:space="0" w:color="000000"/>
            </w:tcBorders>
            <w:noWrap/>
            <w:vAlign w:val="bottom"/>
            <w:hideMark/>
          </w:tcPr>
          <w:p w14:paraId="361F3AE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12,703</w:t>
            </w:r>
          </w:p>
        </w:tc>
        <w:tc>
          <w:tcPr>
            <w:tcW w:w="987" w:type="dxa"/>
            <w:tcBorders>
              <w:top w:val="nil"/>
              <w:left w:val="nil"/>
              <w:bottom w:val="single" w:sz="4" w:space="0" w:color="000000"/>
              <w:right w:val="single" w:sz="4" w:space="0" w:color="000000"/>
            </w:tcBorders>
            <w:noWrap/>
            <w:vAlign w:val="bottom"/>
            <w:hideMark/>
          </w:tcPr>
          <w:p w14:paraId="6724101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13,465</w:t>
            </w:r>
          </w:p>
        </w:tc>
        <w:tc>
          <w:tcPr>
            <w:tcW w:w="987" w:type="dxa"/>
            <w:tcBorders>
              <w:top w:val="nil"/>
              <w:left w:val="nil"/>
              <w:bottom w:val="single" w:sz="4" w:space="0" w:color="000000"/>
              <w:right w:val="single" w:sz="4" w:space="0" w:color="000000"/>
            </w:tcBorders>
            <w:noWrap/>
            <w:vAlign w:val="bottom"/>
            <w:hideMark/>
          </w:tcPr>
          <w:p w14:paraId="6D8AA14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13,893</w:t>
            </w:r>
          </w:p>
        </w:tc>
        <w:tc>
          <w:tcPr>
            <w:tcW w:w="204" w:type="dxa"/>
            <w:tcBorders>
              <w:top w:val="nil"/>
              <w:left w:val="nil"/>
              <w:bottom w:val="nil"/>
              <w:right w:val="nil"/>
            </w:tcBorders>
            <w:noWrap/>
            <w:vAlign w:val="bottom"/>
            <w:hideMark/>
          </w:tcPr>
          <w:p w14:paraId="7A599626"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4EBF44D8" w14:textId="77777777" w:rsidTr="009558E3">
        <w:trPr>
          <w:trHeight w:val="264"/>
        </w:trPr>
        <w:tc>
          <w:tcPr>
            <w:tcW w:w="4923" w:type="dxa"/>
            <w:tcBorders>
              <w:top w:val="nil"/>
              <w:left w:val="nil"/>
              <w:bottom w:val="nil"/>
              <w:right w:val="nil"/>
            </w:tcBorders>
            <w:noWrap/>
            <w:vAlign w:val="bottom"/>
            <w:hideMark/>
          </w:tcPr>
          <w:p w14:paraId="568F0081"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47134482"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4937FB6E"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03B57A64"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6424F01E"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781CAC07"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204" w:type="dxa"/>
            <w:tcBorders>
              <w:top w:val="nil"/>
              <w:left w:val="nil"/>
              <w:bottom w:val="nil"/>
              <w:right w:val="nil"/>
            </w:tcBorders>
            <w:noWrap/>
            <w:vAlign w:val="bottom"/>
            <w:hideMark/>
          </w:tcPr>
          <w:p w14:paraId="7F006F6A"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r>
      <w:tr w:rsidR="006B51A1" w:rsidRPr="006B51A1" w14:paraId="78F9848E" w14:textId="77777777" w:rsidTr="009558E3">
        <w:trPr>
          <w:trHeight w:val="264"/>
        </w:trPr>
        <w:tc>
          <w:tcPr>
            <w:tcW w:w="10063" w:type="dxa"/>
            <w:gridSpan w:val="7"/>
            <w:tcBorders>
              <w:top w:val="nil"/>
              <w:left w:val="nil"/>
              <w:bottom w:val="nil"/>
              <w:right w:val="nil"/>
            </w:tcBorders>
            <w:noWrap/>
            <w:vAlign w:val="center"/>
            <w:hideMark/>
          </w:tcPr>
          <w:p w14:paraId="1AC0FEB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Consolidated Financial Position (£m) — Assets</w:t>
            </w:r>
          </w:p>
        </w:tc>
      </w:tr>
      <w:tr w:rsidR="006B51A1" w:rsidRPr="006B51A1" w14:paraId="3490DC5B" w14:textId="77777777" w:rsidTr="009558E3">
        <w:trPr>
          <w:trHeight w:val="264"/>
        </w:trPr>
        <w:tc>
          <w:tcPr>
            <w:tcW w:w="4923" w:type="dxa"/>
            <w:tcBorders>
              <w:top w:val="single" w:sz="4" w:space="0" w:color="000000"/>
              <w:left w:val="single" w:sz="4" w:space="0" w:color="000000"/>
              <w:bottom w:val="single" w:sz="4" w:space="0" w:color="000000"/>
              <w:right w:val="single" w:sz="4" w:space="0" w:color="000000"/>
            </w:tcBorders>
            <w:noWrap/>
            <w:vAlign w:val="bottom"/>
            <w:hideMark/>
          </w:tcPr>
          <w:p w14:paraId="175F2B0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Line item</w:t>
            </w:r>
          </w:p>
        </w:tc>
        <w:tc>
          <w:tcPr>
            <w:tcW w:w="987" w:type="dxa"/>
            <w:tcBorders>
              <w:top w:val="single" w:sz="4" w:space="0" w:color="000000"/>
              <w:left w:val="nil"/>
              <w:bottom w:val="single" w:sz="4" w:space="0" w:color="000000"/>
              <w:right w:val="single" w:sz="4" w:space="0" w:color="000000"/>
            </w:tcBorders>
            <w:noWrap/>
            <w:vAlign w:val="center"/>
            <w:hideMark/>
          </w:tcPr>
          <w:p w14:paraId="3901A31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2024</w:t>
            </w:r>
          </w:p>
        </w:tc>
        <w:tc>
          <w:tcPr>
            <w:tcW w:w="987" w:type="dxa"/>
            <w:tcBorders>
              <w:top w:val="single" w:sz="4" w:space="0" w:color="000000"/>
              <w:left w:val="nil"/>
              <w:bottom w:val="single" w:sz="4" w:space="0" w:color="000000"/>
              <w:right w:val="single" w:sz="4" w:space="0" w:color="000000"/>
            </w:tcBorders>
            <w:noWrap/>
            <w:vAlign w:val="center"/>
            <w:hideMark/>
          </w:tcPr>
          <w:p w14:paraId="0EDAD8D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2023</w:t>
            </w:r>
          </w:p>
        </w:tc>
        <w:tc>
          <w:tcPr>
            <w:tcW w:w="987" w:type="dxa"/>
            <w:tcBorders>
              <w:top w:val="single" w:sz="4" w:space="0" w:color="000000"/>
              <w:left w:val="nil"/>
              <w:bottom w:val="single" w:sz="4" w:space="0" w:color="000000"/>
              <w:right w:val="single" w:sz="4" w:space="0" w:color="000000"/>
            </w:tcBorders>
            <w:noWrap/>
            <w:vAlign w:val="center"/>
            <w:hideMark/>
          </w:tcPr>
          <w:p w14:paraId="7CBD730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2022</w:t>
            </w:r>
          </w:p>
        </w:tc>
        <w:tc>
          <w:tcPr>
            <w:tcW w:w="987" w:type="dxa"/>
            <w:tcBorders>
              <w:top w:val="single" w:sz="4" w:space="0" w:color="000000"/>
              <w:left w:val="nil"/>
              <w:bottom w:val="single" w:sz="4" w:space="0" w:color="000000"/>
              <w:right w:val="single" w:sz="4" w:space="0" w:color="000000"/>
            </w:tcBorders>
            <w:noWrap/>
            <w:vAlign w:val="center"/>
            <w:hideMark/>
          </w:tcPr>
          <w:p w14:paraId="0AF2422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2021</w:t>
            </w:r>
          </w:p>
        </w:tc>
        <w:tc>
          <w:tcPr>
            <w:tcW w:w="987" w:type="dxa"/>
            <w:tcBorders>
              <w:top w:val="single" w:sz="4" w:space="0" w:color="000000"/>
              <w:left w:val="nil"/>
              <w:bottom w:val="single" w:sz="4" w:space="0" w:color="000000"/>
              <w:right w:val="single" w:sz="4" w:space="0" w:color="000000"/>
            </w:tcBorders>
            <w:noWrap/>
            <w:vAlign w:val="center"/>
            <w:hideMark/>
          </w:tcPr>
          <w:p w14:paraId="0AE0F35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2020</w:t>
            </w:r>
          </w:p>
        </w:tc>
        <w:tc>
          <w:tcPr>
            <w:tcW w:w="204" w:type="dxa"/>
            <w:tcBorders>
              <w:top w:val="nil"/>
              <w:left w:val="nil"/>
              <w:bottom w:val="nil"/>
              <w:right w:val="nil"/>
            </w:tcBorders>
            <w:noWrap/>
            <w:vAlign w:val="bottom"/>
            <w:hideMark/>
          </w:tcPr>
          <w:p w14:paraId="72E41F47"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588D252"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46268C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Cash and cash equivalents</w:t>
            </w:r>
          </w:p>
        </w:tc>
        <w:tc>
          <w:tcPr>
            <w:tcW w:w="987" w:type="dxa"/>
            <w:tcBorders>
              <w:top w:val="nil"/>
              <w:left w:val="nil"/>
              <w:bottom w:val="single" w:sz="4" w:space="0" w:color="000000"/>
              <w:right w:val="single" w:sz="4" w:space="0" w:color="000000"/>
            </w:tcBorders>
            <w:noWrap/>
            <w:vAlign w:val="bottom"/>
            <w:hideMark/>
          </w:tcPr>
          <w:p w14:paraId="3E59517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26,783</w:t>
            </w:r>
          </w:p>
        </w:tc>
        <w:tc>
          <w:tcPr>
            <w:tcW w:w="987" w:type="dxa"/>
            <w:tcBorders>
              <w:top w:val="nil"/>
              <w:left w:val="nil"/>
              <w:bottom w:val="single" w:sz="4" w:space="0" w:color="000000"/>
              <w:right w:val="single" w:sz="4" w:space="0" w:color="000000"/>
            </w:tcBorders>
            <w:noWrap/>
            <w:vAlign w:val="bottom"/>
            <w:hideMark/>
          </w:tcPr>
          <w:p w14:paraId="0397E3A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42,751</w:t>
            </w:r>
          </w:p>
        </w:tc>
        <w:tc>
          <w:tcPr>
            <w:tcW w:w="987" w:type="dxa"/>
            <w:tcBorders>
              <w:top w:val="nil"/>
              <w:left w:val="nil"/>
              <w:bottom w:val="single" w:sz="4" w:space="0" w:color="000000"/>
              <w:right w:val="single" w:sz="4" w:space="0" w:color="000000"/>
            </w:tcBorders>
            <w:noWrap/>
            <w:vAlign w:val="bottom"/>
            <w:hideMark/>
          </w:tcPr>
          <w:p w14:paraId="750657A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66,740</w:t>
            </w:r>
          </w:p>
        </w:tc>
        <w:tc>
          <w:tcPr>
            <w:tcW w:w="987" w:type="dxa"/>
            <w:tcBorders>
              <w:top w:val="nil"/>
              <w:left w:val="nil"/>
              <w:bottom w:val="single" w:sz="4" w:space="0" w:color="000000"/>
              <w:right w:val="single" w:sz="4" w:space="0" w:color="000000"/>
            </w:tcBorders>
            <w:noWrap/>
            <w:vAlign w:val="bottom"/>
            <w:hideMark/>
          </w:tcPr>
          <w:p w14:paraId="0F5ECDB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60,813</w:t>
            </w:r>
          </w:p>
        </w:tc>
        <w:tc>
          <w:tcPr>
            <w:tcW w:w="987" w:type="dxa"/>
            <w:tcBorders>
              <w:top w:val="nil"/>
              <w:left w:val="nil"/>
              <w:bottom w:val="single" w:sz="4" w:space="0" w:color="000000"/>
              <w:right w:val="single" w:sz="4" w:space="0" w:color="000000"/>
            </w:tcBorders>
            <w:noWrap/>
            <w:vAlign w:val="bottom"/>
            <w:hideMark/>
          </w:tcPr>
          <w:p w14:paraId="4307743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57,153</w:t>
            </w:r>
          </w:p>
        </w:tc>
        <w:tc>
          <w:tcPr>
            <w:tcW w:w="204" w:type="dxa"/>
            <w:tcBorders>
              <w:top w:val="nil"/>
              <w:left w:val="nil"/>
              <w:bottom w:val="nil"/>
              <w:right w:val="nil"/>
            </w:tcBorders>
            <w:noWrap/>
            <w:vAlign w:val="bottom"/>
            <w:hideMark/>
          </w:tcPr>
          <w:p w14:paraId="10018646"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2303693"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CF951A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Accounts receivable</w:t>
            </w:r>
          </w:p>
        </w:tc>
        <w:tc>
          <w:tcPr>
            <w:tcW w:w="987" w:type="dxa"/>
            <w:tcBorders>
              <w:top w:val="nil"/>
              <w:left w:val="nil"/>
              <w:bottom w:val="single" w:sz="4" w:space="0" w:color="000000"/>
              <w:right w:val="single" w:sz="4" w:space="0" w:color="000000"/>
            </w:tcBorders>
            <w:noWrap/>
            <w:vAlign w:val="bottom"/>
            <w:hideMark/>
          </w:tcPr>
          <w:p w14:paraId="53BF5B6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114,182</w:t>
            </w:r>
          </w:p>
        </w:tc>
        <w:tc>
          <w:tcPr>
            <w:tcW w:w="987" w:type="dxa"/>
            <w:tcBorders>
              <w:top w:val="nil"/>
              <w:left w:val="nil"/>
              <w:bottom w:val="single" w:sz="4" w:space="0" w:color="000000"/>
              <w:right w:val="single" w:sz="4" w:space="0" w:color="000000"/>
            </w:tcBorders>
            <w:noWrap/>
            <w:vAlign w:val="bottom"/>
            <w:hideMark/>
          </w:tcPr>
          <w:p w14:paraId="6F22341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112,596</w:t>
            </w:r>
          </w:p>
        </w:tc>
        <w:tc>
          <w:tcPr>
            <w:tcW w:w="987" w:type="dxa"/>
            <w:tcBorders>
              <w:top w:val="nil"/>
              <w:left w:val="nil"/>
              <w:bottom w:val="single" w:sz="4" w:space="0" w:color="000000"/>
              <w:right w:val="single" w:sz="4" w:space="0" w:color="000000"/>
            </w:tcBorders>
            <w:noWrap/>
            <w:vAlign w:val="bottom"/>
            <w:hideMark/>
          </w:tcPr>
          <w:p w14:paraId="0E344C1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112,346</w:t>
            </w:r>
          </w:p>
        </w:tc>
        <w:tc>
          <w:tcPr>
            <w:tcW w:w="987" w:type="dxa"/>
            <w:tcBorders>
              <w:top w:val="nil"/>
              <w:left w:val="nil"/>
              <w:bottom w:val="single" w:sz="4" w:space="0" w:color="000000"/>
              <w:right w:val="single" w:sz="4" w:space="0" w:color="000000"/>
            </w:tcBorders>
            <w:noWrap/>
            <w:vAlign w:val="bottom"/>
            <w:hideMark/>
          </w:tcPr>
          <w:p w14:paraId="0758C99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129,215</w:t>
            </w:r>
          </w:p>
        </w:tc>
        <w:tc>
          <w:tcPr>
            <w:tcW w:w="987" w:type="dxa"/>
            <w:tcBorders>
              <w:top w:val="nil"/>
              <w:left w:val="nil"/>
              <w:bottom w:val="single" w:sz="4" w:space="0" w:color="000000"/>
              <w:right w:val="single" w:sz="4" w:space="0" w:color="000000"/>
            </w:tcBorders>
            <w:noWrap/>
            <w:vAlign w:val="bottom"/>
            <w:hideMark/>
          </w:tcPr>
          <w:p w14:paraId="743A12D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129,433</w:t>
            </w:r>
          </w:p>
        </w:tc>
        <w:tc>
          <w:tcPr>
            <w:tcW w:w="204" w:type="dxa"/>
            <w:tcBorders>
              <w:top w:val="nil"/>
              <w:left w:val="nil"/>
              <w:bottom w:val="nil"/>
              <w:right w:val="nil"/>
            </w:tcBorders>
            <w:noWrap/>
            <w:vAlign w:val="bottom"/>
            <w:hideMark/>
          </w:tcPr>
          <w:p w14:paraId="72F0FD3E"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B1CA60D"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2EAA736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Contract assets</w:t>
            </w:r>
          </w:p>
        </w:tc>
        <w:tc>
          <w:tcPr>
            <w:tcW w:w="987" w:type="dxa"/>
            <w:tcBorders>
              <w:top w:val="nil"/>
              <w:left w:val="nil"/>
              <w:bottom w:val="single" w:sz="4" w:space="0" w:color="000000"/>
              <w:right w:val="single" w:sz="4" w:space="0" w:color="000000"/>
            </w:tcBorders>
            <w:noWrap/>
            <w:vAlign w:val="bottom"/>
            <w:hideMark/>
          </w:tcPr>
          <w:p w14:paraId="5C1A13A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10,346</w:t>
            </w:r>
          </w:p>
        </w:tc>
        <w:tc>
          <w:tcPr>
            <w:tcW w:w="987" w:type="dxa"/>
            <w:tcBorders>
              <w:top w:val="nil"/>
              <w:left w:val="nil"/>
              <w:bottom w:val="single" w:sz="4" w:space="0" w:color="000000"/>
              <w:right w:val="single" w:sz="4" w:space="0" w:color="000000"/>
            </w:tcBorders>
            <w:noWrap/>
            <w:vAlign w:val="bottom"/>
            <w:hideMark/>
          </w:tcPr>
          <w:p w14:paraId="6F6FDFD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4,240</w:t>
            </w:r>
          </w:p>
        </w:tc>
        <w:tc>
          <w:tcPr>
            <w:tcW w:w="987" w:type="dxa"/>
            <w:tcBorders>
              <w:top w:val="nil"/>
              <w:left w:val="nil"/>
              <w:bottom w:val="single" w:sz="4" w:space="0" w:color="000000"/>
              <w:right w:val="single" w:sz="4" w:space="0" w:color="000000"/>
            </w:tcBorders>
            <w:noWrap/>
            <w:vAlign w:val="bottom"/>
            <w:hideMark/>
          </w:tcPr>
          <w:p w14:paraId="31EAA7C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7,996</w:t>
            </w:r>
          </w:p>
        </w:tc>
        <w:tc>
          <w:tcPr>
            <w:tcW w:w="987" w:type="dxa"/>
            <w:tcBorders>
              <w:top w:val="nil"/>
              <w:left w:val="nil"/>
              <w:bottom w:val="single" w:sz="4" w:space="0" w:color="000000"/>
              <w:right w:val="single" w:sz="4" w:space="0" w:color="000000"/>
            </w:tcBorders>
            <w:noWrap/>
            <w:vAlign w:val="bottom"/>
            <w:hideMark/>
          </w:tcPr>
          <w:p w14:paraId="1233362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5,012</w:t>
            </w:r>
          </w:p>
        </w:tc>
        <w:tc>
          <w:tcPr>
            <w:tcW w:w="987" w:type="dxa"/>
            <w:tcBorders>
              <w:top w:val="nil"/>
              <w:left w:val="nil"/>
              <w:bottom w:val="single" w:sz="4" w:space="0" w:color="000000"/>
              <w:right w:val="single" w:sz="4" w:space="0" w:color="000000"/>
            </w:tcBorders>
            <w:noWrap/>
            <w:vAlign w:val="bottom"/>
            <w:hideMark/>
          </w:tcPr>
          <w:p w14:paraId="51B1BDE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9,685</w:t>
            </w:r>
          </w:p>
        </w:tc>
        <w:tc>
          <w:tcPr>
            <w:tcW w:w="204" w:type="dxa"/>
            <w:tcBorders>
              <w:top w:val="nil"/>
              <w:left w:val="nil"/>
              <w:bottom w:val="nil"/>
              <w:right w:val="nil"/>
            </w:tcBorders>
            <w:noWrap/>
            <w:vAlign w:val="bottom"/>
            <w:hideMark/>
          </w:tcPr>
          <w:p w14:paraId="2AD010AE"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3FBE0DAB"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651AF51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Inventories</w:t>
            </w:r>
          </w:p>
        </w:tc>
        <w:tc>
          <w:tcPr>
            <w:tcW w:w="987" w:type="dxa"/>
            <w:tcBorders>
              <w:top w:val="nil"/>
              <w:left w:val="nil"/>
              <w:bottom w:val="single" w:sz="4" w:space="0" w:color="000000"/>
              <w:right w:val="single" w:sz="4" w:space="0" w:color="000000"/>
            </w:tcBorders>
            <w:noWrap/>
            <w:vAlign w:val="bottom"/>
            <w:hideMark/>
          </w:tcPr>
          <w:p w14:paraId="563998A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79,355</w:t>
            </w:r>
          </w:p>
        </w:tc>
        <w:tc>
          <w:tcPr>
            <w:tcW w:w="987" w:type="dxa"/>
            <w:tcBorders>
              <w:top w:val="nil"/>
              <w:left w:val="nil"/>
              <w:bottom w:val="single" w:sz="4" w:space="0" w:color="000000"/>
              <w:right w:val="single" w:sz="4" w:space="0" w:color="000000"/>
            </w:tcBorders>
            <w:noWrap/>
            <w:vAlign w:val="bottom"/>
            <w:hideMark/>
          </w:tcPr>
          <w:p w14:paraId="7AA1E69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88,273</w:t>
            </w:r>
          </w:p>
        </w:tc>
        <w:tc>
          <w:tcPr>
            <w:tcW w:w="987" w:type="dxa"/>
            <w:tcBorders>
              <w:top w:val="nil"/>
              <w:left w:val="nil"/>
              <w:bottom w:val="single" w:sz="4" w:space="0" w:color="000000"/>
              <w:right w:val="single" w:sz="4" w:space="0" w:color="000000"/>
            </w:tcBorders>
            <w:noWrap/>
            <w:vAlign w:val="bottom"/>
            <w:hideMark/>
          </w:tcPr>
          <w:p w14:paraId="30189B0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140,181</w:t>
            </w:r>
          </w:p>
        </w:tc>
        <w:tc>
          <w:tcPr>
            <w:tcW w:w="987" w:type="dxa"/>
            <w:tcBorders>
              <w:top w:val="nil"/>
              <w:left w:val="nil"/>
              <w:bottom w:val="single" w:sz="4" w:space="0" w:color="000000"/>
              <w:right w:val="single" w:sz="4" w:space="0" w:color="000000"/>
            </w:tcBorders>
            <w:noWrap/>
            <w:vAlign w:val="bottom"/>
            <w:hideMark/>
          </w:tcPr>
          <w:p w14:paraId="3B0049C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134,469</w:t>
            </w:r>
          </w:p>
        </w:tc>
        <w:tc>
          <w:tcPr>
            <w:tcW w:w="987" w:type="dxa"/>
            <w:tcBorders>
              <w:top w:val="nil"/>
              <w:left w:val="nil"/>
              <w:bottom w:val="single" w:sz="4" w:space="0" w:color="000000"/>
              <w:right w:val="single" w:sz="4" w:space="0" w:color="000000"/>
            </w:tcBorders>
            <w:noWrap/>
            <w:vAlign w:val="bottom"/>
            <w:hideMark/>
          </w:tcPr>
          <w:p w14:paraId="151A9F1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120,430</w:t>
            </w:r>
          </w:p>
        </w:tc>
        <w:tc>
          <w:tcPr>
            <w:tcW w:w="204" w:type="dxa"/>
            <w:tcBorders>
              <w:top w:val="nil"/>
              <w:left w:val="nil"/>
              <w:bottom w:val="nil"/>
              <w:right w:val="nil"/>
            </w:tcBorders>
            <w:noWrap/>
            <w:vAlign w:val="bottom"/>
            <w:hideMark/>
          </w:tcPr>
          <w:p w14:paraId="39565315"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D7D9C9F"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791F261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Other current assets</w:t>
            </w:r>
          </w:p>
        </w:tc>
        <w:tc>
          <w:tcPr>
            <w:tcW w:w="987" w:type="dxa"/>
            <w:tcBorders>
              <w:top w:val="nil"/>
              <w:left w:val="nil"/>
              <w:bottom w:val="single" w:sz="4" w:space="0" w:color="000000"/>
              <w:right w:val="single" w:sz="4" w:space="0" w:color="000000"/>
            </w:tcBorders>
            <w:noWrap/>
            <w:vAlign w:val="bottom"/>
            <w:hideMark/>
          </w:tcPr>
          <w:p w14:paraId="3B046F4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9,478</w:t>
            </w:r>
          </w:p>
        </w:tc>
        <w:tc>
          <w:tcPr>
            <w:tcW w:w="987" w:type="dxa"/>
            <w:tcBorders>
              <w:top w:val="nil"/>
              <w:left w:val="nil"/>
              <w:bottom w:val="single" w:sz="4" w:space="0" w:color="000000"/>
              <w:right w:val="single" w:sz="4" w:space="0" w:color="000000"/>
            </w:tcBorders>
            <w:noWrap/>
            <w:vAlign w:val="bottom"/>
            <w:hideMark/>
          </w:tcPr>
          <w:p w14:paraId="342E08F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7,325</w:t>
            </w:r>
          </w:p>
        </w:tc>
        <w:tc>
          <w:tcPr>
            <w:tcW w:w="987" w:type="dxa"/>
            <w:tcBorders>
              <w:top w:val="nil"/>
              <w:left w:val="nil"/>
              <w:bottom w:val="single" w:sz="4" w:space="0" w:color="000000"/>
              <w:right w:val="single" w:sz="4" w:space="0" w:color="000000"/>
            </w:tcBorders>
            <w:noWrap/>
            <w:vAlign w:val="bottom"/>
            <w:hideMark/>
          </w:tcPr>
          <w:p w14:paraId="651B474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628A03D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63C2773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204" w:type="dxa"/>
            <w:tcBorders>
              <w:top w:val="nil"/>
              <w:left w:val="nil"/>
              <w:bottom w:val="nil"/>
              <w:right w:val="nil"/>
            </w:tcBorders>
            <w:noWrap/>
            <w:vAlign w:val="bottom"/>
            <w:hideMark/>
          </w:tcPr>
          <w:p w14:paraId="36657671"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182DFAB"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6EE7C3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Income tax receivable</w:t>
            </w:r>
          </w:p>
        </w:tc>
        <w:tc>
          <w:tcPr>
            <w:tcW w:w="987" w:type="dxa"/>
            <w:tcBorders>
              <w:top w:val="nil"/>
              <w:left w:val="nil"/>
              <w:bottom w:val="single" w:sz="4" w:space="0" w:color="000000"/>
              <w:right w:val="single" w:sz="4" w:space="0" w:color="000000"/>
            </w:tcBorders>
            <w:noWrap/>
            <w:vAlign w:val="bottom"/>
            <w:hideMark/>
          </w:tcPr>
          <w:p w14:paraId="06203EF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2,350</w:t>
            </w:r>
          </w:p>
        </w:tc>
        <w:tc>
          <w:tcPr>
            <w:tcW w:w="987" w:type="dxa"/>
            <w:tcBorders>
              <w:top w:val="nil"/>
              <w:left w:val="nil"/>
              <w:bottom w:val="single" w:sz="4" w:space="0" w:color="000000"/>
              <w:right w:val="single" w:sz="4" w:space="0" w:color="000000"/>
            </w:tcBorders>
            <w:noWrap/>
            <w:vAlign w:val="bottom"/>
            <w:hideMark/>
          </w:tcPr>
          <w:p w14:paraId="1E1B922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3,666</w:t>
            </w:r>
          </w:p>
        </w:tc>
        <w:tc>
          <w:tcPr>
            <w:tcW w:w="987" w:type="dxa"/>
            <w:tcBorders>
              <w:top w:val="nil"/>
              <w:left w:val="nil"/>
              <w:bottom w:val="single" w:sz="4" w:space="0" w:color="000000"/>
              <w:right w:val="single" w:sz="4" w:space="0" w:color="000000"/>
            </w:tcBorders>
            <w:noWrap/>
            <w:vAlign w:val="bottom"/>
            <w:hideMark/>
          </w:tcPr>
          <w:p w14:paraId="22C2732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4,130</w:t>
            </w:r>
          </w:p>
        </w:tc>
        <w:tc>
          <w:tcPr>
            <w:tcW w:w="987" w:type="dxa"/>
            <w:tcBorders>
              <w:top w:val="nil"/>
              <w:left w:val="nil"/>
              <w:bottom w:val="single" w:sz="4" w:space="0" w:color="000000"/>
              <w:right w:val="single" w:sz="4" w:space="0" w:color="000000"/>
            </w:tcBorders>
            <w:noWrap/>
            <w:vAlign w:val="bottom"/>
            <w:hideMark/>
          </w:tcPr>
          <w:p w14:paraId="18C9681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348</w:t>
            </w:r>
          </w:p>
        </w:tc>
        <w:tc>
          <w:tcPr>
            <w:tcW w:w="987" w:type="dxa"/>
            <w:tcBorders>
              <w:top w:val="nil"/>
              <w:left w:val="nil"/>
              <w:bottom w:val="single" w:sz="4" w:space="0" w:color="000000"/>
              <w:right w:val="single" w:sz="4" w:space="0" w:color="000000"/>
            </w:tcBorders>
            <w:noWrap/>
            <w:vAlign w:val="bottom"/>
            <w:hideMark/>
          </w:tcPr>
          <w:p w14:paraId="01AB96B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3,314</w:t>
            </w:r>
          </w:p>
        </w:tc>
        <w:tc>
          <w:tcPr>
            <w:tcW w:w="204" w:type="dxa"/>
            <w:tcBorders>
              <w:top w:val="nil"/>
              <w:left w:val="nil"/>
              <w:bottom w:val="nil"/>
              <w:right w:val="nil"/>
            </w:tcBorders>
            <w:noWrap/>
            <w:vAlign w:val="bottom"/>
            <w:hideMark/>
          </w:tcPr>
          <w:p w14:paraId="2EC1F28D"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EDE1170"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74CB88C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Total current assets</w:t>
            </w:r>
          </w:p>
        </w:tc>
        <w:tc>
          <w:tcPr>
            <w:tcW w:w="987" w:type="dxa"/>
            <w:tcBorders>
              <w:top w:val="nil"/>
              <w:left w:val="nil"/>
              <w:bottom w:val="single" w:sz="4" w:space="0" w:color="000000"/>
              <w:right w:val="single" w:sz="4" w:space="0" w:color="000000"/>
            </w:tcBorders>
            <w:noWrap/>
            <w:vAlign w:val="bottom"/>
            <w:hideMark/>
          </w:tcPr>
          <w:p w14:paraId="3F4BE69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242,494</w:t>
            </w:r>
          </w:p>
        </w:tc>
        <w:tc>
          <w:tcPr>
            <w:tcW w:w="987" w:type="dxa"/>
            <w:tcBorders>
              <w:top w:val="nil"/>
              <w:left w:val="nil"/>
              <w:bottom w:val="single" w:sz="4" w:space="0" w:color="000000"/>
              <w:right w:val="single" w:sz="4" w:space="0" w:color="000000"/>
            </w:tcBorders>
            <w:noWrap/>
            <w:vAlign w:val="bottom"/>
            <w:hideMark/>
          </w:tcPr>
          <w:p w14:paraId="5DDAA2B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258,851</w:t>
            </w:r>
          </w:p>
        </w:tc>
        <w:tc>
          <w:tcPr>
            <w:tcW w:w="987" w:type="dxa"/>
            <w:tcBorders>
              <w:top w:val="nil"/>
              <w:left w:val="nil"/>
              <w:bottom w:val="single" w:sz="4" w:space="0" w:color="000000"/>
              <w:right w:val="single" w:sz="4" w:space="0" w:color="000000"/>
            </w:tcBorders>
            <w:noWrap/>
            <w:vAlign w:val="bottom"/>
            <w:hideMark/>
          </w:tcPr>
          <w:p w14:paraId="27A25C7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338,040</w:t>
            </w:r>
          </w:p>
        </w:tc>
        <w:tc>
          <w:tcPr>
            <w:tcW w:w="987" w:type="dxa"/>
            <w:tcBorders>
              <w:top w:val="nil"/>
              <w:left w:val="nil"/>
              <w:bottom w:val="single" w:sz="4" w:space="0" w:color="000000"/>
              <w:right w:val="single" w:sz="4" w:space="0" w:color="000000"/>
            </w:tcBorders>
            <w:noWrap/>
            <w:vAlign w:val="bottom"/>
            <w:hideMark/>
          </w:tcPr>
          <w:p w14:paraId="1AC139D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337,146</w:t>
            </w:r>
          </w:p>
        </w:tc>
        <w:tc>
          <w:tcPr>
            <w:tcW w:w="987" w:type="dxa"/>
            <w:tcBorders>
              <w:top w:val="nil"/>
              <w:left w:val="nil"/>
              <w:bottom w:val="single" w:sz="4" w:space="0" w:color="000000"/>
              <w:right w:val="single" w:sz="4" w:space="0" w:color="000000"/>
            </w:tcBorders>
            <w:noWrap/>
            <w:vAlign w:val="bottom"/>
            <w:hideMark/>
          </w:tcPr>
          <w:p w14:paraId="01D497F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326,843</w:t>
            </w:r>
          </w:p>
        </w:tc>
        <w:tc>
          <w:tcPr>
            <w:tcW w:w="204" w:type="dxa"/>
            <w:tcBorders>
              <w:top w:val="nil"/>
              <w:left w:val="nil"/>
              <w:bottom w:val="nil"/>
              <w:right w:val="nil"/>
            </w:tcBorders>
            <w:noWrap/>
            <w:vAlign w:val="bottom"/>
            <w:hideMark/>
          </w:tcPr>
          <w:p w14:paraId="53D6B4AC"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347A0906"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584FD63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Property, plant, and equipment, net</w:t>
            </w:r>
          </w:p>
        </w:tc>
        <w:tc>
          <w:tcPr>
            <w:tcW w:w="987" w:type="dxa"/>
            <w:tcBorders>
              <w:top w:val="nil"/>
              <w:left w:val="nil"/>
              <w:bottom w:val="single" w:sz="4" w:space="0" w:color="000000"/>
              <w:right w:val="single" w:sz="4" w:space="0" w:color="000000"/>
            </w:tcBorders>
            <w:noWrap/>
            <w:vAlign w:val="bottom"/>
            <w:hideMark/>
          </w:tcPr>
          <w:p w14:paraId="09D9143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34,207</w:t>
            </w:r>
          </w:p>
        </w:tc>
        <w:tc>
          <w:tcPr>
            <w:tcW w:w="987" w:type="dxa"/>
            <w:tcBorders>
              <w:top w:val="nil"/>
              <w:left w:val="nil"/>
              <w:bottom w:val="single" w:sz="4" w:space="0" w:color="000000"/>
              <w:right w:val="single" w:sz="4" w:space="0" w:color="000000"/>
            </w:tcBorders>
            <w:noWrap/>
            <w:vAlign w:val="bottom"/>
            <w:hideMark/>
          </w:tcPr>
          <w:p w14:paraId="67E8F92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44,619</w:t>
            </w:r>
          </w:p>
        </w:tc>
        <w:tc>
          <w:tcPr>
            <w:tcW w:w="987" w:type="dxa"/>
            <w:tcBorders>
              <w:top w:val="nil"/>
              <w:left w:val="nil"/>
              <w:bottom w:val="single" w:sz="4" w:space="0" w:color="000000"/>
              <w:right w:val="single" w:sz="4" w:space="0" w:color="000000"/>
            </w:tcBorders>
            <w:noWrap/>
            <w:vAlign w:val="bottom"/>
            <w:hideMark/>
          </w:tcPr>
          <w:p w14:paraId="6FAAA34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62,791</w:t>
            </w:r>
          </w:p>
        </w:tc>
        <w:tc>
          <w:tcPr>
            <w:tcW w:w="987" w:type="dxa"/>
            <w:tcBorders>
              <w:top w:val="nil"/>
              <w:left w:val="nil"/>
              <w:bottom w:val="single" w:sz="4" w:space="0" w:color="000000"/>
              <w:right w:val="single" w:sz="4" w:space="0" w:color="000000"/>
            </w:tcBorders>
            <w:noWrap/>
            <w:vAlign w:val="bottom"/>
            <w:hideMark/>
          </w:tcPr>
          <w:p w14:paraId="0046ECC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74,647</w:t>
            </w:r>
          </w:p>
        </w:tc>
        <w:tc>
          <w:tcPr>
            <w:tcW w:w="987" w:type="dxa"/>
            <w:tcBorders>
              <w:top w:val="nil"/>
              <w:left w:val="nil"/>
              <w:bottom w:val="single" w:sz="4" w:space="0" w:color="000000"/>
              <w:right w:val="single" w:sz="4" w:space="0" w:color="000000"/>
            </w:tcBorders>
            <w:noWrap/>
            <w:vAlign w:val="bottom"/>
            <w:hideMark/>
          </w:tcPr>
          <w:p w14:paraId="3BF57BA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87,285</w:t>
            </w:r>
          </w:p>
        </w:tc>
        <w:tc>
          <w:tcPr>
            <w:tcW w:w="204" w:type="dxa"/>
            <w:tcBorders>
              <w:top w:val="nil"/>
              <w:left w:val="nil"/>
              <w:bottom w:val="nil"/>
              <w:right w:val="nil"/>
            </w:tcBorders>
            <w:noWrap/>
            <w:vAlign w:val="bottom"/>
            <w:hideMark/>
          </w:tcPr>
          <w:p w14:paraId="5395CA2D"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9A50753"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8B8FB8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Intangible assets</w:t>
            </w:r>
          </w:p>
        </w:tc>
        <w:tc>
          <w:tcPr>
            <w:tcW w:w="987" w:type="dxa"/>
            <w:tcBorders>
              <w:top w:val="nil"/>
              <w:left w:val="nil"/>
              <w:bottom w:val="single" w:sz="4" w:space="0" w:color="000000"/>
              <w:right w:val="single" w:sz="4" w:space="0" w:color="000000"/>
            </w:tcBorders>
            <w:noWrap/>
            <w:vAlign w:val="bottom"/>
            <w:hideMark/>
          </w:tcPr>
          <w:p w14:paraId="7B9552E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24,038</w:t>
            </w:r>
          </w:p>
        </w:tc>
        <w:tc>
          <w:tcPr>
            <w:tcW w:w="987" w:type="dxa"/>
            <w:tcBorders>
              <w:top w:val="nil"/>
              <w:left w:val="nil"/>
              <w:bottom w:val="single" w:sz="4" w:space="0" w:color="000000"/>
              <w:right w:val="single" w:sz="4" w:space="0" w:color="000000"/>
            </w:tcBorders>
            <w:noWrap/>
            <w:vAlign w:val="bottom"/>
            <w:hideMark/>
          </w:tcPr>
          <w:p w14:paraId="2A9AA6B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25,349</w:t>
            </w:r>
          </w:p>
        </w:tc>
        <w:tc>
          <w:tcPr>
            <w:tcW w:w="987" w:type="dxa"/>
            <w:tcBorders>
              <w:top w:val="nil"/>
              <w:left w:val="nil"/>
              <w:bottom w:val="single" w:sz="4" w:space="0" w:color="000000"/>
              <w:right w:val="single" w:sz="4" w:space="0" w:color="000000"/>
            </w:tcBorders>
            <w:noWrap/>
            <w:vAlign w:val="bottom"/>
            <w:hideMark/>
          </w:tcPr>
          <w:p w14:paraId="09F9731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24,470</w:t>
            </w:r>
          </w:p>
        </w:tc>
        <w:tc>
          <w:tcPr>
            <w:tcW w:w="987" w:type="dxa"/>
            <w:tcBorders>
              <w:top w:val="nil"/>
              <w:left w:val="nil"/>
              <w:bottom w:val="single" w:sz="4" w:space="0" w:color="000000"/>
              <w:right w:val="single" w:sz="4" w:space="0" w:color="000000"/>
            </w:tcBorders>
            <w:noWrap/>
            <w:vAlign w:val="bottom"/>
            <w:hideMark/>
          </w:tcPr>
          <w:p w14:paraId="41C152A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20,169</w:t>
            </w:r>
          </w:p>
        </w:tc>
        <w:tc>
          <w:tcPr>
            <w:tcW w:w="987" w:type="dxa"/>
            <w:tcBorders>
              <w:top w:val="nil"/>
              <w:left w:val="nil"/>
              <w:bottom w:val="single" w:sz="4" w:space="0" w:color="000000"/>
              <w:right w:val="single" w:sz="4" w:space="0" w:color="000000"/>
            </w:tcBorders>
            <w:noWrap/>
            <w:vAlign w:val="bottom"/>
            <w:hideMark/>
          </w:tcPr>
          <w:p w14:paraId="308CE94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19,710</w:t>
            </w:r>
          </w:p>
        </w:tc>
        <w:tc>
          <w:tcPr>
            <w:tcW w:w="204" w:type="dxa"/>
            <w:tcBorders>
              <w:top w:val="nil"/>
              <w:left w:val="nil"/>
              <w:bottom w:val="nil"/>
              <w:right w:val="nil"/>
            </w:tcBorders>
            <w:noWrap/>
            <w:vAlign w:val="bottom"/>
            <w:hideMark/>
          </w:tcPr>
          <w:p w14:paraId="28DEE286"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7E4F7D1"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1B16AA0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Operating lease right-of-use assets</w:t>
            </w:r>
          </w:p>
        </w:tc>
        <w:tc>
          <w:tcPr>
            <w:tcW w:w="987" w:type="dxa"/>
            <w:tcBorders>
              <w:top w:val="nil"/>
              <w:left w:val="nil"/>
              <w:bottom w:val="single" w:sz="4" w:space="0" w:color="000000"/>
              <w:right w:val="single" w:sz="4" w:space="0" w:color="000000"/>
            </w:tcBorders>
            <w:noWrap/>
            <w:vAlign w:val="bottom"/>
            <w:hideMark/>
          </w:tcPr>
          <w:p w14:paraId="4F86D00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14,322</w:t>
            </w:r>
          </w:p>
        </w:tc>
        <w:tc>
          <w:tcPr>
            <w:tcW w:w="987" w:type="dxa"/>
            <w:tcBorders>
              <w:top w:val="nil"/>
              <w:left w:val="nil"/>
              <w:bottom w:val="single" w:sz="4" w:space="0" w:color="000000"/>
              <w:right w:val="single" w:sz="4" w:space="0" w:color="000000"/>
            </w:tcBorders>
            <w:noWrap/>
            <w:vAlign w:val="bottom"/>
            <w:hideMark/>
          </w:tcPr>
          <w:p w14:paraId="01E84AF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18,693</w:t>
            </w:r>
          </w:p>
        </w:tc>
        <w:tc>
          <w:tcPr>
            <w:tcW w:w="987" w:type="dxa"/>
            <w:tcBorders>
              <w:top w:val="nil"/>
              <w:left w:val="nil"/>
              <w:bottom w:val="single" w:sz="4" w:space="0" w:color="000000"/>
              <w:right w:val="single" w:sz="4" w:space="0" w:color="000000"/>
            </w:tcBorders>
            <w:noWrap/>
            <w:vAlign w:val="bottom"/>
            <w:hideMark/>
          </w:tcPr>
          <w:p w14:paraId="4790506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21,599</w:t>
            </w:r>
          </w:p>
        </w:tc>
        <w:tc>
          <w:tcPr>
            <w:tcW w:w="987" w:type="dxa"/>
            <w:tcBorders>
              <w:top w:val="nil"/>
              <w:left w:val="nil"/>
              <w:bottom w:val="single" w:sz="4" w:space="0" w:color="000000"/>
              <w:right w:val="single" w:sz="4" w:space="0" w:color="000000"/>
            </w:tcBorders>
            <w:noWrap/>
            <w:vAlign w:val="bottom"/>
            <w:hideMark/>
          </w:tcPr>
          <w:p w14:paraId="066855A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19,847</w:t>
            </w:r>
          </w:p>
        </w:tc>
        <w:tc>
          <w:tcPr>
            <w:tcW w:w="987" w:type="dxa"/>
            <w:tcBorders>
              <w:top w:val="nil"/>
              <w:left w:val="nil"/>
              <w:bottom w:val="single" w:sz="4" w:space="0" w:color="000000"/>
              <w:right w:val="single" w:sz="4" w:space="0" w:color="000000"/>
            </w:tcBorders>
            <w:noWrap/>
            <w:vAlign w:val="bottom"/>
            <w:hideMark/>
          </w:tcPr>
          <w:p w14:paraId="6BAA01C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19,522</w:t>
            </w:r>
          </w:p>
        </w:tc>
        <w:tc>
          <w:tcPr>
            <w:tcW w:w="204" w:type="dxa"/>
            <w:tcBorders>
              <w:top w:val="nil"/>
              <w:left w:val="nil"/>
              <w:bottom w:val="nil"/>
              <w:right w:val="nil"/>
            </w:tcBorders>
            <w:noWrap/>
            <w:vAlign w:val="bottom"/>
            <w:hideMark/>
          </w:tcPr>
          <w:p w14:paraId="741294D7"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87D710E"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7603BC3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Deferred income taxes (asset)</w:t>
            </w:r>
          </w:p>
        </w:tc>
        <w:tc>
          <w:tcPr>
            <w:tcW w:w="987" w:type="dxa"/>
            <w:tcBorders>
              <w:top w:val="nil"/>
              <w:left w:val="nil"/>
              <w:bottom w:val="single" w:sz="4" w:space="0" w:color="000000"/>
              <w:right w:val="single" w:sz="4" w:space="0" w:color="000000"/>
            </w:tcBorders>
            <w:noWrap/>
            <w:vAlign w:val="bottom"/>
            <w:hideMark/>
          </w:tcPr>
          <w:p w14:paraId="0858085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6,425</w:t>
            </w:r>
          </w:p>
        </w:tc>
        <w:tc>
          <w:tcPr>
            <w:tcW w:w="987" w:type="dxa"/>
            <w:tcBorders>
              <w:top w:val="nil"/>
              <w:left w:val="nil"/>
              <w:bottom w:val="single" w:sz="4" w:space="0" w:color="000000"/>
              <w:right w:val="single" w:sz="4" w:space="0" w:color="000000"/>
            </w:tcBorders>
            <w:noWrap/>
            <w:vAlign w:val="bottom"/>
            <w:hideMark/>
          </w:tcPr>
          <w:p w14:paraId="34447F0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6,787</w:t>
            </w:r>
          </w:p>
        </w:tc>
        <w:tc>
          <w:tcPr>
            <w:tcW w:w="987" w:type="dxa"/>
            <w:tcBorders>
              <w:top w:val="nil"/>
              <w:left w:val="nil"/>
              <w:bottom w:val="single" w:sz="4" w:space="0" w:color="000000"/>
              <w:right w:val="single" w:sz="4" w:space="0" w:color="000000"/>
            </w:tcBorders>
            <w:noWrap/>
            <w:vAlign w:val="bottom"/>
            <w:hideMark/>
          </w:tcPr>
          <w:p w14:paraId="42C9AA0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6,242</w:t>
            </w:r>
          </w:p>
        </w:tc>
        <w:tc>
          <w:tcPr>
            <w:tcW w:w="987" w:type="dxa"/>
            <w:tcBorders>
              <w:top w:val="nil"/>
              <w:left w:val="nil"/>
              <w:bottom w:val="single" w:sz="4" w:space="0" w:color="000000"/>
              <w:right w:val="single" w:sz="4" w:space="0" w:color="000000"/>
            </w:tcBorders>
            <w:noWrap/>
            <w:vAlign w:val="bottom"/>
            <w:hideMark/>
          </w:tcPr>
          <w:p w14:paraId="4D8B8AE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7,729</w:t>
            </w:r>
          </w:p>
        </w:tc>
        <w:tc>
          <w:tcPr>
            <w:tcW w:w="987" w:type="dxa"/>
            <w:tcBorders>
              <w:top w:val="nil"/>
              <w:left w:val="nil"/>
              <w:bottom w:val="single" w:sz="4" w:space="0" w:color="000000"/>
              <w:right w:val="single" w:sz="4" w:space="0" w:color="000000"/>
            </w:tcBorders>
            <w:noWrap/>
            <w:vAlign w:val="bottom"/>
            <w:hideMark/>
          </w:tcPr>
          <w:p w14:paraId="7D5CB60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5,564</w:t>
            </w:r>
          </w:p>
        </w:tc>
        <w:tc>
          <w:tcPr>
            <w:tcW w:w="204" w:type="dxa"/>
            <w:tcBorders>
              <w:top w:val="nil"/>
              <w:left w:val="nil"/>
              <w:bottom w:val="nil"/>
              <w:right w:val="nil"/>
            </w:tcBorders>
            <w:noWrap/>
            <w:vAlign w:val="bottom"/>
            <w:hideMark/>
          </w:tcPr>
          <w:p w14:paraId="68BF2864"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79BF5A63"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F66C8B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Other assets</w:t>
            </w:r>
          </w:p>
        </w:tc>
        <w:tc>
          <w:tcPr>
            <w:tcW w:w="987" w:type="dxa"/>
            <w:tcBorders>
              <w:top w:val="nil"/>
              <w:left w:val="nil"/>
              <w:bottom w:val="single" w:sz="4" w:space="0" w:color="000000"/>
              <w:right w:val="single" w:sz="4" w:space="0" w:color="000000"/>
            </w:tcBorders>
            <w:noWrap/>
            <w:vAlign w:val="bottom"/>
            <w:hideMark/>
          </w:tcPr>
          <w:p w14:paraId="352E781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1,868</w:t>
            </w:r>
          </w:p>
        </w:tc>
        <w:tc>
          <w:tcPr>
            <w:tcW w:w="987" w:type="dxa"/>
            <w:tcBorders>
              <w:top w:val="nil"/>
              <w:left w:val="nil"/>
              <w:bottom w:val="single" w:sz="4" w:space="0" w:color="000000"/>
              <w:right w:val="single" w:sz="4" w:space="0" w:color="000000"/>
            </w:tcBorders>
            <w:noWrap/>
            <w:vAlign w:val="bottom"/>
            <w:hideMark/>
          </w:tcPr>
          <w:p w14:paraId="52C19D8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1,573</w:t>
            </w:r>
          </w:p>
        </w:tc>
        <w:tc>
          <w:tcPr>
            <w:tcW w:w="987" w:type="dxa"/>
            <w:tcBorders>
              <w:top w:val="nil"/>
              <w:left w:val="nil"/>
              <w:bottom w:val="single" w:sz="4" w:space="0" w:color="000000"/>
              <w:right w:val="single" w:sz="4" w:space="0" w:color="000000"/>
            </w:tcBorders>
            <w:noWrap/>
            <w:vAlign w:val="bottom"/>
            <w:hideMark/>
          </w:tcPr>
          <w:p w14:paraId="68C57DC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1,936</w:t>
            </w:r>
          </w:p>
        </w:tc>
        <w:tc>
          <w:tcPr>
            <w:tcW w:w="987" w:type="dxa"/>
            <w:tcBorders>
              <w:top w:val="nil"/>
              <w:left w:val="nil"/>
              <w:bottom w:val="single" w:sz="4" w:space="0" w:color="000000"/>
              <w:right w:val="single" w:sz="4" w:space="0" w:color="000000"/>
            </w:tcBorders>
            <w:noWrap/>
            <w:vAlign w:val="bottom"/>
            <w:hideMark/>
          </w:tcPr>
          <w:p w14:paraId="7B77933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2,347</w:t>
            </w:r>
          </w:p>
        </w:tc>
        <w:tc>
          <w:tcPr>
            <w:tcW w:w="987" w:type="dxa"/>
            <w:tcBorders>
              <w:top w:val="nil"/>
              <w:left w:val="nil"/>
              <w:bottom w:val="single" w:sz="4" w:space="0" w:color="000000"/>
              <w:right w:val="single" w:sz="4" w:space="0" w:color="000000"/>
            </w:tcBorders>
            <w:noWrap/>
            <w:vAlign w:val="bottom"/>
            <w:hideMark/>
          </w:tcPr>
          <w:p w14:paraId="3558515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2,752</w:t>
            </w:r>
          </w:p>
        </w:tc>
        <w:tc>
          <w:tcPr>
            <w:tcW w:w="204" w:type="dxa"/>
            <w:tcBorders>
              <w:top w:val="nil"/>
              <w:left w:val="nil"/>
              <w:bottom w:val="nil"/>
              <w:right w:val="nil"/>
            </w:tcBorders>
            <w:noWrap/>
            <w:vAlign w:val="bottom"/>
            <w:hideMark/>
          </w:tcPr>
          <w:p w14:paraId="183664A2"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1E272CDC"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CFB895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Total assets</w:t>
            </w:r>
          </w:p>
        </w:tc>
        <w:tc>
          <w:tcPr>
            <w:tcW w:w="987" w:type="dxa"/>
            <w:tcBorders>
              <w:top w:val="nil"/>
              <w:left w:val="nil"/>
              <w:bottom w:val="single" w:sz="4" w:space="0" w:color="000000"/>
              <w:right w:val="single" w:sz="4" w:space="0" w:color="000000"/>
            </w:tcBorders>
            <w:noWrap/>
            <w:vAlign w:val="bottom"/>
            <w:hideMark/>
          </w:tcPr>
          <w:p w14:paraId="18D1A94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323,354</w:t>
            </w:r>
          </w:p>
        </w:tc>
        <w:tc>
          <w:tcPr>
            <w:tcW w:w="987" w:type="dxa"/>
            <w:tcBorders>
              <w:top w:val="nil"/>
              <w:left w:val="nil"/>
              <w:bottom w:val="single" w:sz="4" w:space="0" w:color="000000"/>
              <w:right w:val="single" w:sz="4" w:space="0" w:color="000000"/>
            </w:tcBorders>
            <w:noWrap/>
            <w:vAlign w:val="bottom"/>
            <w:hideMark/>
          </w:tcPr>
          <w:p w14:paraId="3E58B3C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355,872</w:t>
            </w:r>
          </w:p>
        </w:tc>
        <w:tc>
          <w:tcPr>
            <w:tcW w:w="987" w:type="dxa"/>
            <w:tcBorders>
              <w:top w:val="nil"/>
              <w:left w:val="nil"/>
              <w:bottom w:val="single" w:sz="4" w:space="0" w:color="000000"/>
              <w:right w:val="single" w:sz="4" w:space="0" w:color="000000"/>
            </w:tcBorders>
            <w:noWrap/>
            <w:vAlign w:val="bottom"/>
            <w:hideMark/>
          </w:tcPr>
          <w:p w14:paraId="6BF4E99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504,163</w:t>
            </w:r>
          </w:p>
        </w:tc>
        <w:tc>
          <w:tcPr>
            <w:tcW w:w="987" w:type="dxa"/>
            <w:tcBorders>
              <w:top w:val="nil"/>
              <w:left w:val="nil"/>
              <w:bottom w:val="single" w:sz="4" w:space="0" w:color="000000"/>
              <w:right w:val="single" w:sz="4" w:space="0" w:color="000000"/>
            </w:tcBorders>
            <w:noWrap/>
            <w:vAlign w:val="bottom"/>
            <w:hideMark/>
          </w:tcPr>
          <w:p w14:paraId="2DB18CE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510,348</w:t>
            </w:r>
          </w:p>
        </w:tc>
        <w:tc>
          <w:tcPr>
            <w:tcW w:w="987" w:type="dxa"/>
            <w:tcBorders>
              <w:top w:val="nil"/>
              <w:left w:val="nil"/>
              <w:bottom w:val="single" w:sz="4" w:space="0" w:color="000000"/>
              <w:right w:val="single" w:sz="4" w:space="0" w:color="000000"/>
            </w:tcBorders>
            <w:noWrap/>
            <w:vAlign w:val="bottom"/>
            <w:hideMark/>
          </w:tcPr>
          <w:p w14:paraId="0F779EB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510,290</w:t>
            </w:r>
          </w:p>
        </w:tc>
        <w:tc>
          <w:tcPr>
            <w:tcW w:w="204" w:type="dxa"/>
            <w:tcBorders>
              <w:top w:val="nil"/>
              <w:left w:val="nil"/>
              <w:bottom w:val="nil"/>
              <w:right w:val="nil"/>
            </w:tcBorders>
            <w:noWrap/>
            <w:vAlign w:val="bottom"/>
            <w:hideMark/>
          </w:tcPr>
          <w:p w14:paraId="7B0F89D2"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4DE92679" w14:textId="77777777" w:rsidTr="009558E3">
        <w:trPr>
          <w:trHeight w:val="264"/>
        </w:trPr>
        <w:tc>
          <w:tcPr>
            <w:tcW w:w="4923" w:type="dxa"/>
            <w:tcBorders>
              <w:top w:val="nil"/>
              <w:left w:val="nil"/>
              <w:bottom w:val="nil"/>
              <w:right w:val="nil"/>
            </w:tcBorders>
            <w:noWrap/>
            <w:vAlign w:val="bottom"/>
            <w:hideMark/>
          </w:tcPr>
          <w:p w14:paraId="5FF0B93B"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30FEE6F3"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3DEEBBF0"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0AACC0DB"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206F3CCB"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667C0A2A"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204" w:type="dxa"/>
            <w:tcBorders>
              <w:top w:val="nil"/>
              <w:left w:val="nil"/>
              <w:bottom w:val="nil"/>
              <w:right w:val="nil"/>
            </w:tcBorders>
            <w:noWrap/>
            <w:vAlign w:val="bottom"/>
            <w:hideMark/>
          </w:tcPr>
          <w:p w14:paraId="3F9EE5F8"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r>
      <w:tr w:rsidR="006B51A1" w:rsidRPr="006B51A1" w14:paraId="343EBAA1" w14:textId="77777777" w:rsidTr="009558E3">
        <w:trPr>
          <w:trHeight w:val="264"/>
        </w:trPr>
        <w:tc>
          <w:tcPr>
            <w:tcW w:w="10063" w:type="dxa"/>
            <w:gridSpan w:val="7"/>
            <w:tcBorders>
              <w:top w:val="nil"/>
              <w:left w:val="nil"/>
              <w:bottom w:val="nil"/>
              <w:right w:val="nil"/>
            </w:tcBorders>
            <w:noWrap/>
            <w:vAlign w:val="center"/>
            <w:hideMark/>
          </w:tcPr>
          <w:p w14:paraId="0475BF7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Consolidated Financial Position (£m) — Liabilities &amp; Equity</w:t>
            </w:r>
          </w:p>
        </w:tc>
      </w:tr>
      <w:tr w:rsidR="006B51A1" w:rsidRPr="006B51A1" w14:paraId="56012D91" w14:textId="77777777" w:rsidTr="009558E3">
        <w:trPr>
          <w:trHeight w:val="264"/>
        </w:trPr>
        <w:tc>
          <w:tcPr>
            <w:tcW w:w="4923" w:type="dxa"/>
            <w:tcBorders>
              <w:top w:val="single" w:sz="4" w:space="0" w:color="000000"/>
              <w:left w:val="single" w:sz="4" w:space="0" w:color="000000"/>
              <w:bottom w:val="single" w:sz="4" w:space="0" w:color="000000"/>
              <w:right w:val="single" w:sz="4" w:space="0" w:color="000000"/>
            </w:tcBorders>
            <w:noWrap/>
            <w:vAlign w:val="bottom"/>
            <w:hideMark/>
          </w:tcPr>
          <w:p w14:paraId="658A852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Line item</w:t>
            </w:r>
          </w:p>
        </w:tc>
        <w:tc>
          <w:tcPr>
            <w:tcW w:w="987" w:type="dxa"/>
            <w:tcBorders>
              <w:top w:val="single" w:sz="4" w:space="0" w:color="000000"/>
              <w:left w:val="nil"/>
              <w:bottom w:val="single" w:sz="4" w:space="0" w:color="000000"/>
              <w:right w:val="single" w:sz="4" w:space="0" w:color="000000"/>
            </w:tcBorders>
            <w:noWrap/>
            <w:vAlign w:val="center"/>
            <w:hideMark/>
          </w:tcPr>
          <w:p w14:paraId="0E22509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2024</w:t>
            </w:r>
          </w:p>
        </w:tc>
        <w:tc>
          <w:tcPr>
            <w:tcW w:w="987" w:type="dxa"/>
            <w:tcBorders>
              <w:top w:val="single" w:sz="4" w:space="0" w:color="000000"/>
              <w:left w:val="nil"/>
              <w:bottom w:val="single" w:sz="4" w:space="0" w:color="000000"/>
              <w:right w:val="single" w:sz="4" w:space="0" w:color="000000"/>
            </w:tcBorders>
            <w:noWrap/>
            <w:vAlign w:val="center"/>
            <w:hideMark/>
          </w:tcPr>
          <w:p w14:paraId="557B095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2023</w:t>
            </w:r>
          </w:p>
        </w:tc>
        <w:tc>
          <w:tcPr>
            <w:tcW w:w="987" w:type="dxa"/>
            <w:tcBorders>
              <w:top w:val="single" w:sz="4" w:space="0" w:color="000000"/>
              <w:left w:val="nil"/>
              <w:bottom w:val="single" w:sz="4" w:space="0" w:color="000000"/>
              <w:right w:val="single" w:sz="4" w:space="0" w:color="000000"/>
            </w:tcBorders>
            <w:noWrap/>
            <w:vAlign w:val="center"/>
            <w:hideMark/>
          </w:tcPr>
          <w:p w14:paraId="6C2185C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2022</w:t>
            </w:r>
          </w:p>
        </w:tc>
        <w:tc>
          <w:tcPr>
            <w:tcW w:w="987" w:type="dxa"/>
            <w:tcBorders>
              <w:top w:val="single" w:sz="4" w:space="0" w:color="000000"/>
              <w:left w:val="nil"/>
              <w:bottom w:val="single" w:sz="4" w:space="0" w:color="000000"/>
              <w:right w:val="single" w:sz="4" w:space="0" w:color="000000"/>
            </w:tcBorders>
            <w:noWrap/>
            <w:vAlign w:val="center"/>
            <w:hideMark/>
          </w:tcPr>
          <w:p w14:paraId="5D15E7D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2021</w:t>
            </w:r>
          </w:p>
        </w:tc>
        <w:tc>
          <w:tcPr>
            <w:tcW w:w="987" w:type="dxa"/>
            <w:tcBorders>
              <w:top w:val="single" w:sz="4" w:space="0" w:color="000000"/>
              <w:left w:val="nil"/>
              <w:bottom w:val="single" w:sz="4" w:space="0" w:color="000000"/>
              <w:right w:val="single" w:sz="4" w:space="0" w:color="000000"/>
            </w:tcBorders>
            <w:noWrap/>
            <w:vAlign w:val="center"/>
            <w:hideMark/>
          </w:tcPr>
          <w:p w14:paraId="2C6C77D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2020</w:t>
            </w:r>
          </w:p>
        </w:tc>
        <w:tc>
          <w:tcPr>
            <w:tcW w:w="204" w:type="dxa"/>
            <w:tcBorders>
              <w:top w:val="nil"/>
              <w:left w:val="nil"/>
              <w:bottom w:val="nil"/>
              <w:right w:val="nil"/>
            </w:tcBorders>
            <w:noWrap/>
            <w:vAlign w:val="bottom"/>
            <w:hideMark/>
          </w:tcPr>
          <w:p w14:paraId="583DCD7E"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63CAC42"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63E08D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Accounts payable</w:t>
            </w:r>
          </w:p>
        </w:tc>
        <w:tc>
          <w:tcPr>
            <w:tcW w:w="987" w:type="dxa"/>
            <w:tcBorders>
              <w:top w:val="nil"/>
              <w:left w:val="nil"/>
              <w:bottom w:val="single" w:sz="4" w:space="0" w:color="000000"/>
              <w:right w:val="single" w:sz="4" w:space="0" w:color="000000"/>
            </w:tcBorders>
            <w:noWrap/>
            <w:vAlign w:val="bottom"/>
            <w:hideMark/>
          </w:tcPr>
          <w:p w14:paraId="14E6E36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72,031</w:t>
            </w:r>
          </w:p>
        </w:tc>
        <w:tc>
          <w:tcPr>
            <w:tcW w:w="987" w:type="dxa"/>
            <w:tcBorders>
              <w:top w:val="nil"/>
              <w:left w:val="nil"/>
              <w:bottom w:val="single" w:sz="4" w:space="0" w:color="000000"/>
              <w:right w:val="single" w:sz="4" w:space="0" w:color="000000"/>
            </w:tcBorders>
            <w:noWrap/>
            <w:vAlign w:val="bottom"/>
            <w:hideMark/>
          </w:tcPr>
          <w:p w14:paraId="78AF779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57,033</w:t>
            </w:r>
          </w:p>
        </w:tc>
        <w:tc>
          <w:tcPr>
            <w:tcW w:w="987" w:type="dxa"/>
            <w:tcBorders>
              <w:top w:val="nil"/>
              <w:left w:val="nil"/>
              <w:bottom w:val="single" w:sz="4" w:space="0" w:color="000000"/>
              <w:right w:val="single" w:sz="4" w:space="0" w:color="000000"/>
            </w:tcBorders>
            <w:noWrap/>
            <w:vAlign w:val="bottom"/>
            <w:hideMark/>
          </w:tcPr>
          <w:p w14:paraId="7E8C592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71,373</w:t>
            </w:r>
          </w:p>
        </w:tc>
        <w:tc>
          <w:tcPr>
            <w:tcW w:w="987" w:type="dxa"/>
            <w:tcBorders>
              <w:top w:val="nil"/>
              <w:left w:val="nil"/>
              <w:bottom w:val="single" w:sz="4" w:space="0" w:color="000000"/>
              <w:right w:val="single" w:sz="4" w:space="0" w:color="000000"/>
            </w:tcBorders>
            <w:noWrap/>
            <w:vAlign w:val="bottom"/>
            <w:hideMark/>
          </w:tcPr>
          <w:p w14:paraId="6946653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92,707</w:t>
            </w:r>
          </w:p>
        </w:tc>
        <w:tc>
          <w:tcPr>
            <w:tcW w:w="987" w:type="dxa"/>
            <w:tcBorders>
              <w:top w:val="nil"/>
              <w:left w:val="nil"/>
              <w:bottom w:val="single" w:sz="4" w:space="0" w:color="000000"/>
              <w:right w:val="single" w:sz="4" w:space="0" w:color="000000"/>
            </w:tcBorders>
            <w:noWrap/>
            <w:vAlign w:val="bottom"/>
            <w:hideMark/>
          </w:tcPr>
          <w:p w14:paraId="4CA60D0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83,229</w:t>
            </w:r>
          </w:p>
        </w:tc>
        <w:tc>
          <w:tcPr>
            <w:tcW w:w="204" w:type="dxa"/>
            <w:tcBorders>
              <w:top w:val="nil"/>
              <w:left w:val="nil"/>
              <w:bottom w:val="nil"/>
              <w:right w:val="nil"/>
            </w:tcBorders>
            <w:noWrap/>
            <w:vAlign w:val="bottom"/>
            <w:hideMark/>
          </w:tcPr>
          <w:p w14:paraId="194DBC47"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5DEA577"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70A9503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Lines of credit</w:t>
            </w:r>
          </w:p>
        </w:tc>
        <w:tc>
          <w:tcPr>
            <w:tcW w:w="987" w:type="dxa"/>
            <w:tcBorders>
              <w:top w:val="nil"/>
              <w:left w:val="nil"/>
              <w:bottom w:val="single" w:sz="4" w:space="0" w:color="000000"/>
              <w:right w:val="single" w:sz="4" w:space="0" w:color="000000"/>
            </w:tcBorders>
            <w:noWrap/>
            <w:vAlign w:val="bottom"/>
            <w:hideMark/>
          </w:tcPr>
          <w:p w14:paraId="2A7751E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36,960</w:t>
            </w:r>
          </w:p>
        </w:tc>
        <w:tc>
          <w:tcPr>
            <w:tcW w:w="987" w:type="dxa"/>
            <w:tcBorders>
              <w:top w:val="nil"/>
              <w:left w:val="nil"/>
              <w:bottom w:val="single" w:sz="4" w:space="0" w:color="000000"/>
              <w:right w:val="single" w:sz="4" w:space="0" w:color="000000"/>
            </w:tcBorders>
            <w:noWrap/>
            <w:vAlign w:val="bottom"/>
            <w:hideMark/>
          </w:tcPr>
          <w:p w14:paraId="3E8EEC5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55,000</w:t>
            </w:r>
          </w:p>
        </w:tc>
        <w:tc>
          <w:tcPr>
            <w:tcW w:w="987" w:type="dxa"/>
            <w:tcBorders>
              <w:top w:val="nil"/>
              <w:left w:val="nil"/>
              <w:bottom w:val="single" w:sz="4" w:space="0" w:color="000000"/>
              <w:right w:val="single" w:sz="4" w:space="0" w:color="000000"/>
            </w:tcBorders>
            <w:noWrap/>
            <w:vAlign w:val="bottom"/>
            <w:hideMark/>
          </w:tcPr>
          <w:p w14:paraId="0C0E312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88,000</w:t>
            </w:r>
          </w:p>
        </w:tc>
        <w:tc>
          <w:tcPr>
            <w:tcW w:w="987" w:type="dxa"/>
            <w:tcBorders>
              <w:top w:val="nil"/>
              <w:left w:val="nil"/>
              <w:bottom w:val="single" w:sz="4" w:space="0" w:color="000000"/>
              <w:right w:val="single" w:sz="4" w:space="0" w:color="000000"/>
            </w:tcBorders>
            <w:noWrap/>
            <w:vAlign w:val="bottom"/>
            <w:hideMark/>
          </w:tcPr>
          <w:p w14:paraId="17818E8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56,000</w:t>
            </w:r>
          </w:p>
        </w:tc>
        <w:tc>
          <w:tcPr>
            <w:tcW w:w="987" w:type="dxa"/>
            <w:tcBorders>
              <w:top w:val="nil"/>
              <w:left w:val="nil"/>
              <w:bottom w:val="single" w:sz="4" w:space="0" w:color="000000"/>
              <w:right w:val="single" w:sz="4" w:space="0" w:color="000000"/>
            </w:tcBorders>
            <w:noWrap/>
            <w:vAlign w:val="bottom"/>
            <w:hideMark/>
          </w:tcPr>
          <w:p w14:paraId="60466CB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20,000</w:t>
            </w:r>
          </w:p>
        </w:tc>
        <w:tc>
          <w:tcPr>
            <w:tcW w:w="204" w:type="dxa"/>
            <w:tcBorders>
              <w:top w:val="nil"/>
              <w:left w:val="nil"/>
              <w:bottom w:val="nil"/>
              <w:right w:val="nil"/>
            </w:tcBorders>
            <w:noWrap/>
            <w:vAlign w:val="bottom"/>
            <w:hideMark/>
          </w:tcPr>
          <w:p w14:paraId="08C5C336"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27F5A6C"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697E9E9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Accrued compensation</w:t>
            </w:r>
          </w:p>
        </w:tc>
        <w:tc>
          <w:tcPr>
            <w:tcW w:w="987" w:type="dxa"/>
            <w:tcBorders>
              <w:top w:val="nil"/>
              <w:left w:val="nil"/>
              <w:bottom w:val="single" w:sz="4" w:space="0" w:color="000000"/>
              <w:right w:val="single" w:sz="4" w:space="0" w:color="000000"/>
            </w:tcBorders>
            <w:noWrap/>
            <w:vAlign w:val="bottom"/>
            <w:hideMark/>
          </w:tcPr>
          <w:p w14:paraId="399626C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20,927</w:t>
            </w:r>
          </w:p>
        </w:tc>
        <w:tc>
          <w:tcPr>
            <w:tcW w:w="987" w:type="dxa"/>
            <w:tcBorders>
              <w:top w:val="nil"/>
              <w:left w:val="nil"/>
              <w:bottom w:val="single" w:sz="4" w:space="0" w:color="000000"/>
              <w:right w:val="single" w:sz="4" w:space="0" w:color="000000"/>
            </w:tcBorders>
            <w:noWrap/>
            <w:vAlign w:val="bottom"/>
            <w:hideMark/>
          </w:tcPr>
          <w:p w14:paraId="505B3F3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20,305</w:t>
            </w:r>
          </w:p>
        </w:tc>
        <w:tc>
          <w:tcPr>
            <w:tcW w:w="987" w:type="dxa"/>
            <w:tcBorders>
              <w:top w:val="nil"/>
              <w:left w:val="nil"/>
              <w:bottom w:val="single" w:sz="4" w:space="0" w:color="000000"/>
              <w:right w:val="single" w:sz="4" w:space="0" w:color="000000"/>
            </w:tcBorders>
            <w:noWrap/>
            <w:vAlign w:val="bottom"/>
            <w:hideMark/>
          </w:tcPr>
          <w:p w14:paraId="579427E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20,904</w:t>
            </w:r>
          </w:p>
        </w:tc>
        <w:tc>
          <w:tcPr>
            <w:tcW w:w="987" w:type="dxa"/>
            <w:tcBorders>
              <w:top w:val="nil"/>
              <w:left w:val="nil"/>
              <w:bottom w:val="single" w:sz="4" w:space="0" w:color="000000"/>
              <w:right w:val="single" w:sz="4" w:space="0" w:color="000000"/>
            </w:tcBorders>
            <w:noWrap/>
            <w:vAlign w:val="bottom"/>
            <w:hideMark/>
          </w:tcPr>
          <w:p w14:paraId="69CB680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24,217</w:t>
            </w:r>
          </w:p>
        </w:tc>
        <w:tc>
          <w:tcPr>
            <w:tcW w:w="987" w:type="dxa"/>
            <w:tcBorders>
              <w:top w:val="nil"/>
              <w:left w:val="nil"/>
              <w:bottom w:val="single" w:sz="4" w:space="0" w:color="000000"/>
              <w:right w:val="single" w:sz="4" w:space="0" w:color="000000"/>
            </w:tcBorders>
            <w:noWrap/>
            <w:vAlign w:val="bottom"/>
            <w:hideMark/>
          </w:tcPr>
          <w:p w14:paraId="3B62238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28,931</w:t>
            </w:r>
          </w:p>
        </w:tc>
        <w:tc>
          <w:tcPr>
            <w:tcW w:w="204" w:type="dxa"/>
            <w:tcBorders>
              <w:top w:val="nil"/>
              <w:left w:val="nil"/>
              <w:bottom w:val="nil"/>
              <w:right w:val="nil"/>
            </w:tcBorders>
            <w:noWrap/>
            <w:vAlign w:val="bottom"/>
            <w:hideMark/>
          </w:tcPr>
          <w:p w14:paraId="3EFA46EA"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E3998AF"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ABCABC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Accrued sales discounts, rebates and royalties</w:t>
            </w:r>
          </w:p>
        </w:tc>
        <w:tc>
          <w:tcPr>
            <w:tcW w:w="987" w:type="dxa"/>
            <w:tcBorders>
              <w:top w:val="nil"/>
              <w:left w:val="nil"/>
              <w:bottom w:val="single" w:sz="4" w:space="0" w:color="000000"/>
              <w:right w:val="single" w:sz="4" w:space="0" w:color="000000"/>
            </w:tcBorders>
            <w:noWrap/>
            <w:vAlign w:val="bottom"/>
            <w:hideMark/>
          </w:tcPr>
          <w:p w14:paraId="031733F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5,204</w:t>
            </w:r>
          </w:p>
        </w:tc>
        <w:tc>
          <w:tcPr>
            <w:tcW w:w="987" w:type="dxa"/>
            <w:tcBorders>
              <w:top w:val="nil"/>
              <w:left w:val="nil"/>
              <w:bottom w:val="single" w:sz="4" w:space="0" w:color="000000"/>
              <w:right w:val="single" w:sz="4" w:space="0" w:color="000000"/>
            </w:tcBorders>
            <w:noWrap/>
            <w:vAlign w:val="bottom"/>
            <w:hideMark/>
          </w:tcPr>
          <w:p w14:paraId="2C31141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5,796</w:t>
            </w:r>
          </w:p>
        </w:tc>
        <w:tc>
          <w:tcPr>
            <w:tcW w:w="987" w:type="dxa"/>
            <w:tcBorders>
              <w:top w:val="nil"/>
              <w:left w:val="nil"/>
              <w:bottom w:val="single" w:sz="4" w:space="0" w:color="000000"/>
              <w:right w:val="single" w:sz="4" w:space="0" w:color="000000"/>
            </w:tcBorders>
            <w:noWrap/>
            <w:vAlign w:val="bottom"/>
            <w:hideMark/>
          </w:tcPr>
          <w:p w14:paraId="71DCD19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6,477</w:t>
            </w:r>
          </w:p>
        </w:tc>
        <w:tc>
          <w:tcPr>
            <w:tcW w:w="987" w:type="dxa"/>
            <w:tcBorders>
              <w:top w:val="nil"/>
              <w:left w:val="nil"/>
              <w:bottom w:val="single" w:sz="4" w:space="0" w:color="000000"/>
              <w:right w:val="single" w:sz="4" w:space="0" w:color="000000"/>
            </w:tcBorders>
            <w:noWrap/>
            <w:vAlign w:val="bottom"/>
            <w:hideMark/>
          </w:tcPr>
          <w:p w14:paraId="3F6225F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9,286</w:t>
            </w:r>
          </w:p>
        </w:tc>
        <w:tc>
          <w:tcPr>
            <w:tcW w:w="987" w:type="dxa"/>
            <w:tcBorders>
              <w:top w:val="nil"/>
              <w:left w:val="nil"/>
              <w:bottom w:val="single" w:sz="4" w:space="0" w:color="000000"/>
              <w:right w:val="single" w:sz="4" w:space="0" w:color="000000"/>
            </w:tcBorders>
            <w:noWrap/>
            <w:vAlign w:val="bottom"/>
            <w:hideMark/>
          </w:tcPr>
          <w:p w14:paraId="3356412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10,758</w:t>
            </w:r>
          </w:p>
        </w:tc>
        <w:tc>
          <w:tcPr>
            <w:tcW w:w="204" w:type="dxa"/>
            <w:tcBorders>
              <w:top w:val="nil"/>
              <w:left w:val="nil"/>
              <w:bottom w:val="nil"/>
              <w:right w:val="nil"/>
            </w:tcBorders>
            <w:noWrap/>
            <w:vAlign w:val="bottom"/>
            <w:hideMark/>
          </w:tcPr>
          <w:p w14:paraId="0F0D59C5"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DBD28D7"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52A33B4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Other accrued liabilities</w:t>
            </w:r>
          </w:p>
        </w:tc>
        <w:tc>
          <w:tcPr>
            <w:tcW w:w="987" w:type="dxa"/>
            <w:tcBorders>
              <w:top w:val="nil"/>
              <w:left w:val="nil"/>
              <w:bottom w:val="single" w:sz="4" w:space="0" w:color="000000"/>
              <w:right w:val="single" w:sz="4" w:space="0" w:color="000000"/>
            </w:tcBorders>
            <w:noWrap/>
            <w:vAlign w:val="bottom"/>
            <w:hideMark/>
          </w:tcPr>
          <w:p w14:paraId="5B26EEF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21,008</w:t>
            </w:r>
          </w:p>
        </w:tc>
        <w:tc>
          <w:tcPr>
            <w:tcW w:w="987" w:type="dxa"/>
            <w:tcBorders>
              <w:top w:val="nil"/>
              <w:left w:val="nil"/>
              <w:bottom w:val="single" w:sz="4" w:space="0" w:color="000000"/>
              <w:right w:val="single" w:sz="4" w:space="0" w:color="000000"/>
            </w:tcBorders>
            <w:noWrap/>
            <w:vAlign w:val="bottom"/>
            <w:hideMark/>
          </w:tcPr>
          <w:p w14:paraId="7FAB169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21,181</w:t>
            </w:r>
          </w:p>
        </w:tc>
        <w:tc>
          <w:tcPr>
            <w:tcW w:w="987" w:type="dxa"/>
            <w:tcBorders>
              <w:top w:val="nil"/>
              <w:left w:val="nil"/>
              <w:bottom w:val="single" w:sz="4" w:space="0" w:color="000000"/>
              <w:right w:val="single" w:sz="4" w:space="0" w:color="000000"/>
            </w:tcBorders>
            <w:noWrap/>
            <w:vAlign w:val="bottom"/>
            <w:hideMark/>
          </w:tcPr>
          <w:p w14:paraId="618F291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24,134</w:t>
            </w:r>
          </w:p>
        </w:tc>
        <w:tc>
          <w:tcPr>
            <w:tcW w:w="987" w:type="dxa"/>
            <w:tcBorders>
              <w:top w:val="nil"/>
              <w:left w:val="nil"/>
              <w:bottom w:val="single" w:sz="4" w:space="0" w:color="000000"/>
              <w:right w:val="single" w:sz="4" w:space="0" w:color="000000"/>
            </w:tcBorders>
            <w:noWrap/>
            <w:vAlign w:val="bottom"/>
            <w:hideMark/>
          </w:tcPr>
          <w:p w14:paraId="4C27A5F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30,840</w:t>
            </w:r>
          </w:p>
        </w:tc>
        <w:tc>
          <w:tcPr>
            <w:tcW w:w="987" w:type="dxa"/>
            <w:tcBorders>
              <w:top w:val="nil"/>
              <w:left w:val="nil"/>
              <w:bottom w:val="single" w:sz="4" w:space="0" w:color="000000"/>
              <w:right w:val="single" w:sz="4" w:space="0" w:color="000000"/>
            </w:tcBorders>
            <w:noWrap/>
            <w:vAlign w:val="bottom"/>
            <w:hideMark/>
          </w:tcPr>
          <w:p w14:paraId="28174D2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33,057</w:t>
            </w:r>
          </w:p>
        </w:tc>
        <w:tc>
          <w:tcPr>
            <w:tcW w:w="204" w:type="dxa"/>
            <w:tcBorders>
              <w:top w:val="nil"/>
              <w:left w:val="nil"/>
              <w:bottom w:val="nil"/>
              <w:right w:val="nil"/>
            </w:tcBorders>
            <w:noWrap/>
            <w:vAlign w:val="bottom"/>
            <w:hideMark/>
          </w:tcPr>
          <w:p w14:paraId="20F68E48"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1A88D618"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CD47AE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lastRenderedPageBreak/>
              <w:t>Total current liabilities</w:t>
            </w:r>
          </w:p>
        </w:tc>
        <w:tc>
          <w:tcPr>
            <w:tcW w:w="987" w:type="dxa"/>
            <w:tcBorders>
              <w:top w:val="nil"/>
              <w:left w:val="nil"/>
              <w:bottom w:val="single" w:sz="4" w:space="0" w:color="000000"/>
              <w:right w:val="single" w:sz="4" w:space="0" w:color="000000"/>
            </w:tcBorders>
            <w:noWrap/>
            <w:vAlign w:val="bottom"/>
            <w:hideMark/>
          </w:tcPr>
          <w:p w14:paraId="0E7CA02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158,291</w:t>
            </w:r>
          </w:p>
        </w:tc>
        <w:tc>
          <w:tcPr>
            <w:tcW w:w="987" w:type="dxa"/>
            <w:tcBorders>
              <w:top w:val="nil"/>
              <w:left w:val="nil"/>
              <w:bottom w:val="single" w:sz="4" w:space="0" w:color="000000"/>
              <w:right w:val="single" w:sz="4" w:space="0" w:color="000000"/>
            </w:tcBorders>
            <w:noWrap/>
            <w:vAlign w:val="bottom"/>
            <w:hideMark/>
          </w:tcPr>
          <w:p w14:paraId="5E17D72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161,148</w:t>
            </w:r>
          </w:p>
        </w:tc>
        <w:tc>
          <w:tcPr>
            <w:tcW w:w="987" w:type="dxa"/>
            <w:tcBorders>
              <w:top w:val="nil"/>
              <w:left w:val="nil"/>
              <w:bottom w:val="single" w:sz="4" w:space="0" w:color="000000"/>
              <w:right w:val="single" w:sz="4" w:space="0" w:color="000000"/>
            </w:tcBorders>
            <w:noWrap/>
            <w:vAlign w:val="bottom"/>
            <w:hideMark/>
          </w:tcPr>
          <w:p w14:paraId="53A5996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216,473</w:t>
            </w:r>
          </w:p>
        </w:tc>
        <w:tc>
          <w:tcPr>
            <w:tcW w:w="987" w:type="dxa"/>
            <w:tcBorders>
              <w:top w:val="nil"/>
              <w:left w:val="nil"/>
              <w:bottom w:val="single" w:sz="4" w:space="0" w:color="000000"/>
              <w:right w:val="single" w:sz="4" w:space="0" w:color="000000"/>
            </w:tcBorders>
            <w:noWrap/>
            <w:vAlign w:val="bottom"/>
            <w:hideMark/>
          </w:tcPr>
          <w:p w14:paraId="12FA108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216,787</w:t>
            </w:r>
          </w:p>
        </w:tc>
        <w:tc>
          <w:tcPr>
            <w:tcW w:w="987" w:type="dxa"/>
            <w:tcBorders>
              <w:top w:val="nil"/>
              <w:left w:val="nil"/>
              <w:bottom w:val="single" w:sz="4" w:space="0" w:color="000000"/>
              <w:right w:val="single" w:sz="4" w:space="0" w:color="000000"/>
            </w:tcBorders>
            <w:noWrap/>
            <w:vAlign w:val="bottom"/>
            <w:hideMark/>
          </w:tcPr>
          <w:p w14:paraId="1E57FEC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179,510</w:t>
            </w:r>
          </w:p>
        </w:tc>
        <w:tc>
          <w:tcPr>
            <w:tcW w:w="204" w:type="dxa"/>
            <w:tcBorders>
              <w:top w:val="nil"/>
              <w:left w:val="nil"/>
              <w:bottom w:val="nil"/>
              <w:right w:val="nil"/>
            </w:tcBorders>
            <w:noWrap/>
            <w:vAlign w:val="bottom"/>
            <w:hideMark/>
          </w:tcPr>
          <w:p w14:paraId="30D5F0EF"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392F7AB"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E8A255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Operating lease obligations</w:t>
            </w:r>
          </w:p>
        </w:tc>
        <w:tc>
          <w:tcPr>
            <w:tcW w:w="987" w:type="dxa"/>
            <w:tcBorders>
              <w:top w:val="nil"/>
              <w:left w:val="nil"/>
              <w:bottom w:val="single" w:sz="4" w:space="0" w:color="000000"/>
              <w:right w:val="single" w:sz="4" w:space="0" w:color="000000"/>
            </w:tcBorders>
            <w:noWrap/>
            <w:vAlign w:val="bottom"/>
            <w:hideMark/>
          </w:tcPr>
          <w:p w14:paraId="64C6830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9,232</w:t>
            </w:r>
          </w:p>
        </w:tc>
        <w:tc>
          <w:tcPr>
            <w:tcW w:w="987" w:type="dxa"/>
            <w:tcBorders>
              <w:top w:val="nil"/>
              <w:left w:val="nil"/>
              <w:bottom w:val="single" w:sz="4" w:space="0" w:color="000000"/>
              <w:right w:val="single" w:sz="4" w:space="0" w:color="000000"/>
            </w:tcBorders>
            <w:noWrap/>
            <w:vAlign w:val="bottom"/>
            <w:hideMark/>
          </w:tcPr>
          <w:p w14:paraId="2E9D348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12,560</w:t>
            </w:r>
          </w:p>
        </w:tc>
        <w:tc>
          <w:tcPr>
            <w:tcW w:w="987" w:type="dxa"/>
            <w:tcBorders>
              <w:top w:val="nil"/>
              <w:left w:val="nil"/>
              <w:bottom w:val="single" w:sz="4" w:space="0" w:color="000000"/>
              <w:right w:val="single" w:sz="4" w:space="0" w:color="000000"/>
            </w:tcBorders>
            <w:noWrap/>
            <w:vAlign w:val="bottom"/>
            <w:hideMark/>
          </w:tcPr>
          <w:p w14:paraId="5FF5E7F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15,027</w:t>
            </w:r>
          </w:p>
        </w:tc>
        <w:tc>
          <w:tcPr>
            <w:tcW w:w="987" w:type="dxa"/>
            <w:tcBorders>
              <w:top w:val="nil"/>
              <w:left w:val="nil"/>
              <w:bottom w:val="single" w:sz="4" w:space="0" w:color="000000"/>
              <w:right w:val="single" w:sz="4" w:space="0" w:color="000000"/>
            </w:tcBorders>
            <w:noWrap/>
            <w:vAlign w:val="bottom"/>
            <w:hideMark/>
          </w:tcPr>
          <w:p w14:paraId="77D14B1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14,266</w:t>
            </w:r>
          </w:p>
        </w:tc>
        <w:tc>
          <w:tcPr>
            <w:tcW w:w="987" w:type="dxa"/>
            <w:tcBorders>
              <w:top w:val="nil"/>
              <w:left w:val="nil"/>
              <w:bottom w:val="single" w:sz="4" w:space="0" w:color="000000"/>
              <w:right w:val="single" w:sz="4" w:space="0" w:color="000000"/>
            </w:tcBorders>
            <w:noWrap/>
            <w:vAlign w:val="bottom"/>
            <w:hideMark/>
          </w:tcPr>
          <w:p w14:paraId="333AB96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13,681</w:t>
            </w:r>
          </w:p>
        </w:tc>
        <w:tc>
          <w:tcPr>
            <w:tcW w:w="204" w:type="dxa"/>
            <w:tcBorders>
              <w:top w:val="nil"/>
              <w:left w:val="nil"/>
              <w:bottom w:val="nil"/>
              <w:right w:val="nil"/>
            </w:tcBorders>
            <w:noWrap/>
            <w:vAlign w:val="bottom"/>
            <w:hideMark/>
          </w:tcPr>
          <w:p w14:paraId="6EE85F0A"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657B6FA"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183450D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Deferred income taxes (</w:t>
            </w:r>
            <w:proofErr w:type="spellStart"/>
            <w:r w:rsidRPr="006B51A1">
              <w:rPr>
                <w:rFonts w:ascii="Calibri" w:eastAsia="Times New Roman" w:hAnsi="Calibri" w:cs="Calibri"/>
                <w:kern w:val="0"/>
                <w14:ligatures w14:val="none"/>
              </w:rPr>
              <w:t>liab</w:t>
            </w:r>
            <w:proofErr w:type="spellEnd"/>
            <w:r w:rsidRPr="006B51A1">
              <w:rPr>
                <w:rFonts w:ascii="Calibri" w:eastAsia="Times New Roman" w:hAnsi="Calibri" w:cs="Calibri"/>
                <w:kern w:val="0"/>
                <w14:ligatures w14:val="none"/>
              </w:rPr>
              <w:t>)</w:t>
            </w:r>
          </w:p>
        </w:tc>
        <w:tc>
          <w:tcPr>
            <w:tcW w:w="987" w:type="dxa"/>
            <w:tcBorders>
              <w:top w:val="nil"/>
              <w:left w:val="nil"/>
              <w:bottom w:val="single" w:sz="4" w:space="0" w:color="000000"/>
              <w:right w:val="single" w:sz="4" w:space="0" w:color="000000"/>
            </w:tcBorders>
            <w:noWrap/>
            <w:vAlign w:val="bottom"/>
            <w:hideMark/>
          </w:tcPr>
          <w:p w14:paraId="2A0DE2E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1,931</w:t>
            </w:r>
          </w:p>
        </w:tc>
        <w:tc>
          <w:tcPr>
            <w:tcW w:w="987" w:type="dxa"/>
            <w:tcBorders>
              <w:top w:val="nil"/>
              <w:left w:val="nil"/>
              <w:bottom w:val="single" w:sz="4" w:space="0" w:color="000000"/>
              <w:right w:val="single" w:sz="4" w:space="0" w:color="000000"/>
            </w:tcBorders>
            <w:noWrap/>
            <w:vAlign w:val="bottom"/>
            <w:hideMark/>
          </w:tcPr>
          <w:p w14:paraId="71C79F5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1,992</w:t>
            </w:r>
          </w:p>
        </w:tc>
        <w:tc>
          <w:tcPr>
            <w:tcW w:w="987" w:type="dxa"/>
            <w:tcBorders>
              <w:top w:val="nil"/>
              <w:left w:val="nil"/>
              <w:bottom w:val="single" w:sz="4" w:space="0" w:color="000000"/>
              <w:right w:val="single" w:sz="4" w:space="0" w:color="000000"/>
            </w:tcBorders>
            <w:noWrap/>
            <w:vAlign w:val="bottom"/>
            <w:hideMark/>
          </w:tcPr>
          <w:p w14:paraId="1238FFD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2,724</w:t>
            </w:r>
          </w:p>
        </w:tc>
        <w:tc>
          <w:tcPr>
            <w:tcW w:w="987" w:type="dxa"/>
            <w:tcBorders>
              <w:top w:val="nil"/>
              <w:left w:val="nil"/>
              <w:bottom w:val="single" w:sz="4" w:space="0" w:color="000000"/>
              <w:right w:val="single" w:sz="4" w:space="0" w:color="000000"/>
            </w:tcBorders>
            <w:noWrap/>
            <w:vAlign w:val="bottom"/>
            <w:hideMark/>
          </w:tcPr>
          <w:p w14:paraId="2FBB7AC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2,394</w:t>
            </w:r>
          </w:p>
        </w:tc>
        <w:tc>
          <w:tcPr>
            <w:tcW w:w="987" w:type="dxa"/>
            <w:tcBorders>
              <w:top w:val="nil"/>
              <w:left w:val="nil"/>
              <w:bottom w:val="single" w:sz="4" w:space="0" w:color="000000"/>
              <w:right w:val="single" w:sz="4" w:space="0" w:color="000000"/>
            </w:tcBorders>
            <w:noWrap/>
            <w:vAlign w:val="bottom"/>
            <w:hideMark/>
          </w:tcPr>
          <w:p w14:paraId="4662DDF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1,913</w:t>
            </w:r>
          </w:p>
        </w:tc>
        <w:tc>
          <w:tcPr>
            <w:tcW w:w="204" w:type="dxa"/>
            <w:tcBorders>
              <w:top w:val="nil"/>
              <w:left w:val="nil"/>
              <w:bottom w:val="nil"/>
              <w:right w:val="nil"/>
            </w:tcBorders>
            <w:noWrap/>
            <w:vAlign w:val="bottom"/>
            <w:hideMark/>
          </w:tcPr>
          <w:p w14:paraId="59E94DBA"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55E5220"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E138FE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Income tax payable</w:t>
            </w:r>
          </w:p>
        </w:tc>
        <w:tc>
          <w:tcPr>
            <w:tcW w:w="987" w:type="dxa"/>
            <w:tcBorders>
              <w:top w:val="nil"/>
              <w:left w:val="nil"/>
              <w:bottom w:val="single" w:sz="4" w:space="0" w:color="000000"/>
              <w:right w:val="single" w:sz="4" w:space="0" w:color="000000"/>
            </w:tcBorders>
            <w:noWrap/>
            <w:vAlign w:val="bottom"/>
            <w:hideMark/>
          </w:tcPr>
          <w:p w14:paraId="5F8561A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72</w:t>
            </w:r>
          </w:p>
        </w:tc>
        <w:tc>
          <w:tcPr>
            <w:tcW w:w="987" w:type="dxa"/>
            <w:tcBorders>
              <w:top w:val="nil"/>
              <w:left w:val="nil"/>
              <w:bottom w:val="single" w:sz="4" w:space="0" w:color="000000"/>
              <w:right w:val="single" w:sz="4" w:space="0" w:color="000000"/>
            </w:tcBorders>
            <w:noWrap/>
            <w:vAlign w:val="bottom"/>
            <w:hideMark/>
          </w:tcPr>
          <w:p w14:paraId="1AFFDC0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435</w:t>
            </w:r>
          </w:p>
        </w:tc>
        <w:tc>
          <w:tcPr>
            <w:tcW w:w="987" w:type="dxa"/>
            <w:tcBorders>
              <w:top w:val="nil"/>
              <w:left w:val="nil"/>
              <w:bottom w:val="single" w:sz="4" w:space="0" w:color="000000"/>
              <w:right w:val="single" w:sz="4" w:space="0" w:color="000000"/>
            </w:tcBorders>
            <w:noWrap/>
            <w:vAlign w:val="bottom"/>
            <w:hideMark/>
          </w:tcPr>
          <w:p w14:paraId="64A886E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723</w:t>
            </w:r>
          </w:p>
        </w:tc>
        <w:tc>
          <w:tcPr>
            <w:tcW w:w="987" w:type="dxa"/>
            <w:tcBorders>
              <w:top w:val="nil"/>
              <w:left w:val="nil"/>
              <w:bottom w:val="single" w:sz="4" w:space="0" w:color="000000"/>
              <w:right w:val="single" w:sz="4" w:space="0" w:color="000000"/>
            </w:tcBorders>
            <w:noWrap/>
            <w:vAlign w:val="bottom"/>
            <w:hideMark/>
          </w:tcPr>
          <w:p w14:paraId="304D2D8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939</w:t>
            </w:r>
          </w:p>
        </w:tc>
        <w:tc>
          <w:tcPr>
            <w:tcW w:w="987" w:type="dxa"/>
            <w:tcBorders>
              <w:top w:val="nil"/>
              <w:left w:val="nil"/>
              <w:bottom w:val="single" w:sz="4" w:space="0" w:color="000000"/>
              <w:right w:val="single" w:sz="4" w:space="0" w:color="000000"/>
            </w:tcBorders>
            <w:noWrap/>
            <w:vAlign w:val="bottom"/>
            <w:hideMark/>
          </w:tcPr>
          <w:p w14:paraId="1BD78DE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1,054</w:t>
            </w:r>
          </w:p>
        </w:tc>
        <w:tc>
          <w:tcPr>
            <w:tcW w:w="204" w:type="dxa"/>
            <w:tcBorders>
              <w:top w:val="nil"/>
              <w:left w:val="nil"/>
              <w:bottom w:val="nil"/>
              <w:right w:val="nil"/>
            </w:tcBorders>
            <w:noWrap/>
            <w:vAlign w:val="bottom"/>
            <w:hideMark/>
          </w:tcPr>
          <w:p w14:paraId="376C6B54"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25FAB2C"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1E8182F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Other long-term liabilities</w:t>
            </w:r>
          </w:p>
        </w:tc>
        <w:tc>
          <w:tcPr>
            <w:tcW w:w="987" w:type="dxa"/>
            <w:tcBorders>
              <w:top w:val="nil"/>
              <w:left w:val="nil"/>
              <w:bottom w:val="single" w:sz="4" w:space="0" w:color="000000"/>
              <w:right w:val="single" w:sz="4" w:space="0" w:color="000000"/>
            </w:tcBorders>
            <w:noWrap/>
            <w:vAlign w:val="bottom"/>
            <w:hideMark/>
          </w:tcPr>
          <w:p w14:paraId="6989584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723</w:t>
            </w:r>
          </w:p>
        </w:tc>
        <w:tc>
          <w:tcPr>
            <w:tcW w:w="987" w:type="dxa"/>
            <w:tcBorders>
              <w:top w:val="nil"/>
              <w:left w:val="nil"/>
              <w:bottom w:val="single" w:sz="4" w:space="0" w:color="000000"/>
              <w:right w:val="single" w:sz="4" w:space="0" w:color="000000"/>
            </w:tcBorders>
            <w:noWrap/>
            <w:vAlign w:val="bottom"/>
            <w:hideMark/>
          </w:tcPr>
          <w:p w14:paraId="550C77E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817</w:t>
            </w:r>
          </w:p>
        </w:tc>
        <w:tc>
          <w:tcPr>
            <w:tcW w:w="987" w:type="dxa"/>
            <w:tcBorders>
              <w:top w:val="nil"/>
              <w:left w:val="nil"/>
              <w:bottom w:val="single" w:sz="4" w:space="0" w:color="000000"/>
              <w:right w:val="single" w:sz="4" w:space="0" w:color="000000"/>
            </w:tcBorders>
            <w:noWrap/>
            <w:vAlign w:val="bottom"/>
            <w:hideMark/>
          </w:tcPr>
          <w:p w14:paraId="5A5FD5A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810</w:t>
            </w:r>
          </w:p>
        </w:tc>
        <w:tc>
          <w:tcPr>
            <w:tcW w:w="987" w:type="dxa"/>
            <w:tcBorders>
              <w:top w:val="nil"/>
              <w:left w:val="nil"/>
              <w:bottom w:val="single" w:sz="4" w:space="0" w:color="000000"/>
              <w:right w:val="single" w:sz="4" w:space="0" w:color="000000"/>
            </w:tcBorders>
            <w:noWrap/>
            <w:vAlign w:val="bottom"/>
            <w:hideMark/>
          </w:tcPr>
          <w:p w14:paraId="2993EBC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13</w:t>
            </w:r>
          </w:p>
        </w:tc>
        <w:tc>
          <w:tcPr>
            <w:tcW w:w="987" w:type="dxa"/>
            <w:tcBorders>
              <w:top w:val="nil"/>
              <w:left w:val="nil"/>
              <w:bottom w:val="single" w:sz="4" w:space="0" w:color="000000"/>
              <w:right w:val="single" w:sz="4" w:space="0" w:color="000000"/>
            </w:tcBorders>
            <w:noWrap/>
            <w:vAlign w:val="bottom"/>
            <w:hideMark/>
          </w:tcPr>
          <w:p w14:paraId="2AC97DD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539</w:t>
            </w:r>
          </w:p>
        </w:tc>
        <w:tc>
          <w:tcPr>
            <w:tcW w:w="204" w:type="dxa"/>
            <w:tcBorders>
              <w:top w:val="nil"/>
              <w:left w:val="nil"/>
              <w:bottom w:val="nil"/>
              <w:right w:val="nil"/>
            </w:tcBorders>
            <w:noWrap/>
            <w:vAlign w:val="bottom"/>
            <w:hideMark/>
          </w:tcPr>
          <w:p w14:paraId="0EEDC307"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18EF6E30"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B36A9B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Total liabilities</w:t>
            </w:r>
          </w:p>
        </w:tc>
        <w:tc>
          <w:tcPr>
            <w:tcW w:w="987" w:type="dxa"/>
            <w:tcBorders>
              <w:top w:val="nil"/>
              <w:left w:val="nil"/>
              <w:bottom w:val="single" w:sz="4" w:space="0" w:color="000000"/>
              <w:right w:val="single" w:sz="4" w:space="0" w:color="000000"/>
            </w:tcBorders>
            <w:noWrap/>
            <w:vAlign w:val="bottom"/>
            <w:hideMark/>
          </w:tcPr>
          <w:p w14:paraId="3B19156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170,249</w:t>
            </w:r>
          </w:p>
        </w:tc>
        <w:tc>
          <w:tcPr>
            <w:tcW w:w="987" w:type="dxa"/>
            <w:tcBorders>
              <w:top w:val="nil"/>
              <w:left w:val="nil"/>
              <w:bottom w:val="single" w:sz="4" w:space="0" w:color="000000"/>
              <w:right w:val="single" w:sz="4" w:space="0" w:color="000000"/>
            </w:tcBorders>
            <w:noWrap/>
            <w:vAlign w:val="bottom"/>
            <w:hideMark/>
          </w:tcPr>
          <w:p w14:paraId="4C565D3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176,952</w:t>
            </w:r>
          </w:p>
        </w:tc>
        <w:tc>
          <w:tcPr>
            <w:tcW w:w="987" w:type="dxa"/>
            <w:tcBorders>
              <w:top w:val="nil"/>
              <w:left w:val="nil"/>
              <w:bottom w:val="single" w:sz="4" w:space="0" w:color="000000"/>
              <w:right w:val="single" w:sz="4" w:space="0" w:color="000000"/>
            </w:tcBorders>
            <w:noWrap/>
            <w:vAlign w:val="bottom"/>
            <w:hideMark/>
          </w:tcPr>
          <w:p w14:paraId="2843EB0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235,757</w:t>
            </w:r>
          </w:p>
        </w:tc>
        <w:tc>
          <w:tcPr>
            <w:tcW w:w="987" w:type="dxa"/>
            <w:tcBorders>
              <w:top w:val="nil"/>
              <w:left w:val="nil"/>
              <w:bottom w:val="single" w:sz="4" w:space="0" w:color="000000"/>
              <w:right w:val="single" w:sz="4" w:space="0" w:color="000000"/>
            </w:tcBorders>
            <w:noWrap/>
            <w:vAlign w:val="bottom"/>
            <w:hideMark/>
          </w:tcPr>
          <w:p w14:paraId="509CBE7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234,399</w:t>
            </w:r>
          </w:p>
        </w:tc>
        <w:tc>
          <w:tcPr>
            <w:tcW w:w="987" w:type="dxa"/>
            <w:tcBorders>
              <w:top w:val="nil"/>
              <w:left w:val="nil"/>
              <w:bottom w:val="single" w:sz="4" w:space="0" w:color="000000"/>
              <w:right w:val="single" w:sz="4" w:space="0" w:color="000000"/>
            </w:tcBorders>
            <w:noWrap/>
            <w:vAlign w:val="bottom"/>
            <w:hideMark/>
          </w:tcPr>
          <w:p w14:paraId="2843C14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196,989</w:t>
            </w:r>
          </w:p>
        </w:tc>
        <w:tc>
          <w:tcPr>
            <w:tcW w:w="204" w:type="dxa"/>
            <w:tcBorders>
              <w:top w:val="nil"/>
              <w:left w:val="nil"/>
              <w:bottom w:val="nil"/>
              <w:right w:val="nil"/>
            </w:tcBorders>
            <w:noWrap/>
            <w:vAlign w:val="bottom"/>
            <w:hideMark/>
          </w:tcPr>
          <w:p w14:paraId="4A5AD021"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7BAA5138"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462E60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Common stock</w:t>
            </w:r>
          </w:p>
        </w:tc>
        <w:tc>
          <w:tcPr>
            <w:tcW w:w="987" w:type="dxa"/>
            <w:tcBorders>
              <w:top w:val="nil"/>
              <w:left w:val="nil"/>
              <w:bottom w:val="single" w:sz="4" w:space="0" w:color="000000"/>
              <w:right w:val="single" w:sz="4" w:space="0" w:color="000000"/>
            </w:tcBorders>
            <w:noWrap/>
            <w:vAlign w:val="bottom"/>
            <w:hideMark/>
          </w:tcPr>
          <w:p w14:paraId="511E818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257</w:t>
            </w:r>
          </w:p>
        </w:tc>
        <w:tc>
          <w:tcPr>
            <w:tcW w:w="987" w:type="dxa"/>
            <w:tcBorders>
              <w:top w:val="nil"/>
              <w:left w:val="nil"/>
              <w:bottom w:val="single" w:sz="4" w:space="0" w:color="000000"/>
              <w:right w:val="single" w:sz="4" w:space="0" w:color="000000"/>
            </w:tcBorders>
            <w:noWrap/>
            <w:vAlign w:val="bottom"/>
            <w:hideMark/>
          </w:tcPr>
          <w:p w14:paraId="1A5C686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253</w:t>
            </w:r>
          </w:p>
        </w:tc>
        <w:tc>
          <w:tcPr>
            <w:tcW w:w="987" w:type="dxa"/>
            <w:tcBorders>
              <w:top w:val="nil"/>
              <w:left w:val="nil"/>
              <w:bottom w:val="single" w:sz="4" w:space="0" w:color="000000"/>
              <w:right w:val="single" w:sz="4" w:space="0" w:color="000000"/>
            </w:tcBorders>
            <w:noWrap/>
            <w:vAlign w:val="bottom"/>
            <w:hideMark/>
          </w:tcPr>
          <w:p w14:paraId="661EB02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250</w:t>
            </w:r>
          </w:p>
        </w:tc>
        <w:tc>
          <w:tcPr>
            <w:tcW w:w="987" w:type="dxa"/>
            <w:tcBorders>
              <w:top w:val="nil"/>
              <w:left w:val="nil"/>
              <w:bottom w:val="single" w:sz="4" w:space="0" w:color="000000"/>
              <w:right w:val="single" w:sz="4" w:space="0" w:color="000000"/>
            </w:tcBorders>
            <w:noWrap/>
            <w:vAlign w:val="bottom"/>
            <w:hideMark/>
          </w:tcPr>
          <w:p w14:paraId="4259B05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247</w:t>
            </w:r>
          </w:p>
        </w:tc>
        <w:tc>
          <w:tcPr>
            <w:tcW w:w="987" w:type="dxa"/>
            <w:tcBorders>
              <w:top w:val="nil"/>
              <w:left w:val="nil"/>
              <w:bottom w:val="single" w:sz="4" w:space="0" w:color="000000"/>
              <w:right w:val="single" w:sz="4" w:space="0" w:color="000000"/>
            </w:tcBorders>
            <w:noWrap/>
            <w:vAlign w:val="bottom"/>
            <w:hideMark/>
          </w:tcPr>
          <w:p w14:paraId="05CF25C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244</w:t>
            </w:r>
          </w:p>
        </w:tc>
        <w:tc>
          <w:tcPr>
            <w:tcW w:w="204" w:type="dxa"/>
            <w:tcBorders>
              <w:top w:val="nil"/>
              <w:left w:val="nil"/>
              <w:bottom w:val="nil"/>
              <w:right w:val="nil"/>
            </w:tcBorders>
            <w:noWrap/>
            <w:vAlign w:val="bottom"/>
            <w:hideMark/>
          </w:tcPr>
          <w:p w14:paraId="76E99FF4"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F61147F"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FFABBA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Paid-in capital</w:t>
            </w:r>
          </w:p>
        </w:tc>
        <w:tc>
          <w:tcPr>
            <w:tcW w:w="987" w:type="dxa"/>
            <w:tcBorders>
              <w:top w:val="nil"/>
              <w:left w:val="nil"/>
              <w:bottom w:val="single" w:sz="4" w:space="0" w:color="000000"/>
              <w:right w:val="single" w:sz="4" w:space="0" w:color="000000"/>
            </w:tcBorders>
            <w:noWrap/>
            <w:vAlign w:val="bottom"/>
            <w:hideMark/>
          </w:tcPr>
          <w:p w14:paraId="60FE5F5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344,697</w:t>
            </w:r>
          </w:p>
        </w:tc>
        <w:tc>
          <w:tcPr>
            <w:tcW w:w="987" w:type="dxa"/>
            <w:tcBorders>
              <w:top w:val="nil"/>
              <w:left w:val="nil"/>
              <w:bottom w:val="single" w:sz="4" w:space="0" w:color="000000"/>
              <w:right w:val="single" w:sz="4" w:space="0" w:color="000000"/>
            </w:tcBorders>
            <w:noWrap/>
            <w:vAlign w:val="bottom"/>
            <w:hideMark/>
          </w:tcPr>
          <w:p w14:paraId="199D879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336,938</w:t>
            </w:r>
          </w:p>
        </w:tc>
        <w:tc>
          <w:tcPr>
            <w:tcW w:w="987" w:type="dxa"/>
            <w:tcBorders>
              <w:top w:val="nil"/>
              <w:left w:val="nil"/>
              <w:bottom w:val="single" w:sz="4" w:space="0" w:color="000000"/>
              <w:right w:val="single" w:sz="4" w:space="0" w:color="000000"/>
            </w:tcBorders>
            <w:noWrap/>
            <w:vAlign w:val="bottom"/>
            <w:hideMark/>
          </w:tcPr>
          <w:p w14:paraId="4B67A20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326,839</w:t>
            </w:r>
          </w:p>
        </w:tc>
        <w:tc>
          <w:tcPr>
            <w:tcW w:w="987" w:type="dxa"/>
            <w:tcBorders>
              <w:top w:val="nil"/>
              <w:left w:val="nil"/>
              <w:bottom w:val="single" w:sz="4" w:space="0" w:color="000000"/>
              <w:right w:val="single" w:sz="4" w:space="0" w:color="000000"/>
            </w:tcBorders>
            <w:noWrap/>
            <w:vAlign w:val="bottom"/>
            <w:hideMark/>
          </w:tcPr>
          <w:p w14:paraId="61BF5E7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314,094</w:t>
            </w:r>
          </w:p>
        </w:tc>
        <w:tc>
          <w:tcPr>
            <w:tcW w:w="987" w:type="dxa"/>
            <w:tcBorders>
              <w:top w:val="nil"/>
              <w:left w:val="nil"/>
              <w:bottom w:val="single" w:sz="4" w:space="0" w:color="000000"/>
              <w:right w:val="single" w:sz="4" w:space="0" w:color="000000"/>
            </w:tcBorders>
            <w:noWrap/>
            <w:vAlign w:val="bottom"/>
            <w:hideMark/>
          </w:tcPr>
          <w:p w14:paraId="05974A4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302,084</w:t>
            </w:r>
          </w:p>
        </w:tc>
        <w:tc>
          <w:tcPr>
            <w:tcW w:w="204" w:type="dxa"/>
            <w:tcBorders>
              <w:top w:val="nil"/>
              <w:left w:val="nil"/>
              <w:bottom w:val="nil"/>
              <w:right w:val="nil"/>
            </w:tcBorders>
            <w:noWrap/>
            <w:vAlign w:val="bottom"/>
            <w:hideMark/>
          </w:tcPr>
          <w:p w14:paraId="180A54BA"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1061DDD9"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2A5C3D6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Treasury stock</w:t>
            </w:r>
          </w:p>
        </w:tc>
        <w:tc>
          <w:tcPr>
            <w:tcW w:w="987" w:type="dxa"/>
            <w:tcBorders>
              <w:top w:val="nil"/>
              <w:left w:val="nil"/>
              <w:bottom w:val="single" w:sz="4" w:space="0" w:color="000000"/>
              <w:right w:val="single" w:sz="4" w:space="0" w:color="000000"/>
            </w:tcBorders>
            <w:noWrap/>
            <w:vAlign w:val="bottom"/>
            <w:hideMark/>
          </w:tcPr>
          <w:p w14:paraId="2FAD710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(371,930)</w:t>
            </w:r>
          </w:p>
        </w:tc>
        <w:tc>
          <w:tcPr>
            <w:tcW w:w="987" w:type="dxa"/>
            <w:tcBorders>
              <w:top w:val="nil"/>
              <w:left w:val="nil"/>
              <w:bottom w:val="single" w:sz="4" w:space="0" w:color="000000"/>
              <w:right w:val="single" w:sz="4" w:space="0" w:color="000000"/>
            </w:tcBorders>
            <w:noWrap/>
            <w:vAlign w:val="bottom"/>
            <w:hideMark/>
          </w:tcPr>
          <w:p w14:paraId="2BD567F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(369,973)</w:t>
            </w:r>
          </w:p>
        </w:tc>
        <w:tc>
          <w:tcPr>
            <w:tcW w:w="987" w:type="dxa"/>
            <w:tcBorders>
              <w:top w:val="nil"/>
              <w:left w:val="nil"/>
              <w:bottom w:val="single" w:sz="4" w:space="0" w:color="000000"/>
              <w:right w:val="single" w:sz="4" w:space="0" w:color="000000"/>
            </w:tcBorders>
            <w:noWrap/>
            <w:vAlign w:val="bottom"/>
            <w:hideMark/>
          </w:tcPr>
          <w:p w14:paraId="350158F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(368,194)</w:t>
            </w:r>
          </w:p>
        </w:tc>
        <w:tc>
          <w:tcPr>
            <w:tcW w:w="987" w:type="dxa"/>
            <w:tcBorders>
              <w:top w:val="nil"/>
              <w:left w:val="nil"/>
              <w:bottom w:val="single" w:sz="4" w:space="0" w:color="000000"/>
              <w:right w:val="single" w:sz="4" w:space="0" w:color="000000"/>
            </w:tcBorders>
            <w:noWrap/>
            <w:vAlign w:val="bottom"/>
            <w:hideMark/>
          </w:tcPr>
          <w:p w14:paraId="0FBE384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(355,159)</w:t>
            </w:r>
          </w:p>
        </w:tc>
        <w:tc>
          <w:tcPr>
            <w:tcW w:w="987" w:type="dxa"/>
            <w:tcBorders>
              <w:top w:val="nil"/>
              <w:left w:val="nil"/>
              <w:bottom w:val="single" w:sz="4" w:space="0" w:color="000000"/>
              <w:right w:val="single" w:sz="4" w:space="0" w:color="000000"/>
            </w:tcBorders>
            <w:noWrap/>
            <w:vAlign w:val="bottom"/>
            <w:hideMark/>
          </w:tcPr>
          <w:p w14:paraId="0F82832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(295,495)</w:t>
            </w:r>
          </w:p>
        </w:tc>
        <w:tc>
          <w:tcPr>
            <w:tcW w:w="204" w:type="dxa"/>
            <w:tcBorders>
              <w:top w:val="nil"/>
              <w:left w:val="nil"/>
              <w:bottom w:val="nil"/>
              <w:right w:val="nil"/>
            </w:tcBorders>
            <w:noWrap/>
            <w:vAlign w:val="bottom"/>
            <w:hideMark/>
          </w:tcPr>
          <w:p w14:paraId="1CEECE02"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4165EA82"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15888D6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Accumulated other comprehensive income (loss)</w:t>
            </w:r>
          </w:p>
        </w:tc>
        <w:tc>
          <w:tcPr>
            <w:tcW w:w="987" w:type="dxa"/>
            <w:tcBorders>
              <w:top w:val="nil"/>
              <w:left w:val="nil"/>
              <w:bottom w:val="single" w:sz="4" w:space="0" w:color="000000"/>
              <w:right w:val="single" w:sz="4" w:space="0" w:color="000000"/>
            </w:tcBorders>
            <w:noWrap/>
            <w:vAlign w:val="bottom"/>
            <w:hideMark/>
          </w:tcPr>
          <w:p w14:paraId="32A4508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(28,350)</w:t>
            </w:r>
          </w:p>
        </w:tc>
        <w:tc>
          <w:tcPr>
            <w:tcW w:w="987" w:type="dxa"/>
            <w:tcBorders>
              <w:top w:val="nil"/>
              <w:left w:val="nil"/>
              <w:bottom w:val="single" w:sz="4" w:space="0" w:color="000000"/>
              <w:right w:val="single" w:sz="4" w:space="0" w:color="000000"/>
            </w:tcBorders>
            <w:noWrap/>
            <w:vAlign w:val="bottom"/>
            <w:hideMark/>
          </w:tcPr>
          <w:p w14:paraId="64B2FF4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(20,758)</w:t>
            </w:r>
          </w:p>
        </w:tc>
        <w:tc>
          <w:tcPr>
            <w:tcW w:w="987" w:type="dxa"/>
            <w:tcBorders>
              <w:top w:val="nil"/>
              <w:left w:val="nil"/>
              <w:bottom w:val="single" w:sz="4" w:space="0" w:color="000000"/>
              <w:right w:val="single" w:sz="4" w:space="0" w:color="000000"/>
            </w:tcBorders>
            <w:noWrap/>
            <w:vAlign w:val="bottom"/>
            <w:hideMark/>
          </w:tcPr>
          <w:p w14:paraId="41F8EAC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(21,187)</w:t>
            </w:r>
          </w:p>
        </w:tc>
        <w:tc>
          <w:tcPr>
            <w:tcW w:w="987" w:type="dxa"/>
            <w:tcBorders>
              <w:top w:val="nil"/>
              <w:left w:val="nil"/>
              <w:bottom w:val="single" w:sz="4" w:space="0" w:color="000000"/>
              <w:right w:val="single" w:sz="4" w:space="0" w:color="000000"/>
            </w:tcBorders>
            <w:noWrap/>
            <w:vAlign w:val="bottom"/>
            <w:hideMark/>
          </w:tcPr>
          <w:p w14:paraId="05541B9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(13,524)</w:t>
            </w:r>
          </w:p>
        </w:tc>
        <w:tc>
          <w:tcPr>
            <w:tcW w:w="987" w:type="dxa"/>
            <w:tcBorders>
              <w:top w:val="nil"/>
              <w:left w:val="nil"/>
              <w:bottom w:val="single" w:sz="4" w:space="0" w:color="000000"/>
              <w:right w:val="single" w:sz="4" w:space="0" w:color="000000"/>
            </w:tcBorders>
            <w:noWrap/>
            <w:vAlign w:val="bottom"/>
            <w:hideMark/>
          </w:tcPr>
          <w:p w14:paraId="06B3C31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(18,522)</w:t>
            </w:r>
          </w:p>
        </w:tc>
        <w:tc>
          <w:tcPr>
            <w:tcW w:w="204" w:type="dxa"/>
            <w:tcBorders>
              <w:top w:val="nil"/>
              <w:left w:val="nil"/>
              <w:bottom w:val="nil"/>
              <w:right w:val="nil"/>
            </w:tcBorders>
            <w:noWrap/>
            <w:vAlign w:val="bottom"/>
            <w:hideMark/>
          </w:tcPr>
          <w:p w14:paraId="394FB1D4"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CD99E30"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7DE2448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Retained earnings</w:t>
            </w:r>
          </w:p>
        </w:tc>
        <w:tc>
          <w:tcPr>
            <w:tcW w:w="987" w:type="dxa"/>
            <w:tcBorders>
              <w:top w:val="nil"/>
              <w:left w:val="nil"/>
              <w:bottom w:val="single" w:sz="4" w:space="0" w:color="000000"/>
              <w:right w:val="single" w:sz="4" w:space="0" w:color="000000"/>
            </w:tcBorders>
            <w:noWrap/>
            <w:vAlign w:val="bottom"/>
            <w:hideMark/>
          </w:tcPr>
          <w:p w14:paraId="6C6CF8C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208,431</w:t>
            </w:r>
          </w:p>
        </w:tc>
        <w:tc>
          <w:tcPr>
            <w:tcW w:w="987" w:type="dxa"/>
            <w:tcBorders>
              <w:top w:val="nil"/>
              <w:left w:val="nil"/>
              <w:bottom w:val="single" w:sz="4" w:space="0" w:color="000000"/>
              <w:right w:val="single" w:sz="4" w:space="0" w:color="000000"/>
            </w:tcBorders>
            <w:noWrap/>
            <w:vAlign w:val="bottom"/>
            <w:hideMark/>
          </w:tcPr>
          <w:p w14:paraId="2B914B4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232,460</w:t>
            </w:r>
          </w:p>
        </w:tc>
        <w:tc>
          <w:tcPr>
            <w:tcW w:w="987" w:type="dxa"/>
            <w:tcBorders>
              <w:top w:val="nil"/>
              <w:left w:val="nil"/>
              <w:bottom w:val="single" w:sz="4" w:space="0" w:color="000000"/>
              <w:right w:val="single" w:sz="4" w:space="0" w:color="000000"/>
            </w:tcBorders>
            <w:noWrap/>
            <w:vAlign w:val="bottom"/>
            <w:hideMark/>
          </w:tcPr>
          <w:p w14:paraId="0002B4C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330,698</w:t>
            </w:r>
          </w:p>
        </w:tc>
        <w:tc>
          <w:tcPr>
            <w:tcW w:w="987" w:type="dxa"/>
            <w:tcBorders>
              <w:top w:val="nil"/>
              <w:left w:val="nil"/>
              <w:bottom w:val="single" w:sz="4" w:space="0" w:color="000000"/>
              <w:right w:val="single" w:sz="4" w:space="0" w:color="000000"/>
            </w:tcBorders>
            <w:noWrap/>
            <w:vAlign w:val="bottom"/>
            <w:hideMark/>
          </w:tcPr>
          <w:p w14:paraId="02DEB83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330,291</w:t>
            </w:r>
          </w:p>
        </w:tc>
        <w:tc>
          <w:tcPr>
            <w:tcW w:w="987" w:type="dxa"/>
            <w:tcBorders>
              <w:top w:val="nil"/>
              <w:left w:val="nil"/>
              <w:bottom w:val="single" w:sz="4" w:space="0" w:color="000000"/>
              <w:right w:val="single" w:sz="4" w:space="0" w:color="000000"/>
            </w:tcBorders>
            <w:noWrap/>
            <w:vAlign w:val="bottom"/>
            <w:hideMark/>
          </w:tcPr>
          <w:p w14:paraId="354D37F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324,990</w:t>
            </w:r>
          </w:p>
        </w:tc>
        <w:tc>
          <w:tcPr>
            <w:tcW w:w="204" w:type="dxa"/>
            <w:tcBorders>
              <w:top w:val="nil"/>
              <w:left w:val="nil"/>
              <w:bottom w:val="nil"/>
              <w:right w:val="nil"/>
            </w:tcBorders>
            <w:noWrap/>
            <w:vAlign w:val="bottom"/>
            <w:hideMark/>
          </w:tcPr>
          <w:p w14:paraId="6E682829"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117DD720"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396637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Total shareholders' equity</w:t>
            </w:r>
          </w:p>
        </w:tc>
        <w:tc>
          <w:tcPr>
            <w:tcW w:w="987" w:type="dxa"/>
            <w:tcBorders>
              <w:top w:val="nil"/>
              <w:left w:val="nil"/>
              <w:bottom w:val="single" w:sz="4" w:space="0" w:color="000000"/>
              <w:right w:val="single" w:sz="4" w:space="0" w:color="000000"/>
            </w:tcBorders>
            <w:noWrap/>
            <w:vAlign w:val="bottom"/>
            <w:hideMark/>
          </w:tcPr>
          <w:p w14:paraId="2B739A4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153,105</w:t>
            </w:r>
          </w:p>
        </w:tc>
        <w:tc>
          <w:tcPr>
            <w:tcW w:w="987" w:type="dxa"/>
            <w:tcBorders>
              <w:top w:val="nil"/>
              <w:left w:val="nil"/>
              <w:bottom w:val="single" w:sz="4" w:space="0" w:color="000000"/>
              <w:right w:val="single" w:sz="4" w:space="0" w:color="000000"/>
            </w:tcBorders>
            <w:noWrap/>
            <w:vAlign w:val="bottom"/>
            <w:hideMark/>
          </w:tcPr>
          <w:p w14:paraId="0CF1CCB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178,920</w:t>
            </w:r>
          </w:p>
        </w:tc>
        <w:tc>
          <w:tcPr>
            <w:tcW w:w="987" w:type="dxa"/>
            <w:tcBorders>
              <w:top w:val="nil"/>
              <w:left w:val="nil"/>
              <w:bottom w:val="single" w:sz="4" w:space="0" w:color="000000"/>
              <w:right w:val="single" w:sz="4" w:space="0" w:color="000000"/>
            </w:tcBorders>
            <w:noWrap/>
            <w:vAlign w:val="bottom"/>
            <w:hideMark/>
          </w:tcPr>
          <w:p w14:paraId="334844A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268,406</w:t>
            </w:r>
          </w:p>
        </w:tc>
        <w:tc>
          <w:tcPr>
            <w:tcW w:w="987" w:type="dxa"/>
            <w:tcBorders>
              <w:top w:val="nil"/>
              <w:left w:val="nil"/>
              <w:bottom w:val="single" w:sz="4" w:space="0" w:color="000000"/>
              <w:right w:val="single" w:sz="4" w:space="0" w:color="000000"/>
            </w:tcBorders>
            <w:noWrap/>
            <w:vAlign w:val="bottom"/>
            <w:hideMark/>
          </w:tcPr>
          <w:p w14:paraId="767F8EC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275,949</w:t>
            </w:r>
          </w:p>
        </w:tc>
        <w:tc>
          <w:tcPr>
            <w:tcW w:w="987" w:type="dxa"/>
            <w:tcBorders>
              <w:top w:val="nil"/>
              <w:left w:val="nil"/>
              <w:bottom w:val="single" w:sz="4" w:space="0" w:color="000000"/>
              <w:right w:val="single" w:sz="4" w:space="0" w:color="000000"/>
            </w:tcBorders>
            <w:noWrap/>
            <w:vAlign w:val="bottom"/>
            <w:hideMark/>
          </w:tcPr>
          <w:p w14:paraId="1694E0F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313,301</w:t>
            </w:r>
          </w:p>
        </w:tc>
        <w:tc>
          <w:tcPr>
            <w:tcW w:w="204" w:type="dxa"/>
            <w:tcBorders>
              <w:top w:val="nil"/>
              <w:left w:val="nil"/>
              <w:bottom w:val="nil"/>
              <w:right w:val="nil"/>
            </w:tcBorders>
            <w:noWrap/>
            <w:vAlign w:val="bottom"/>
            <w:hideMark/>
          </w:tcPr>
          <w:p w14:paraId="6886ABE8"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C6358C5"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23B2930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Total liabilities and equity</w:t>
            </w:r>
          </w:p>
        </w:tc>
        <w:tc>
          <w:tcPr>
            <w:tcW w:w="987" w:type="dxa"/>
            <w:tcBorders>
              <w:top w:val="nil"/>
              <w:left w:val="nil"/>
              <w:bottom w:val="single" w:sz="4" w:space="0" w:color="000000"/>
              <w:right w:val="single" w:sz="4" w:space="0" w:color="000000"/>
            </w:tcBorders>
            <w:noWrap/>
            <w:vAlign w:val="bottom"/>
            <w:hideMark/>
          </w:tcPr>
          <w:p w14:paraId="14C0754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323,354</w:t>
            </w:r>
          </w:p>
        </w:tc>
        <w:tc>
          <w:tcPr>
            <w:tcW w:w="987" w:type="dxa"/>
            <w:tcBorders>
              <w:top w:val="nil"/>
              <w:left w:val="nil"/>
              <w:bottom w:val="single" w:sz="4" w:space="0" w:color="000000"/>
              <w:right w:val="single" w:sz="4" w:space="0" w:color="000000"/>
            </w:tcBorders>
            <w:noWrap/>
            <w:vAlign w:val="bottom"/>
            <w:hideMark/>
          </w:tcPr>
          <w:p w14:paraId="365FDB9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355,872</w:t>
            </w:r>
          </w:p>
        </w:tc>
        <w:tc>
          <w:tcPr>
            <w:tcW w:w="987" w:type="dxa"/>
            <w:tcBorders>
              <w:top w:val="nil"/>
              <w:left w:val="nil"/>
              <w:bottom w:val="single" w:sz="4" w:space="0" w:color="000000"/>
              <w:right w:val="single" w:sz="4" w:space="0" w:color="000000"/>
            </w:tcBorders>
            <w:noWrap/>
            <w:vAlign w:val="bottom"/>
            <w:hideMark/>
          </w:tcPr>
          <w:p w14:paraId="16771B0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504,163</w:t>
            </w:r>
          </w:p>
        </w:tc>
        <w:tc>
          <w:tcPr>
            <w:tcW w:w="987" w:type="dxa"/>
            <w:tcBorders>
              <w:top w:val="nil"/>
              <w:left w:val="nil"/>
              <w:bottom w:val="single" w:sz="4" w:space="0" w:color="000000"/>
              <w:right w:val="single" w:sz="4" w:space="0" w:color="000000"/>
            </w:tcBorders>
            <w:noWrap/>
            <w:vAlign w:val="bottom"/>
            <w:hideMark/>
          </w:tcPr>
          <w:p w14:paraId="72557F3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510,348</w:t>
            </w:r>
          </w:p>
        </w:tc>
        <w:tc>
          <w:tcPr>
            <w:tcW w:w="987" w:type="dxa"/>
            <w:tcBorders>
              <w:top w:val="nil"/>
              <w:left w:val="nil"/>
              <w:bottom w:val="single" w:sz="4" w:space="0" w:color="000000"/>
              <w:right w:val="single" w:sz="4" w:space="0" w:color="000000"/>
            </w:tcBorders>
            <w:noWrap/>
            <w:vAlign w:val="bottom"/>
            <w:hideMark/>
          </w:tcPr>
          <w:p w14:paraId="54FF25D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510,290</w:t>
            </w:r>
          </w:p>
        </w:tc>
        <w:tc>
          <w:tcPr>
            <w:tcW w:w="204" w:type="dxa"/>
            <w:tcBorders>
              <w:top w:val="nil"/>
              <w:left w:val="nil"/>
              <w:bottom w:val="nil"/>
              <w:right w:val="nil"/>
            </w:tcBorders>
            <w:noWrap/>
            <w:vAlign w:val="bottom"/>
            <w:hideMark/>
          </w:tcPr>
          <w:p w14:paraId="5B5CA644"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7845449A" w14:textId="77777777" w:rsidTr="009558E3">
        <w:trPr>
          <w:trHeight w:val="264"/>
        </w:trPr>
        <w:tc>
          <w:tcPr>
            <w:tcW w:w="4923" w:type="dxa"/>
            <w:tcBorders>
              <w:top w:val="nil"/>
              <w:left w:val="nil"/>
              <w:bottom w:val="nil"/>
              <w:right w:val="nil"/>
            </w:tcBorders>
            <w:noWrap/>
            <w:vAlign w:val="bottom"/>
            <w:hideMark/>
          </w:tcPr>
          <w:p w14:paraId="5A513DC7"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79BBEEAE"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39C07EED"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28D20B5D"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1D0AAA48"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3D33482D"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204" w:type="dxa"/>
            <w:tcBorders>
              <w:top w:val="nil"/>
              <w:left w:val="nil"/>
              <w:bottom w:val="nil"/>
              <w:right w:val="nil"/>
            </w:tcBorders>
            <w:noWrap/>
            <w:vAlign w:val="bottom"/>
            <w:hideMark/>
          </w:tcPr>
          <w:p w14:paraId="7364ACC7"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r>
      <w:tr w:rsidR="006B51A1" w:rsidRPr="006B51A1" w14:paraId="1EA837F8" w14:textId="77777777" w:rsidTr="009558E3">
        <w:trPr>
          <w:trHeight w:val="264"/>
        </w:trPr>
        <w:tc>
          <w:tcPr>
            <w:tcW w:w="10063" w:type="dxa"/>
            <w:gridSpan w:val="7"/>
            <w:tcBorders>
              <w:top w:val="nil"/>
              <w:left w:val="nil"/>
              <w:bottom w:val="nil"/>
              <w:right w:val="nil"/>
            </w:tcBorders>
            <w:noWrap/>
            <w:vAlign w:val="center"/>
            <w:hideMark/>
          </w:tcPr>
          <w:p w14:paraId="1465C0F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Consolidated Cash Flow Statement (£m)</w:t>
            </w:r>
          </w:p>
        </w:tc>
      </w:tr>
      <w:tr w:rsidR="006B51A1" w:rsidRPr="006B51A1" w14:paraId="64B9D763" w14:textId="77777777" w:rsidTr="009558E3">
        <w:trPr>
          <w:trHeight w:val="264"/>
        </w:trPr>
        <w:tc>
          <w:tcPr>
            <w:tcW w:w="4923" w:type="dxa"/>
            <w:tcBorders>
              <w:top w:val="single" w:sz="4" w:space="0" w:color="000000"/>
              <w:left w:val="single" w:sz="4" w:space="0" w:color="000000"/>
              <w:bottom w:val="single" w:sz="4" w:space="0" w:color="000000"/>
              <w:right w:val="single" w:sz="4" w:space="0" w:color="000000"/>
            </w:tcBorders>
            <w:noWrap/>
            <w:vAlign w:val="bottom"/>
            <w:hideMark/>
          </w:tcPr>
          <w:p w14:paraId="3677EB1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Line item</w:t>
            </w:r>
          </w:p>
        </w:tc>
        <w:tc>
          <w:tcPr>
            <w:tcW w:w="987" w:type="dxa"/>
            <w:tcBorders>
              <w:top w:val="single" w:sz="4" w:space="0" w:color="000000"/>
              <w:left w:val="nil"/>
              <w:bottom w:val="single" w:sz="4" w:space="0" w:color="000000"/>
              <w:right w:val="single" w:sz="4" w:space="0" w:color="000000"/>
            </w:tcBorders>
            <w:noWrap/>
            <w:vAlign w:val="center"/>
            <w:hideMark/>
          </w:tcPr>
          <w:p w14:paraId="31822AC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2024</w:t>
            </w:r>
          </w:p>
        </w:tc>
        <w:tc>
          <w:tcPr>
            <w:tcW w:w="987" w:type="dxa"/>
            <w:tcBorders>
              <w:top w:val="single" w:sz="4" w:space="0" w:color="000000"/>
              <w:left w:val="nil"/>
              <w:bottom w:val="single" w:sz="4" w:space="0" w:color="000000"/>
              <w:right w:val="single" w:sz="4" w:space="0" w:color="000000"/>
            </w:tcBorders>
            <w:noWrap/>
            <w:vAlign w:val="center"/>
            <w:hideMark/>
          </w:tcPr>
          <w:p w14:paraId="69AF8C8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2023</w:t>
            </w:r>
          </w:p>
        </w:tc>
        <w:tc>
          <w:tcPr>
            <w:tcW w:w="987" w:type="dxa"/>
            <w:tcBorders>
              <w:top w:val="single" w:sz="4" w:space="0" w:color="000000"/>
              <w:left w:val="nil"/>
              <w:bottom w:val="single" w:sz="4" w:space="0" w:color="000000"/>
              <w:right w:val="single" w:sz="4" w:space="0" w:color="000000"/>
            </w:tcBorders>
            <w:noWrap/>
            <w:vAlign w:val="center"/>
            <w:hideMark/>
          </w:tcPr>
          <w:p w14:paraId="0EADE88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2022</w:t>
            </w:r>
          </w:p>
        </w:tc>
        <w:tc>
          <w:tcPr>
            <w:tcW w:w="987" w:type="dxa"/>
            <w:tcBorders>
              <w:top w:val="single" w:sz="4" w:space="0" w:color="000000"/>
              <w:left w:val="nil"/>
              <w:bottom w:val="single" w:sz="4" w:space="0" w:color="000000"/>
              <w:right w:val="single" w:sz="4" w:space="0" w:color="000000"/>
            </w:tcBorders>
            <w:noWrap/>
            <w:vAlign w:val="center"/>
            <w:hideMark/>
          </w:tcPr>
          <w:p w14:paraId="40BEA80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2021</w:t>
            </w:r>
          </w:p>
        </w:tc>
        <w:tc>
          <w:tcPr>
            <w:tcW w:w="987" w:type="dxa"/>
            <w:tcBorders>
              <w:top w:val="single" w:sz="4" w:space="0" w:color="000000"/>
              <w:left w:val="nil"/>
              <w:bottom w:val="single" w:sz="4" w:space="0" w:color="000000"/>
              <w:right w:val="single" w:sz="4" w:space="0" w:color="000000"/>
            </w:tcBorders>
            <w:noWrap/>
            <w:vAlign w:val="center"/>
            <w:hideMark/>
          </w:tcPr>
          <w:p w14:paraId="6D413A0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2020</w:t>
            </w:r>
          </w:p>
        </w:tc>
        <w:tc>
          <w:tcPr>
            <w:tcW w:w="204" w:type="dxa"/>
            <w:tcBorders>
              <w:top w:val="nil"/>
              <w:left w:val="nil"/>
              <w:bottom w:val="nil"/>
              <w:right w:val="nil"/>
            </w:tcBorders>
            <w:noWrap/>
            <w:vAlign w:val="bottom"/>
            <w:hideMark/>
          </w:tcPr>
          <w:p w14:paraId="7A5D34A7"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A60EC28"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888E06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Net income (loss)</w:t>
            </w:r>
          </w:p>
        </w:tc>
        <w:tc>
          <w:tcPr>
            <w:tcW w:w="987" w:type="dxa"/>
            <w:tcBorders>
              <w:top w:val="nil"/>
              <w:left w:val="nil"/>
              <w:bottom w:val="single" w:sz="4" w:space="0" w:color="000000"/>
              <w:right w:val="single" w:sz="4" w:space="0" w:color="000000"/>
            </w:tcBorders>
            <w:noWrap/>
            <w:vAlign w:val="bottom"/>
            <w:hideMark/>
          </w:tcPr>
          <w:p w14:paraId="4614ED4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(24,029)</w:t>
            </w:r>
          </w:p>
        </w:tc>
        <w:tc>
          <w:tcPr>
            <w:tcW w:w="987" w:type="dxa"/>
            <w:tcBorders>
              <w:top w:val="nil"/>
              <w:left w:val="nil"/>
              <w:bottom w:val="single" w:sz="4" w:space="0" w:color="000000"/>
              <w:right w:val="single" w:sz="4" w:space="0" w:color="000000"/>
            </w:tcBorders>
            <w:noWrap/>
            <w:vAlign w:val="bottom"/>
            <w:hideMark/>
          </w:tcPr>
          <w:p w14:paraId="2BDEFF2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(98,238)</w:t>
            </w:r>
          </w:p>
        </w:tc>
        <w:tc>
          <w:tcPr>
            <w:tcW w:w="987" w:type="dxa"/>
            <w:tcBorders>
              <w:top w:val="nil"/>
              <w:left w:val="nil"/>
              <w:bottom w:val="single" w:sz="4" w:space="0" w:color="000000"/>
              <w:right w:val="single" w:sz="4" w:space="0" w:color="000000"/>
            </w:tcBorders>
            <w:noWrap/>
            <w:vAlign w:val="bottom"/>
            <w:hideMark/>
          </w:tcPr>
          <w:p w14:paraId="24EE5C0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407</w:t>
            </w:r>
          </w:p>
        </w:tc>
        <w:tc>
          <w:tcPr>
            <w:tcW w:w="987" w:type="dxa"/>
            <w:tcBorders>
              <w:top w:val="nil"/>
              <w:left w:val="nil"/>
              <w:bottom w:val="single" w:sz="4" w:space="0" w:color="000000"/>
              <w:right w:val="single" w:sz="4" w:space="0" w:color="000000"/>
            </w:tcBorders>
            <w:noWrap/>
            <w:vAlign w:val="bottom"/>
            <w:hideMark/>
          </w:tcPr>
          <w:p w14:paraId="674D0D2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5,301</w:t>
            </w:r>
          </w:p>
        </w:tc>
        <w:tc>
          <w:tcPr>
            <w:tcW w:w="987" w:type="dxa"/>
            <w:tcBorders>
              <w:top w:val="nil"/>
              <w:left w:val="nil"/>
              <w:bottom w:val="single" w:sz="4" w:space="0" w:color="000000"/>
              <w:right w:val="single" w:sz="4" w:space="0" w:color="000000"/>
            </w:tcBorders>
            <w:noWrap/>
            <w:vAlign w:val="bottom"/>
            <w:hideMark/>
          </w:tcPr>
          <w:p w14:paraId="11FE42C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38,572</w:t>
            </w:r>
          </w:p>
        </w:tc>
        <w:tc>
          <w:tcPr>
            <w:tcW w:w="204" w:type="dxa"/>
            <w:tcBorders>
              <w:top w:val="nil"/>
              <w:left w:val="nil"/>
              <w:bottom w:val="nil"/>
              <w:right w:val="nil"/>
            </w:tcBorders>
            <w:noWrap/>
            <w:vAlign w:val="bottom"/>
            <w:hideMark/>
          </w:tcPr>
          <w:p w14:paraId="625462D8"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7A0A605B"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5350A5C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Depreciation and amortization</w:t>
            </w:r>
          </w:p>
        </w:tc>
        <w:tc>
          <w:tcPr>
            <w:tcW w:w="987" w:type="dxa"/>
            <w:tcBorders>
              <w:top w:val="nil"/>
              <w:left w:val="nil"/>
              <w:bottom w:val="single" w:sz="4" w:space="0" w:color="000000"/>
              <w:right w:val="single" w:sz="4" w:space="0" w:color="000000"/>
            </w:tcBorders>
            <w:noWrap/>
            <w:vAlign w:val="bottom"/>
            <w:hideMark/>
          </w:tcPr>
          <w:p w14:paraId="57F3B42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18,058</w:t>
            </w:r>
          </w:p>
        </w:tc>
        <w:tc>
          <w:tcPr>
            <w:tcW w:w="987" w:type="dxa"/>
            <w:tcBorders>
              <w:top w:val="nil"/>
              <w:left w:val="nil"/>
              <w:bottom w:val="single" w:sz="4" w:space="0" w:color="000000"/>
              <w:right w:val="single" w:sz="4" w:space="0" w:color="000000"/>
            </w:tcBorders>
            <w:noWrap/>
            <w:vAlign w:val="bottom"/>
            <w:hideMark/>
          </w:tcPr>
          <w:p w14:paraId="3B54251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22,927</w:t>
            </w:r>
          </w:p>
        </w:tc>
        <w:tc>
          <w:tcPr>
            <w:tcW w:w="987" w:type="dxa"/>
            <w:tcBorders>
              <w:top w:val="nil"/>
              <w:left w:val="nil"/>
              <w:bottom w:val="single" w:sz="4" w:space="0" w:color="000000"/>
              <w:right w:val="single" w:sz="4" w:space="0" w:color="000000"/>
            </w:tcBorders>
            <w:noWrap/>
            <w:vAlign w:val="bottom"/>
            <w:hideMark/>
          </w:tcPr>
          <w:p w14:paraId="2620088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24,033</w:t>
            </w:r>
          </w:p>
        </w:tc>
        <w:tc>
          <w:tcPr>
            <w:tcW w:w="987" w:type="dxa"/>
            <w:tcBorders>
              <w:top w:val="nil"/>
              <w:left w:val="nil"/>
              <w:bottom w:val="single" w:sz="4" w:space="0" w:color="000000"/>
              <w:right w:val="single" w:sz="4" w:space="0" w:color="000000"/>
            </w:tcBorders>
            <w:noWrap/>
            <w:vAlign w:val="bottom"/>
            <w:hideMark/>
          </w:tcPr>
          <w:p w14:paraId="35F2D6D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26,747</w:t>
            </w:r>
          </w:p>
        </w:tc>
        <w:tc>
          <w:tcPr>
            <w:tcW w:w="987" w:type="dxa"/>
            <w:tcBorders>
              <w:top w:val="nil"/>
              <w:left w:val="nil"/>
              <w:bottom w:val="single" w:sz="4" w:space="0" w:color="000000"/>
              <w:right w:val="single" w:sz="4" w:space="0" w:color="000000"/>
            </w:tcBorders>
            <w:noWrap/>
            <w:vAlign w:val="bottom"/>
            <w:hideMark/>
          </w:tcPr>
          <w:p w14:paraId="4029B74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29,735</w:t>
            </w:r>
          </w:p>
        </w:tc>
        <w:tc>
          <w:tcPr>
            <w:tcW w:w="204" w:type="dxa"/>
            <w:tcBorders>
              <w:top w:val="nil"/>
              <w:left w:val="nil"/>
              <w:bottom w:val="nil"/>
              <w:right w:val="nil"/>
            </w:tcBorders>
            <w:noWrap/>
            <w:vAlign w:val="bottom"/>
            <w:hideMark/>
          </w:tcPr>
          <w:p w14:paraId="1B67D95C"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4CA0C65D"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7B1F7D4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Provision for credit losses</w:t>
            </w:r>
          </w:p>
        </w:tc>
        <w:tc>
          <w:tcPr>
            <w:tcW w:w="987" w:type="dxa"/>
            <w:tcBorders>
              <w:top w:val="nil"/>
              <w:left w:val="nil"/>
              <w:bottom w:val="single" w:sz="4" w:space="0" w:color="000000"/>
              <w:right w:val="single" w:sz="4" w:space="0" w:color="000000"/>
            </w:tcBorders>
            <w:noWrap/>
            <w:vAlign w:val="bottom"/>
            <w:hideMark/>
          </w:tcPr>
          <w:p w14:paraId="02157D7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1,081</w:t>
            </w:r>
          </w:p>
        </w:tc>
        <w:tc>
          <w:tcPr>
            <w:tcW w:w="987" w:type="dxa"/>
            <w:tcBorders>
              <w:top w:val="nil"/>
              <w:left w:val="nil"/>
              <w:bottom w:val="single" w:sz="4" w:space="0" w:color="000000"/>
              <w:right w:val="single" w:sz="4" w:space="0" w:color="000000"/>
            </w:tcBorders>
            <w:noWrap/>
            <w:vAlign w:val="bottom"/>
            <w:hideMark/>
          </w:tcPr>
          <w:p w14:paraId="0D79DC2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70</w:t>
            </w:r>
          </w:p>
        </w:tc>
        <w:tc>
          <w:tcPr>
            <w:tcW w:w="987" w:type="dxa"/>
            <w:tcBorders>
              <w:top w:val="nil"/>
              <w:left w:val="nil"/>
              <w:bottom w:val="single" w:sz="4" w:space="0" w:color="000000"/>
              <w:right w:val="single" w:sz="4" w:space="0" w:color="000000"/>
            </w:tcBorders>
            <w:noWrap/>
            <w:vAlign w:val="bottom"/>
            <w:hideMark/>
          </w:tcPr>
          <w:p w14:paraId="17005D7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(182)</w:t>
            </w:r>
          </w:p>
        </w:tc>
        <w:tc>
          <w:tcPr>
            <w:tcW w:w="987" w:type="dxa"/>
            <w:tcBorders>
              <w:top w:val="nil"/>
              <w:left w:val="nil"/>
              <w:bottom w:val="single" w:sz="4" w:space="0" w:color="000000"/>
              <w:right w:val="single" w:sz="4" w:space="0" w:color="000000"/>
            </w:tcBorders>
            <w:noWrap/>
            <w:vAlign w:val="bottom"/>
            <w:hideMark/>
          </w:tcPr>
          <w:p w14:paraId="040DF0F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332</w:t>
            </w:r>
          </w:p>
        </w:tc>
        <w:tc>
          <w:tcPr>
            <w:tcW w:w="987" w:type="dxa"/>
            <w:tcBorders>
              <w:top w:val="nil"/>
              <w:left w:val="nil"/>
              <w:bottom w:val="single" w:sz="4" w:space="0" w:color="000000"/>
              <w:right w:val="single" w:sz="4" w:space="0" w:color="000000"/>
            </w:tcBorders>
            <w:noWrap/>
            <w:vAlign w:val="bottom"/>
            <w:hideMark/>
          </w:tcPr>
          <w:p w14:paraId="25E2656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204" w:type="dxa"/>
            <w:tcBorders>
              <w:top w:val="nil"/>
              <w:left w:val="nil"/>
              <w:bottom w:val="nil"/>
              <w:right w:val="nil"/>
            </w:tcBorders>
            <w:noWrap/>
            <w:vAlign w:val="bottom"/>
            <w:hideMark/>
          </w:tcPr>
          <w:p w14:paraId="79585423"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165603BC"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EE6BD2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Deferred income taxes</w:t>
            </w:r>
          </w:p>
        </w:tc>
        <w:tc>
          <w:tcPr>
            <w:tcW w:w="987" w:type="dxa"/>
            <w:tcBorders>
              <w:top w:val="nil"/>
              <w:left w:val="nil"/>
              <w:bottom w:val="single" w:sz="4" w:space="0" w:color="000000"/>
              <w:right w:val="single" w:sz="4" w:space="0" w:color="000000"/>
            </w:tcBorders>
            <w:noWrap/>
            <w:vAlign w:val="bottom"/>
            <w:hideMark/>
          </w:tcPr>
          <w:p w14:paraId="04F3FD3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(256)</w:t>
            </w:r>
          </w:p>
        </w:tc>
        <w:tc>
          <w:tcPr>
            <w:tcW w:w="987" w:type="dxa"/>
            <w:tcBorders>
              <w:top w:val="nil"/>
              <w:left w:val="nil"/>
              <w:bottom w:val="single" w:sz="4" w:space="0" w:color="000000"/>
              <w:right w:val="single" w:sz="4" w:space="0" w:color="000000"/>
            </w:tcBorders>
            <w:noWrap/>
            <w:vAlign w:val="bottom"/>
            <w:hideMark/>
          </w:tcPr>
          <w:p w14:paraId="1F46756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(1,149)</w:t>
            </w:r>
          </w:p>
        </w:tc>
        <w:tc>
          <w:tcPr>
            <w:tcW w:w="987" w:type="dxa"/>
            <w:tcBorders>
              <w:top w:val="nil"/>
              <w:left w:val="nil"/>
              <w:bottom w:val="single" w:sz="4" w:space="0" w:color="000000"/>
              <w:right w:val="single" w:sz="4" w:space="0" w:color="000000"/>
            </w:tcBorders>
            <w:noWrap/>
            <w:vAlign w:val="bottom"/>
            <w:hideMark/>
          </w:tcPr>
          <w:p w14:paraId="6D1300B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1,377</w:t>
            </w:r>
          </w:p>
        </w:tc>
        <w:tc>
          <w:tcPr>
            <w:tcW w:w="987" w:type="dxa"/>
            <w:tcBorders>
              <w:top w:val="nil"/>
              <w:left w:val="nil"/>
              <w:bottom w:val="single" w:sz="4" w:space="0" w:color="000000"/>
              <w:right w:val="single" w:sz="4" w:space="0" w:color="000000"/>
            </w:tcBorders>
            <w:noWrap/>
            <w:vAlign w:val="bottom"/>
            <w:hideMark/>
          </w:tcPr>
          <w:p w14:paraId="0D0FD9A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(1,560)</w:t>
            </w:r>
          </w:p>
        </w:tc>
        <w:tc>
          <w:tcPr>
            <w:tcW w:w="987" w:type="dxa"/>
            <w:tcBorders>
              <w:top w:val="nil"/>
              <w:left w:val="nil"/>
              <w:bottom w:val="single" w:sz="4" w:space="0" w:color="000000"/>
              <w:right w:val="single" w:sz="4" w:space="0" w:color="000000"/>
            </w:tcBorders>
            <w:noWrap/>
            <w:vAlign w:val="bottom"/>
            <w:hideMark/>
          </w:tcPr>
          <w:p w14:paraId="341CCB4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(478)</w:t>
            </w:r>
          </w:p>
        </w:tc>
        <w:tc>
          <w:tcPr>
            <w:tcW w:w="204" w:type="dxa"/>
            <w:tcBorders>
              <w:top w:val="nil"/>
              <w:left w:val="nil"/>
              <w:bottom w:val="nil"/>
              <w:right w:val="nil"/>
            </w:tcBorders>
            <w:noWrap/>
            <w:vAlign w:val="bottom"/>
            <w:hideMark/>
          </w:tcPr>
          <w:p w14:paraId="4FAF622C"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3EB28CDD"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7CD9FD4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Shares issued for employee benefit plan</w:t>
            </w:r>
          </w:p>
        </w:tc>
        <w:tc>
          <w:tcPr>
            <w:tcW w:w="987" w:type="dxa"/>
            <w:tcBorders>
              <w:top w:val="nil"/>
              <w:left w:val="nil"/>
              <w:bottom w:val="single" w:sz="4" w:space="0" w:color="000000"/>
              <w:right w:val="single" w:sz="4" w:space="0" w:color="000000"/>
            </w:tcBorders>
            <w:noWrap/>
            <w:vAlign w:val="bottom"/>
            <w:hideMark/>
          </w:tcPr>
          <w:p w14:paraId="51D6F05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1,063</w:t>
            </w:r>
          </w:p>
        </w:tc>
        <w:tc>
          <w:tcPr>
            <w:tcW w:w="987" w:type="dxa"/>
            <w:tcBorders>
              <w:top w:val="nil"/>
              <w:left w:val="nil"/>
              <w:bottom w:val="single" w:sz="4" w:space="0" w:color="000000"/>
              <w:right w:val="single" w:sz="4" w:space="0" w:color="000000"/>
            </w:tcBorders>
            <w:noWrap/>
            <w:vAlign w:val="bottom"/>
            <w:hideMark/>
          </w:tcPr>
          <w:p w14:paraId="3DCF78E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1,293</w:t>
            </w:r>
          </w:p>
        </w:tc>
        <w:tc>
          <w:tcPr>
            <w:tcW w:w="987" w:type="dxa"/>
            <w:tcBorders>
              <w:top w:val="nil"/>
              <w:left w:val="nil"/>
              <w:bottom w:val="single" w:sz="4" w:space="0" w:color="000000"/>
              <w:right w:val="single" w:sz="4" w:space="0" w:color="000000"/>
            </w:tcBorders>
            <w:noWrap/>
            <w:vAlign w:val="bottom"/>
            <w:hideMark/>
          </w:tcPr>
          <w:p w14:paraId="5B5DDEF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1,199</w:t>
            </w:r>
          </w:p>
        </w:tc>
        <w:tc>
          <w:tcPr>
            <w:tcW w:w="987" w:type="dxa"/>
            <w:tcBorders>
              <w:top w:val="nil"/>
              <w:left w:val="nil"/>
              <w:bottom w:val="single" w:sz="4" w:space="0" w:color="000000"/>
              <w:right w:val="single" w:sz="4" w:space="0" w:color="000000"/>
            </w:tcBorders>
            <w:noWrap/>
            <w:vAlign w:val="bottom"/>
            <w:hideMark/>
          </w:tcPr>
          <w:p w14:paraId="3B400B5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1,092</w:t>
            </w:r>
          </w:p>
        </w:tc>
        <w:tc>
          <w:tcPr>
            <w:tcW w:w="987" w:type="dxa"/>
            <w:tcBorders>
              <w:top w:val="nil"/>
              <w:left w:val="nil"/>
              <w:bottom w:val="single" w:sz="4" w:space="0" w:color="000000"/>
              <w:right w:val="single" w:sz="4" w:space="0" w:color="000000"/>
            </w:tcBorders>
            <w:noWrap/>
            <w:vAlign w:val="bottom"/>
            <w:hideMark/>
          </w:tcPr>
          <w:p w14:paraId="22FFDF6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1,136</w:t>
            </w:r>
          </w:p>
        </w:tc>
        <w:tc>
          <w:tcPr>
            <w:tcW w:w="204" w:type="dxa"/>
            <w:tcBorders>
              <w:top w:val="nil"/>
              <w:left w:val="nil"/>
              <w:bottom w:val="nil"/>
              <w:right w:val="nil"/>
            </w:tcBorders>
            <w:noWrap/>
            <w:vAlign w:val="bottom"/>
            <w:hideMark/>
          </w:tcPr>
          <w:p w14:paraId="4D292663"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4600206B"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62D2DF8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Employee and director stock-based compensation</w:t>
            </w:r>
          </w:p>
        </w:tc>
        <w:tc>
          <w:tcPr>
            <w:tcW w:w="987" w:type="dxa"/>
            <w:tcBorders>
              <w:top w:val="nil"/>
              <w:left w:val="nil"/>
              <w:bottom w:val="single" w:sz="4" w:space="0" w:color="000000"/>
              <w:right w:val="single" w:sz="4" w:space="0" w:color="000000"/>
            </w:tcBorders>
            <w:noWrap/>
            <w:vAlign w:val="bottom"/>
            <w:hideMark/>
          </w:tcPr>
          <w:p w14:paraId="4ED58DA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6,700</w:t>
            </w:r>
          </w:p>
        </w:tc>
        <w:tc>
          <w:tcPr>
            <w:tcW w:w="987" w:type="dxa"/>
            <w:tcBorders>
              <w:top w:val="nil"/>
              <w:left w:val="nil"/>
              <w:bottom w:val="single" w:sz="4" w:space="0" w:color="000000"/>
              <w:right w:val="single" w:sz="4" w:space="0" w:color="000000"/>
            </w:tcBorders>
            <w:noWrap/>
            <w:vAlign w:val="bottom"/>
            <w:hideMark/>
          </w:tcPr>
          <w:p w14:paraId="71A7996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8,809</w:t>
            </w:r>
          </w:p>
        </w:tc>
        <w:tc>
          <w:tcPr>
            <w:tcW w:w="987" w:type="dxa"/>
            <w:tcBorders>
              <w:top w:val="nil"/>
              <w:left w:val="nil"/>
              <w:bottom w:val="single" w:sz="4" w:space="0" w:color="000000"/>
              <w:right w:val="single" w:sz="4" w:space="0" w:color="000000"/>
            </w:tcBorders>
            <w:noWrap/>
            <w:vAlign w:val="bottom"/>
            <w:hideMark/>
          </w:tcPr>
          <w:p w14:paraId="45B3FF0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10,013</w:t>
            </w:r>
          </w:p>
        </w:tc>
        <w:tc>
          <w:tcPr>
            <w:tcW w:w="987" w:type="dxa"/>
            <w:tcBorders>
              <w:top w:val="nil"/>
              <w:left w:val="nil"/>
              <w:bottom w:val="single" w:sz="4" w:space="0" w:color="000000"/>
              <w:right w:val="single" w:sz="4" w:space="0" w:color="000000"/>
            </w:tcBorders>
            <w:noWrap/>
            <w:vAlign w:val="bottom"/>
            <w:hideMark/>
          </w:tcPr>
          <w:p w14:paraId="254C3CE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9,969</w:t>
            </w:r>
          </w:p>
        </w:tc>
        <w:tc>
          <w:tcPr>
            <w:tcW w:w="987" w:type="dxa"/>
            <w:tcBorders>
              <w:top w:val="nil"/>
              <w:left w:val="nil"/>
              <w:bottom w:val="single" w:sz="4" w:space="0" w:color="000000"/>
              <w:right w:val="single" w:sz="4" w:space="0" w:color="000000"/>
            </w:tcBorders>
            <w:noWrap/>
            <w:vAlign w:val="bottom"/>
            <w:hideMark/>
          </w:tcPr>
          <w:p w14:paraId="78C9906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9,122</w:t>
            </w:r>
          </w:p>
        </w:tc>
        <w:tc>
          <w:tcPr>
            <w:tcW w:w="204" w:type="dxa"/>
            <w:tcBorders>
              <w:top w:val="nil"/>
              <w:left w:val="nil"/>
              <w:bottom w:val="nil"/>
              <w:right w:val="nil"/>
            </w:tcBorders>
            <w:noWrap/>
            <w:vAlign w:val="bottom"/>
            <w:hideMark/>
          </w:tcPr>
          <w:p w14:paraId="67B5D6D9"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1A3ECE7D"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DE87DB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Impairment of goodwill</w:t>
            </w:r>
          </w:p>
        </w:tc>
        <w:tc>
          <w:tcPr>
            <w:tcW w:w="987" w:type="dxa"/>
            <w:tcBorders>
              <w:top w:val="nil"/>
              <w:left w:val="nil"/>
              <w:bottom w:val="single" w:sz="4" w:space="0" w:color="000000"/>
              <w:right w:val="single" w:sz="4" w:space="0" w:color="000000"/>
            </w:tcBorders>
            <w:noWrap/>
            <w:vAlign w:val="bottom"/>
            <w:hideMark/>
          </w:tcPr>
          <w:p w14:paraId="2B2ABA7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49,075</w:t>
            </w:r>
          </w:p>
        </w:tc>
        <w:tc>
          <w:tcPr>
            <w:tcW w:w="987" w:type="dxa"/>
            <w:tcBorders>
              <w:top w:val="nil"/>
              <w:left w:val="nil"/>
              <w:bottom w:val="single" w:sz="4" w:space="0" w:color="000000"/>
              <w:right w:val="single" w:sz="4" w:space="0" w:color="000000"/>
            </w:tcBorders>
            <w:noWrap/>
            <w:vAlign w:val="bottom"/>
            <w:hideMark/>
          </w:tcPr>
          <w:p w14:paraId="213FD51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28DEFB9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0D65E19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188B1CC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204" w:type="dxa"/>
            <w:tcBorders>
              <w:top w:val="nil"/>
              <w:left w:val="nil"/>
              <w:bottom w:val="nil"/>
              <w:right w:val="nil"/>
            </w:tcBorders>
            <w:noWrap/>
            <w:vAlign w:val="bottom"/>
            <w:hideMark/>
          </w:tcPr>
          <w:p w14:paraId="2BDB61AC"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9B9848F"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7684646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Impairment of long-lived assets</w:t>
            </w:r>
          </w:p>
        </w:tc>
        <w:tc>
          <w:tcPr>
            <w:tcW w:w="987" w:type="dxa"/>
            <w:tcBorders>
              <w:top w:val="nil"/>
              <w:left w:val="nil"/>
              <w:bottom w:val="single" w:sz="4" w:space="0" w:color="000000"/>
              <w:right w:val="single" w:sz="4" w:space="0" w:color="000000"/>
            </w:tcBorders>
            <w:noWrap/>
            <w:vAlign w:val="bottom"/>
            <w:hideMark/>
          </w:tcPr>
          <w:p w14:paraId="500DB3B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333</w:t>
            </w:r>
          </w:p>
        </w:tc>
        <w:tc>
          <w:tcPr>
            <w:tcW w:w="987" w:type="dxa"/>
            <w:tcBorders>
              <w:top w:val="nil"/>
              <w:left w:val="nil"/>
              <w:bottom w:val="single" w:sz="4" w:space="0" w:color="000000"/>
              <w:right w:val="single" w:sz="4" w:space="0" w:color="000000"/>
            </w:tcBorders>
            <w:noWrap/>
            <w:vAlign w:val="bottom"/>
            <w:hideMark/>
          </w:tcPr>
          <w:p w14:paraId="38B35E2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7,963</w:t>
            </w:r>
          </w:p>
        </w:tc>
        <w:tc>
          <w:tcPr>
            <w:tcW w:w="987" w:type="dxa"/>
            <w:tcBorders>
              <w:top w:val="nil"/>
              <w:left w:val="nil"/>
              <w:bottom w:val="single" w:sz="4" w:space="0" w:color="000000"/>
              <w:right w:val="single" w:sz="4" w:space="0" w:color="000000"/>
            </w:tcBorders>
            <w:noWrap/>
            <w:vAlign w:val="bottom"/>
            <w:hideMark/>
          </w:tcPr>
          <w:p w14:paraId="542FB14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2,888</w:t>
            </w:r>
          </w:p>
        </w:tc>
        <w:tc>
          <w:tcPr>
            <w:tcW w:w="987" w:type="dxa"/>
            <w:tcBorders>
              <w:top w:val="nil"/>
              <w:left w:val="nil"/>
              <w:bottom w:val="single" w:sz="4" w:space="0" w:color="000000"/>
              <w:right w:val="single" w:sz="4" w:space="0" w:color="000000"/>
            </w:tcBorders>
            <w:noWrap/>
            <w:vAlign w:val="bottom"/>
            <w:hideMark/>
          </w:tcPr>
          <w:p w14:paraId="44B0794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3,338</w:t>
            </w:r>
          </w:p>
        </w:tc>
        <w:tc>
          <w:tcPr>
            <w:tcW w:w="987" w:type="dxa"/>
            <w:tcBorders>
              <w:top w:val="nil"/>
              <w:left w:val="nil"/>
              <w:bottom w:val="single" w:sz="4" w:space="0" w:color="000000"/>
              <w:right w:val="single" w:sz="4" w:space="0" w:color="000000"/>
            </w:tcBorders>
            <w:noWrap/>
            <w:vAlign w:val="bottom"/>
            <w:hideMark/>
          </w:tcPr>
          <w:p w14:paraId="4128C6F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134</w:t>
            </w:r>
          </w:p>
        </w:tc>
        <w:tc>
          <w:tcPr>
            <w:tcW w:w="204" w:type="dxa"/>
            <w:tcBorders>
              <w:top w:val="nil"/>
              <w:left w:val="nil"/>
              <w:bottom w:val="nil"/>
              <w:right w:val="nil"/>
            </w:tcBorders>
            <w:noWrap/>
            <w:vAlign w:val="bottom"/>
            <w:hideMark/>
          </w:tcPr>
          <w:p w14:paraId="54660ACF"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7C1DA336"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D1F483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Accounts receivable and contract assets</w:t>
            </w:r>
          </w:p>
        </w:tc>
        <w:tc>
          <w:tcPr>
            <w:tcW w:w="987" w:type="dxa"/>
            <w:tcBorders>
              <w:top w:val="nil"/>
              <w:left w:val="nil"/>
              <w:bottom w:val="single" w:sz="4" w:space="0" w:color="000000"/>
              <w:right w:val="single" w:sz="4" w:space="0" w:color="000000"/>
            </w:tcBorders>
            <w:noWrap/>
            <w:vAlign w:val="bottom"/>
            <w:hideMark/>
          </w:tcPr>
          <w:p w14:paraId="0422B09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(12,174)</w:t>
            </w:r>
          </w:p>
        </w:tc>
        <w:tc>
          <w:tcPr>
            <w:tcW w:w="987" w:type="dxa"/>
            <w:tcBorders>
              <w:top w:val="nil"/>
              <w:left w:val="nil"/>
              <w:bottom w:val="single" w:sz="4" w:space="0" w:color="000000"/>
              <w:right w:val="single" w:sz="4" w:space="0" w:color="000000"/>
            </w:tcBorders>
            <w:noWrap/>
            <w:vAlign w:val="bottom"/>
            <w:hideMark/>
          </w:tcPr>
          <w:p w14:paraId="41DD4A5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5,040</w:t>
            </w:r>
          </w:p>
        </w:tc>
        <w:tc>
          <w:tcPr>
            <w:tcW w:w="987" w:type="dxa"/>
            <w:tcBorders>
              <w:top w:val="nil"/>
              <w:left w:val="nil"/>
              <w:bottom w:val="single" w:sz="4" w:space="0" w:color="000000"/>
              <w:right w:val="single" w:sz="4" w:space="0" w:color="000000"/>
            </w:tcBorders>
            <w:noWrap/>
            <w:vAlign w:val="bottom"/>
            <w:hideMark/>
          </w:tcPr>
          <w:p w14:paraId="6179383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12,765</w:t>
            </w:r>
          </w:p>
        </w:tc>
        <w:tc>
          <w:tcPr>
            <w:tcW w:w="987" w:type="dxa"/>
            <w:tcBorders>
              <w:top w:val="nil"/>
              <w:left w:val="nil"/>
              <w:bottom w:val="single" w:sz="4" w:space="0" w:color="000000"/>
              <w:right w:val="single" w:sz="4" w:space="0" w:color="000000"/>
            </w:tcBorders>
            <w:noWrap/>
            <w:vAlign w:val="bottom"/>
            <w:hideMark/>
          </w:tcPr>
          <w:p w14:paraId="026E0BD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2,007</w:t>
            </w:r>
          </w:p>
        </w:tc>
        <w:tc>
          <w:tcPr>
            <w:tcW w:w="987" w:type="dxa"/>
            <w:tcBorders>
              <w:top w:val="nil"/>
              <w:left w:val="nil"/>
              <w:bottom w:val="single" w:sz="4" w:space="0" w:color="000000"/>
              <w:right w:val="single" w:sz="4" w:space="0" w:color="000000"/>
            </w:tcBorders>
            <w:noWrap/>
            <w:vAlign w:val="bottom"/>
            <w:hideMark/>
          </w:tcPr>
          <w:p w14:paraId="52CA097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14,884</w:t>
            </w:r>
          </w:p>
        </w:tc>
        <w:tc>
          <w:tcPr>
            <w:tcW w:w="204" w:type="dxa"/>
            <w:tcBorders>
              <w:top w:val="nil"/>
              <w:left w:val="nil"/>
              <w:bottom w:val="nil"/>
              <w:right w:val="nil"/>
            </w:tcBorders>
            <w:noWrap/>
            <w:vAlign w:val="bottom"/>
            <w:hideMark/>
          </w:tcPr>
          <w:p w14:paraId="2BDA989E"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D98C966"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180B493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Inventories</w:t>
            </w:r>
          </w:p>
        </w:tc>
        <w:tc>
          <w:tcPr>
            <w:tcW w:w="987" w:type="dxa"/>
            <w:tcBorders>
              <w:top w:val="nil"/>
              <w:left w:val="nil"/>
              <w:bottom w:val="single" w:sz="4" w:space="0" w:color="000000"/>
              <w:right w:val="single" w:sz="4" w:space="0" w:color="000000"/>
            </w:tcBorders>
            <w:noWrap/>
            <w:vAlign w:val="bottom"/>
            <w:hideMark/>
          </w:tcPr>
          <w:p w14:paraId="040409A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6,239</w:t>
            </w:r>
          </w:p>
        </w:tc>
        <w:tc>
          <w:tcPr>
            <w:tcW w:w="987" w:type="dxa"/>
            <w:tcBorders>
              <w:top w:val="nil"/>
              <w:left w:val="nil"/>
              <w:bottom w:val="single" w:sz="4" w:space="0" w:color="000000"/>
              <w:right w:val="single" w:sz="4" w:space="0" w:color="000000"/>
            </w:tcBorders>
            <w:noWrap/>
            <w:vAlign w:val="bottom"/>
            <w:hideMark/>
          </w:tcPr>
          <w:p w14:paraId="29F373F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51,458</w:t>
            </w:r>
          </w:p>
        </w:tc>
        <w:tc>
          <w:tcPr>
            <w:tcW w:w="987" w:type="dxa"/>
            <w:tcBorders>
              <w:top w:val="nil"/>
              <w:left w:val="nil"/>
              <w:bottom w:val="single" w:sz="4" w:space="0" w:color="000000"/>
              <w:right w:val="single" w:sz="4" w:space="0" w:color="000000"/>
            </w:tcBorders>
            <w:noWrap/>
            <w:vAlign w:val="bottom"/>
            <w:hideMark/>
          </w:tcPr>
          <w:p w14:paraId="7BB4567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(9,913)</w:t>
            </w:r>
          </w:p>
        </w:tc>
        <w:tc>
          <w:tcPr>
            <w:tcW w:w="987" w:type="dxa"/>
            <w:tcBorders>
              <w:top w:val="nil"/>
              <w:left w:val="nil"/>
              <w:bottom w:val="single" w:sz="4" w:space="0" w:color="000000"/>
              <w:right w:val="single" w:sz="4" w:space="0" w:color="000000"/>
            </w:tcBorders>
            <w:noWrap/>
            <w:vAlign w:val="bottom"/>
            <w:hideMark/>
          </w:tcPr>
          <w:p w14:paraId="50670D7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(14,985)</w:t>
            </w:r>
          </w:p>
        </w:tc>
        <w:tc>
          <w:tcPr>
            <w:tcW w:w="987" w:type="dxa"/>
            <w:tcBorders>
              <w:top w:val="nil"/>
              <w:left w:val="nil"/>
              <w:bottom w:val="single" w:sz="4" w:space="0" w:color="000000"/>
              <w:right w:val="single" w:sz="4" w:space="0" w:color="000000"/>
            </w:tcBorders>
            <w:noWrap/>
            <w:vAlign w:val="bottom"/>
            <w:hideMark/>
          </w:tcPr>
          <w:p w14:paraId="1C7C8B7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28,295</w:t>
            </w:r>
          </w:p>
        </w:tc>
        <w:tc>
          <w:tcPr>
            <w:tcW w:w="204" w:type="dxa"/>
            <w:tcBorders>
              <w:top w:val="nil"/>
              <w:left w:val="nil"/>
              <w:bottom w:val="nil"/>
              <w:right w:val="nil"/>
            </w:tcBorders>
            <w:noWrap/>
            <w:vAlign w:val="bottom"/>
            <w:hideMark/>
          </w:tcPr>
          <w:p w14:paraId="70FE0F2B"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CDED80A"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97333B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Prepaid expenses and other assets</w:t>
            </w:r>
          </w:p>
        </w:tc>
        <w:tc>
          <w:tcPr>
            <w:tcW w:w="987" w:type="dxa"/>
            <w:tcBorders>
              <w:top w:val="nil"/>
              <w:left w:val="nil"/>
              <w:bottom w:val="single" w:sz="4" w:space="0" w:color="000000"/>
              <w:right w:val="single" w:sz="4" w:space="0" w:color="000000"/>
            </w:tcBorders>
            <w:noWrap/>
            <w:vAlign w:val="bottom"/>
            <w:hideMark/>
          </w:tcPr>
          <w:p w14:paraId="6394796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764</w:t>
            </w:r>
          </w:p>
        </w:tc>
        <w:tc>
          <w:tcPr>
            <w:tcW w:w="987" w:type="dxa"/>
            <w:tcBorders>
              <w:top w:val="nil"/>
              <w:left w:val="nil"/>
              <w:bottom w:val="single" w:sz="4" w:space="0" w:color="000000"/>
              <w:right w:val="single" w:sz="4" w:space="0" w:color="000000"/>
            </w:tcBorders>
            <w:noWrap/>
            <w:vAlign w:val="bottom"/>
            <w:hideMark/>
          </w:tcPr>
          <w:p w14:paraId="52034B6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2,860</w:t>
            </w:r>
          </w:p>
        </w:tc>
        <w:tc>
          <w:tcPr>
            <w:tcW w:w="987" w:type="dxa"/>
            <w:tcBorders>
              <w:top w:val="nil"/>
              <w:left w:val="nil"/>
              <w:bottom w:val="single" w:sz="4" w:space="0" w:color="000000"/>
              <w:right w:val="single" w:sz="4" w:space="0" w:color="000000"/>
            </w:tcBorders>
            <w:noWrap/>
            <w:vAlign w:val="bottom"/>
            <w:hideMark/>
          </w:tcPr>
          <w:p w14:paraId="63706B1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(917)</w:t>
            </w:r>
          </w:p>
        </w:tc>
        <w:tc>
          <w:tcPr>
            <w:tcW w:w="987" w:type="dxa"/>
            <w:tcBorders>
              <w:top w:val="nil"/>
              <w:left w:val="nil"/>
              <w:bottom w:val="single" w:sz="4" w:space="0" w:color="000000"/>
              <w:right w:val="single" w:sz="4" w:space="0" w:color="000000"/>
            </w:tcBorders>
            <w:noWrap/>
            <w:vAlign w:val="bottom"/>
            <w:hideMark/>
          </w:tcPr>
          <w:p w14:paraId="6AC9EFF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(630)</w:t>
            </w:r>
          </w:p>
        </w:tc>
        <w:tc>
          <w:tcPr>
            <w:tcW w:w="987" w:type="dxa"/>
            <w:tcBorders>
              <w:top w:val="nil"/>
              <w:left w:val="nil"/>
              <w:bottom w:val="single" w:sz="4" w:space="0" w:color="000000"/>
              <w:right w:val="single" w:sz="4" w:space="0" w:color="000000"/>
            </w:tcBorders>
            <w:noWrap/>
            <w:vAlign w:val="bottom"/>
            <w:hideMark/>
          </w:tcPr>
          <w:p w14:paraId="60075B3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(245)</w:t>
            </w:r>
          </w:p>
        </w:tc>
        <w:tc>
          <w:tcPr>
            <w:tcW w:w="204" w:type="dxa"/>
            <w:tcBorders>
              <w:top w:val="nil"/>
              <w:left w:val="nil"/>
              <w:bottom w:val="nil"/>
              <w:right w:val="nil"/>
            </w:tcBorders>
            <w:noWrap/>
            <w:vAlign w:val="bottom"/>
            <w:hideMark/>
          </w:tcPr>
          <w:p w14:paraId="15439604"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7A04ACC"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6C12E78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Accounts payable and accrued liabilities</w:t>
            </w:r>
          </w:p>
        </w:tc>
        <w:tc>
          <w:tcPr>
            <w:tcW w:w="987" w:type="dxa"/>
            <w:tcBorders>
              <w:top w:val="nil"/>
              <w:left w:val="nil"/>
              <w:bottom w:val="single" w:sz="4" w:space="0" w:color="000000"/>
              <w:right w:val="single" w:sz="4" w:space="0" w:color="000000"/>
            </w:tcBorders>
            <w:noWrap/>
            <w:vAlign w:val="bottom"/>
            <w:hideMark/>
          </w:tcPr>
          <w:p w14:paraId="2C47FA9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15,733</w:t>
            </w:r>
          </w:p>
        </w:tc>
        <w:tc>
          <w:tcPr>
            <w:tcW w:w="987" w:type="dxa"/>
            <w:tcBorders>
              <w:top w:val="nil"/>
              <w:left w:val="nil"/>
              <w:bottom w:val="single" w:sz="4" w:space="0" w:color="000000"/>
              <w:right w:val="single" w:sz="4" w:space="0" w:color="000000"/>
            </w:tcBorders>
            <w:noWrap/>
            <w:vAlign w:val="bottom"/>
            <w:hideMark/>
          </w:tcPr>
          <w:p w14:paraId="6065F5B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(21,379)</w:t>
            </w:r>
          </w:p>
        </w:tc>
        <w:tc>
          <w:tcPr>
            <w:tcW w:w="987" w:type="dxa"/>
            <w:tcBorders>
              <w:top w:val="nil"/>
              <w:left w:val="nil"/>
              <w:bottom w:val="single" w:sz="4" w:space="0" w:color="000000"/>
              <w:right w:val="single" w:sz="4" w:space="0" w:color="000000"/>
            </w:tcBorders>
            <w:noWrap/>
            <w:vAlign w:val="bottom"/>
            <w:hideMark/>
          </w:tcPr>
          <w:p w14:paraId="4290F69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(28,670)</w:t>
            </w:r>
          </w:p>
        </w:tc>
        <w:tc>
          <w:tcPr>
            <w:tcW w:w="987" w:type="dxa"/>
            <w:tcBorders>
              <w:top w:val="nil"/>
              <w:left w:val="nil"/>
              <w:bottom w:val="single" w:sz="4" w:space="0" w:color="000000"/>
              <w:right w:val="single" w:sz="4" w:space="0" w:color="000000"/>
            </w:tcBorders>
            <w:noWrap/>
            <w:vAlign w:val="bottom"/>
            <w:hideMark/>
          </w:tcPr>
          <w:p w14:paraId="4E5057F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870</w:t>
            </w:r>
          </w:p>
        </w:tc>
        <w:tc>
          <w:tcPr>
            <w:tcW w:w="987" w:type="dxa"/>
            <w:tcBorders>
              <w:top w:val="nil"/>
              <w:left w:val="nil"/>
              <w:bottom w:val="single" w:sz="4" w:space="0" w:color="000000"/>
              <w:right w:val="single" w:sz="4" w:space="0" w:color="000000"/>
            </w:tcBorders>
            <w:noWrap/>
            <w:vAlign w:val="bottom"/>
            <w:hideMark/>
          </w:tcPr>
          <w:p w14:paraId="7B4B948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(33,543)</w:t>
            </w:r>
          </w:p>
        </w:tc>
        <w:tc>
          <w:tcPr>
            <w:tcW w:w="204" w:type="dxa"/>
            <w:tcBorders>
              <w:top w:val="nil"/>
              <w:left w:val="nil"/>
              <w:bottom w:val="nil"/>
              <w:right w:val="nil"/>
            </w:tcBorders>
            <w:noWrap/>
            <w:vAlign w:val="bottom"/>
            <w:hideMark/>
          </w:tcPr>
          <w:p w14:paraId="1D8D7A7A"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40343A03"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B6261F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Accrued income taxes</w:t>
            </w:r>
          </w:p>
        </w:tc>
        <w:tc>
          <w:tcPr>
            <w:tcW w:w="987" w:type="dxa"/>
            <w:tcBorders>
              <w:top w:val="nil"/>
              <w:left w:val="nil"/>
              <w:bottom w:val="single" w:sz="4" w:space="0" w:color="000000"/>
              <w:right w:val="single" w:sz="4" w:space="0" w:color="000000"/>
            </w:tcBorders>
            <w:noWrap/>
            <w:vAlign w:val="bottom"/>
            <w:hideMark/>
          </w:tcPr>
          <w:p w14:paraId="4854B26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1,310</w:t>
            </w:r>
          </w:p>
        </w:tc>
        <w:tc>
          <w:tcPr>
            <w:tcW w:w="987" w:type="dxa"/>
            <w:tcBorders>
              <w:top w:val="nil"/>
              <w:left w:val="nil"/>
              <w:bottom w:val="single" w:sz="4" w:space="0" w:color="000000"/>
              <w:right w:val="single" w:sz="4" w:space="0" w:color="000000"/>
            </w:tcBorders>
            <w:noWrap/>
            <w:vAlign w:val="bottom"/>
            <w:hideMark/>
          </w:tcPr>
          <w:p w14:paraId="744D987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(3,539)</w:t>
            </w:r>
          </w:p>
        </w:tc>
        <w:tc>
          <w:tcPr>
            <w:tcW w:w="987" w:type="dxa"/>
            <w:tcBorders>
              <w:top w:val="nil"/>
              <w:left w:val="nil"/>
              <w:bottom w:val="single" w:sz="4" w:space="0" w:color="000000"/>
              <w:right w:val="single" w:sz="4" w:space="0" w:color="000000"/>
            </w:tcBorders>
            <w:noWrap/>
            <w:vAlign w:val="bottom"/>
            <w:hideMark/>
          </w:tcPr>
          <w:p w14:paraId="5FDF3F7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(2,074)</w:t>
            </w:r>
          </w:p>
        </w:tc>
        <w:tc>
          <w:tcPr>
            <w:tcW w:w="987" w:type="dxa"/>
            <w:tcBorders>
              <w:top w:val="nil"/>
              <w:left w:val="nil"/>
              <w:bottom w:val="single" w:sz="4" w:space="0" w:color="000000"/>
              <w:right w:val="single" w:sz="4" w:space="0" w:color="000000"/>
            </w:tcBorders>
            <w:noWrap/>
            <w:vAlign w:val="bottom"/>
            <w:hideMark/>
          </w:tcPr>
          <w:p w14:paraId="129356A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2,860</w:t>
            </w:r>
          </w:p>
        </w:tc>
        <w:tc>
          <w:tcPr>
            <w:tcW w:w="987" w:type="dxa"/>
            <w:tcBorders>
              <w:top w:val="nil"/>
              <w:left w:val="nil"/>
              <w:bottom w:val="single" w:sz="4" w:space="0" w:color="000000"/>
              <w:right w:val="single" w:sz="4" w:space="0" w:color="000000"/>
            </w:tcBorders>
            <w:noWrap/>
            <w:vAlign w:val="bottom"/>
            <w:hideMark/>
          </w:tcPr>
          <w:p w14:paraId="39713AD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(6,486)</w:t>
            </w:r>
          </w:p>
        </w:tc>
        <w:tc>
          <w:tcPr>
            <w:tcW w:w="204" w:type="dxa"/>
            <w:tcBorders>
              <w:top w:val="nil"/>
              <w:left w:val="nil"/>
              <w:bottom w:val="nil"/>
              <w:right w:val="nil"/>
            </w:tcBorders>
            <w:noWrap/>
            <w:vAlign w:val="bottom"/>
            <w:hideMark/>
          </w:tcPr>
          <w:p w14:paraId="47EBE81B"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1FB6636"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2EA255A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Net cash from operating activities</w:t>
            </w:r>
          </w:p>
        </w:tc>
        <w:tc>
          <w:tcPr>
            <w:tcW w:w="987" w:type="dxa"/>
            <w:tcBorders>
              <w:top w:val="nil"/>
              <w:left w:val="nil"/>
              <w:bottom w:val="single" w:sz="4" w:space="0" w:color="000000"/>
              <w:right w:val="single" w:sz="4" w:space="0" w:color="000000"/>
            </w:tcBorders>
            <w:noWrap/>
            <w:vAlign w:val="bottom"/>
            <w:hideMark/>
          </w:tcPr>
          <w:p w14:paraId="24BC322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14,822</w:t>
            </w:r>
          </w:p>
        </w:tc>
        <w:tc>
          <w:tcPr>
            <w:tcW w:w="987" w:type="dxa"/>
            <w:tcBorders>
              <w:top w:val="nil"/>
              <w:left w:val="nil"/>
              <w:bottom w:val="single" w:sz="4" w:space="0" w:color="000000"/>
              <w:right w:val="single" w:sz="4" w:space="0" w:color="000000"/>
            </w:tcBorders>
            <w:noWrap/>
            <w:vAlign w:val="bottom"/>
            <w:hideMark/>
          </w:tcPr>
          <w:p w14:paraId="62DD814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25,190</w:t>
            </w:r>
          </w:p>
        </w:tc>
        <w:tc>
          <w:tcPr>
            <w:tcW w:w="987" w:type="dxa"/>
            <w:tcBorders>
              <w:top w:val="nil"/>
              <w:left w:val="nil"/>
              <w:bottom w:val="single" w:sz="4" w:space="0" w:color="000000"/>
              <w:right w:val="single" w:sz="4" w:space="0" w:color="000000"/>
            </w:tcBorders>
            <w:noWrap/>
            <w:vAlign w:val="bottom"/>
            <w:hideMark/>
          </w:tcPr>
          <w:p w14:paraId="66B62D1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10,926</w:t>
            </w:r>
          </w:p>
        </w:tc>
        <w:tc>
          <w:tcPr>
            <w:tcW w:w="987" w:type="dxa"/>
            <w:tcBorders>
              <w:top w:val="nil"/>
              <w:left w:val="nil"/>
              <w:bottom w:val="single" w:sz="4" w:space="0" w:color="000000"/>
              <w:right w:val="single" w:sz="4" w:space="0" w:color="000000"/>
            </w:tcBorders>
            <w:noWrap/>
            <w:vAlign w:val="bottom"/>
            <w:hideMark/>
          </w:tcPr>
          <w:p w14:paraId="75ED3F3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40,283</w:t>
            </w:r>
          </w:p>
        </w:tc>
        <w:tc>
          <w:tcPr>
            <w:tcW w:w="987" w:type="dxa"/>
            <w:tcBorders>
              <w:top w:val="nil"/>
              <w:left w:val="nil"/>
              <w:bottom w:val="single" w:sz="4" w:space="0" w:color="000000"/>
              <w:right w:val="single" w:sz="4" w:space="0" w:color="000000"/>
            </w:tcBorders>
            <w:noWrap/>
            <w:vAlign w:val="bottom"/>
            <w:hideMark/>
          </w:tcPr>
          <w:p w14:paraId="29A036F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73,392</w:t>
            </w:r>
          </w:p>
        </w:tc>
        <w:tc>
          <w:tcPr>
            <w:tcW w:w="204" w:type="dxa"/>
            <w:tcBorders>
              <w:top w:val="nil"/>
              <w:left w:val="nil"/>
              <w:bottom w:val="nil"/>
              <w:right w:val="nil"/>
            </w:tcBorders>
            <w:noWrap/>
            <w:vAlign w:val="bottom"/>
            <w:hideMark/>
          </w:tcPr>
          <w:p w14:paraId="02689A7D"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92EEDB3"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248CCCF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Purchase of term deposit</w:t>
            </w:r>
          </w:p>
        </w:tc>
        <w:tc>
          <w:tcPr>
            <w:tcW w:w="987" w:type="dxa"/>
            <w:tcBorders>
              <w:top w:val="nil"/>
              <w:left w:val="nil"/>
              <w:bottom w:val="single" w:sz="4" w:space="0" w:color="000000"/>
              <w:right w:val="single" w:sz="4" w:space="0" w:color="000000"/>
            </w:tcBorders>
            <w:noWrap/>
            <w:vAlign w:val="bottom"/>
            <w:hideMark/>
          </w:tcPr>
          <w:p w14:paraId="489FAB5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307D00B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4691840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(7,487)</w:t>
            </w:r>
          </w:p>
        </w:tc>
        <w:tc>
          <w:tcPr>
            <w:tcW w:w="987" w:type="dxa"/>
            <w:tcBorders>
              <w:top w:val="nil"/>
              <w:left w:val="nil"/>
              <w:bottom w:val="single" w:sz="4" w:space="0" w:color="000000"/>
              <w:right w:val="single" w:sz="4" w:space="0" w:color="000000"/>
            </w:tcBorders>
            <w:noWrap/>
            <w:vAlign w:val="bottom"/>
            <w:hideMark/>
          </w:tcPr>
          <w:p w14:paraId="57841EE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02A2232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204" w:type="dxa"/>
            <w:tcBorders>
              <w:top w:val="nil"/>
              <w:left w:val="nil"/>
              <w:bottom w:val="nil"/>
              <w:right w:val="nil"/>
            </w:tcBorders>
            <w:noWrap/>
            <w:vAlign w:val="bottom"/>
            <w:hideMark/>
          </w:tcPr>
          <w:p w14:paraId="212BD249"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E5D6200"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861B8D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Redemption of term deposit</w:t>
            </w:r>
          </w:p>
        </w:tc>
        <w:tc>
          <w:tcPr>
            <w:tcW w:w="987" w:type="dxa"/>
            <w:tcBorders>
              <w:top w:val="nil"/>
              <w:left w:val="nil"/>
              <w:bottom w:val="single" w:sz="4" w:space="0" w:color="000000"/>
              <w:right w:val="single" w:sz="4" w:space="0" w:color="000000"/>
            </w:tcBorders>
            <w:noWrap/>
            <w:vAlign w:val="bottom"/>
            <w:hideMark/>
          </w:tcPr>
          <w:p w14:paraId="27FC7DD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1C73D53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22C705A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7,803</w:t>
            </w:r>
          </w:p>
        </w:tc>
        <w:tc>
          <w:tcPr>
            <w:tcW w:w="987" w:type="dxa"/>
            <w:tcBorders>
              <w:top w:val="nil"/>
              <w:left w:val="nil"/>
              <w:bottom w:val="single" w:sz="4" w:space="0" w:color="000000"/>
              <w:right w:val="single" w:sz="4" w:space="0" w:color="000000"/>
            </w:tcBorders>
            <w:noWrap/>
            <w:vAlign w:val="bottom"/>
            <w:hideMark/>
          </w:tcPr>
          <w:p w14:paraId="4830C8B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1291B1C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204" w:type="dxa"/>
            <w:tcBorders>
              <w:top w:val="nil"/>
              <w:left w:val="nil"/>
              <w:bottom w:val="nil"/>
              <w:right w:val="nil"/>
            </w:tcBorders>
            <w:noWrap/>
            <w:vAlign w:val="bottom"/>
            <w:hideMark/>
          </w:tcPr>
          <w:p w14:paraId="7A5F200C"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B827C7C"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F85545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Acquisition of the net assets</w:t>
            </w:r>
          </w:p>
        </w:tc>
        <w:tc>
          <w:tcPr>
            <w:tcW w:w="987" w:type="dxa"/>
            <w:tcBorders>
              <w:top w:val="nil"/>
              <w:left w:val="nil"/>
              <w:bottom w:val="single" w:sz="4" w:space="0" w:color="000000"/>
              <w:right w:val="single" w:sz="4" w:space="0" w:color="000000"/>
            </w:tcBorders>
            <w:noWrap/>
            <w:vAlign w:val="bottom"/>
            <w:hideMark/>
          </w:tcPr>
          <w:p w14:paraId="4902871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0105819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(939)</w:t>
            </w:r>
          </w:p>
        </w:tc>
        <w:tc>
          <w:tcPr>
            <w:tcW w:w="987" w:type="dxa"/>
            <w:tcBorders>
              <w:top w:val="nil"/>
              <w:left w:val="nil"/>
              <w:bottom w:val="single" w:sz="4" w:space="0" w:color="000000"/>
              <w:right w:val="single" w:sz="4" w:space="0" w:color="000000"/>
            </w:tcBorders>
            <w:noWrap/>
            <w:vAlign w:val="bottom"/>
            <w:hideMark/>
          </w:tcPr>
          <w:p w14:paraId="4B49E1A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6C620B3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08565DC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204" w:type="dxa"/>
            <w:tcBorders>
              <w:top w:val="nil"/>
              <w:left w:val="nil"/>
              <w:bottom w:val="nil"/>
              <w:right w:val="nil"/>
            </w:tcBorders>
            <w:noWrap/>
            <w:vAlign w:val="bottom"/>
            <w:hideMark/>
          </w:tcPr>
          <w:p w14:paraId="745993A8"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303529E9"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7EE5C9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Acquisition of property, plant and equipment</w:t>
            </w:r>
          </w:p>
        </w:tc>
        <w:tc>
          <w:tcPr>
            <w:tcW w:w="987" w:type="dxa"/>
            <w:tcBorders>
              <w:top w:val="nil"/>
              <w:left w:val="nil"/>
              <w:bottom w:val="single" w:sz="4" w:space="0" w:color="000000"/>
              <w:right w:val="single" w:sz="4" w:space="0" w:color="000000"/>
            </w:tcBorders>
            <w:noWrap/>
            <w:vAlign w:val="bottom"/>
            <w:hideMark/>
          </w:tcPr>
          <w:p w14:paraId="1E63DC6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(4,572)</w:t>
            </w:r>
          </w:p>
        </w:tc>
        <w:tc>
          <w:tcPr>
            <w:tcW w:w="987" w:type="dxa"/>
            <w:tcBorders>
              <w:top w:val="nil"/>
              <w:left w:val="nil"/>
              <w:bottom w:val="single" w:sz="4" w:space="0" w:color="000000"/>
              <w:right w:val="single" w:sz="4" w:space="0" w:color="000000"/>
            </w:tcBorders>
            <w:noWrap/>
            <w:vAlign w:val="bottom"/>
            <w:hideMark/>
          </w:tcPr>
          <w:p w14:paraId="780A844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(8,116)</w:t>
            </w:r>
          </w:p>
        </w:tc>
        <w:tc>
          <w:tcPr>
            <w:tcW w:w="987" w:type="dxa"/>
            <w:tcBorders>
              <w:top w:val="nil"/>
              <w:left w:val="nil"/>
              <w:bottom w:val="single" w:sz="4" w:space="0" w:color="000000"/>
              <w:right w:val="single" w:sz="4" w:space="0" w:color="000000"/>
            </w:tcBorders>
            <w:noWrap/>
            <w:vAlign w:val="bottom"/>
            <w:hideMark/>
          </w:tcPr>
          <w:p w14:paraId="4681681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(14,006)</w:t>
            </w:r>
          </w:p>
        </w:tc>
        <w:tc>
          <w:tcPr>
            <w:tcW w:w="987" w:type="dxa"/>
            <w:tcBorders>
              <w:top w:val="nil"/>
              <w:left w:val="nil"/>
              <w:bottom w:val="single" w:sz="4" w:space="0" w:color="000000"/>
              <w:right w:val="single" w:sz="4" w:space="0" w:color="000000"/>
            </w:tcBorders>
            <w:noWrap/>
            <w:vAlign w:val="bottom"/>
            <w:hideMark/>
          </w:tcPr>
          <w:p w14:paraId="6D8415F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(12,586)</w:t>
            </w:r>
          </w:p>
        </w:tc>
        <w:tc>
          <w:tcPr>
            <w:tcW w:w="987" w:type="dxa"/>
            <w:tcBorders>
              <w:top w:val="nil"/>
              <w:left w:val="nil"/>
              <w:bottom w:val="single" w:sz="4" w:space="0" w:color="000000"/>
              <w:right w:val="single" w:sz="4" w:space="0" w:color="000000"/>
            </w:tcBorders>
            <w:noWrap/>
            <w:vAlign w:val="bottom"/>
            <w:hideMark/>
          </w:tcPr>
          <w:p w14:paraId="7F4AD6F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(16,862)</w:t>
            </w:r>
          </w:p>
        </w:tc>
        <w:tc>
          <w:tcPr>
            <w:tcW w:w="204" w:type="dxa"/>
            <w:tcBorders>
              <w:top w:val="nil"/>
              <w:left w:val="nil"/>
              <w:bottom w:val="nil"/>
              <w:right w:val="nil"/>
            </w:tcBorders>
            <w:noWrap/>
            <w:vAlign w:val="bottom"/>
            <w:hideMark/>
          </w:tcPr>
          <w:p w14:paraId="75253A29"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2C479EF"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0295A29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Acquisition of intangible assets</w:t>
            </w:r>
          </w:p>
        </w:tc>
        <w:tc>
          <w:tcPr>
            <w:tcW w:w="987" w:type="dxa"/>
            <w:tcBorders>
              <w:top w:val="nil"/>
              <w:left w:val="nil"/>
              <w:bottom w:val="single" w:sz="4" w:space="0" w:color="000000"/>
              <w:right w:val="single" w:sz="4" w:space="0" w:color="000000"/>
            </w:tcBorders>
            <w:noWrap/>
            <w:vAlign w:val="bottom"/>
            <w:hideMark/>
          </w:tcPr>
          <w:p w14:paraId="418B579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(3,856)</w:t>
            </w:r>
          </w:p>
        </w:tc>
        <w:tc>
          <w:tcPr>
            <w:tcW w:w="987" w:type="dxa"/>
            <w:tcBorders>
              <w:top w:val="nil"/>
              <w:left w:val="nil"/>
              <w:bottom w:val="single" w:sz="4" w:space="0" w:color="000000"/>
              <w:right w:val="single" w:sz="4" w:space="0" w:color="000000"/>
            </w:tcBorders>
            <w:noWrap/>
            <w:vAlign w:val="bottom"/>
            <w:hideMark/>
          </w:tcPr>
          <w:p w14:paraId="19AD1D4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(5,761)</w:t>
            </w:r>
          </w:p>
        </w:tc>
        <w:tc>
          <w:tcPr>
            <w:tcW w:w="987" w:type="dxa"/>
            <w:tcBorders>
              <w:top w:val="nil"/>
              <w:left w:val="nil"/>
              <w:bottom w:val="single" w:sz="4" w:space="0" w:color="000000"/>
              <w:right w:val="single" w:sz="4" w:space="0" w:color="000000"/>
            </w:tcBorders>
            <w:noWrap/>
            <w:vAlign w:val="bottom"/>
            <w:hideMark/>
          </w:tcPr>
          <w:p w14:paraId="2149AF5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(6,579)</w:t>
            </w:r>
          </w:p>
        </w:tc>
        <w:tc>
          <w:tcPr>
            <w:tcW w:w="987" w:type="dxa"/>
            <w:tcBorders>
              <w:top w:val="nil"/>
              <w:left w:val="nil"/>
              <w:bottom w:val="single" w:sz="4" w:space="0" w:color="000000"/>
              <w:right w:val="single" w:sz="4" w:space="0" w:color="000000"/>
            </w:tcBorders>
            <w:noWrap/>
            <w:vAlign w:val="bottom"/>
            <w:hideMark/>
          </w:tcPr>
          <w:p w14:paraId="22D9A34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(4,455)</w:t>
            </w:r>
          </w:p>
        </w:tc>
        <w:tc>
          <w:tcPr>
            <w:tcW w:w="987" w:type="dxa"/>
            <w:tcBorders>
              <w:top w:val="nil"/>
              <w:left w:val="nil"/>
              <w:bottom w:val="single" w:sz="4" w:space="0" w:color="000000"/>
              <w:right w:val="single" w:sz="4" w:space="0" w:color="000000"/>
            </w:tcBorders>
            <w:noWrap/>
            <w:vAlign w:val="bottom"/>
            <w:hideMark/>
          </w:tcPr>
          <w:p w14:paraId="1259DDD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(6,372)</w:t>
            </w:r>
          </w:p>
        </w:tc>
        <w:tc>
          <w:tcPr>
            <w:tcW w:w="204" w:type="dxa"/>
            <w:tcBorders>
              <w:top w:val="nil"/>
              <w:left w:val="nil"/>
              <w:bottom w:val="nil"/>
              <w:right w:val="nil"/>
            </w:tcBorders>
            <w:noWrap/>
            <w:vAlign w:val="bottom"/>
            <w:hideMark/>
          </w:tcPr>
          <w:p w14:paraId="1CA07566"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06560A9"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5686A24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Net cash from investing activities</w:t>
            </w:r>
          </w:p>
        </w:tc>
        <w:tc>
          <w:tcPr>
            <w:tcW w:w="987" w:type="dxa"/>
            <w:tcBorders>
              <w:top w:val="nil"/>
              <w:left w:val="nil"/>
              <w:bottom w:val="single" w:sz="4" w:space="0" w:color="000000"/>
              <w:right w:val="single" w:sz="4" w:space="0" w:color="000000"/>
            </w:tcBorders>
            <w:noWrap/>
            <w:vAlign w:val="bottom"/>
            <w:hideMark/>
          </w:tcPr>
          <w:p w14:paraId="060CA9E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(8,428)</w:t>
            </w:r>
          </w:p>
        </w:tc>
        <w:tc>
          <w:tcPr>
            <w:tcW w:w="987" w:type="dxa"/>
            <w:tcBorders>
              <w:top w:val="nil"/>
              <w:left w:val="nil"/>
              <w:bottom w:val="single" w:sz="4" w:space="0" w:color="000000"/>
              <w:right w:val="single" w:sz="4" w:space="0" w:color="000000"/>
            </w:tcBorders>
            <w:noWrap/>
            <w:vAlign w:val="bottom"/>
            <w:hideMark/>
          </w:tcPr>
          <w:p w14:paraId="2EDEE58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(13,877)</w:t>
            </w:r>
          </w:p>
        </w:tc>
        <w:tc>
          <w:tcPr>
            <w:tcW w:w="987" w:type="dxa"/>
            <w:tcBorders>
              <w:top w:val="nil"/>
              <w:left w:val="nil"/>
              <w:bottom w:val="single" w:sz="4" w:space="0" w:color="000000"/>
              <w:right w:val="single" w:sz="4" w:space="0" w:color="000000"/>
            </w:tcBorders>
            <w:noWrap/>
            <w:vAlign w:val="bottom"/>
            <w:hideMark/>
          </w:tcPr>
          <w:p w14:paraId="3818210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(21,208)</w:t>
            </w:r>
          </w:p>
        </w:tc>
        <w:tc>
          <w:tcPr>
            <w:tcW w:w="987" w:type="dxa"/>
            <w:tcBorders>
              <w:top w:val="nil"/>
              <w:left w:val="nil"/>
              <w:bottom w:val="single" w:sz="4" w:space="0" w:color="000000"/>
              <w:right w:val="single" w:sz="4" w:space="0" w:color="000000"/>
            </w:tcBorders>
            <w:noWrap/>
            <w:vAlign w:val="bottom"/>
            <w:hideMark/>
          </w:tcPr>
          <w:p w14:paraId="10B7806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(17,041)</w:t>
            </w:r>
          </w:p>
        </w:tc>
        <w:tc>
          <w:tcPr>
            <w:tcW w:w="987" w:type="dxa"/>
            <w:tcBorders>
              <w:top w:val="nil"/>
              <w:left w:val="nil"/>
              <w:bottom w:val="single" w:sz="4" w:space="0" w:color="000000"/>
              <w:right w:val="single" w:sz="4" w:space="0" w:color="000000"/>
            </w:tcBorders>
            <w:noWrap/>
            <w:vAlign w:val="bottom"/>
            <w:hideMark/>
          </w:tcPr>
          <w:p w14:paraId="6AC5C31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(23,734)</w:t>
            </w:r>
          </w:p>
        </w:tc>
        <w:tc>
          <w:tcPr>
            <w:tcW w:w="204" w:type="dxa"/>
            <w:tcBorders>
              <w:top w:val="nil"/>
              <w:left w:val="nil"/>
              <w:bottom w:val="nil"/>
              <w:right w:val="nil"/>
            </w:tcBorders>
            <w:noWrap/>
            <w:vAlign w:val="bottom"/>
            <w:hideMark/>
          </w:tcPr>
          <w:p w14:paraId="3FDB0541"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0489FA68"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5C3A094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Borrowings under lines of credit</w:t>
            </w:r>
          </w:p>
        </w:tc>
        <w:tc>
          <w:tcPr>
            <w:tcW w:w="987" w:type="dxa"/>
            <w:tcBorders>
              <w:top w:val="nil"/>
              <w:left w:val="nil"/>
              <w:bottom w:val="single" w:sz="4" w:space="0" w:color="000000"/>
              <w:right w:val="single" w:sz="4" w:space="0" w:color="000000"/>
            </w:tcBorders>
            <w:noWrap/>
            <w:vAlign w:val="bottom"/>
            <w:hideMark/>
          </w:tcPr>
          <w:p w14:paraId="39822F5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102,193</w:t>
            </w:r>
          </w:p>
        </w:tc>
        <w:tc>
          <w:tcPr>
            <w:tcW w:w="987" w:type="dxa"/>
            <w:tcBorders>
              <w:top w:val="nil"/>
              <w:left w:val="nil"/>
              <w:bottom w:val="single" w:sz="4" w:space="0" w:color="000000"/>
              <w:right w:val="single" w:sz="4" w:space="0" w:color="000000"/>
            </w:tcBorders>
            <w:noWrap/>
            <w:vAlign w:val="bottom"/>
            <w:hideMark/>
          </w:tcPr>
          <w:p w14:paraId="525E50C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78,000</w:t>
            </w:r>
          </w:p>
        </w:tc>
        <w:tc>
          <w:tcPr>
            <w:tcW w:w="987" w:type="dxa"/>
            <w:tcBorders>
              <w:top w:val="nil"/>
              <w:left w:val="nil"/>
              <w:bottom w:val="single" w:sz="4" w:space="0" w:color="000000"/>
              <w:right w:val="single" w:sz="4" w:space="0" w:color="000000"/>
            </w:tcBorders>
            <w:noWrap/>
            <w:vAlign w:val="bottom"/>
            <w:hideMark/>
          </w:tcPr>
          <w:p w14:paraId="074DC30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133,000</w:t>
            </w:r>
          </w:p>
        </w:tc>
        <w:tc>
          <w:tcPr>
            <w:tcW w:w="987" w:type="dxa"/>
            <w:tcBorders>
              <w:top w:val="nil"/>
              <w:left w:val="nil"/>
              <w:bottom w:val="single" w:sz="4" w:space="0" w:color="000000"/>
              <w:right w:val="single" w:sz="4" w:space="0" w:color="000000"/>
            </w:tcBorders>
            <w:noWrap/>
            <w:vAlign w:val="bottom"/>
            <w:hideMark/>
          </w:tcPr>
          <w:p w14:paraId="4D3FAA2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112,000</w:t>
            </w:r>
          </w:p>
        </w:tc>
        <w:tc>
          <w:tcPr>
            <w:tcW w:w="987" w:type="dxa"/>
            <w:tcBorders>
              <w:top w:val="nil"/>
              <w:left w:val="nil"/>
              <w:bottom w:val="single" w:sz="4" w:space="0" w:color="000000"/>
              <w:right w:val="single" w:sz="4" w:space="0" w:color="000000"/>
            </w:tcBorders>
            <w:noWrap/>
            <w:vAlign w:val="bottom"/>
            <w:hideMark/>
          </w:tcPr>
          <w:p w14:paraId="1E6E6B8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75,000</w:t>
            </w:r>
          </w:p>
        </w:tc>
        <w:tc>
          <w:tcPr>
            <w:tcW w:w="204" w:type="dxa"/>
            <w:tcBorders>
              <w:top w:val="nil"/>
              <w:left w:val="nil"/>
              <w:bottom w:val="nil"/>
              <w:right w:val="nil"/>
            </w:tcBorders>
            <w:noWrap/>
            <w:vAlign w:val="bottom"/>
            <w:hideMark/>
          </w:tcPr>
          <w:p w14:paraId="0D1F4AEC"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BEAC62D"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C5823E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Repayments on lines of credit</w:t>
            </w:r>
          </w:p>
        </w:tc>
        <w:tc>
          <w:tcPr>
            <w:tcW w:w="987" w:type="dxa"/>
            <w:tcBorders>
              <w:top w:val="nil"/>
              <w:left w:val="nil"/>
              <w:bottom w:val="single" w:sz="4" w:space="0" w:color="000000"/>
              <w:right w:val="single" w:sz="4" w:space="0" w:color="000000"/>
            </w:tcBorders>
            <w:noWrap/>
            <w:vAlign w:val="bottom"/>
            <w:hideMark/>
          </w:tcPr>
          <w:p w14:paraId="1C6515C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(120,000)</w:t>
            </w:r>
          </w:p>
        </w:tc>
        <w:tc>
          <w:tcPr>
            <w:tcW w:w="987" w:type="dxa"/>
            <w:tcBorders>
              <w:top w:val="nil"/>
              <w:left w:val="nil"/>
              <w:bottom w:val="single" w:sz="4" w:space="0" w:color="000000"/>
              <w:right w:val="single" w:sz="4" w:space="0" w:color="000000"/>
            </w:tcBorders>
            <w:noWrap/>
            <w:vAlign w:val="bottom"/>
            <w:hideMark/>
          </w:tcPr>
          <w:p w14:paraId="6D013F1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(111,000)</w:t>
            </w:r>
          </w:p>
        </w:tc>
        <w:tc>
          <w:tcPr>
            <w:tcW w:w="987" w:type="dxa"/>
            <w:tcBorders>
              <w:top w:val="nil"/>
              <w:left w:val="nil"/>
              <w:bottom w:val="single" w:sz="4" w:space="0" w:color="000000"/>
              <w:right w:val="single" w:sz="4" w:space="0" w:color="000000"/>
            </w:tcBorders>
            <w:noWrap/>
            <w:vAlign w:val="bottom"/>
            <w:hideMark/>
          </w:tcPr>
          <w:p w14:paraId="63DF5B3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(101,000)</w:t>
            </w:r>
          </w:p>
        </w:tc>
        <w:tc>
          <w:tcPr>
            <w:tcW w:w="987" w:type="dxa"/>
            <w:tcBorders>
              <w:top w:val="nil"/>
              <w:left w:val="nil"/>
              <w:bottom w:val="single" w:sz="4" w:space="0" w:color="000000"/>
              <w:right w:val="single" w:sz="4" w:space="0" w:color="000000"/>
            </w:tcBorders>
            <w:noWrap/>
            <w:vAlign w:val="bottom"/>
            <w:hideMark/>
          </w:tcPr>
          <w:p w14:paraId="0ABADD1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(76,000)</w:t>
            </w:r>
          </w:p>
        </w:tc>
        <w:tc>
          <w:tcPr>
            <w:tcW w:w="987" w:type="dxa"/>
            <w:tcBorders>
              <w:top w:val="nil"/>
              <w:left w:val="nil"/>
              <w:bottom w:val="single" w:sz="4" w:space="0" w:color="000000"/>
              <w:right w:val="single" w:sz="4" w:space="0" w:color="000000"/>
            </w:tcBorders>
            <w:noWrap/>
            <w:vAlign w:val="bottom"/>
            <w:hideMark/>
          </w:tcPr>
          <w:p w14:paraId="3DC0973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(123,000)</w:t>
            </w:r>
          </w:p>
        </w:tc>
        <w:tc>
          <w:tcPr>
            <w:tcW w:w="204" w:type="dxa"/>
            <w:tcBorders>
              <w:top w:val="nil"/>
              <w:left w:val="nil"/>
              <w:bottom w:val="nil"/>
              <w:right w:val="nil"/>
            </w:tcBorders>
            <w:noWrap/>
            <w:vAlign w:val="bottom"/>
            <w:hideMark/>
          </w:tcPr>
          <w:p w14:paraId="20760D59"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F6E15A9"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28C1AB0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Proceeds from stock option exercised</w:t>
            </w:r>
          </w:p>
        </w:tc>
        <w:tc>
          <w:tcPr>
            <w:tcW w:w="987" w:type="dxa"/>
            <w:tcBorders>
              <w:top w:val="nil"/>
              <w:left w:val="nil"/>
              <w:bottom w:val="single" w:sz="4" w:space="0" w:color="000000"/>
              <w:right w:val="single" w:sz="4" w:space="0" w:color="000000"/>
            </w:tcBorders>
            <w:noWrap/>
            <w:vAlign w:val="bottom"/>
            <w:hideMark/>
          </w:tcPr>
          <w:p w14:paraId="28CBF18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987" w:type="dxa"/>
            <w:tcBorders>
              <w:top w:val="nil"/>
              <w:left w:val="nil"/>
              <w:bottom w:val="single" w:sz="4" w:space="0" w:color="000000"/>
              <w:right w:val="single" w:sz="4" w:space="0" w:color="000000"/>
            </w:tcBorders>
            <w:noWrap/>
            <w:vAlign w:val="bottom"/>
            <w:hideMark/>
          </w:tcPr>
          <w:p w14:paraId="32FEBAA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1,536</w:t>
            </w:r>
          </w:p>
        </w:tc>
        <w:tc>
          <w:tcPr>
            <w:tcW w:w="987" w:type="dxa"/>
            <w:tcBorders>
              <w:top w:val="nil"/>
              <w:left w:val="nil"/>
              <w:bottom w:val="single" w:sz="4" w:space="0" w:color="000000"/>
              <w:right w:val="single" w:sz="4" w:space="0" w:color="000000"/>
            </w:tcBorders>
            <w:noWrap/>
            <w:vAlign w:val="bottom"/>
            <w:hideMark/>
          </w:tcPr>
          <w:p w14:paraId="714AE83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1,638</w:t>
            </w:r>
          </w:p>
        </w:tc>
        <w:tc>
          <w:tcPr>
            <w:tcW w:w="987" w:type="dxa"/>
            <w:tcBorders>
              <w:top w:val="nil"/>
              <w:left w:val="nil"/>
              <w:bottom w:val="single" w:sz="4" w:space="0" w:color="000000"/>
              <w:right w:val="single" w:sz="4" w:space="0" w:color="000000"/>
            </w:tcBorders>
            <w:noWrap/>
            <w:vAlign w:val="bottom"/>
            <w:hideMark/>
          </w:tcPr>
          <w:p w14:paraId="61BA65A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2,805</w:t>
            </w:r>
          </w:p>
        </w:tc>
        <w:tc>
          <w:tcPr>
            <w:tcW w:w="987" w:type="dxa"/>
            <w:tcBorders>
              <w:top w:val="nil"/>
              <w:left w:val="nil"/>
              <w:bottom w:val="single" w:sz="4" w:space="0" w:color="000000"/>
              <w:right w:val="single" w:sz="4" w:space="0" w:color="000000"/>
            </w:tcBorders>
            <w:noWrap/>
            <w:vAlign w:val="bottom"/>
            <w:hideMark/>
          </w:tcPr>
          <w:p w14:paraId="46D9DCC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 </w:t>
            </w:r>
          </w:p>
        </w:tc>
        <w:tc>
          <w:tcPr>
            <w:tcW w:w="204" w:type="dxa"/>
            <w:tcBorders>
              <w:top w:val="nil"/>
              <w:left w:val="nil"/>
              <w:bottom w:val="nil"/>
              <w:right w:val="nil"/>
            </w:tcBorders>
            <w:noWrap/>
            <w:vAlign w:val="bottom"/>
            <w:hideMark/>
          </w:tcPr>
          <w:p w14:paraId="2EF7B1D5"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8330740"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6D41FA1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Treasury stock purchased</w:t>
            </w:r>
          </w:p>
        </w:tc>
        <w:tc>
          <w:tcPr>
            <w:tcW w:w="987" w:type="dxa"/>
            <w:tcBorders>
              <w:top w:val="nil"/>
              <w:left w:val="nil"/>
              <w:bottom w:val="single" w:sz="4" w:space="0" w:color="000000"/>
              <w:right w:val="single" w:sz="4" w:space="0" w:color="000000"/>
            </w:tcBorders>
            <w:noWrap/>
            <w:vAlign w:val="bottom"/>
            <w:hideMark/>
          </w:tcPr>
          <w:p w14:paraId="172339D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(1,957)</w:t>
            </w:r>
          </w:p>
        </w:tc>
        <w:tc>
          <w:tcPr>
            <w:tcW w:w="987" w:type="dxa"/>
            <w:tcBorders>
              <w:top w:val="nil"/>
              <w:left w:val="nil"/>
              <w:bottom w:val="single" w:sz="4" w:space="0" w:color="000000"/>
              <w:right w:val="single" w:sz="4" w:space="0" w:color="000000"/>
            </w:tcBorders>
            <w:noWrap/>
            <w:vAlign w:val="bottom"/>
            <w:hideMark/>
          </w:tcPr>
          <w:p w14:paraId="3D6DC01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(1,779)</w:t>
            </w:r>
          </w:p>
        </w:tc>
        <w:tc>
          <w:tcPr>
            <w:tcW w:w="987" w:type="dxa"/>
            <w:tcBorders>
              <w:top w:val="nil"/>
              <w:left w:val="nil"/>
              <w:bottom w:val="single" w:sz="4" w:space="0" w:color="000000"/>
              <w:right w:val="single" w:sz="4" w:space="0" w:color="000000"/>
            </w:tcBorders>
            <w:noWrap/>
            <w:vAlign w:val="bottom"/>
            <w:hideMark/>
          </w:tcPr>
          <w:p w14:paraId="366F494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(13,035)</w:t>
            </w:r>
          </w:p>
        </w:tc>
        <w:tc>
          <w:tcPr>
            <w:tcW w:w="987" w:type="dxa"/>
            <w:tcBorders>
              <w:top w:val="nil"/>
              <w:left w:val="nil"/>
              <w:bottom w:val="single" w:sz="4" w:space="0" w:color="000000"/>
              <w:right w:val="single" w:sz="4" w:space="0" w:color="000000"/>
            </w:tcBorders>
            <w:noWrap/>
            <w:vAlign w:val="bottom"/>
            <w:hideMark/>
          </w:tcPr>
          <w:p w14:paraId="665A626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(59,664)</w:t>
            </w:r>
          </w:p>
        </w:tc>
        <w:tc>
          <w:tcPr>
            <w:tcW w:w="987" w:type="dxa"/>
            <w:tcBorders>
              <w:top w:val="nil"/>
              <w:left w:val="nil"/>
              <w:bottom w:val="single" w:sz="4" w:space="0" w:color="000000"/>
              <w:right w:val="single" w:sz="4" w:space="0" w:color="000000"/>
            </w:tcBorders>
            <w:noWrap/>
            <w:vAlign w:val="bottom"/>
            <w:hideMark/>
          </w:tcPr>
          <w:p w14:paraId="347F270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(17,678)</w:t>
            </w:r>
          </w:p>
        </w:tc>
        <w:tc>
          <w:tcPr>
            <w:tcW w:w="204" w:type="dxa"/>
            <w:tcBorders>
              <w:top w:val="nil"/>
              <w:left w:val="nil"/>
              <w:bottom w:val="nil"/>
              <w:right w:val="nil"/>
            </w:tcBorders>
            <w:noWrap/>
            <w:vAlign w:val="bottom"/>
            <w:hideMark/>
          </w:tcPr>
          <w:p w14:paraId="0D08DDD6"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9DE7A72"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8A9F80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lastRenderedPageBreak/>
              <w:t>Net cash from financing activities</w:t>
            </w:r>
          </w:p>
        </w:tc>
        <w:tc>
          <w:tcPr>
            <w:tcW w:w="987" w:type="dxa"/>
            <w:tcBorders>
              <w:top w:val="nil"/>
              <w:left w:val="nil"/>
              <w:bottom w:val="single" w:sz="4" w:space="0" w:color="000000"/>
              <w:right w:val="single" w:sz="4" w:space="0" w:color="000000"/>
            </w:tcBorders>
            <w:noWrap/>
            <w:vAlign w:val="bottom"/>
            <w:hideMark/>
          </w:tcPr>
          <w:p w14:paraId="3B9D970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(19,764)</w:t>
            </w:r>
          </w:p>
        </w:tc>
        <w:tc>
          <w:tcPr>
            <w:tcW w:w="987" w:type="dxa"/>
            <w:tcBorders>
              <w:top w:val="nil"/>
              <w:left w:val="nil"/>
              <w:bottom w:val="single" w:sz="4" w:space="0" w:color="000000"/>
              <w:right w:val="single" w:sz="4" w:space="0" w:color="000000"/>
            </w:tcBorders>
            <w:noWrap/>
            <w:vAlign w:val="bottom"/>
            <w:hideMark/>
          </w:tcPr>
          <w:p w14:paraId="27B71FD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(34,779)</w:t>
            </w:r>
          </w:p>
        </w:tc>
        <w:tc>
          <w:tcPr>
            <w:tcW w:w="987" w:type="dxa"/>
            <w:tcBorders>
              <w:top w:val="nil"/>
              <w:left w:val="nil"/>
              <w:bottom w:val="single" w:sz="4" w:space="0" w:color="000000"/>
              <w:right w:val="single" w:sz="4" w:space="0" w:color="000000"/>
            </w:tcBorders>
            <w:noWrap/>
            <w:vAlign w:val="bottom"/>
            <w:hideMark/>
          </w:tcPr>
          <w:p w14:paraId="374D351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20,501</w:t>
            </w:r>
          </w:p>
        </w:tc>
        <w:tc>
          <w:tcPr>
            <w:tcW w:w="987" w:type="dxa"/>
            <w:tcBorders>
              <w:top w:val="nil"/>
              <w:left w:val="nil"/>
              <w:bottom w:val="single" w:sz="4" w:space="0" w:color="000000"/>
              <w:right w:val="single" w:sz="4" w:space="0" w:color="000000"/>
            </w:tcBorders>
            <w:noWrap/>
            <w:vAlign w:val="bottom"/>
            <w:hideMark/>
          </w:tcPr>
          <w:p w14:paraId="27FAF08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(22,026)</w:t>
            </w:r>
          </w:p>
        </w:tc>
        <w:tc>
          <w:tcPr>
            <w:tcW w:w="987" w:type="dxa"/>
            <w:tcBorders>
              <w:top w:val="nil"/>
              <w:left w:val="nil"/>
              <w:bottom w:val="single" w:sz="4" w:space="0" w:color="000000"/>
              <w:right w:val="single" w:sz="4" w:space="0" w:color="000000"/>
            </w:tcBorders>
            <w:noWrap/>
            <w:vAlign w:val="bottom"/>
            <w:hideMark/>
          </w:tcPr>
          <w:p w14:paraId="60EB1D5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65,964</w:t>
            </w:r>
          </w:p>
        </w:tc>
        <w:tc>
          <w:tcPr>
            <w:tcW w:w="204" w:type="dxa"/>
            <w:tcBorders>
              <w:top w:val="nil"/>
              <w:left w:val="nil"/>
              <w:bottom w:val="nil"/>
              <w:right w:val="nil"/>
            </w:tcBorders>
            <w:noWrap/>
            <w:vAlign w:val="bottom"/>
            <w:hideMark/>
          </w:tcPr>
          <w:p w14:paraId="36D1CE27"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2C38446"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570C3DC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Effect of FX on cash</w:t>
            </w:r>
          </w:p>
        </w:tc>
        <w:tc>
          <w:tcPr>
            <w:tcW w:w="987" w:type="dxa"/>
            <w:tcBorders>
              <w:top w:val="nil"/>
              <w:left w:val="nil"/>
              <w:bottom w:val="single" w:sz="4" w:space="0" w:color="000000"/>
              <w:right w:val="single" w:sz="4" w:space="0" w:color="000000"/>
            </w:tcBorders>
            <w:noWrap/>
            <w:vAlign w:val="bottom"/>
            <w:hideMark/>
          </w:tcPr>
          <w:p w14:paraId="0BABF23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(2,598)</w:t>
            </w:r>
          </w:p>
        </w:tc>
        <w:tc>
          <w:tcPr>
            <w:tcW w:w="987" w:type="dxa"/>
            <w:tcBorders>
              <w:top w:val="nil"/>
              <w:left w:val="nil"/>
              <w:bottom w:val="single" w:sz="4" w:space="0" w:color="000000"/>
              <w:right w:val="single" w:sz="4" w:space="0" w:color="000000"/>
            </w:tcBorders>
            <w:noWrap/>
            <w:vAlign w:val="bottom"/>
            <w:hideMark/>
          </w:tcPr>
          <w:p w14:paraId="5E78BEF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(523)</w:t>
            </w:r>
          </w:p>
        </w:tc>
        <w:tc>
          <w:tcPr>
            <w:tcW w:w="987" w:type="dxa"/>
            <w:tcBorders>
              <w:top w:val="nil"/>
              <w:left w:val="nil"/>
              <w:bottom w:val="single" w:sz="4" w:space="0" w:color="000000"/>
              <w:right w:val="single" w:sz="4" w:space="0" w:color="000000"/>
            </w:tcBorders>
            <w:noWrap/>
            <w:vAlign w:val="bottom"/>
            <w:hideMark/>
          </w:tcPr>
          <w:p w14:paraId="5941E08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(4,292)</w:t>
            </w:r>
          </w:p>
        </w:tc>
        <w:tc>
          <w:tcPr>
            <w:tcW w:w="987" w:type="dxa"/>
            <w:tcBorders>
              <w:top w:val="nil"/>
              <w:left w:val="nil"/>
              <w:bottom w:val="single" w:sz="4" w:space="0" w:color="000000"/>
              <w:right w:val="single" w:sz="4" w:space="0" w:color="000000"/>
            </w:tcBorders>
            <w:noWrap/>
            <w:vAlign w:val="bottom"/>
            <w:hideMark/>
          </w:tcPr>
          <w:p w14:paraId="4F5008C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2,444</w:t>
            </w:r>
          </w:p>
        </w:tc>
        <w:tc>
          <w:tcPr>
            <w:tcW w:w="987" w:type="dxa"/>
            <w:tcBorders>
              <w:top w:val="nil"/>
              <w:left w:val="nil"/>
              <w:bottom w:val="single" w:sz="4" w:space="0" w:color="000000"/>
              <w:right w:val="single" w:sz="4" w:space="0" w:color="000000"/>
            </w:tcBorders>
            <w:noWrap/>
            <w:vAlign w:val="bottom"/>
            <w:hideMark/>
          </w:tcPr>
          <w:p w14:paraId="4C6E147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(843)</w:t>
            </w:r>
          </w:p>
        </w:tc>
        <w:tc>
          <w:tcPr>
            <w:tcW w:w="204" w:type="dxa"/>
            <w:tcBorders>
              <w:top w:val="nil"/>
              <w:left w:val="nil"/>
              <w:bottom w:val="nil"/>
              <w:right w:val="nil"/>
            </w:tcBorders>
            <w:noWrap/>
            <w:vAlign w:val="bottom"/>
            <w:hideMark/>
          </w:tcPr>
          <w:p w14:paraId="3614B07D"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49F7E64D"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1B65B9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Net change in cash</w:t>
            </w:r>
          </w:p>
        </w:tc>
        <w:tc>
          <w:tcPr>
            <w:tcW w:w="987" w:type="dxa"/>
            <w:tcBorders>
              <w:top w:val="nil"/>
              <w:left w:val="nil"/>
              <w:bottom w:val="single" w:sz="4" w:space="0" w:color="000000"/>
              <w:right w:val="single" w:sz="4" w:space="0" w:color="000000"/>
            </w:tcBorders>
            <w:noWrap/>
            <w:vAlign w:val="bottom"/>
            <w:hideMark/>
          </w:tcPr>
          <w:p w14:paraId="3BE50B8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(15,968)</w:t>
            </w:r>
          </w:p>
        </w:tc>
        <w:tc>
          <w:tcPr>
            <w:tcW w:w="987" w:type="dxa"/>
            <w:tcBorders>
              <w:top w:val="nil"/>
              <w:left w:val="nil"/>
              <w:bottom w:val="single" w:sz="4" w:space="0" w:color="000000"/>
              <w:right w:val="single" w:sz="4" w:space="0" w:color="000000"/>
            </w:tcBorders>
            <w:noWrap/>
            <w:vAlign w:val="bottom"/>
            <w:hideMark/>
          </w:tcPr>
          <w:p w14:paraId="5CF8C33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(23,989)</w:t>
            </w:r>
          </w:p>
        </w:tc>
        <w:tc>
          <w:tcPr>
            <w:tcW w:w="987" w:type="dxa"/>
            <w:tcBorders>
              <w:top w:val="nil"/>
              <w:left w:val="nil"/>
              <w:bottom w:val="single" w:sz="4" w:space="0" w:color="000000"/>
              <w:right w:val="single" w:sz="4" w:space="0" w:color="000000"/>
            </w:tcBorders>
            <w:noWrap/>
            <w:vAlign w:val="bottom"/>
            <w:hideMark/>
          </w:tcPr>
          <w:p w14:paraId="4E65E82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5,927</w:t>
            </w:r>
          </w:p>
        </w:tc>
        <w:tc>
          <w:tcPr>
            <w:tcW w:w="987" w:type="dxa"/>
            <w:tcBorders>
              <w:top w:val="nil"/>
              <w:left w:val="nil"/>
              <w:bottom w:val="single" w:sz="4" w:space="0" w:color="000000"/>
              <w:right w:val="single" w:sz="4" w:space="0" w:color="000000"/>
            </w:tcBorders>
            <w:noWrap/>
            <w:vAlign w:val="bottom"/>
            <w:hideMark/>
          </w:tcPr>
          <w:p w14:paraId="3687EB7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3,660</w:t>
            </w:r>
          </w:p>
        </w:tc>
        <w:tc>
          <w:tcPr>
            <w:tcW w:w="987" w:type="dxa"/>
            <w:tcBorders>
              <w:top w:val="nil"/>
              <w:left w:val="nil"/>
              <w:bottom w:val="single" w:sz="4" w:space="0" w:color="000000"/>
              <w:right w:val="single" w:sz="4" w:space="0" w:color="000000"/>
            </w:tcBorders>
            <w:noWrap/>
            <w:vAlign w:val="bottom"/>
            <w:hideMark/>
          </w:tcPr>
          <w:p w14:paraId="1761497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(17,149)</w:t>
            </w:r>
          </w:p>
        </w:tc>
        <w:tc>
          <w:tcPr>
            <w:tcW w:w="204" w:type="dxa"/>
            <w:tcBorders>
              <w:top w:val="nil"/>
              <w:left w:val="nil"/>
              <w:bottom w:val="nil"/>
              <w:right w:val="nil"/>
            </w:tcBorders>
            <w:noWrap/>
            <w:vAlign w:val="bottom"/>
            <w:hideMark/>
          </w:tcPr>
          <w:p w14:paraId="0A4D13A9"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3A8BDC17"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464B02B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Cash at beginning of period</w:t>
            </w:r>
          </w:p>
        </w:tc>
        <w:tc>
          <w:tcPr>
            <w:tcW w:w="987" w:type="dxa"/>
            <w:tcBorders>
              <w:top w:val="nil"/>
              <w:left w:val="nil"/>
              <w:bottom w:val="single" w:sz="4" w:space="0" w:color="000000"/>
              <w:right w:val="single" w:sz="4" w:space="0" w:color="000000"/>
            </w:tcBorders>
            <w:noWrap/>
            <w:vAlign w:val="bottom"/>
            <w:hideMark/>
          </w:tcPr>
          <w:p w14:paraId="46B52D0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42,751</w:t>
            </w:r>
          </w:p>
        </w:tc>
        <w:tc>
          <w:tcPr>
            <w:tcW w:w="987" w:type="dxa"/>
            <w:tcBorders>
              <w:top w:val="nil"/>
              <w:left w:val="nil"/>
              <w:bottom w:val="single" w:sz="4" w:space="0" w:color="000000"/>
              <w:right w:val="single" w:sz="4" w:space="0" w:color="000000"/>
            </w:tcBorders>
            <w:noWrap/>
            <w:vAlign w:val="bottom"/>
            <w:hideMark/>
          </w:tcPr>
          <w:p w14:paraId="2F8C747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66,740</w:t>
            </w:r>
          </w:p>
        </w:tc>
        <w:tc>
          <w:tcPr>
            <w:tcW w:w="987" w:type="dxa"/>
            <w:tcBorders>
              <w:top w:val="nil"/>
              <w:left w:val="nil"/>
              <w:bottom w:val="single" w:sz="4" w:space="0" w:color="000000"/>
              <w:right w:val="single" w:sz="4" w:space="0" w:color="000000"/>
            </w:tcBorders>
            <w:noWrap/>
            <w:vAlign w:val="bottom"/>
            <w:hideMark/>
          </w:tcPr>
          <w:p w14:paraId="3A5D427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60,813</w:t>
            </w:r>
          </w:p>
        </w:tc>
        <w:tc>
          <w:tcPr>
            <w:tcW w:w="987" w:type="dxa"/>
            <w:tcBorders>
              <w:top w:val="nil"/>
              <w:left w:val="nil"/>
              <w:bottom w:val="single" w:sz="4" w:space="0" w:color="000000"/>
              <w:right w:val="single" w:sz="4" w:space="0" w:color="000000"/>
            </w:tcBorders>
            <w:noWrap/>
            <w:vAlign w:val="bottom"/>
            <w:hideMark/>
          </w:tcPr>
          <w:p w14:paraId="26CC8AE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57,153</w:t>
            </w:r>
          </w:p>
        </w:tc>
        <w:tc>
          <w:tcPr>
            <w:tcW w:w="987" w:type="dxa"/>
            <w:tcBorders>
              <w:top w:val="nil"/>
              <w:left w:val="nil"/>
              <w:bottom w:val="single" w:sz="4" w:space="0" w:color="000000"/>
              <w:right w:val="single" w:sz="4" w:space="0" w:color="000000"/>
            </w:tcBorders>
            <w:noWrap/>
            <w:vAlign w:val="bottom"/>
            <w:hideMark/>
          </w:tcPr>
          <w:p w14:paraId="0FF9A36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74,302</w:t>
            </w:r>
          </w:p>
        </w:tc>
        <w:tc>
          <w:tcPr>
            <w:tcW w:w="204" w:type="dxa"/>
            <w:tcBorders>
              <w:top w:val="nil"/>
              <w:left w:val="nil"/>
              <w:bottom w:val="nil"/>
              <w:right w:val="nil"/>
            </w:tcBorders>
            <w:noWrap/>
            <w:vAlign w:val="bottom"/>
            <w:hideMark/>
          </w:tcPr>
          <w:p w14:paraId="76FF4876"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2725CC0D"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228736B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Cash at end of period</w:t>
            </w:r>
          </w:p>
        </w:tc>
        <w:tc>
          <w:tcPr>
            <w:tcW w:w="987" w:type="dxa"/>
            <w:tcBorders>
              <w:top w:val="nil"/>
              <w:left w:val="nil"/>
              <w:bottom w:val="single" w:sz="4" w:space="0" w:color="000000"/>
              <w:right w:val="single" w:sz="4" w:space="0" w:color="000000"/>
            </w:tcBorders>
            <w:noWrap/>
            <w:vAlign w:val="bottom"/>
            <w:hideMark/>
          </w:tcPr>
          <w:p w14:paraId="384A2A6C"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26,783</w:t>
            </w:r>
          </w:p>
        </w:tc>
        <w:tc>
          <w:tcPr>
            <w:tcW w:w="987" w:type="dxa"/>
            <w:tcBorders>
              <w:top w:val="nil"/>
              <w:left w:val="nil"/>
              <w:bottom w:val="single" w:sz="4" w:space="0" w:color="000000"/>
              <w:right w:val="single" w:sz="4" w:space="0" w:color="000000"/>
            </w:tcBorders>
            <w:noWrap/>
            <w:vAlign w:val="bottom"/>
            <w:hideMark/>
          </w:tcPr>
          <w:p w14:paraId="104A505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42,751</w:t>
            </w:r>
          </w:p>
        </w:tc>
        <w:tc>
          <w:tcPr>
            <w:tcW w:w="987" w:type="dxa"/>
            <w:tcBorders>
              <w:top w:val="nil"/>
              <w:left w:val="nil"/>
              <w:bottom w:val="single" w:sz="4" w:space="0" w:color="000000"/>
              <w:right w:val="single" w:sz="4" w:space="0" w:color="000000"/>
            </w:tcBorders>
            <w:noWrap/>
            <w:vAlign w:val="bottom"/>
            <w:hideMark/>
          </w:tcPr>
          <w:p w14:paraId="0DF8208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66,740</w:t>
            </w:r>
          </w:p>
        </w:tc>
        <w:tc>
          <w:tcPr>
            <w:tcW w:w="987" w:type="dxa"/>
            <w:tcBorders>
              <w:top w:val="nil"/>
              <w:left w:val="nil"/>
              <w:bottom w:val="single" w:sz="4" w:space="0" w:color="000000"/>
              <w:right w:val="single" w:sz="4" w:space="0" w:color="000000"/>
            </w:tcBorders>
            <w:noWrap/>
            <w:vAlign w:val="bottom"/>
            <w:hideMark/>
          </w:tcPr>
          <w:p w14:paraId="03047A2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60,813</w:t>
            </w:r>
          </w:p>
        </w:tc>
        <w:tc>
          <w:tcPr>
            <w:tcW w:w="987" w:type="dxa"/>
            <w:tcBorders>
              <w:top w:val="nil"/>
              <w:left w:val="nil"/>
              <w:bottom w:val="single" w:sz="4" w:space="0" w:color="000000"/>
              <w:right w:val="single" w:sz="4" w:space="0" w:color="000000"/>
            </w:tcBorders>
            <w:noWrap/>
            <w:vAlign w:val="bottom"/>
            <w:hideMark/>
          </w:tcPr>
          <w:p w14:paraId="5DCE792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57,153</w:t>
            </w:r>
          </w:p>
        </w:tc>
        <w:tc>
          <w:tcPr>
            <w:tcW w:w="204" w:type="dxa"/>
            <w:tcBorders>
              <w:top w:val="nil"/>
              <w:left w:val="nil"/>
              <w:bottom w:val="nil"/>
              <w:right w:val="nil"/>
            </w:tcBorders>
            <w:noWrap/>
            <w:vAlign w:val="bottom"/>
            <w:hideMark/>
          </w:tcPr>
          <w:p w14:paraId="550B220A"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E4D43A2" w14:textId="77777777" w:rsidTr="009558E3">
        <w:trPr>
          <w:trHeight w:val="264"/>
        </w:trPr>
        <w:tc>
          <w:tcPr>
            <w:tcW w:w="4923" w:type="dxa"/>
            <w:tcBorders>
              <w:top w:val="nil"/>
              <w:left w:val="nil"/>
              <w:bottom w:val="nil"/>
              <w:right w:val="nil"/>
            </w:tcBorders>
            <w:noWrap/>
            <w:vAlign w:val="bottom"/>
            <w:hideMark/>
          </w:tcPr>
          <w:p w14:paraId="7011D035"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766D7803"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60A2078B"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43085476"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319CFB19"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6E59CBD1"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204" w:type="dxa"/>
            <w:tcBorders>
              <w:top w:val="nil"/>
              <w:left w:val="nil"/>
              <w:bottom w:val="nil"/>
              <w:right w:val="nil"/>
            </w:tcBorders>
            <w:noWrap/>
            <w:vAlign w:val="bottom"/>
            <w:hideMark/>
          </w:tcPr>
          <w:p w14:paraId="05ECF3AF"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r>
      <w:tr w:rsidR="006B51A1" w:rsidRPr="006B51A1" w14:paraId="1FC90D7E" w14:textId="77777777" w:rsidTr="009558E3">
        <w:trPr>
          <w:trHeight w:val="264"/>
        </w:trPr>
        <w:tc>
          <w:tcPr>
            <w:tcW w:w="10063" w:type="dxa"/>
            <w:gridSpan w:val="7"/>
            <w:tcBorders>
              <w:top w:val="nil"/>
              <w:left w:val="nil"/>
              <w:bottom w:val="nil"/>
              <w:right w:val="nil"/>
            </w:tcBorders>
            <w:noWrap/>
            <w:vAlign w:val="bottom"/>
            <w:hideMark/>
          </w:tcPr>
          <w:p w14:paraId="25288D7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Key Calculations &amp; Ratios</w:t>
            </w:r>
          </w:p>
        </w:tc>
      </w:tr>
      <w:tr w:rsidR="006B51A1" w:rsidRPr="006B51A1" w14:paraId="68465AF2" w14:textId="77777777" w:rsidTr="009558E3">
        <w:trPr>
          <w:trHeight w:val="264"/>
        </w:trPr>
        <w:tc>
          <w:tcPr>
            <w:tcW w:w="4923" w:type="dxa"/>
            <w:tcBorders>
              <w:top w:val="single" w:sz="4" w:space="0" w:color="000000"/>
              <w:left w:val="single" w:sz="4" w:space="0" w:color="000000"/>
              <w:bottom w:val="single" w:sz="4" w:space="0" w:color="000000"/>
              <w:right w:val="single" w:sz="4" w:space="0" w:color="000000"/>
            </w:tcBorders>
            <w:noWrap/>
            <w:vAlign w:val="bottom"/>
            <w:hideMark/>
          </w:tcPr>
          <w:p w14:paraId="7F1751C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Gross margin</w:t>
            </w:r>
          </w:p>
        </w:tc>
        <w:tc>
          <w:tcPr>
            <w:tcW w:w="987" w:type="dxa"/>
            <w:tcBorders>
              <w:top w:val="single" w:sz="4" w:space="0" w:color="000000"/>
              <w:left w:val="nil"/>
              <w:bottom w:val="single" w:sz="4" w:space="0" w:color="000000"/>
              <w:right w:val="single" w:sz="4" w:space="0" w:color="000000"/>
            </w:tcBorders>
            <w:noWrap/>
            <w:vAlign w:val="bottom"/>
            <w:hideMark/>
          </w:tcPr>
          <w:p w14:paraId="3CA8D8D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28.9%</w:t>
            </w:r>
          </w:p>
        </w:tc>
        <w:tc>
          <w:tcPr>
            <w:tcW w:w="987" w:type="dxa"/>
            <w:tcBorders>
              <w:top w:val="single" w:sz="4" w:space="0" w:color="000000"/>
              <w:left w:val="nil"/>
              <w:bottom w:val="single" w:sz="4" w:space="0" w:color="000000"/>
              <w:right w:val="single" w:sz="4" w:space="0" w:color="000000"/>
            </w:tcBorders>
            <w:noWrap/>
            <w:vAlign w:val="bottom"/>
            <w:hideMark/>
          </w:tcPr>
          <w:p w14:paraId="3493AE10"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23.2%</w:t>
            </w:r>
          </w:p>
        </w:tc>
        <w:tc>
          <w:tcPr>
            <w:tcW w:w="987" w:type="dxa"/>
            <w:tcBorders>
              <w:top w:val="single" w:sz="4" w:space="0" w:color="000000"/>
              <w:left w:val="nil"/>
              <w:bottom w:val="single" w:sz="4" w:space="0" w:color="000000"/>
              <w:right w:val="single" w:sz="4" w:space="0" w:color="000000"/>
            </w:tcBorders>
            <w:noWrap/>
            <w:vAlign w:val="bottom"/>
            <w:hideMark/>
          </w:tcPr>
          <w:p w14:paraId="20895C4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28.1%</w:t>
            </w:r>
          </w:p>
        </w:tc>
        <w:tc>
          <w:tcPr>
            <w:tcW w:w="987" w:type="dxa"/>
            <w:tcBorders>
              <w:top w:val="single" w:sz="4" w:space="0" w:color="000000"/>
              <w:left w:val="nil"/>
              <w:bottom w:val="single" w:sz="4" w:space="0" w:color="000000"/>
              <w:right w:val="single" w:sz="4" w:space="0" w:color="000000"/>
            </w:tcBorders>
            <w:noWrap/>
            <w:vAlign w:val="bottom"/>
            <w:hideMark/>
          </w:tcPr>
          <w:p w14:paraId="50A4E52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28.8%</w:t>
            </w:r>
          </w:p>
        </w:tc>
        <w:tc>
          <w:tcPr>
            <w:tcW w:w="987" w:type="dxa"/>
            <w:tcBorders>
              <w:top w:val="single" w:sz="4" w:space="0" w:color="000000"/>
              <w:left w:val="nil"/>
              <w:bottom w:val="single" w:sz="4" w:space="0" w:color="000000"/>
              <w:right w:val="single" w:sz="4" w:space="0" w:color="000000"/>
            </w:tcBorders>
            <w:noWrap/>
            <w:vAlign w:val="bottom"/>
            <w:hideMark/>
          </w:tcPr>
          <w:p w14:paraId="60F8FF0F"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28.7%</w:t>
            </w:r>
          </w:p>
        </w:tc>
        <w:tc>
          <w:tcPr>
            <w:tcW w:w="204" w:type="dxa"/>
            <w:tcBorders>
              <w:top w:val="nil"/>
              <w:left w:val="nil"/>
              <w:bottom w:val="nil"/>
              <w:right w:val="nil"/>
            </w:tcBorders>
            <w:noWrap/>
            <w:vAlign w:val="bottom"/>
            <w:hideMark/>
          </w:tcPr>
          <w:p w14:paraId="4B5DCB20"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3829E0C1"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6E1BEB5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Operating margin</w:t>
            </w:r>
          </w:p>
        </w:tc>
        <w:tc>
          <w:tcPr>
            <w:tcW w:w="987" w:type="dxa"/>
            <w:tcBorders>
              <w:top w:val="nil"/>
              <w:left w:val="nil"/>
              <w:bottom w:val="single" w:sz="4" w:space="0" w:color="000000"/>
              <w:right w:val="single" w:sz="4" w:space="0" w:color="000000"/>
            </w:tcBorders>
            <w:noWrap/>
            <w:vAlign w:val="bottom"/>
            <w:hideMark/>
          </w:tcPr>
          <w:p w14:paraId="401FC132"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(3.9%)</w:t>
            </w:r>
          </w:p>
        </w:tc>
        <w:tc>
          <w:tcPr>
            <w:tcW w:w="987" w:type="dxa"/>
            <w:tcBorders>
              <w:top w:val="nil"/>
              <w:left w:val="nil"/>
              <w:bottom w:val="single" w:sz="4" w:space="0" w:color="000000"/>
              <w:right w:val="single" w:sz="4" w:space="0" w:color="000000"/>
            </w:tcBorders>
            <w:noWrap/>
            <w:vAlign w:val="bottom"/>
            <w:hideMark/>
          </w:tcPr>
          <w:p w14:paraId="1D43605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(20.3%)</w:t>
            </w:r>
          </w:p>
        </w:tc>
        <w:tc>
          <w:tcPr>
            <w:tcW w:w="987" w:type="dxa"/>
            <w:tcBorders>
              <w:top w:val="nil"/>
              <w:left w:val="nil"/>
              <w:bottom w:val="single" w:sz="4" w:space="0" w:color="000000"/>
              <w:right w:val="single" w:sz="4" w:space="0" w:color="000000"/>
            </w:tcBorders>
            <w:noWrap/>
            <w:vAlign w:val="bottom"/>
            <w:hideMark/>
          </w:tcPr>
          <w:p w14:paraId="3CD31CBB"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2.7%</w:t>
            </w:r>
          </w:p>
        </w:tc>
        <w:tc>
          <w:tcPr>
            <w:tcW w:w="987" w:type="dxa"/>
            <w:tcBorders>
              <w:top w:val="nil"/>
              <w:left w:val="nil"/>
              <w:bottom w:val="single" w:sz="4" w:space="0" w:color="000000"/>
              <w:right w:val="single" w:sz="4" w:space="0" w:color="000000"/>
            </w:tcBorders>
            <w:noWrap/>
            <w:vAlign w:val="bottom"/>
            <w:hideMark/>
          </w:tcPr>
          <w:p w14:paraId="0A01FDD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3.9%</w:t>
            </w:r>
          </w:p>
        </w:tc>
        <w:tc>
          <w:tcPr>
            <w:tcW w:w="987" w:type="dxa"/>
            <w:tcBorders>
              <w:top w:val="nil"/>
              <w:left w:val="nil"/>
              <w:bottom w:val="single" w:sz="4" w:space="0" w:color="000000"/>
              <w:right w:val="single" w:sz="4" w:space="0" w:color="000000"/>
            </w:tcBorders>
            <w:noWrap/>
            <w:vAlign w:val="bottom"/>
            <w:hideMark/>
          </w:tcPr>
          <w:p w14:paraId="0973D4A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6.1%</w:t>
            </w:r>
          </w:p>
        </w:tc>
        <w:tc>
          <w:tcPr>
            <w:tcW w:w="204" w:type="dxa"/>
            <w:tcBorders>
              <w:top w:val="nil"/>
              <w:left w:val="nil"/>
              <w:bottom w:val="nil"/>
              <w:right w:val="nil"/>
            </w:tcBorders>
            <w:noWrap/>
            <w:vAlign w:val="bottom"/>
            <w:hideMark/>
          </w:tcPr>
          <w:p w14:paraId="3BB209AC"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129A43F6"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9A01AB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Net margin</w:t>
            </w:r>
          </w:p>
        </w:tc>
        <w:tc>
          <w:tcPr>
            <w:tcW w:w="987" w:type="dxa"/>
            <w:tcBorders>
              <w:top w:val="nil"/>
              <w:left w:val="nil"/>
              <w:bottom w:val="single" w:sz="4" w:space="0" w:color="000000"/>
              <w:right w:val="single" w:sz="4" w:space="0" w:color="000000"/>
            </w:tcBorders>
            <w:noWrap/>
            <w:vAlign w:val="bottom"/>
            <w:hideMark/>
          </w:tcPr>
          <w:p w14:paraId="4E2DA6B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(6.1%)</w:t>
            </w:r>
          </w:p>
        </w:tc>
        <w:tc>
          <w:tcPr>
            <w:tcW w:w="987" w:type="dxa"/>
            <w:tcBorders>
              <w:top w:val="nil"/>
              <w:left w:val="nil"/>
              <w:bottom w:val="single" w:sz="4" w:space="0" w:color="000000"/>
              <w:right w:val="single" w:sz="4" w:space="0" w:color="000000"/>
            </w:tcBorders>
            <w:noWrap/>
            <w:vAlign w:val="bottom"/>
            <w:hideMark/>
          </w:tcPr>
          <w:p w14:paraId="486171D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color w:val="FF0000"/>
                <w:kern w:val="0"/>
                <w14:ligatures w14:val="none"/>
              </w:rPr>
              <w:t>(23.4%)</w:t>
            </w:r>
          </w:p>
        </w:tc>
        <w:tc>
          <w:tcPr>
            <w:tcW w:w="987" w:type="dxa"/>
            <w:tcBorders>
              <w:top w:val="nil"/>
              <w:left w:val="nil"/>
              <w:bottom w:val="single" w:sz="4" w:space="0" w:color="000000"/>
              <w:right w:val="single" w:sz="4" w:space="0" w:color="000000"/>
            </w:tcBorders>
            <w:noWrap/>
            <w:vAlign w:val="bottom"/>
            <w:hideMark/>
          </w:tcPr>
          <w:p w14:paraId="5D599AF3"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0.1%</w:t>
            </w:r>
          </w:p>
        </w:tc>
        <w:tc>
          <w:tcPr>
            <w:tcW w:w="987" w:type="dxa"/>
            <w:tcBorders>
              <w:top w:val="nil"/>
              <w:left w:val="nil"/>
              <w:bottom w:val="single" w:sz="4" w:space="0" w:color="000000"/>
              <w:right w:val="single" w:sz="4" w:space="0" w:color="000000"/>
            </w:tcBorders>
            <w:noWrap/>
            <w:vAlign w:val="bottom"/>
            <w:hideMark/>
          </w:tcPr>
          <w:p w14:paraId="519A458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0.9%</w:t>
            </w:r>
          </w:p>
        </w:tc>
        <w:tc>
          <w:tcPr>
            <w:tcW w:w="987" w:type="dxa"/>
            <w:tcBorders>
              <w:top w:val="nil"/>
              <w:left w:val="nil"/>
              <w:bottom w:val="single" w:sz="4" w:space="0" w:color="000000"/>
              <w:right w:val="single" w:sz="4" w:space="0" w:color="000000"/>
            </w:tcBorders>
            <w:noWrap/>
            <w:vAlign w:val="bottom"/>
            <w:hideMark/>
          </w:tcPr>
          <w:p w14:paraId="266B13E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6.3%</w:t>
            </w:r>
          </w:p>
        </w:tc>
        <w:tc>
          <w:tcPr>
            <w:tcW w:w="204" w:type="dxa"/>
            <w:tcBorders>
              <w:top w:val="nil"/>
              <w:left w:val="nil"/>
              <w:bottom w:val="nil"/>
              <w:right w:val="nil"/>
            </w:tcBorders>
            <w:noWrap/>
            <w:vAlign w:val="bottom"/>
            <w:hideMark/>
          </w:tcPr>
          <w:p w14:paraId="74E865E7"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6CF692A6" w14:textId="77777777" w:rsidTr="009558E3">
        <w:trPr>
          <w:trHeight w:val="264"/>
        </w:trPr>
        <w:tc>
          <w:tcPr>
            <w:tcW w:w="4923" w:type="dxa"/>
            <w:tcBorders>
              <w:top w:val="nil"/>
              <w:left w:val="nil"/>
              <w:bottom w:val="nil"/>
              <w:right w:val="nil"/>
            </w:tcBorders>
            <w:noWrap/>
            <w:vAlign w:val="bottom"/>
            <w:hideMark/>
          </w:tcPr>
          <w:p w14:paraId="432DDD5A"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5191AD3F"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5CB024C6"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6C7FA66E"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7820B661"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987" w:type="dxa"/>
            <w:tcBorders>
              <w:top w:val="nil"/>
              <w:left w:val="nil"/>
              <w:bottom w:val="nil"/>
              <w:right w:val="nil"/>
            </w:tcBorders>
            <w:noWrap/>
            <w:vAlign w:val="bottom"/>
            <w:hideMark/>
          </w:tcPr>
          <w:p w14:paraId="1A01A126"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c>
          <w:tcPr>
            <w:tcW w:w="204" w:type="dxa"/>
            <w:tcBorders>
              <w:top w:val="nil"/>
              <w:left w:val="nil"/>
              <w:bottom w:val="nil"/>
              <w:right w:val="nil"/>
            </w:tcBorders>
            <w:noWrap/>
            <w:vAlign w:val="bottom"/>
            <w:hideMark/>
          </w:tcPr>
          <w:p w14:paraId="4B8FF6A9" w14:textId="77777777" w:rsidR="006B51A1" w:rsidRPr="006B51A1" w:rsidRDefault="006B51A1" w:rsidP="009558E3">
            <w:pPr>
              <w:spacing w:after="0" w:line="240" w:lineRule="auto"/>
              <w:jc w:val="both"/>
              <w:rPr>
                <w:rFonts w:ascii="Times New Roman" w:eastAsia="Times New Roman" w:hAnsi="Times New Roman" w:cs="Times New Roman"/>
                <w:kern w:val="0"/>
                <w:sz w:val="22"/>
                <w:szCs w:val="22"/>
                <w14:ligatures w14:val="none"/>
              </w:rPr>
            </w:pPr>
          </w:p>
        </w:tc>
      </w:tr>
      <w:tr w:rsidR="006B51A1" w:rsidRPr="006B51A1" w14:paraId="7F034D63" w14:textId="77777777" w:rsidTr="009558E3">
        <w:trPr>
          <w:trHeight w:val="264"/>
        </w:trPr>
        <w:tc>
          <w:tcPr>
            <w:tcW w:w="4923" w:type="dxa"/>
            <w:tcBorders>
              <w:top w:val="single" w:sz="4" w:space="0" w:color="000000"/>
              <w:left w:val="single" w:sz="4" w:space="0" w:color="000000"/>
              <w:bottom w:val="single" w:sz="4" w:space="0" w:color="000000"/>
              <w:right w:val="single" w:sz="4" w:space="0" w:color="000000"/>
            </w:tcBorders>
            <w:noWrap/>
            <w:vAlign w:val="bottom"/>
            <w:hideMark/>
          </w:tcPr>
          <w:p w14:paraId="4A64E1A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Net working capital (£m)</w:t>
            </w:r>
          </w:p>
        </w:tc>
        <w:tc>
          <w:tcPr>
            <w:tcW w:w="987" w:type="dxa"/>
            <w:tcBorders>
              <w:top w:val="single" w:sz="4" w:space="0" w:color="000000"/>
              <w:left w:val="nil"/>
              <w:bottom w:val="single" w:sz="4" w:space="0" w:color="000000"/>
              <w:right w:val="single" w:sz="4" w:space="0" w:color="000000"/>
            </w:tcBorders>
            <w:noWrap/>
            <w:vAlign w:val="bottom"/>
            <w:hideMark/>
          </w:tcPr>
          <w:p w14:paraId="1B321E3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84,203</w:t>
            </w:r>
          </w:p>
        </w:tc>
        <w:tc>
          <w:tcPr>
            <w:tcW w:w="987" w:type="dxa"/>
            <w:tcBorders>
              <w:top w:val="single" w:sz="4" w:space="0" w:color="000000"/>
              <w:left w:val="nil"/>
              <w:bottom w:val="single" w:sz="4" w:space="0" w:color="000000"/>
              <w:right w:val="single" w:sz="4" w:space="0" w:color="000000"/>
            </w:tcBorders>
            <w:noWrap/>
            <w:vAlign w:val="bottom"/>
            <w:hideMark/>
          </w:tcPr>
          <w:p w14:paraId="6CBEB7B7"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97,703</w:t>
            </w:r>
          </w:p>
        </w:tc>
        <w:tc>
          <w:tcPr>
            <w:tcW w:w="987" w:type="dxa"/>
            <w:tcBorders>
              <w:top w:val="single" w:sz="4" w:space="0" w:color="000000"/>
              <w:left w:val="nil"/>
              <w:bottom w:val="single" w:sz="4" w:space="0" w:color="000000"/>
              <w:right w:val="single" w:sz="4" w:space="0" w:color="000000"/>
            </w:tcBorders>
            <w:noWrap/>
            <w:vAlign w:val="bottom"/>
            <w:hideMark/>
          </w:tcPr>
          <w:p w14:paraId="6B9AD21A"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121,567</w:t>
            </w:r>
          </w:p>
        </w:tc>
        <w:tc>
          <w:tcPr>
            <w:tcW w:w="987" w:type="dxa"/>
            <w:tcBorders>
              <w:top w:val="single" w:sz="4" w:space="0" w:color="000000"/>
              <w:left w:val="nil"/>
              <w:bottom w:val="single" w:sz="4" w:space="0" w:color="000000"/>
              <w:right w:val="single" w:sz="4" w:space="0" w:color="000000"/>
            </w:tcBorders>
            <w:noWrap/>
            <w:vAlign w:val="bottom"/>
            <w:hideMark/>
          </w:tcPr>
          <w:p w14:paraId="2D7B1B9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120,359</w:t>
            </w:r>
          </w:p>
        </w:tc>
        <w:tc>
          <w:tcPr>
            <w:tcW w:w="987" w:type="dxa"/>
            <w:tcBorders>
              <w:top w:val="single" w:sz="4" w:space="0" w:color="000000"/>
              <w:left w:val="nil"/>
              <w:bottom w:val="single" w:sz="4" w:space="0" w:color="000000"/>
              <w:right w:val="single" w:sz="4" w:space="0" w:color="000000"/>
            </w:tcBorders>
            <w:noWrap/>
            <w:vAlign w:val="bottom"/>
            <w:hideMark/>
          </w:tcPr>
          <w:p w14:paraId="66DD67B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147,333</w:t>
            </w:r>
          </w:p>
        </w:tc>
        <w:tc>
          <w:tcPr>
            <w:tcW w:w="204" w:type="dxa"/>
            <w:tcBorders>
              <w:top w:val="nil"/>
              <w:left w:val="nil"/>
              <w:bottom w:val="nil"/>
              <w:right w:val="nil"/>
            </w:tcBorders>
            <w:noWrap/>
            <w:vAlign w:val="bottom"/>
            <w:hideMark/>
          </w:tcPr>
          <w:p w14:paraId="56E08962"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3885C031"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3CBCD88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Current ratio</w:t>
            </w:r>
          </w:p>
        </w:tc>
        <w:tc>
          <w:tcPr>
            <w:tcW w:w="987" w:type="dxa"/>
            <w:tcBorders>
              <w:top w:val="nil"/>
              <w:left w:val="nil"/>
              <w:bottom w:val="single" w:sz="4" w:space="0" w:color="000000"/>
              <w:right w:val="single" w:sz="4" w:space="0" w:color="000000"/>
            </w:tcBorders>
            <w:noWrap/>
            <w:vAlign w:val="bottom"/>
            <w:hideMark/>
          </w:tcPr>
          <w:p w14:paraId="33CBC62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1.53</w:t>
            </w:r>
          </w:p>
        </w:tc>
        <w:tc>
          <w:tcPr>
            <w:tcW w:w="987" w:type="dxa"/>
            <w:tcBorders>
              <w:top w:val="nil"/>
              <w:left w:val="nil"/>
              <w:bottom w:val="single" w:sz="4" w:space="0" w:color="000000"/>
              <w:right w:val="single" w:sz="4" w:space="0" w:color="000000"/>
            </w:tcBorders>
            <w:noWrap/>
            <w:vAlign w:val="bottom"/>
            <w:hideMark/>
          </w:tcPr>
          <w:p w14:paraId="2B7CA8F8"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1.61</w:t>
            </w:r>
          </w:p>
        </w:tc>
        <w:tc>
          <w:tcPr>
            <w:tcW w:w="987" w:type="dxa"/>
            <w:tcBorders>
              <w:top w:val="nil"/>
              <w:left w:val="nil"/>
              <w:bottom w:val="single" w:sz="4" w:space="0" w:color="000000"/>
              <w:right w:val="single" w:sz="4" w:space="0" w:color="000000"/>
            </w:tcBorders>
            <w:noWrap/>
            <w:vAlign w:val="bottom"/>
            <w:hideMark/>
          </w:tcPr>
          <w:p w14:paraId="686B08C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1.56</w:t>
            </w:r>
          </w:p>
        </w:tc>
        <w:tc>
          <w:tcPr>
            <w:tcW w:w="987" w:type="dxa"/>
            <w:tcBorders>
              <w:top w:val="nil"/>
              <w:left w:val="nil"/>
              <w:bottom w:val="single" w:sz="4" w:space="0" w:color="000000"/>
              <w:right w:val="single" w:sz="4" w:space="0" w:color="000000"/>
            </w:tcBorders>
            <w:noWrap/>
            <w:vAlign w:val="bottom"/>
            <w:hideMark/>
          </w:tcPr>
          <w:p w14:paraId="6D3CE6ED"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1.56</w:t>
            </w:r>
          </w:p>
        </w:tc>
        <w:tc>
          <w:tcPr>
            <w:tcW w:w="987" w:type="dxa"/>
            <w:tcBorders>
              <w:top w:val="nil"/>
              <w:left w:val="nil"/>
              <w:bottom w:val="single" w:sz="4" w:space="0" w:color="000000"/>
              <w:right w:val="single" w:sz="4" w:space="0" w:color="000000"/>
            </w:tcBorders>
            <w:noWrap/>
            <w:vAlign w:val="bottom"/>
            <w:hideMark/>
          </w:tcPr>
          <w:p w14:paraId="5473FF1E"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1.82</w:t>
            </w:r>
          </w:p>
        </w:tc>
        <w:tc>
          <w:tcPr>
            <w:tcW w:w="204" w:type="dxa"/>
            <w:tcBorders>
              <w:top w:val="nil"/>
              <w:left w:val="nil"/>
              <w:bottom w:val="nil"/>
              <w:right w:val="nil"/>
            </w:tcBorders>
            <w:noWrap/>
            <w:vAlign w:val="bottom"/>
            <w:hideMark/>
          </w:tcPr>
          <w:p w14:paraId="010F06D5"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r w:rsidR="006B51A1" w:rsidRPr="006B51A1" w14:paraId="5EA5C8DC" w14:textId="77777777" w:rsidTr="009558E3">
        <w:trPr>
          <w:trHeight w:val="264"/>
        </w:trPr>
        <w:tc>
          <w:tcPr>
            <w:tcW w:w="4923" w:type="dxa"/>
            <w:tcBorders>
              <w:top w:val="nil"/>
              <w:left w:val="single" w:sz="4" w:space="0" w:color="000000"/>
              <w:bottom w:val="single" w:sz="4" w:space="0" w:color="000000"/>
              <w:right w:val="single" w:sz="4" w:space="0" w:color="000000"/>
            </w:tcBorders>
            <w:noWrap/>
            <w:vAlign w:val="bottom"/>
            <w:hideMark/>
          </w:tcPr>
          <w:p w14:paraId="7E2AF51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Quick ratio</w:t>
            </w:r>
          </w:p>
        </w:tc>
        <w:tc>
          <w:tcPr>
            <w:tcW w:w="987" w:type="dxa"/>
            <w:tcBorders>
              <w:top w:val="nil"/>
              <w:left w:val="nil"/>
              <w:bottom w:val="single" w:sz="4" w:space="0" w:color="000000"/>
              <w:right w:val="single" w:sz="4" w:space="0" w:color="000000"/>
            </w:tcBorders>
            <w:noWrap/>
            <w:vAlign w:val="bottom"/>
            <w:hideMark/>
          </w:tcPr>
          <w:p w14:paraId="510937C4"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1.03</w:t>
            </w:r>
          </w:p>
        </w:tc>
        <w:tc>
          <w:tcPr>
            <w:tcW w:w="987" w:type="dxa"/>
            <w:tcBorders>
              <w:top w:val="nil"/>
              <w:left w:val="nil"/>
              <w:bottom w:val="single" w:sz="4" w:space="0" w:color="000000"/>
              <w:right w:val="single" w:sz="4" w:space="0" w:color="000000"/>
            </w:tcBorders>
            <w:noWrap/>
            <w:vAlign w:val="bottom"/>
            <w:hideMark/>
          </w:tcPr>
          <w:p w14:paraId="69AD2DE5"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1.06</w:t>
            </w:r>
          </w:p>
        </w:tc>
        <w:tc>
          <w:tcPr>
            <w:tcW w:w="987" w:type="dxa"/>
            <w:tcBorders>
              <w:top w:val="nil"/>
              <w:left w:val="nil"/>
              <w:bottom w:val="single" w:sz="4" w:space="0" w:color="000000"/>
              <w:right w:val="single" w:sz="4" w:space="0" w:color="000000"/>
            </w:tcBorders>
            <w:noWrap/>
            <w:vAlign w:val="bottom"/>
            <w:hideMark/>
          </w:tcPr>
          <w:p w14:paraId="33C6A646"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0.91</w:t>
            </w:r>
          </w:p>
        </w:tc>
        <w:tc>
          <w:tcPr>
            <w:tcW w:w="987" w:type="dxa"/>
            <w:tcBorders>
              <w:top w:val="nil"/>
              <w:left w:val="nil"/>
              <w:bottom w:val="single" w:sz="4" w:space="0" w:color="000000"/>
              <w:right w:val="single" w:sz="4" w:space="0" w:color="000000"/>
            </w:tcBorders>
            <w:noWrap/>
            <w:vAlign w:val="bottom"/>
            <w:hideMark/>
          </w:tcPr>
          <w:p w14:paraId="66E59D79"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0.93</w:t>
            </w:r>
          </w:p>
        </w:tc>
        <w:tc>
          <w:tcPr>
            <w:tcW w:w="987" w:type="dxa"/>
            <w:tcBorders>
              <w:top w:val="nil"/>
              <w:left w:val="nil"/>
              <w:bottom w:val="single" w:sz="4" w:space="0" w:color="000000"/>
              <w:right w:val="single" w:sz="4" w:space="0" w:color="000000"/>
            </w:tcBorders>
            <w:noWrap/>
            <w:vAlign w:val="bottom"/>
            <w:hideMark/>
          </w:tcPr>
          <w:p w14:paraId="11D72731" w14:textId="77777777" w:rsidR="006B51A1" w:rsidRPr="006B51A1" w:rsidRDefault="006B51A1" w:rsidP="009558E3">
            <w:pPr>
              <w:spacing w:after="0" w:line="240" w:lineRule="auto"/>
              <w:jc w:val="both"/>
              <w:rPr>
                <w:rFonts w:ascii="Calibri" w:eastAsia="Times New Roman" w:hAnsi="Calibri" w:cs="Calibri"/>
                <w:kern w:val="0"/>
                <w14:ligatures w14:val="none"/>
              </w:rPr>
            </w:pPr>
            <w:r w:rsidRPr="006B51A1">
              <w:rPr>
                <w:rFonts w:ascii="Calibri" w:eastAsia="Times New Roman" w:hAnsi="Calibri" w:cs="Calibri"/>
                <w:kern w:val="0"/>
                <w14:ligatures w14:val="none"/>
              </w:rPr>
              <w:t>1.15</w:t>
            </w:r>
          </w:p>
        </w:tc>
        <w:tc>
          <w:tcPr>
            <w:tcW w:w="204" w:type="dxa"/>
            <w:tcBorders>
              <w:top w:val="nil"/>
              <w:left w:val="nil"/>
              <w:bottom w:val="nil"/>
              <w:right w:val="nil"/>
            </w:tcBorders>
            <w:noWrap/>
            <w:vAlign w:val="bottom"/>
            <w:hideMark/>
          </w:tcPr>
          <w:p w14:paraId="06073C6D" w14:textId="77777777" w:rsidR="006B51A1" w:rsidRPr="006B51A1" w:rsidRDefault="006B51A1" w:rsidP="009558E3">
            <w:pPr>
              <w:spacing w:after="0" w:line="240" w:lineRule="auto"/>
              <w:jc w:val="both"/>
              <w:rPr>
                <w:rFonts w:ascii="Calibri" w:eastAsia="Times New Roman" w:hAnsi="Calibri" w:cs="Calibri"/>
                <w:kern w:val="0"/>
                <w14:ligatures w14:val="none"/>
              </w:rPr>
            </w:pPr>
          </w:p>
        </w:tc>
      </w:tr>
    </w:tbl>
    <w:p w14:paraId="58BB44EA" w14:textId="77777777" w:rsidR="006B51A1" w:rsidRPr="009558E3" w:rsidRDefault="006B51A1" w:rsidP="009558E3">
      <w:pPr>
        <w:jc w:val="both"/>
        <w:rPr>
          <w:sz w:val="28"/>
          <w:szCs w:val="28"/>
        </w:rPr>
      </w:pPr>
    </w:p>
    <w:p w14:paraId="7C769EDA" w14:textId="67A14022" w:rsidR="009558E3" w:rsidRPr="009558E3" w:rsidRDefault="009558E3" w:rsidP="009558E3">
      <w:pPr>
        <w:jc w:val="both"/>
        <w:rPr>
          <w:sz w:val="28"/>
          <w:szCs w:val="28"/>
        </w:rPr>
      </w:pPr>
      <w:r w:rsidRPr="009558E3">
        <w:rPr>
          <w:noProof/>
          <w:sz w:val="28"/>
          <w:szCs w:val="28"/>
        </w:rPr>
        <w:lastRenderedPageBreak/>
        <w:drawing>
          <wp:inline distT="0" distB="0" distL="0" distR="0" wp14:anchorId="4A060024" wp14:editId="6EF928DB">
            <wp:extent cx="5314950" cy="5915025"/>
            <wp:effectExtent l="0" t="0" r="0" b="9525"/>
            <wp:docPr id="1785831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4950" cy="5915025"/>
                    </a:xfrm>
                    <a:prstGeom prst="rect">
                      <a:avLst/>
                    </a:prstGeom>
                    <a:noFill/>
                    <a:ln>
                      <a:noFill/>
                    </a:ln>
                  </pic:spPr>
                </pic:pic>
              </a:graphicData>
            </a:graphic>
          </wp:inline>
        </w:drawing>
      </w:r>
    </w:p>
    <w:p w14:paraId="4837673E" w14:textId="77777777" w:rsidR="009558E3" w:rsidRPr="009558E3" w:rsidRDefault="009558E3" w:rsidP="009558E3">
      <w:pPr>
        <w:jc w:val="both"/>
        <w:rPr>
          <w:sz w:val="28"/>
          <w:szCs w:val="28"/>
        </w:rPr>
      </w:pPr>
    </w:p>
    <w:p w14:paraId="3078A3E8" w14:textId="77777777" w:rsidR="009558E3" w:rsidRPr="009558E3" w:rsidRDefault="009558E3" w:rsidP="009558E3">
      <w:pPr>
        <w:jc w:val="both"/>
        <w:rPr>
          <w:sz w:val="28"/>
          <w:szCs w:val="28"/>
        </w:rPr>
      </w:pPr>
    </w:p>
    <w:p w14:paraId="56B6CBC4" w14:textId="77777777" w:rsidR="009558E3" w:rsidRPr="009558E3" w:rsidRDefault="009558E3" w:rsidP="009558E3">
      <w:pPr>
        <w:jc w:val="both"/>
        <w:rPr>
          <w:sz w:val="28"/>
          <w:szCs w:val="28"/>
        </w:rPr>
        <w:sectPr w:rsidR="009558E3" w:rsidRPr="009558E3" w:rsidSect="009558E3">
          <w:pgSz w:w="12240" w:h="15840"/>
          <w:pgMar w:top="1440" w:right="1440" w:bottom="1440" w:left="1440" w:header="720" w:footer="720" w:gutter="0"/>
          <w:pgNumType w:start="0"/>
          <w:cols w:space="720"/>
          <w:titlePg/>
          <w:docGrid w:linePitch="360"/>
        </w:sectPr>
      </w:pPr>
    </w:p>
    <w:p w14:paraId="2827951B" w14:textId="77777777" w:rsidR="009558E3" w:rsidRPr="009558E3" w:rsidRDefault="009558E3" w:rsidP="009558E3">
      <w:pPr>
        <w:jc w:val="both"/>
        <w:rPr>
          <w:sz w:val="28"/>
          <w:szCs w:val="28"/>
        </w:rPr>
      </w:pPr>
    </w:p>
    <w:tbl>
      <w:tblPr>
        <w:tblStyle w:val="TableGrid"/>
        <w:tblW w:w="0" w:type="auto"/>
        <w:tblLook w:val="04A0" w:firstRow="1" w:lastRow="0" w:firstColumn="1" w:lastColumn="0" w:noHBand="0" w:noVBand="1"/>
      </w:tblPr>
      <w:tblGrid>
        <w:gridCol w:w="980"/>
        <w:gridCol w:w="707"/>
        <w:gridCol w:w="707"/>
        <w:gridCol w:w="707"/>
        <w:gridCol w:w="707"/>
        <w:gridCol w:w="707"/>
        <w:gridCol w:w="788"/>
        <w:gridCol w:w="1039"/>
        <w:gridCol w:w="860"/>
        <w:gridCol w:w="676"/>
        <w:gridCol w:w="676"/>
        <w:gridCol w:w="754"/>
        <w:gridCol w:w="814"/>
        <w:gridCol w:w="707"/>
        <w:gridCol w:w="707"/>
        <w:gridCol w:w="707"/>
        <w:gridCol w:w="707"/>
      </w:tblGrid>
      <w:tr w:rsidR="009558E3" w:rsidRPr="009558E3" w14:paraId="6F5FBE6E" w14:textId="77777777" w:rsidTr="009558E3">
        <w:trPr>
          <w:trHeight w:val="300"/>
        </w:trPr>
        <w:tc>
          <w:tcPr>
            <w:tcW w:w="1980" w:type="dxa"/>
            <w:noWrap/>
            <w:hideMark/>
          </w:tcPr>
          <w:p w14:paraId="2CFDC3BA" w14:textId="77777777" w:rsidR="009558E3" w:rsidRPr="009558E3" w:rsidRDefault="009558E3" w:rsidP="009558E3">
            <w:pPr>
              <w:jc w:val="both"/>
              <w:rPr>
                <w:sz w:val="28"/>
                <w:szCs w:val="28"/>
              </w:rPr>
            </w:pPr>
            <w:r w:rsidRPr="009558E3">
              <w:rPr>
                <w:sz w:val="28"/>
                <w:szCs w:val="28"/>
              </w:rPr>
              <w:t>Initial Investment</w:t>
            </w:r>
          </w:p>
        </w:tc>
        <w:tc>
          <w:tcPr>
            <w:tcW w:w="960" w:type="dxa"/>
            <w:noWrap/>
            <w:hideMark/>
          </w:tcPr>
          <w:p w14:paraId="1E4A8758" w14:textId="77777777" w:rsidR="009558E3" w:rsidRPr="009558E3" w:rsidRDefault="009558E3" w:rsidP="009558E3">
            <w:pPr>
              <w:jc w:val="both"/>
              <w:rPr>
                <w:sz w:val="28"/>
                <w:szCs w:val="28"/>
              </w:rPr>
            </w:pPr>
            <w:r w:rsidRPr="009558E3">
              <w:rPr>
                <w:sz w:val="28"/>
                <w:szCs w:val="28"/>
              </w:rPr>
              <w:t>Year 1</w:t>
            </w:r>
          </w:p>
        </w:tc>
        <w:tc>
          <w:tcPr>
            <w:tcW w:w="960" w:type="dxa"/>
            <w:noWrap/>
            <w:hideMark/>
          </w:tcPr>
          <w:p w14:paraId="2C370D77" w14:textId="77777777" w:rsidR="009558E3" w:rsidRPr="009558E3" w:rsidRDefault="009558E3" w:rsidP="009558E3">
            <w:pPr>
              <w:jc w:val="both"/>
              <w:rPr>
                <w:sz w:val="28"/>
                <w:szCs w:val="28"/>
              </w:rPr>
            </w:pPr>
            <w:r w:rsidRPr="009558E3">
              <w:rPr>
                <w:sz w:val="28"/>
                <w:szCs w:val="28"/>
              </w:rPr>
              <w:t>Year 2</w:t>
            </w:r>
          </w:p>
        </w:tc>
        <w:tc>
          <w:tcPr>
            <w:tcW w:w="960" w:type="dxa"/>
            <w:noWrap/>
            <w:hideMark/>
          </w:tcPr>
          <w:p w14:paraId="570C678B" w14:textId="77777777" w:rsidR="009558E3" w:rsidRPr="009558E3" w:rsidRDefault="009558E3" w:rsidP="009558E3">
            <w:pPr>
              <w:jc w:val="both"/>
              <w:rPr>
                <w:sz w:val="28"/>
                <w:szCs w:val="28"/>
              </w:rPr>
            </w:pPr>
            <w:r w:rsidRPr="009558E3">
              <w:rPr>
                <w:sz w:val="28"/>
                <w:szCs w:val="28"/>
              </w:rPr>
              <w:t>Year 3</w:t>
            </w:r>
          </w:p>
        </w:tc>
        <w:tc>
          <w:tcPr>
            <w:tcW w:w="960" w:type="dxa"/>
            <w:noWrap/>
            <w:hideMark/>
          </w:tcPr>
          <w:p w14:paraId="11ED2D1F" w14:textId="77777777" w:rsidR="009558E3" w:rsidRPr="009558E3" w:rsidRDefault="009558E3" w:rsidP="009558E3">
            <w:pPr>
              <w:jc w:val="both"/>
              <w:rPr>
                <w:sz w:val="28"/>
                <w:szCs w:val="28"/>
              </w:rPr>
            </w:pPr>
            <w:r w:rsidRPr="009558E3">
              <w:rPr>
                <w:sz w:val="28"/>
                <w:szCs w:val="28"/>
              </w:rPr>
              <w:t>Year 4</w:t>
            </w:r>
          </w:p>
        </w:tc>
        <w:tc>
          <w:tcPr>
            <w:tcW w:w="960" w:type="dxa"/>
            <w:noWrap/>
            <w:hideMark/>
          </w:tcPr>
          <w:p w14:paraId="52E8A7C5" w14:textId="77777777" w:rsidR="009558E3" w:rsidRPr="009558E3" w:rsidRDefault="009558E3" w:rsidP="009558E3">
            <w:pPr>
              <w:jc w:val="both"/>
              <w:rPr>
                <w:sz w:val="28"/>
                <w:szCs w:val="28"/>
              </w:rPr>
            </w:pPr>
            <w:r w:rsidRPr="009558E3">
              <w:rPr>
                <w:sz w:val="28"/>
                <w:szCs w:val="28"/>
              </w:rPr>
              <w:t>Year 5</w:t>
            </w:r>
          </w:p>
        </w:tc>
        <w:tc>
          <w:tcPr>
            <w:tcW w:w="1540" w:type="dxa"/>
            <w:noWrap/>
            <w:hideMark/>
          </w:tcPr>
          <w:p w14:paraId="42792288" w14:textId="77777777" w:rsidR="009558E3" w:rsidRPr="009558E3" w:rsidRDefault="009558E3" w:rsidP="009558E3">
            <w:pPr>
              <w:jc w:val="both"/>
              <w:rPr>
                <w:sz w:val="28"/>
                <w:szCs w:val="28"/>
              </w:rPr>
            </w:pPr>
            <w:r w:rsidRPr="009558E3">
              <w:rPr>
                <w:sz w:val="28"/>
                <w:szCs w:val="28"/>
              </w:rPr>
              <w:t>Payback (</w:t>
            </w:r>
            <w:proofErr w:type="spellStart"/>
            <w:r w:rsidRPr="009558E3">
              <w:rPr>
                <w:sz w:val="28"/>
                <w:szCs w:val="28"/>
              </w:rPr>
              <w:t>yrs</w:t>
            </w:r>
            <w:proofErr w:type="spellEnd"/>
            <w:r w:rsidRPr="009558E3">
              <w:rPr>
                <w:sz w:val="28"/>
                <w:szCs w:val="28"/>
              </w:rPr>
              <w:t>)</w:t>
            </w:r>
          </w:p>
        </w:tc>
        <w:tc>
          <w:tcPr>
            <w:tcW w:w="2120" w:type="dxa"/>
            <w:noWrap/>
            <w:hideMark/>
          </w:tcPr>
          <w:p w14:paraId="3C2E9FD0" w14:textId="77777777" w:rsidR="009558E3" w:rsidRPr="009558E3" w:rsidRDefault="009558E3" w:rsidP="009558E3">
            <w:pPr>
              <w:jc w:val="both"/>
              <w:rPr>
                <w:sz w:val="28"/>
                <w:szCs w:val="28"/>
              </w:rPr>
            </w:pPr>
            <w:r w:rsidRPr="009558E3">
              <w:rPr>
                <w:sz w:val="28"/>
                <w:szCs w:val="28"/>
              </w:rPr>
              <w:t>ARR</w:t>
            </w:r>
          </w:p>
        </w:tc>
        <w:tc>
          <w:tcPr>
            <w:tcW w:w="1300" w:type="dxa"/>
            <w:noWrap/>
            <w:hideMark/>
          </w:tcPr>
          <w:p w14:paraId="63B5B152" w14:textId="77777777" w:rsidR="009558E3" w:rsidRPr="009558E3" w:rsidRDefault="009558E3" w:rsidP="009558E3">
            <w:pPr>
              <w:jc w:val="both"/>
              <w:rPr>
                <w:sz w:val="28"/>
                <w:szCs w:val="28"/>
              </w:rPr>
            </w:pPr>
            <w:r w:rsidRPr="009558E3">
              <w:rPr>
                <w:sz w:val="28"/>
                <w:szCs w:val="28"/>
              </w:rPr>
              <w:t>NPV (10%)</w:t>
            </w:r>
          </w:p>
        </w:tc>
        <w:tc>
          <w:tcPr>
            <w:tcW w:w="960" w:type="dxa"/>
            <w:noWrap/>
            <w:hideMark/>
          </w:tcPr>
          <w:p w14:paraId="4C6090EC" w14:textId="77777777" w:rsidR="009558E3" w:rsidRPr="009558E3" w:rsidRDefault="009558E3" w:rsidP="009558E3">
            <w:pPr>
              <w:jc w:val="both"/>
              <w:rPr>
                <w:sz w:val="28"/>
                <w:szCs w:val="28"/>
              </w:rPr>
            </w:pPr>
            <w:r w:rsidRPr="009558E3">
              <w:rPr>
                <w:sz w:val="28"/>
                <w:szCs w:val="28"/>
              </w:rPr>
              <w:t>IRR</w:t>
            </w:r>
          </w:p>
        </w:tc>
        <w:tc>
          <w:tcPr>
            <w:tcW w:w="960" w:type="dxa"/>
            <w:noWrap/>
            <w:hideMark/>
          </w:tcPr>
          <w:p w14:paraId="2FA48A6C" w14:textId="77777777" w:rsidR="009558E3" w:rsidRPr="009558E3" w:rsidRDefault="009558E3" w:rsidP="009558E3">
            <w:pPr>
              <w:jc w:val="both"/>
              <w:rPr>
                <w:sz w:val="28"/>
                <w:szCs w:val="28"/>
              </w:rPr>
            </w:pPr>
            <w:r w:rsidRPr="009558E3">
              <w:rPr>
                <w:sz w:val="28"/>
                <w:szCs w:val="28"/>
              </w:rPr>
              <w:t>PI</w:t>
            </w:r>
          </w:p>
        </w:tc>
        <w:tc>
          <w:tcPr>
            <w:tcW w:w="1460" w:type="dxa"/>
            <w:noWrap/>
            <w:hideMark/>
          </w:tcPr>
          <w:p w14:paraId="565F1F29" w14:textId="77777777" w:rsidR="009558E3" w:rsidRPr="009558E3" w:rsidRDefault="009558E3" w:rsidP="009558E3">
            <w:pPr>
              <w:jc w:val="both"/>
              <w:rPr>
                <w:sz w:val="28"/>
                <w:szCs w:val="28"/>
              </w:rPr>
            </w:pPr>
            <w:r w:rsidRPr="009558E3">
              <w:rPr>
                <w:sz w:val="28"/>
                <w:szCs w:val="28"/>
              </w:rPr>
              <w:t>Column1</w:t>
            </w:r>
          </w:p>
        </w:tc>
        <w:tc>
          <w:tcPr>
            <w:tcW w:w="1600" w:type="dxa"/>
            <w:noWrap/>
            <w:hideMark/>
          </w:tcPr>
          <w:p w14:paraId="1A3B3E24" w14:textId="77777777" w:rsidR="009558E3" w:rsidRPr="009558E3" w:rsidRDefault="009558E3" w:rsidP="009558E3">
            <w:pPr>
              <w:jc w:val="both"/>
              <w:rPr>
                <w:sz w:val="28"/>
                <w:szCs w:val="28"/>
              </w:rPr>
            </w:pPr>
            <w:r w:rsidRPr="009558E3">
              <w:rPr>
                <w:sz w:val="28"/>
                <w:szCs w:val="28"/>
              </w:rPr>
              <w:t>Column2</w:t>
            </w:r>
          </w:p>
        </w:tc>
        <w:tc>
          <w:tcPr>
            <w:tcW w:w="1160" w:type="dxa"/>
            <w:noWrap/>
            <w:hideMark/>
          </w:tcPr>
          <w:p w14:paraId="6DCBA12D" w14:textId="77777777" w:rsidR="009558E3" w:rsidRPr="009558E3" w:rsidRDefault="009558E3" w:rsidP="009558E3">
            <w:pPr>
              <w:jc w:val="both"/>
              <w:rPr>
                <w:sz w:val="28"/>
                <w:szCs w:val="28"/>
              </w:rPr>
            </w:pPr>
            <w:r w:rsidRPr="009558E3">
              <w:rPr>
                <w:sz w:val="28"/>
                <w:szCs w:val="28"/>
              </w:rPr>
              <w:t>Column3</w:t>
            </w:r>
          </w:p>
        </w:tc>
        <w:tc>
          <w:tcPr>
            <w:tcW w:w="1160" w:type="dxa"/>
            <w:noWrap/>
            <w:hideMark/>
          </w:tcPr>
          <w:p w14:paraId="37F31ABB" w14:textId="77777777" w:rsidR="009558E3" w:rsidRPr="009558E3" w:rsidRDefault="009558E3" w:rsidP="009558E3">
            <w:pPr>
              <w:jc w:val="both"/>
              <w:rPr>
                <w:sz w:val="28"/>
                <w:szCs w:val="28"/>
              </w:rPr>
            </w:pPr>
            <w:r w:rsidRPr="009558E3">
              <w:rPr>
                <w:sz w:val="28"/>
                <w:szCs w:val="28"/>
              </w:rPr>
              <w:t>Column4</w:t>
            </w:r>
          </w:p>
        </w:tc>
        <w:tc>
          <w:tcPr>
            <w:tcW w:w="1160" w:type="dxa"/>
            <w:noWrap/>
            <w:hideMark/>
          </w:tcPr>
          <w:p w14:paraId="04555A9E" w14:textId="77777777" w:rsidR="009558E3" w:rsidRPr="009558E3" w:rsidRDefault="009558E3" w:rsidP="009558E3">
            <w:pPr>
              <w:jc w:val="both"/>
              <w:rPr>
                <w:sz w:val="28"/>
                <w:szCs w:val="28"/>
              </w:rPr>
            </w:pPr>
            <w:r w:rsidRPr="009558E3">
              <w:rPr>
                <w:sz w:val="28"/>
                <w:szCs w:val="28"/>
              </w:rPr>
              <w:t>Column5</w:t>
            </w:r>
          </w:p>
        </w:tc>
        <w:tc>
          <w:tcPr>
            <w:tcW w:w="1160" w:type="dxa"/>
            <w:noWrap/>
            <w:hideMark/>
          </w:tcPr>
          <w:p w14:paraId="59821B57" w14:textId="77777777" w:rsidR="009558E3" w:rsidRPr="009558E3" w:rsidRDefault="009558E3" w:rsidP="009558E3">
            <w:pPr>
              <w:jc w:val="both"/>
              <w:rPr>
                <w:sz w:val="28"/>
                <w:szCs w:val="28"/>
              </w:rPr>
            </w:pPr>
            <w:r w:rsidRPr="009558E3">
              <w:rPr>
                <w:sz w:val="28"/>
                <w:szCs w:val="28"/>
              </w:rPr>
              <w:t>Column6</w:t>
            </w:r>
          </w:p>
        </w:tc>
      </w:tr>
      <w:tr w:rsidR="009558E3" w:rsidRPr="009558E3" w14:paraId="7EA96414" w14:textId="77777777" w:rsidTr="009558E3">
        <w:trPr>
          <w:trHeight w:val="300"/>
        </w:trPr>
        <w:tc>
          <w:tcPr>
            <w:tcW w:w="1980" w:type="dxa"/>
            <w:noWrap/>
            <w:hideMark/>
          </w:tcPr>
          <w:p w14:paraId="47197C65" w14:textId="77777777" w:rsidR="009558E3" w:rsidRPr="009558E3" w:rsidRDefault="009558E3" w:rsidP="009558E3">
            <w:pPr>
              <w:jc w:val="both"/>
              <w:rPr>
                <w:sz w:val="28"/>
                <w:szCs w:val="28"/>
              </w:rPr>
            </w:pPr>
            <w:r w:rsidRPr="009558E3">
              <w:rPr>
                <w:sz w:val="28"/>
                <w:szCs w:val="28"/>
              </w:rPr>
              <w:t>-40000000</w:t>
            </w:r>
          </w:p>
        </w:tc>
        <w:tc>
          <w:tcPr>
            <w:tcW w:w="960" w:type="dxa"/>
            <w:noWrap/>
            <w:hideMark/>
          </w:tcPr>
          <w:p w14:paraId="37C6010A" w14:textId="77777777" w:rsidR="009558E3" w:rsidRPr="009558E3" w:rsidRDefault="009558E3" w:rsidP="009558E3">
            <w:pPr>
              <w:jc w:val="both"/>
              <w:rPr>
                <w:sz w:val="28"/>
                <w:szCs w:val="28"/>
              </w:rPr>
            </w:pPr>
            <w:r w:rsidRPr="009558E3">
              <w:rPr>
                <w:sz w:val="28"/>
                <w:szCs w:val="28"/>
              </w:rPr>
              <w:t>10000000</w:t>
            </w:r>
          </w:p>
        </w:tc>
        <w:tc>
          <w:tcPr>
            <w:tcW w:w="960" w:type="dxa"/>
            <w:noWrap/>
            <w:hideMark/>
          </w:tcPr>
          <w:p w14:paraId="4222A803" w14:textId="77777777" w:rsidR="009558E3" w:rsidRPr="009558E3" w:rsidRDefault="009558E3" w:rsidP="009558E3">
            <w:pPr>
              <w:jc w:val="both"/>
              <w:rPr>
                <w:sz w:val="28"/>
                <w:szCs w:val="28"/>
              </w:rPr>
            </w:pPr>
            <w:r w:rsidRPr="009558E3">
              <w:rPr>
                <w:sz w:val="28"/>
                <w:szCs w:val="28"/>
              </w:rPr>
              <w:t>12000000</w:t>
            </w:r>
          </w:p>
        </w:tc>
        <w:tc>
          <w:tcPr>
            <w:tcW w:w="960" w:type="dxa"/>
            <w:noWrap/>
            <w:hideMark/>
          </w:tcPr>
          <w:p w14:paraId="46944A97" w14:textId="77777777" w:rsidR="009558E3" w:rsidRPr="009558E3" w:rsidRDefault="009558E3" w:rsidP="009558E3">
            <w:pPr>
              <w:jc w:val="both"/>
              <w:rPr>
                <w:sz w:val="28"/>
                <w:szCs w:val="28"/>
              </w:rPr>
            </w:pPr>
            <w:r w:rsidRPr="009558E3">
              <w:rPr>
                <w:sz w:val="28"/>
                <w:szCs w:val="28"/>
              </w:rPr>
              <w:t>14000000</w:t>
            </w:r>
          </w:p>
        </w:tc>
        <w:tc>
          <w:tcPr>
            <w:tcW w:w="960" w:type="dxa"/>
            <w:noWrap/>
            <w:hideMark/>
          </w:tcPr>
          <w:p w14:paraId="41FE51FB" w14:textId="77777777" w:rsidR="009558E3" w:rsidRPr="009558E3" w:rsidRDefault="009558E3" w:rsidP="009558E3">
            <w:pPr>
              <w:jc w:val="both"/>
              <w:rPr>
                <w:sz w:val="28"/>
                <w:szCs w:val="28"/>
              </w:rPr>
            </w:pPr>
            <w:r w:rsidRPr="009558E3">
              <w:rPr>
                <w:sz w:val="28"/>
                <w:szCs w:val="28"/>
              </w:rPr>
              <w:t>10000000</w:t>
            </w:r>
          </w:p>
        </w:tc>
        <w:tc>
          <w:tcPr>
            <w:tcW w:w="960" w:type="dxa"/>
            <w:noWrap/>
            <w:hideMark/>
          </w:tcPr>
          <w:p w14:paraId="549BDCD4" w14:textId="77777777" w:rsidR="009558E3" w:rsidRPr="009558E3" w:rsidRDefault="009558E3" w:rsidP="009558E3">
            <w:pPr>
              <w:jc w:val="both"/>
              <w:rPr>
                <w:sz w:val="28"/>
                <w:szCs w:val="28"/>
              </w:rPr>
            </w:pPr>
            <w:r w:rsidRPr="009558E3">
              <w:rPr>
                <w:sz w:val="28"/>
                <w:szCs w:val="28"/>
              </w:rPr>
              <w:t>8000000</w:t>
            </w:r>
          </w:p>
        </w:tc>
        <w:tc>
          <w:tcPr>
            <w:tcW w:w="1540" w:type="dxa"/>
            <w:noWrap/>
            <w:hideMark/>
          </w:tcPr>
          <w:p w14:paraId="7A739843" w14:textId="77777777" w:rsidR="009558E3" w:rsidRPr="009558E3" w:rsidRDefault="009558E3" w:rsidP="009558E3">
            <w:pPr>
              <w:jc w:val="both"/>
              <w:rPr>
                <w:sz w:val="28"/>
                <w:szCs w:val="28"/>
              </w:rPr>
            </w:pPr>
          </w:p>
        </w:tc>
        <w:tc>
          <w:tcPr>
            <w:tcW w:w="2120" w:type="dxa"/>
            <w:noWrap/>
            <w:hideMark/>
          </w:tcPr>
          <w:p w14:paraId="3FA54E15" w14:textId="77777777" w:rsidR="009558E3" w:rsidRPr="009558E3" w:rsidRDefault="009558E3" w:rsidP="009558E3">
            <w:pPr>
              <w:jc w:val="both"/>
              <w:rPr>
                <w:sz w:val="28"/>
                <w:szCs w:val="28"/>
              </w:rPr>
            </w:pPr>
            <w:r w:rsidRPr="009558E3">
              <w:rPr>
                <w:sz w:val="28"/>
                <w:szCs w:val="28"/>
              </w:rPr>
              <w:t>#VALUE!</w:t>
            </w:r>
          </w:p>
        </w:tc>
        <w:tc>
          <w:tcPr>
            <w:tcW w:w="1300" w:type="dxa"/>
            <w:noWrap/>
            <w:hideMark/>
          </w:tcPr>
          <w:p w14:paraId="43B14C54" w14:textId="77777777" w:rsidR="009558E3" w:rsidRPr="009558E3" w:rsidRDefault="009558E3" w:rsidP="009558E3">
            <w:pPr>
              <w:jc w:val="both"/>
              <w:rPr>
                <w:sz w:val="28"/>
                <w:szCs w:val="28"/>
              </w:rPr>
            </w:pPr>
            <w:r w:rsidRPr="009558E3">
              <w:rPr>
                <w:sz w:val="28"/>
                <w:szCs w:val="28"/>
              </w:rPr>
              <w:t>1324176.814</w:t>
            </w:r>
          </w:p>
        </w:tc>
        <w:tc>
          <w:tcPr>
            <w:tcW w:w="960" w:type="dxa"/>
            <w:noWrap/>
            <w:hideMark/>
          </w:tcPr>
          <w:p w14:paraId="03C9FE0C" w14:textId="77777777" w:rsidR="009558E3" w:rsidRPr="009558E3" w:rsidRDefault="009558E3" w:rsidP="009558E3">
            <w:pPr>
              <w:jc w:val="both"/>
              <w:rPr>
                <w:sz w:val="28"/>
                <w:szCs w:val="28"/>
              </w:rPr>
            </w:pPr>
            <w:r w:rsidRPr="009558E3">
              <w:rPr>
                <w:sz w:val="28"/>
                <w:szCs w:val="28"/>
              </w:rPr>
              <w:t>0.113272</w:t>
            </w:r>
          </w:p>
        </w:tc>
        <w:tc>
          <w:tcPr>
            <w:tcW w:w="960" w:type="dxa"/>
            <w:noWrap/>
            <w:hideMark/>
          </w:tcPr>
          <w:p w14:paraId="7723C96E" w14:textId="77777777" w:rsidR="009558E3" w:rsidRPr="009558E3" w:rsidRDefault="009558E3" w:rsidP="009558E3">
            <w:pPr>
              <w:jc w:val="both"/>
              <w:rPr>
                <w:sz w:val="28"/>
                <w:szCs w:val="28"/>
              </w:rPr>
            </w:pPr>
            <w:r w:rsidRPr="009558E3">
              <w:rPr>
                <w:sz w:val="28"/>
                <w:szCs w:val="28"/>
              </w:rPr>
              <w:t>1.033104</w:t>
            </w:r>
          </w:p>
        </w:tc>
        <w:tc>
          <w:tcPr>
            <w:tcW w:w="1460" w:type="dxa"/>
            <w:noWrap/>
            <w:hideMark/>
          </w:tcPr>
          <w:p w14:paraId="32F36E35" w14:textId="77777777" w:rsidR="009558E3" w:rsidRPr="009558E3" w:rsidRDefault="009558E3" w:rsidP="009558E3">
            <w:pPr>
              <w:jc w:val="both"/>
              <w:rPr>
                <w:sz w:val="28"/>
                <w:szCs w:val="28"/>
              </w:rPr>
            </w:pPr>
            <w:r w:rsidRPr="009558E3">
              <w:rPr>
                <w:sz w:val="28"/>
                <w:szCs w:val="28"/>
              </w:rPr>
              <w:t>-40000000</w:t>
            </w:r>
          </w:p>
        </w:tc>
        <w:tc>
          <w:tcPr>
            <w:tcW w:w="1600" w:type="dxa"/>
            <w:noWrap/>
            <w:hideMark/>
          </w:tcPr>
          <w:p w14:paraId="3FD7BACD" w14:textId="77777777" w:rsidR="009558E3" w:rsidRPr="009558E3" w:rsidRDefault="009558E3" w:rsidP="009558E3">
            <w:pPr>
              <w:jc w:val="both"/>
              <w:rPr>
                <w:sz w:val="28"/>
                <w:szCs w:val="28"/>
              </w:rPr>
            </w:pPr>
            <w:r w:rsidRPr="009558E3">
              <w:rPr>
                <w:sz w:val="28"/>
                <w:szCs w:val="28"/>
              </w:rPr>
              <w:t>-30000000</w:t>
            </w:r>
          </w:p>
        </w:tc>
        <w:tc>
          <w:tcPr>
            <w:tcW w:w="1160" w:type="dxa"/>
            <w:noWrap/>
            <w:hideMark/>
          </w:tcPr>
          <w:p w14:paraId="52261241" w14:textId="77777777" w:rsidR="009558E3" w:rsidRPr="009558E3" w:rsidRDefault="009558E3" w:rsidP="009558E3">
            <w:pPr>
              <w:jc w:val="both"/>
              <w:rPr>
                <w:sz w:val="28"/>
                <w:szCs w:val="28"/>
              </w:rPr>
            </w:pPr>
            <w:r w:rsidRPr="009558E3">
              <w:rPr>
                <w:sz w:val="28"/>
                <w:szCs w:val="28"/>
              </w:rPr>
              <w:t>-28000000</w:t>
            </w:r>
          </w:p>
        </w:tc>
        <w:tc>
          <w:tcPr>
            <w:tcW w:w="1160" w:type="dxa"/>
            <w:noWrap/>
            <w:hideMark/>
          </w:tcPr>
          <w:p w14:paraId="199721E8" w14:textId="77777777" w:rsidR="009558E3" w:rsidRPr="009558E3" w:rsidRDefault="009558E3" w:rsidP="009558E3">
            <w:pPr>
              <w:jc w:val="both"/>
              <w:rPr>
                <w:sz w:val="28"/>
                <w:szCs w:val="28"/>
              </w:rPr>
            </w:pPr>
            <w:r w:rsidRPr="009558E3">
              <w:rPr>
                <w:sz w:val="28"/>
                <w:szCs w:val="28"/>
              </w:rPr>
              <w:t>-26000000</w:t>
            </w:r>
          </w:p>
        </w:tc>
        <w:tc>
          <w:tcPr>
            <w:tcW w:w="1160" w:type="dxa"/>
            <w:noWrap/>
            <w:hideMark/>
          </w:tcPr>
          <w:p w14:paraId="55FC7009" w14:textId="77777777" w:rsidR="009558E3" w:rsidRPr="009558E3" w:rsidRDefault="009558E3" w:rsidP="009558E3">
            <w:pPr>
              <w:jc w:val="both"/>
              <w:rPr>
                <w:sz w:val="28"/>
                <w:szCs w:val="28"/>
              </w:rPr>
            </w:pPr>
            <w:r w:rsidRPr="009558E3">
              <w:rPr>
                <w:sz w:val="28"/>
                <w:szCs w:val="28"/>
              </w:rPr>
              <w:t>-30000000</w:t>
            </w:r>
          </w:p>
        </w:tc>
        <w:tc>
          <w:tcPr>
            <w:tcW w:w="1160" w:type="dxa"/>
            <w:noWrap/>
            <w:hideMark/>
          </w:tcPr>
          <w:p w14:paraId="5062F04C" w14:textId="77777777" w:rsidR="009558E3" w:rsidRPr="009558E3" w:rsidRDefault="009558E3" w:rsidP="009558E3">
            <w:pPr>
              <w:jc w:val="both"/>
              <w:rPr>
                <w:sz w:val="28"/>
                <w:szCs w:val="28"/>
              </w:rPr>
            </w:pPr>
            <w:r w:rsidRPr="009558E3">
              <w:rPr>
                <w:sz w:val="28"/>
                <w:szCs w:val="28"/>
              </w:rPr>
              <w:t>-32000000</w:t>
            </w:r>
          </w:p>
        </w:tc>
      </w:tr>
      <w:tr w:rsidR="009558E3" w:rsidRPr="009558E3" w14:paraId="5F9E1B71" w14:textId="77777777" w:rsidTr="009558E3">
        <w:trPr>
          <w:trHeight w:val="300"/>
        </w:trPr>
        <w:tc>
          <w:tcPr>
            <w:tcW w:w="1980" w:type="dxa"/>
            <w:noWrap/>
            <w:hideMark/>
          </w:tcPr>
          <w:p w14:paraId="4371569D" w14:textId="77777777" w:rsidR="009558E3" w:rsidRPr="009558E3" w:rsidRDefault="009558E3" w:rsidP="009558E3">
            <w:pPr>
              <w:jc w:val="both"/>
              <w:rPr>
                <w:sz w:val="28"/>
                <w:szCs w:val="28"/>
              </w:rPr>
            </w:pPr>
            <w:r w:rsidRPr="009558E3">
              <w:rPr>
                <w:sz w:val="28"/>
                <w:szCs w:val="28"/>
              </w:rPr>
              <w:t>-30000000</w:t>
            </w:r>
          </w:p>
        </w:tc>
        <w:tc>
          <w:tcPr>
            <w:tcW w:w="960" w:type="dxa"/>
            <w:noWrap/>
            <w:hideMark/>
          </w:tcPr>
          <w:p w14:paraId="6E14AEE8" w14:textId="77777777" w:rsidR="009558E3" w:rsidRPr="009558E3" w:rsidRDefault="009558E3" w:rsidP="009558E3">
            <w:pPr>
              <w:jc w:val="both"/>
              <w:rPr>
                <w:sz w:val="28"/>
                <w:szCs w:val="28"/>
              </w:rPr>
            </w:pPr>
            <w:r w:rsidRPr="009558E3">
              <w:rPr>
                <w:sz w:val="28"/>
                <w:szCs w:val="28"/>
              </w:rPr>
              <w:t>6000000</w:t>
            </w:r>
          </w:p>
        </w:tc>
        <w:tc>
          <w:tcPr>
            <w:tcW w:w="960" w:type="dxa"/>
            <w:noWrap/>
            <w:hideMark/>
          </w:tcPr>
          <w:p w14:paraId="2A86ED5F" w14:textId="77777777" w:rsidR="009558E3" w:rsidRPr="009558E3" w:rsidRDefault="009558E3" w:rsidP="009558E3">
            <w:pPr>
              <w:jc w:val="both"/>
              <w:rPr>
                <w:sz w:val="28"/>
                <w:szCs w:val="28"/>
              </w:rPr>
            </w:pPr>
            <w:r w:rsidRPr="009558E3">
              <w:rPr>
                <w:sz w:val="28"/>
                <w:szCs w:val="28"/>
              </w:rPr>
              <w:t>6000000</w:t>
            </w:r>
          </w:p>
        </w:tc>
        <w:tc>
          <w:tcPr>
            <w:tcW w:w="960" w:type="dxa"/>
            <w:noWrap/>
            <w:hideMark/>
          </w:tcPr>
          <w:p w14:paraId="154D2F5B" w14:textId="77777777" w:rsidR="009558E3" w:rsidRPr="009558E3" w:rsidRDefault="009558E3" w:rsidP="009558E3">
            <w:pPr>
              <w:jc w:val="both"/>
              <w:rPr>
                <w:sz w:val="28"/>
                <w:szCs w:val="28"/>
              </w:rPr>
            </w:pPr>
            <w:r w:rsidRPr="009558E3">
              <w:rPr>
                <w:sz w:val="28"/>
                <w:szCs w:val="28"/>
              </w:rPr>
              <w:t>6000000</w:t>
            </w:r>
          </w:p>
        </w:tc>
        <w:tc>
          <w:tcPr>
            <w:tcW w:w="960" w:type="dxa"/>
            <w:noWrap/>
            <w:hideMark/>
          </w:tcPr>
          <w:p w14:paraId="4D1E615E" w14:textId="77777777" w:rsidR="009558E3" w:rsidRPr="009558E3" w:rsidRDefault="009558E3" w:rsidP="009558E3">
            <w:pPr>
              <w:jc w:val="both"/>
              <w:rPr>
                <w:sz w:val="28"/>
                <w:szCs w:val="28"/>
              </w:rPr>
            </w:pPr>
            <w:r w:rsidRPr="009558E3">
              <w:rPr>
                <w:sz w:val="28"/>
                <w:szCs w:val="28"/>
              </w:rPr>
              <w:t>6000000</w:t>
            </w:r>
          </w:p>
        </w:tc>
        <w:tc>
          <w:tcPr>
            <w:tcW w:w="960" w:type="dxa"/>
            <w:noWrap/>
            <w:hideMark/>
          </w:tcPr>
          <w:p w14:paraId="218A2C8A" w14:textId="77777777" w:rsidR="009558E3" w:rsidRPr="009558E3" w:rsidRDefault="009558E3" w:rsidP="009558E3">
            <w:pPr>
              <w:jc w:val="both"/>
              <w:rPr>
                <w:sz w:val="28"/>
                <w:szCs w:val="28"/>
              </w:rPr>
            </w:pPr>
            <w:r w:rsidRPr="009558E3">
              <w:rPr>
                <w:sz w:val="28"/>
                <w:szCs w:val="28"/>
              </w:rPr>
              <w:t>6000000</w:t>
            </w:r>
          </w:p>
        </w:tc>
        <w:tc>
          <w:tcPr>
            <w:tcW w:w="1540" w:type="dxa"/>
            <w:noWrap/>
            <w:hideMark/>
          </w:tcPr>
          <w:p w14:paraId="4CDB785C" w14:textId="77777777" w:rsidR="009558E3" w:rsidRPr="009558E3" w:rsidRDefault="009558E3" w:rsidP="009558E3">
            <w:pPr>
              <w:jc w:val="both"/>
              <w:rPr>
                <w:sz w:val="28"/>
                <w:szCs w:val="28"/>
              </w:rPr>
            </w:pPr>
          </w:p>
        </w:tc>
        <w:tc>
          <w:tcPr>
            <w:tcW w:w="2120" w:type="dxa"/>
            <w:noWrap/>
            <w:hideMark/>
          </w:tcPr>
          <w:p w14:paraId="1AA52D2D" w14:textId="77777777" w:rsidR="009558E3" w:rsidRPr="009558E3" w:rsidRDefault="009558E3" w:rsidP="009558E3">
            <w:pPr>
              <w:jc w:val="both"/>
              <w:rPr>
                <w:sz w:val="28"/>
                <w:szCs w:val="28"/>
              </w:rPr>
            </w:pPr>
            <w:r w:rsidRPr="009558E3">
              <w:rPr>
                <w:sz w:val="28"/>
                <w:szCs w:val="28"/>
              </w:rPr>
              <w:t>#VALUE!</w:t>
            </w:r>
          </w:p>
        </w:tc>
        <w:tc>
          <w:tcPr>
            <w:tcW w:w="1300" w:type="dxa"/>
            <w:noWrap/>
            <w:hideMark/>
          </w:tcPr>
          <w:p w14:paraId="4DC2E353" w14:textId="77777777" w:rsidR="009558E3" w:rsidRPr="009558E3" w:rsidRDefault="009558E3" w:rsidP="009558E3">
            <w:pPr>
              <w:jc w:val="both"/>
              <w:rPr>
                <w:sz w:val="28"/>
                <w:szCs w:val="28"/>
              </w:rPr>
            </w:pPr>
            <w:r w:rsidRPr="009558E3">
              <w:rPr>
                <w:sz w:val="28"/>
                <w:szCs w:val="28"/>
              </w:rPr>
              <w:t>-7255279.384</w:t>
            </w:r>
          </w:p>
        </w:tc>
        <w:tc>
          <w:tcPr>
            <w:tcW w:w="960" w:type="dxa"/>
            <w:noWrap/>
            <w:hideMark/>
          </w:tcPr>
          <w:p w14:paraId="4897C809" w14:textId="77777777" w:rsidR="009558E3" w:rsidRPr="009558E3" w:rsidRDefault="009558E3" w:rsidP="009558E3">
            <w:pPr>
              <w:jc w:val="both"/>
              <w:rPr>
                <w:sz w:val="28"/>
                <w:szCs w:val="28"/>
              </w:rPr>
            </w:pPr>
            <w:r w:rsidRPr="009558E3">
              <w:rPr>
                <w:sz w:val="28"/>
                <w:szCs w:val="28"/>
              </w:rPr>
              <w:t>0</w:t>
            </w:r>
          </w:p>
        </w:tc>
        <w:tc>
          <w:tcPr>
            <w:tcW w:w="960" w:type="dxa"/>
            <w:noWrap/>
            <w:hideMark/>
          </w:tcPr>
          <w:p w14:paraId="01E1D5CB" w14:textId="77777777" w:rsidR="009558E3" w:rsidRPr="009558E3" w:rsidRDefault="009558E3" w:rsidP="009558E3">
            <w:pPr>
              <w:jc w:val="both"/>
              <w:rPr>
                <w:sz w:val="28"/>
                <w:szCs w:val="28"/>
              </w:rPr>
            </w:pPr>
            <w:r w:rsidRPr="009558E3">
              <w:rPr>
                <w:sz w:val="28"/>
                <w:szCs w:val="28"/>
              </w:rPr>
              <w:t>0.758157</w:t>
            </w:r>
          </w:p>
        </w:tc>
        <w:tc>
          <w:tcPr>
            <w:tcW w:w="1460" w:type="dxa"/>
            <w:noWrap/>
            <w:hideMark/>
          </w:tcPr>
          <w:p w14:paraId="4FD37C06" w14:textId="77777777" w:rsidR="009558E3" w:rsidRPr="009558E3" w:rsidRDefault="009558E3" w:rsidP="009558E3">
            <w:pPr>
              <w:jc w:val="both"/>
              <w:rPr>
                <w:sz w:val="28"/>
                <w:szCs w:val="28"/>
              </w:rPr>
            </w:pPr>
            <w:r w:rsidRPr="009558E3">
              <w:rPr>
                <w:sz w:val="28"/>
                <w:szCs w:val="28"/>
              </w:rPr>
              <w:t>-30000000</w:t>
            </w:r>
          </w:p>
        </w:tc>
        <w:tc>
          <w:tcPr>
            <w:tcW w:w="1600" w:type="dxa"/>
            <w:noWrap/>
            <w:hideMark/>
          </w:tcPr>
          <w:p w14:paraId="7F49E39F" w14:textId="77777777" w:rsidR="009558E3" w:rsidRPr="009558E3" w:rsidRDefault="009558E3" w:rsidP="009558E3">
            <w:pPr>
              <w:jc w:val="both"/>
              <w:rPr>
                <w:sz w:val="28"/>
                <w:szCs w:val="28"/>
              </w:rPr>
            </w:pPr>
            <w:r w:rsidRPr="009558E3">
              <w:rPr>
                <w:sz w:val="28"/>
                <w:szCs w:val="28"/>
              </w:rPr>
              <w:t>-24000000</w:t>
            </w:r>
          </w:p>
        </w:tc>
        <w:tc>
          <w:tcPr>
            <w:tcW w:w="1160" w:type="dxa"/>
            <w:noWrap/>
            <w:hideMark/>
          </w:tcPr>
          <w:p w14:paraId="50AE3BC1" w14:textId="77777777" w:rsidR="009558E3" w:rsidRPr="009558E3" w:rsidRDefault="009558E3" w:rsidP="009558E3">
            <w:pPr>
              <w:jc w:val="both"/>
              <w:rPr>
                <w:sz w:val="28"/>
                <w:szCs w:val="28"/>
              </w:rPr>
            </w:pPr>
            <w:r w:rsidRPr="009558E3">
              <w:rPr>
                <w:sz w:val="28"/>
                <w:szCs w:val="28"/>
              </w:rPr>
              <w:t>-24000000</w:t>
            </w:r>
          </w:p>
        </w:tc>
        <w:tc>
          <w:tcPr>
            <w:tcW w:w="1160" w:type="dxa"/>
            <w:noWrap/>
            <w:hideMark/>
          </w:tcPr>
          <w:p w14:paraId="473731A8" w14:textId="77777777" w:rsidR="009558E3" w:rsidRPr="009558E3" w:rsidRDefault="009558E3" w:rsidP="009558E3">
            <w:pPr>
              <w:jc w:val="both"/>
              <w:rPr>
                <w:sz w:val="28"/>
                <w:szCs w:val="28"/>
              </w:rPr>
            </w:pPr>
            <w:r w:rsidRPr="009558E3">
              <w:rPr>
                <w:sz w:val="28"/>
                <w:szCs w:val="28"/>
              </w:rPr>
              <w:t>-24000000</w:t>
            </w:r>
          </w:p>
        </w:tc>
        <w:tc>
          <w:tcPr>
            <w:tcW w:w="1160" w:type="dxa"/>
            <w:noWrap/>
            <w:hideMark/>
          </w:tcPr>
          <w:p w14:paraId="2B78CC01" w14:textId="77777777" w:rsidR="009558E3" w:rsidRPr="009558E3" w:rsidRDefault="009558E3" w:rsidP="009558E3">
            <w:pPr>
              <w:jc w:val="both"/>
              <w:rPr>
                <w:sz w:val="28"/>
                <w:szCs w:val="28"/>
              </w:rPr>
            </w:pPr>
            <w:r w:rsidRPr="009558E3">
              <w:rPr>
                <w:sz w:val="28"/>
                <w:szCs w:val="28"/>
              </w:rPr>
              <w:t>-24000000</w:t>
            </w:r>
          </w:p>
        </w:tc>
        <w:tc>
          <w:tcPr>
            <w:tcW w:w="1160" w:type="dxa"/>
            <w:noWrap/>
            <w:hideMark/>
          </w:tcPr>
          <w:p w14:paraId="54371143" w14:textId="77777777" w:rsidR="009558E3" w:rsidRPr="009558E3" w:rsidRDefault="009558E3" w:rsidP="009558E3">
            <w:pPr>
              <w:jc w:val="both"/>
              <w:rPr>
                <w:sz w:val="28"/>
                <w:szCs w:val="28"/>
              </w:rPr>
            </w:pPr>
            <w:r w:rsidRPr="009558E3">
              <w:rPr>
                <w:sz w:val="28"/>
                <w:szCs w:val="28"/>
              </w:rPr>
              <w:t>-24000000</w:t>
            </w:r>
          </w:p>
        </w:tc>
      </w:tr>
      <w:tr w:rsidR="009558E3" w:rsidRPr="009558E3" w14:paraId="1EF88A5A" w14:textId="77777777" w:rsidTr="009558E3">
        <w:trPr>
          <w:trHeight w:val="300"/>
        </w:trPr>
        <w:tc>
          <w:tcPr>
            <w:tcW w:w="1980" w:type="dxa"/>
            <w:noWrap/>
            <w:hideMark/>
          </w:tcPr>
          <w:p w14:paraId="4F8FB1AA" w14:textId="77777777" w:rsidR="009558E3" w:rsidRPr="009558E3" w:rsidRDefault="009558E3" w:rsidP="009558E3">
            <w:pPr>
              <w:jc w:val="both"/>
              <w:rPr>
                <w:sz w:val="28"/>
                <w:szCs w:val="28"/>
              </w:rPr>
            </w:pPr>
            <w:r w:rsidRPr="009558E3">
              <w:rPr>
                <w:sz w:val="28"/>
                <w:szCs w:val="28"/>
              </w:rPr>
              <w:t>-50000000</w:t>
            </w:r>
          </w:p>
        </w:tc>
        <w:tc>
          <w:tcPr>
            <w:tcW w:w="960" w:type="dxa"/>
            <w:noWrap/>
            <w:hideMark/>
          </w:tcPr>
          <w:p w14:paraId="569FAB03" w14:textId="77777777" w:rsidR="009558E3" w:rsidRPr="009558E3" w:rsidRDefault="009558E3" w:rsidP="009558E3">
            <w:pPr>
              <w:jc w:val="both"/>
              <w:rPr>
                <w:sz w:val="28"/>
                <w:szCs w:val="28"/>
              </w:rPr>
            </w:pPr>
            <w:r w:rsidRPr="009558E3">
              <w:rPr>
                <w:sz w:val="28"/>
                <w:szCs w:val="28"/>
              </w:rPr>
              <w:t>5000000</w:t>
            </w:r>
          </w:p>
        </w:tc>
        <w:tc>
          <w:tcPr>
            <w:tcW w:w="960" w:type="dxa"/>
            <w:noWrap/>
            <w:hideMark/>
          </w:tcPr>
          <w:p w14:paraId="46706D47" w14:textId="77777777" w:rsidR="009558E3" w:rsidRPr="009558E3" w:rsidRDefault="009558E3" w:rsidP="009558E3">
            <w:pPr>
              <w:jc w:val="both"/>
              <w:rPr>
                <w:sz w:val="28"/>
                <w:szCs w:val="28"/>
              </w:rPr>
            </w:pPr>
            <w:r w:rsidRPr="009558E3">
              <w:rPr>
                <w:sz w:val="28"/>
                <w:szCs w:val="28"/>
              </w:rPr>
              <w:t>10000000</w:t>
            </w:r>
          </w:p>
        </w:tc>
        <w:tc>
          <w:tcPr>
            <w:tcW w:w="960" w:type="dxa"/>
            <w:noWrap/>
            <w:hideMark/>
          </w:tcPr>
          <w:p w14:paraId="621D18CE" w14:textId="77777777" w:rsidR="009558E3" w:rsidRPr="009558E3" w:rsidRDefault="009558E3" w:rsidP="009558E3">
            <w:pPr>
              <w:jc w:val="both"/>
              <w:rPr>
                <w:sz w:val="28"/>
                <w:szCs w:val="28"/>
              </w:rPr>
            </w:pPr>
            <w:r w:rsidRPr="009558E3">
              <w:rPr>
                <w:sz w:val="28"/>
                <w:szCs w:val="28"/>
              </w:rPr>
              <w:t>20000000</w:t>
            </w:r>
          </w:p>
        </w:tc>
        <w:tc>
          <w:tcPr>
            <w:tcW w:w="960" w:type="dxa"/>
            <w:noWrap/>
            <w:hideMark/>
          </w:tcPr>
          <w:p w14:paraId="114D72C7" w14:textId="77777777" w:rsidR="009558E3" w:rsidRPr="009558E3" w:rsidRDefault="009558E3" w:rsidP="009558E3">
            <w:pPr>
              <w:jc w:val="both"/>
              <w:rPr>
                <w:sz w:val="28"/>
                <w:szCs w:val="28"/>
              </w:rPr>
            </w:pPr>
            <w:r w:rsidRPr="009558E3">
              <w:rPr>
                <w:sz w:val="28"/>
                <w:szCs w:val="28"/>
              </w:rPr>
              <w:t>25000000</w:t>
            </w:r>
          </w:p>
        </w:tc>
        <w:tc>
          <w:tcPr>
            <w:tcW w:w="960" w:type="dxa"/>
            <w:noWrap/>
            <w:hideMark/>
          </w:tcPr>
          <w:p w14:paraId="6338EAE6" w14:textId="77777777" w:rsidR="009558E3" w:rsidRPr="009558E3" w:rsidRDefault="009558E3" w:rsidP="009558E3">
            <w:pPr>
              <w:jc w:val="both"/>
              <w:rPr>
                <w:sz w:val="28"/>
                <w:szCs w:val="28"/>
              </w:rPr>
            </w:pPr>
            <w:r w:rsidRPr="009558E3">
              <w:rPr>
                <w:sz w:val="28"/>
                <w:szCs w:val="28"/>
              </w:rPr>
              <w:t>15000000</w:t>
            </w:r>
          </w:p>
        </w:tc>
        <w:tc>
          <w:tcPr>
            <w:tcW w:w="1540" w:type="dxa"/>
            <w:noWrap/>
            <w:hideMark/>
          </w:tcPr>
          <w:p w14:paraId="199852A6" w14:textId="77777777" w:rsidR="009558E3" w:rsidRPr="009558E3" w:rsidRDefault="009558E3" w:rsidP="009558E3">
            <w:pPr>
              <w:jc w:val="both"/>
              <w:rPr>
                <w:sz w:val="28"/>
                <w:szCs w:val="28"/>
              </w:rPr>
            </w:pPr>
          </w:p>
        </w:tc>
        <w:tc>
          <w:tcPr>
            <w:tcW w:w="2120" w:type="dxa"/>
            <w:noWrap/>
            <w:hideMark/>
          </w:tcPr>
          <w:p w14:paraId="03A75CA9" w14:textId="77777777" w:rsidR="009558E3" w:rsidRPr="009558E3" w:rsidRDefault="009558E3" w:rsidP="009558E3">
            <w:pPr>
              <w:jc w:val="both"/>
              <w:rPr>
                <w:sz w:val="28"/>
                <w:szCs w:val="28"/>
              </w:rPr>
            </w:pPr>
            <w:r w:rsidRPr="009558E3">
              <w:rPr>
                <w:sz w:val="28"/>
                <w:szCs w:val="28"/>
              </w:rPr>
              <w:t>#VALUE!</w:t>
            </w:r>
          </w:p>
        </w:tc>
        <w:tc>
          <w:tcPr>
            <w:tcW w:w="1300" w:type="dxa"/>
            <w:noWrap/>
            <w:hideMark/>
          </w:tcPr>
          <w:p w14:paraId="469A7545" w14:textId="77777777" w:rsidR="009558E3" w:rsidRPr="009558E3" w:rsidRDefault="009558E3" w:rsidP="009558E3">
            <w:pPr>
              <w:jc w:val="both"/>
              <w:rPr>
                <w:sz w:val="28"/>
                <w:szCs w:val="28"/>
              </w:rPr>
            </w:pPr>
            <w:r w:rsidRPr="009558E3">
              <w:rPr>
                <w:sz w:val="28"/>
                <w:szCs w:val="28"/>
              </w:rPr>
              <w:t>4225369.603</w:t>
            </w:r>
          </w:p>
        </w:tc>
        <w:tc>
          <w:tcPr>
            <w:tcW w:w="960" w:type="dxa"/>
            <w:noWrap/>
            <w:hideMark/>
          </w:tcPr>
          <w:p w14:paraId="2E91A28C" w14:textId="77777777" w:rsidR="009558E3" w:rsidRPr="009558E3" w:rsidRDefault="009558E3" w:rsidP="009558E3">
            <w:pPr>
              <w:jc w:val="both"/>
              <w:rPr>
                <w:sz w:val="28"/>
                <w:szCs w:val="28"/>
              </w:rPr>
            </w:pPr>
            <w:r w:rsidRPr="009558E3">
              <w:rPr>
                <w:sz w:val="28"/>
                <w:szCs w:val="28"/>
              </w:rPr>
              <w:t>0.127198</w:t>
            </w:r>
          </w:p>
        </w:tc>
        <w:tc>
          <w:tcPr>
            <w:tcW w:w="960" w:type="dxa"/>
            <w:noWrap/>
            <w:hideMark/>
          </w:tcPr>
          <w:p w14:paraId="24159D78" w14:textId="77777777" w:rsidR="009558E3" w:rsidRPr="009558E3" w:rsidRDefault="009558E3" w:rsidP="009558E3">
            <w:pPr>
              <w:jc w:val="both"/>
              <w:rPr>
                <w:sz w:val="28"/>
                <w:szCs w:val="28"/>
              </w:rPr>
            </w:pPr>
            <w:r w:rsidRPr="009558E3">
              <w:rPr>
                <w:sz w:val="28"/>
                <w:szCs w:val="28"/>
              </w:rPr>
              <w:t>1.084507</w:t>
            </w:r>
          </w:p>
        </w:tc>
        <w:tc>
          <w:tcPr>
            <w:tcW w:w="1460" w:type="dxa"/>
            <w:noWrap/>
            <w:hideMark/>
          </w:tcPr>
          <w:p w14:paraId="6C46B871" w14:textId="77777777" w:rsidR="009558E3" w:rsidRPr="009558E3" w:rsidRDefault="009558E3" w:rsidP="009558E3">
            <w:pPr>
              <w:jc w:val="both"/>
              <w:rPr>
                <w:sz w:val="28"/>
                <w:szCs w:val="28"/>
              </w:rPr>
            </w:pPr>
            <w:r w:rsidRPr="009558E3">
              <w:rPr>
                <w:sz w:val="28"/>
                <w:szCs w:val="28"/>
              </w:rPr>
              <w:t>-50000000</w:t>
            </w:r>
          </w:p>
        </w:tc>
        <w:tc>
          <w:tcPr>
            <w:tcW w:w="1600" w:type="dxa"/>
            <w:noWrap/>
            <w:hideMark/>
          </w:tcPr>
          <w:p w14:paraId="701EBB90" w14:textId="77777777" w:rsidR="009558E3" w:rsidRPr="009558E3" w:rsidRDefault="009558E3" w:rsidP="009558E3">
            <w:pPr>
              <w:jc w:val="both"/>
              <w:rPr>
                <w:sz w:val="28"/>
                <w:szCs w:val="28"/>
              </w:rPr>
            </w:pPr>
            <w:r w:rsidRPr="009558E3">
              <w:rPr>
                <w:sz w:val="28"/>
                <w:szCs w:val="28"/>
              </w:rPr>
              <w:t>-45000000</w:t>
            </w:r>
          </w:p>
        </w:tc>
        <w:tc>
          <w:tcPr>
            <w:tcW w:w="1160" w:type="dxa"/>
            <w:noWrap/>
            <w:hideMark/>
          </w:tcPr>
          <w:p w14:paraId="660E6E88" w14:textId="77777777" w:rsidR="009558E3" w:rsidRPr="009558E3" w:rsidRDefault="009558E3" w:rsidP="009558E3">
            <w:pPr>
              <w:jc w:val="both"/>
              <w:rPr>
                <w:sz w:val="28"/>
                <w:szCs w:val="28"/>
              </w:rPr>
            </w:pPr>
            <w:r w:rsidRPr="009558E3">
              <w:rPr>
                <w:sz w:val="28"/>
                <w:szCs w:val="28"/>
              </w:rPr>
              <w:t>-40000000</w:t>
            </w:r>
          </w:p>
        </w:tc>
        <w:tc>
          <w:tcPr>
            <w:tcW w:w="1160" w:type="dxa"/>
            <w:noWrap/>
            <w:hideMark/>
          </w:tcPr>
          <w:p w14:paraId="52B354E9" w14:textId="77777777" w:rsidR="009558E3" w:rsidRPr="009558E3" w:rsidRDefault="009558E3" w:rsidP="009558E3">
            <w:pPr>
              <w:jc w:val="both"/>
              <w:rPr>
                <w:sz w:val="28"/>
                <w:szCs w:val="28"/>
              </w:rPr>
            </w:pPr>
            <w:r w:rsidRPr="009558E3">
              <w:rPr>
                <w:sz w:val="28"/>
                <w:szCs w:val="28"/>
              </w:rPr>
              <w:t>-30000000</w:t>
            </w:r>
          </w:p>
        </w:tc>
        <w:tc>
          <w:tcPr>
            <w:tcW w:w="1160" w:type="dxa"/>
            <w:noWrap/>
            <w:hideMark/>
          </w:tcPr>
          <w:p w14:paraId="44CD5200" w14:textId="77777777" w:rsidR="009558E3" w:rsidRPr="009558E3" w:rsidRDefault="009558E3" w:rsidP="009558E3">
            <w:pPr>
              <w:jc w:val="both"/>
              <w:rPr>
                <w:sz w:val="28"/>
                <w:szCs w:val="28"/>
              </w:rPr>
            </w:pPr>
            <w:r w:rsidRPr="009558E3">
              <w:rPr>
                <w:sz w:val="28"/>
                <w:szCs w:val="28"/>
              </w:rPr>
              <w:t>-25000000</w:t>
            </w:r>
          </w:p>
        </w:tc>
        <w:tc>
          <w:tcPr>
            <w:tcW w:w="1160" w:type="dxa"/>
            <w:noWrap/>
            <w:hideMark/>
          </w:tcPr>
          <w:p w14:paraId="13CF9E4C" w14:textId="77777777" w:rsidR="009558E3" w:rsidRPr="009558E3" w:rsidRDefault="009558E3" w:rsidP="009558E3">
            <w:pPr>
              <w:jc w:val="both"/>
              <w:rPr>
                <w:sz w:val="28"/>
                <w:szCs w:val="28"/>
              </w:rPr>
            </w:pPr>
            <w:r w:rsidRPr="009558E3">
              <w:rPr>
                <w:sz w:val="28"/>
                <w:szCs w:val="28"/>
              </w:rPr>
              <w:t>-35000000</w:t>
            </w:r>
          </w:p>
        </w:tc>
      </w:tr>
    </w:tbl>
    <w:p w14:paraId="3DB3EFA7" w14:textId="3AFD9E27" w:rsidR="009558E3" w:rsidRPr="009558E3" w:rsidRDefault="009558E3" w:rsidP="009558E3">
      <w:pPr>
        <w:jc w:val="both"/>
        <w:rPr>
          <w:sz w:val="28"/>
          <w:szCs w:val="28"/>
        </w:rPr>
        <w:sectPr w:rsidR="009558E3" w:rsidRPr="009558E3" w:rsidSect="009558E3">
          <w:pgSz w:w="15840" w:h="12240" w:orient="landscape"/>
          <w:pgMar w:top="1440" w:right="1440" w:bottom="1440" w:left="1440" w:header="720" w:footer="720" w:gutter="0"/>
          <w:cols w:space="720"/>
          <w:docGrid w:linePitch="360"/>
        </w:sectPr>
      </w:pPr>
    </w:p>
    <w:p w14:paraId="447FCA5F" w14:textId="542FB3B6" w:rsidR="009558E3" w:rsidRPr="009558E3" w:rsidRDefault="003346ED" w:rsidP="009558E3">
      <w:pPr>
        <w:jc w:val="both"/>
        <w:rPr>
          <w:sz w:val="28"/>
          <w:szCs w:val="28"/>
        </w:rPr>
      </w:pPr>
      <w:r>
        <w:rPr>
          <w:noProof/>
          <w:sz w:val="28"/>
          <w:szCs w:val="28"/>
        </w:rPr>
        <w:lastRenderedPageBreak/>
        <w:drawing>
          <wp:inline distT="0" distB="0" distL="0" distR="0" wp14:anchorId="7BEE1584" wp14:editId="06BB7E7D">
            <wp:extent cx="6190926" cy="3098188"/>
            <wp:effectExtent l="0" t="0" r="635" b="6985"/>
            <wp:docPr id="21023224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02521" cy="3103990"/>
                    </a:xfrm>
                    <a:prstGeom prst="rect">
                      <a:avLst/>
                    </a:prstGeom>
                    <a:noFill/>
                  </pic:spPr>
                </pic:pic>
              </a:graphicData>
            </a:graphic>
          </wp:inline>
        </w:drawing>
      </w:r>
    </w:p>
    <w:sectPr w:rsidR="009558E3" w:rsidRPr="009558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B668E"/>
    <w:multiLevelType w:val="multilevel"/>
    <w:tmpl w:val="38883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F3EA0"/>
    <w:multiLevelType w:val="multilevel"/>
    <w:tmpl w:val="74D24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D810A3"/>
    <w:multiLevelType w:val="multilevel"/>
    <w:tmpl w:val="060E9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604E8"/>
    <w:multiLevelType w:val="multilevel"/>
    <w:tmpl w:val="AD3C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9B06B1"/>
    <w:multiLevelType w:val="multilevel"/>
    <w:tmpl w:val="D694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A44156"/>
    <w:multiLevelType w:val="multilevel"/>
    <w:tmpl w:val="7ACC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B38FF"/>
    <w:multiLevelType w:val="multilevel"/>
    <w:tmpl w:val="A6245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0978CF"/>
    <w:multiLevelType w:val="multilevel"/>
    <w:tmpl w:val="F42A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0746530">
    <w:abstractNumId w:val="1"/>
  </w:num>
  <w:num w:numId="2" w16cid:durableId="1078095913">
    <w:abstractNumId w:val="4"/>
  </w:num>
  <w:num w:numId="3" w16cid:durableId="1335380625">
    <w:abstractNumId w:val="2"/>
  </w:num>
  <w:num w:numId="4" w16cid:durableId="947153048">
    <w:abstractNumId w:val="7"/>
  </w:num>
  <w:num w:numId="5" w16cid:durableId="318121677">
    <w:abstractNumId w:val="5"/>
  </w:num>
  <w:num w:numId="6" w16cid:durableId="2007826507">
    <w:abstractNumId w:val="3"/>
  </w:num>
  <w:num w:numId="7" w16cid:durableId="450175553">
    <w:abstractNumId w:val="6"/>
  </w:num>
  <w:num w:numId="8" w16cid:durableId="2082823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F07"/>
    <w:rsid w:val="00132BDB"/>
    <w:rsid w:val="001609F2"/>
    <w:rsid w:val="00225093"/>
    <w:rsid w:val="00226E3F"/>
    <w:rsid w:val="0027188B"/>
    <w:rsid w:val="002C78B2"/>
    <w:rsid w:val="002E1242"/>
    <w:rsid w:val="003346ED"/>
    <w:rsid w:val="003473E7"/>
    <w:rsid w:val="003B3E07"/>
    <w:rsid w:val="003E51EA"/>
    <w:rsid w:val="0045583B"/>
    <w:rsid w:val="00513F6A"/>
    <w:rsid w:val="00571585"/>
    <w:rsid w:val="00606E3A"/>
    <w:rsid w:val="00613461"/>
    <w:rsid w:val="00634002"/>
    <w:rsid w:val="00680C61"/>
    <w:rsid w:val="006B51A1"/>
    <w:rsid w:val="006B6B4C"/>
    <w:rsid w:val="006D1836"/>
    <w:rsid w:val="00754059"/>
    <w:rsid w:val="00783D76"/>
    <w:rsid w:val="008F64CB"/>
    <w:rsid w:val="00933DA2"/>
    <w:rsid w:val="009558E3"/>
    <w:rsid w:val="00A05DF6"/>
    <w:rsid w:val="00A35F07"/>
    <w:rsid w:val="00A70665"/>
    <w:rsid w:val="00A82AFA"/>
    <w:rsid w:val="00B854BC"/>
    <w:rsid w:val="00D86FAC"/>
    <w:rsid w:val="00DC334F"/>
    <w:rsid w:val="00E310C7"/>
    <w:rsid w:val="00FA0C20"/>
    <w:rsid w:val="00FA4C1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FDF76"/>
  <w15:chartTrackingRefBased/>
  <w15:docId w15:val="{8B28B84D-0E2A-4685-A346-ADC9C401C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F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5F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5F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5F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5F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5F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5F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5F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5F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F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5F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5F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5F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5F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5F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F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F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F07"/>
    <w:rPr>
      <w:rFonts w:eastAsiaTheme="majorEastAsia" w:cstheme="majorBidi"/>
      <w:color w:val="272727" w:themeColor="text1" w:themeTint="D8"/>
    </w:rPr>
  </w:style>
  <w:style w:type="paragraph" w:styleId="Title">
    <w:name w:val="Title"/>
    <w:basedOn w:val="Normal"/>
    <w:next w:val="Normal"/>
    <w:link w:val="TitleChar"/>
    <w:uiPriority w:val="10"/>
    <w:qFormat/>
    <w:rsid w:val="00A35F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5F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F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5F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5F07"/>
    <w:pPr>
      <w:spacing w:before="160"/>
      <w:jc w:val="center"/>
    </w:pPr>
    <w:rPr>
      <w:i/>
      <w:iCs/>
      <w:color w:val="404040" w:themeColor="text1" w:themeTint="BF"/>
    </w:rPr>
  </w:style>
  <w:style w:type="character" w:customStyle="1" w:styleId="QuoteChar">
    <w:name w:val="Quote Char"/>
    <w:basedOn w:val="DefaultParagraphFont"/>
    <w:link w:val="Quote"/>
    <w:uiPriority w:val="29"/>
    <w:rsid w:val="00A35F07"/>
    <w:rPr>
      <w:i/>
      <w:iCs/>
      <w:color w:val="404040" w:themeColor="text1" w:themeTint="BF"/>
    </w:rPr>
  </w:style>
  <w:style w:type="paragraph" w:styleId="ListParagraph">
    <w:name w:val="List Paragraph"/>
    <w:basedOn w:val="Normal"/>
    <w:uiPriority w:val="34"/>
    <w:qFormat/>
    <w:rsid w:val="00A35F07"/>
    <w:pPr>
      <w:ind w:left="720"/>
      <w:contextualSpacing/>
    </w:pPr>
  </w:style>
  <w:style w:type="character" w:styleId="IntenseEmphasis">
    <w:name w:val="Intense Emphasis"/>
    <w:basedOn w:val="DefaultParagraphFont"/>
    <w:uiPriority w:val="21"/>
    <w:qFormat/>
    <w:rsid w:val="00A35F07"/>
    <w:rPr>
      <w:i/>
      <w:iCs/>
      <w:color w:val="2F5496" w:themeColor="accent1" w:themeShade="BF"/>
    </w:rPr>
  </w:style>
  <w:style w:type="paragraph" w:styleId="IntenseQuote">
    <w:name w:val="Intense Quote"/>
    <w:basedOn w:val="Normal"/>
    <w:next w:val="Normal"/>
    <w:link w:val="IntenseQuoteChar"/>
    <w:uiPriority w:val="30"/>
    <w:qFormat/>
    <w:rsid w:val="00A35F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5F07"/>
    <w:rPr>
      <w:i/>
      <w:iCs/>
      <w:color w:val="2F5496" w:themeColor="accent1" w:themeShade="BF"/>
    </w:rPr>
  </w:style>
  <w:style w:type="character" w:styleId="IntenseReference">
    <w:name w:val="Intense Reference"/>
    <w:basedOn w:val="DefaultParagraphFont"/>
    <w:uiPriority w:val="32"/>
    <w:qFormat/>
    <w:rsid w:val="00A35F07"/>
    <w:rPr>
      <w:b/>
      <w:bCs/>
      <w:smallCaps/>
      <w:color w:val="2F5496" w:themeColor="accent1" w:themeShade="BF"/>
      <w:spacing w:val="5"/>
    </w:rPr>
  </w:style>
  <w:style w:type="table" w:styleId="TableGrid">
    <w:name w:val="Table Grid"/>
    <w:basedOn w:val="TableNormal"/>
    <w:uiPriority w:val="39"/>
    <w:rsid w:val="00955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558E3"/>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9558E3"/>
    <w:rPr>
      <w:rFonts w:eastAsiaTheme="minorEastAsia"/>
      <w:kern w:val="0"/>
      <w:sz w:val="22"/>
      <w:szCs w:val="22"/>
      <w14:ligatures w14:val="none"/>
    </w:rPr>
  </w:style>
  <w:style w:type="character" w:styleId="Hyperlink">
    <w:name w:val="Hyperlink"/>
    <w:basedOn w:val="DefaultParagraphFont"/>
    <w:uiPriority w:val="99"/>
    <w:unhideWhenUsed/>
    <w:rsid w:val="009558E3"/>
    <w:rPr>
      <w:color w:val="0563C1" w:themeColor="hyperlink"/>
      <w:u w:val="single"/>
    </w:rPr>
  </w:style>
  <w:style w:type="character" w:styleId="UnresolvedMention">
    <w:name w:val="Unresolved Mention"/>
    <w:basedOn w:val="DefaultParagraphFont"/>
    <w:uiPriority w:val="99"/>
    <w:semiHidden/>
    <w:unhideWhenUsed/>
    <w:rsid w:val="00955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education.com/" TargetMode="External" /><Relationship Id="rId13" Type="http://schemas.openxmlformats.org/officeDocument/2006/relationships/hyperlink" Target="https://www.wiley.com/" TargetMode="External" /><Relationship Id="rId3" Type="http://schemas.openxmlformats.org/officeDocument/2006/relationships/settings" Target="settings.xml" /><Relationship Id="rId7" Type="http://schemas.openxmlformats.org/officeDocument/2006/relationships/hyperlink" Target="https://onlinelibrary.wiley.com/" TargetMode="External" /><Relationship Id="rId12" Type="http://schemas.openxmlformats.org/officeDocument/2006/relationships/hyperlink" Target="https://www.wiley.com/"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hyperlink" Target="https://doi.org/10.1111/j.1540-6261.1968.tb00843.x" TargetMode="External" /><Relationship Id="rId11" Type="http://schemas.openxmlformats.org/officeDocument/2006/relationships/hyperlink" Target="https://www.jstor.org/stable/43194888" TargetMode="External" /><Relationship Id="rId5" Type="http://schemas.openxmlformats.org/officeDocument/2006/relationships/image" Target="media/image1.jpeg" /><Relationship Id="rId15" Type="http://schemas.openxmlformats.org/officeDocument/2006/relationships/image" Target="media/image3.png" /><Relationship Id="rId10" Type="http://schemas.openxmlformats.org/officeDocument/2006/relationships/hyperlink" Target="https://www.pearson.com/" TargetMode="External" /><Relationship Id="rId4" Type="http://schemas.openxmlformats.org/officeDocument/2006/relationships/webSettings" Target="webSettings.xml" /><Relationship Id="rId9" Type="http://schemas.openxmlformats.org/officeDocument/2006/relationships/hyperlink" Target="https://www.cengage.com/" TargetMode="External" /><Relationship Id="rId14"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8010</Words>
  <Characters>45662</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Arvind Singh</cp:lastModifiedBy>
  <cp:revision>2</cp:revision>
  <dcterms:created xsi:type="dcterms:W3CDTF">2025-12-13T12:00:00Z</dcterms:created>
  <dcterms:modified xsi:type="dcterms:W3CDTF">2025-12-13T12:00:00Z</dcterms:modified>
</cp:coreProperties>
</file>