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5787A5" w14:textId="21A02633" w:rsidR="00DD749E" w:rsidRDefault="5C083E7C" w:rsidP="1E690F03">
      <w:pPr>
        <w:rPr>
          <w:sz w:val="32"/>
          <w:szCs w:val="32"/>
          <w:u w:val="single"/>
        </w:rPr>
      </w:pPr>
      <w:r w:rsidRPr="1E690F03">
        <w:rPr>
          <w:sz w:val="32"/>
          <w:szCs w:val="32"/>
          <w:u w:val="single"/>
        </w:rPr>
        <w:t xml:space="preserve">Adolescence </w:t>
      </w:r>
    </w:p>
    <w:p w14:paraId="539961A2" w14:textId="6079BAFE" w:rsidR="5C083E7C" w:rsidRDefault="5C083E7C" w:rsidP="1E690F03">
      <w:pPr>
        <w:rPr>
          <w:b/>
          <w:bCs/>
        </w:rPr>
      </w:pPr>
      <w:r w:rsidRPr="1E690F03">
        <w:rPr>
          <w:b/>
          <w:bCs/>
        </w:rPr>
        <w:t xml:space="preserve">Introduction: </w:t>
      </w:r>
    </w:p>
    <w:p w14:paraId="60A6A28B" w14:textId="36E7592F" w:rsidR="3C6E1ED8" w:rsidRDefault="3C6E1ED8" w:rsidP="01F2ABAD">
      <w:pPr>
        <w:spacing w:line="360" w:lineRule="auto"/>
        <w:rPr>
          <w:rFonts w:ascii="Aptos" w:eastAsia="Aptos" w:hAnsi="Aptos" w:cs="Aptos"/>
        </w:rPr>
      </w:pPr>
      <w:r w:rsidRPr="01F2ABAD">
        <w:t>Social media has affected plenty of young teenagers</w:t>
      </w:r>
      <w:r w:rsidR="357FF176" w:rsidRPr="01F2ABAD">
        <w:t xml:space="preserve">, in Eriksons theory this is stated that </w:t>
      </w:r>
      <w:r w:rsidR="059601B1" w:rsidRPr="01F2ABAD">
        <w:t>social media</w:t>
      </w:r>
      <w:r w:rsidR="77FB321C" w:rsidRPr="01F2ABAD">
        <w:t xml:space="preserve"> </w:t>
      </w:r>
      <w:r w:rsidR="77FB321C" w:rsidRPr="01F2ABAD">
        <w:rPr>
          <w:rFonts w:ascii="Aptos" w:eastAsia="Aptos" w:hAnsi="Aptos" w:cs="Aptos"/>
        </w:rPr>
        <w:t>greatly intensifies this process, functioning as a digital reflection through which young people test identities, look for social validation, and measure themselves against others.</w:t>
      </w:r>
      <w:r w:rsidR="7BF7BC77" w:rsidRPr="01F2ABAD">
        <w:rPr>
          <w:rFonts w:ascii="Aptos" w:eastAsia="Aptos" w:hAnsi="Aptos" w:cs="Aptos"/>
        </w:rPr>
        <w:t xml:space="preserve"> As for Bowlby's attachment theory social media affects adolescent mental health by influencing brain development, disrupting sleep patterns, and promoting unhealthy social comparison. These factors can contribute to a psychological cycle in which adolescents become increasingly dependent on online validation, such as likes and followers, while authentic emotional support and meaningful social connections are diminished</w:t>
      </w:r>
      <w:r w:rsidR="366F1AA1" w:rsidRPr="01F2ABAD">
        <w:rPr>
          <w:rFonts w:ascii="Aptos" w:eastAsia="Aptos" w:hAnsi="Aptos" w:cs="Aptos"/>
        </w:rPr>
        <w:t xml:space="preserve">. </w:t>
      </w:r>
    </w:p>
    <w:p w14:paraId="3C01D809" w14:textId="183B26A6" w:rsidR="366F1AA1" w:rsidRDefault="366F1AA1" w:rsidP="01F2ABAD">
      <w:pPr>
        <w:rPr>
          <w:rFonts w:ascii="Aptos" w:eastAsia="Aptos" w:hAnsi="Aptos" w:cs="Aptos"/>
          <w:b/>
          <w:bCs/>
        </w:rPr>
      </w:pPr>
      <w:r w:rsidRPr="01F2ABAD">
        <w:rPr>
          <w:rFonts w:ascii="Aptos" w:eastAsia="Aptos" w:hAnsi="Aptos" w:cs="Aptos"/>
          <w:b/>
          <w:bCs/>
        </w:rPr>
        <w:t xml:space="preserve">Main body: </w:t>
      </w:r>
    </w:p>
    <w:p w14:paraId="4D2584A4" w14:textId="739449FE" w:rsidR="6540C2E8" w:rsidRDefault="6540C2E8" w:rsidP="01F2ABAD">
      <w:pPr>
        <w:spacing w:line="360" w:lineRule="auto"/>
        <w:rPr>
          <w:rFonts w:ascii="Aptos" w:eastAsia="Aptos" w:hAnsi="Aptos" w:cs="Aptos"/>
        </w:rPr>
      </w:pPr>
      <w:r w:rsidRPr="01F2ABAD">
        <w:rPr>
          <w:rFonts w:ascii="Aptos" w:eastAsia="Aptos" w:hAnsi="Aptos" w:cs="Aptos"/>
        </w:rPr>
        <w:t xml:space="preserve">Excessive social media use during adolescence is closely associated with a range of mental health problems, including increased levels of depression, anxiety, body image dissatisfaction, and sleep disturbances. Adolescence is a critical period of emotional, psychological, and social development, during which young people are particularly sensitive to external influences. Social media platforms have become an integral part of daily life, providing opportunities for communication, entertainment, education, and self-expression. While these platforms offer many benefits, excessive or unhealthy use can have significant negative consequences for </w:t>
      </w:r>
      <w:r w:rsidR="22AA2822" w:rsidRPr="01F2ABAD">
        <w:rPr>
          <w:rFonts w:ascii="Aptos" w:eastAsia="Aptos" w:hAnsi="Aptos" w:cs="Aptos"/>
        </w:rPr>
        <w:t xml:space="preserve">adolescents' </w:t>
      </w:r>
      <w:r w:rsidRPr="01F2ABAD">
        <w:rPr>
          <w:rFonts w:ascii="Aptos" w:eastAsia="Aptos" w:hAnsi="Aptos" w:cs="Aptos"/>
        </w:rPr>
        <w:t>mental wellbeing. Research has consistently shown that spending long periods on social media is linked to poorer psychological outcomes, particularly when use involves constant comparison with others, exposure to unrealistic beauty standards, or experiences of cyberbullying.</w:t>
      </w:r>
    </w:p>
    <w:p w14:paraId="2CD95BC0" w14:textId="45E2165C" w:rsidR="6540C2E8" w:rsidRDefault="6540C2E8" w:rsidP="01F2ABAD">
      <w:pPr>
        <w:spacing w:line="360" w:lineRule="auto"/>
      </w:pPr>
      <w:r w:rsidRPr="01F2ABAD">
        <w:rPr>
          <w:rFonts w:ascii="Aptos" w:eastAsia="Aptos" w:hAnsi="Aptos" w:cs="Aptos"/>
        </w:rPr>
        <w:t>One of the most common mental health concerns associated with excessive social media use is depression. Adolescents who spend many hours on social networking sites may experience feelings of loneliness, sadness, and low self-worth despite being digitally connected to others. In addition, social media encourages users to present idealised versions of their lives, which can lead adolescents to believe that others are happier, more successful, or more attractive than they are. Repeated exposure to carefully edited images and highlight reels may contribute to negative self-perceptions and reduced self-esteem, increasing the risk of depressive symptoms over time.</w:t>
      </w:r>
    </w:p>
    <w:p w14:paraId="5DF0E3A7" w14:textId="47FCB0F2" w:rsidR="6540C2E8" w:rsidRDefault="6540C2E8" w:rsidP="01F2ABAD">
      <w:pPr>
        <w:spacing w:line="360" w:lineRule="auto"/>
      </w:pPr>
      <w:r w:rsidRPr="01F2ABAD">
        <w:rPr>
          <w:rFonts w:ascii="Aptos" w:eastAsia="Aptos" w:hAnsi="Aptos" w:cs="Aptos"/>
        </w:rPr>
        <w:t>Anxiety is another significant concern linked to excessive social media engagement. Many adolescents experience pressure to remain constantly connected, respond immediately to messages, and maintain an active online presence. Fear of missing out (FOMO) can create persistent stress and worry, particularly when young people believe they are being excluded from social events or experiences. Notifications, likes, comments, and follower counts may also become sources of validation, causing adolescents to seek approval through social media interactions. When expected levels of engagement are not achieved, feelings of rejection, insecurity, and anxiety may increase.</w:t>
      </w:r>
    </w:p>
    <w:p w14:paraId="458DF4DA" w14:textId="4ED834CC" w:rsidR="6540C2E8" w:rsidRDefault="6540C2E8" w:rsidP="01F2ABAD">
      <w:pPr>
        <w:spacing w:line="360" w:lineRule="auto"/>
      </w:pPr>
      <w:r w:rsidRPr="01F2ABAD">
        <w:rPr>
          <w:rFonts w:ascii="Aptos" w:eastAsia="Aptos" w:hAnsi="Aptos" w:cs="Aptos"/>
        </w:rPr>
        <w:t>Adolescents are frequently exposed to edited photographs, filters, and unrealistic beauty ideals promoted by influencers, celebrities, and peers. Comparing themselves with these unattainable standards can result in dissatisfaction with their own appearance, lower self-confidence, and unhealthy behaviours such as restrictive dieting or excessive exercise. These negative body image concerns may also contribute to the development of eating disorders and other psychological difficulties.</w:t>
      </w:r>
    </w:p>
    <w:p w14:paraId="06FA73AE" w14:textId="3545732A" w:rsidR="6540C2E8" w:rsidRDefault="6540C2E8" w:rsidP="01F2ABAD">
      <w:pPr>
        <w:spacing w:line="360" w:lineRule="auto"/>
      </w:pPr>
      <w:r w:rsidRPr="01F2ABAD">
        <w:rPr>
          <w:rFonts w:ascii="Aptos" w:eastAsia="Aptos" w:hAnsi="Aptos" w:cs="Aptos"/>
        </w:rPr>
        <w:t>Sleep disturbances represent another important consequence of excessive social media use. Many adolescents use smartphones and other digital devices late into the night, reducing the amount and quality of sleep they receive. The blue light emitted from screens can interfere with the body's natural sleep cycle by suppressing melatonin production, making it more difficult to fall asleep. Furthermore, emotionally stimulating content and constant notifications may prevent adolescents from relaxing before bedtime. Poor sleep is strongly associated with reduced concentration, lower academic performance, emotional instability, and an increased risk of anxiety and depression.</w:t>
      </w:r>
    </w:p>
    <w:p w14:paraId="27E2C76B" w14:textId="3DD3B3DA" w:rsidR="6540C2E8" w:rsidRDefault="6540C2E8" w:rsidP="01F2ABAD">
      <w:pPr>
        <w:spacing w:line="360" w:lineRule="auto"/>
      </w:pPr>
      <w:r w:rsidRPr="01F2ABAD">
        <w:rPr>
          <w:rFonts w:ascii="Aptos" w:eastAsia="Aptos" w:hAnsi="Aptos" w:cs="Aptos"/>
        </w:rPr>
        <w:t>However, the impact of social media is not the same for every adolescent. The extent of its effects often depends on how young people engage with these platforms and their individual psychological vulnerabilities. Adolescents who passively scroll through content or frequently compare themselves with others are generally more likely to experience negative mental health outcomes than those who use social media actively to maintain supportive relationships or access educational resources. Factors such as existing mental health conditions, low self-esteem, family support, resilience, and coping skills also influence how adolescents respond to social media experiences. Therefore, promoting balanced social media use, encouraging digital literacy, fostering positive offline relationships, and providing mental health support can help reduce the potential risks while allowing adolescents to benefit from the positive aspects of online communication.</w:t>
      </w:r>
    </w:p>
    <w:p w14:paraId="6E8492F9" w14:textId="6A3CCDED" w:rsidR="114C5680" w:rsidRDefault="114C5680" w:rsidP="01F2ABAD">
      <w:pPr>
        <w:spacing w:line="360" w:lineRule="auto"/>
      </w:pPr>
      <w:r w:rsidRPr="01F2ABAD">
        <w:rPr>
          <w:rFonts w:ascii="Aptos" w:eastAsia="Aptos" w:hAnsi="Aptos" w:cs="Aptos"/>
        </w:rPr>
        <w:t>Bowlby’s attachment theory proposes that psychosocial development is largely influenced by the quality of the emotional bond established between a child and their primary caregiver during the early years of life. He argued that infants are biologically programmed to form close attachments because these relationships increase their chances of survival and provide the emotional security necessary for healthy development. The experiences children have with their caregivers become the basis for their emotional, cognitive, and social growth, shaping how they respond to relationships and challenges throughout their lives.</w:t>
      </w:r>
    </w:p>
    <w:p w14:paraId="3CD46ADA" w14:textId="6194B9E6" w:rsidR="114C5680" w:rsidRDefault="114C5680" w:rsidP="01F2ABAD">
      <w:pPr>
        <w:spacing w:line="360" w:lineRule="auto"/>
      </w:pPr>
      <w:r w:rsidRPr="01F2ABAD">
        <w:rPr>
          <w:rFonts w:ascii="Aptos" w:eastAsia="Aptos" w:hAnsi="Aptos" w:cs="Aptos"/>
        </w:rPr>
        <w:t>A fundamental principle of Bowlby’s theory is the role of the caregiver as a secure base. When caregivers consistently respond to a child’s needs with warmth, sensitivity, and reliability, children develop a sense of safety and trust. This secure foundation encourages them to explore their environment, develop independence, and return to their caregiver for reassurance when faced with uncertainty or distress. The balance between exploration and emotional support allows children to gain confidence, strengthen their problem-solving abilities, and develop effective emotional regulation. As a result, securely attached children are generally better equipped to form positive relationships and adapt to new experiences.</w:t>
      </w:r>
    </w:p>
    <w:p w14:paraId="6BBB675A" w14:textId="6BAC862D" w:rsidR="114C5680" w:rsidRDefault="114C5680" w:rsidP="01F2ABAD">
      <w:pPr>
        <w:spacing w:line="360" w:lineRule="auto"/>
      </w:pPr>
      <w:r w:rsidRPr="01F2ABAD">
        <w:rPr>
          <w:rFonts w:ascii="Aptos" w:eastAsia="Aptos" w:hAnsi="Aptos" w:cs="Aptos"/>
        </w:rPr>
        <w:t>Bowlby suggested that repeated interactions with caregivers lead children to develop internal working models, which are mental representations of themselves, other people, and relationships. These models influence how individuals interpret social situations and what they expect from others. When caregiving is responsive and dependable, children are more likely to believe that they are worthy of love and that other people can be trusted to provide care and support. These positive expectations often contribute to healthy self-esteem, emotional resilience, and the ability to establish stable friendships and intimate relationships later in life.</w:t>
      </w:r>
    </w:p>
    <w:p w14:paraId="1552E9DC" w14:textId="547D2EF3" w:rsidR="114C5680" w:rsidRDefault="114C5680" w:rsidP="01F2ABAD">
      <w:pPr>
        <w:spacing w:line="360" w:lineRule="auto"/>
      </w:pPr>
      <w:r w:rsidRPr="01F2ABAD">
        <w:rPr>
          <w:rFonts w:ascii="Aptos" w:eastAsia="Aptos" w:hAnsi="Aptos" w:cs="Aptos"/>
        </w:rPr>
        <w:t>However, not all children experience secure attachment. If caregivers are emotionally unavailable, inconsistent, rejecting, or neglectful, children may develop insecure attachment styles. These experiences can create negative internal working models in which children perceive themselves as unimportant or believe that others cannot be relied upon. Consequently, they may adopt coping strategies that reflect their early experiences. Children with avoidant attachment often learn to suppress their emotional needs and become excessively independent because they expect little comfort from others. In contrast, children with anxious attachment may become overly dependent on caregivers, displaying heightened distress during separation and seeking constant reassurance because they are uncertain whether their needs will be met. These coping strategies are adaptive responses to early caregiving environments but may become less helpful in later relationships.</w:t>
      </w:r>
    </w:p>
    <w:p w14:paraId="4148467C" w14:textId="5FA5B635" w:rsidR="114C5680" w:rsidRDefault="114C5680" w:rsidP="01F2ABAD">
      <w:pPr>
        <w:spacing w:line="360" w:lineRule="auto"/>
      </w:pPr>
      <w:r w:rsidRPr="59C1B2A0">
        <w:rPr>
          <w:rFonts w:ascii="Aptos" w:eastAsia="Aptos" w:hAnsi="Aptos" w:cs="Aptos"/>
        </w:rPr>
        <w:t xml:space="preserve">According to Bowlby, the effects of attachment extend beyond childhood and continue to influence psychosocial development across the lifespan. Internal working models guide emotional responses, interpersonal behaviour, and expectations in friendships, romantic partnerships, and family relationships. Although later life experiences may reshape these patterns, early attachment relationships remain an important predictor of emotional wellbeing and relationship quality. </w:t>
      </w:r>
    </w:p>
    <w:p w14:paraId="5176341A" w14:textId="2C678C57" w:rsidR="12E6BD6D" w:rsidRDefault="12E6BD6D" w:rsidP="59C1B2A0">
      <w:pPr>
        <w:spacing w:line="360" w:lineRule="auto"/>
        <w:rPr>
          <w:rFonts w:ascii="Aptos" w:eastAsia="Aptos" w:hAnsi="Aptos" w:cs="Aptos"/>
          <w:b/>
          <w:bCs/>
        </w:rPr>
      </w:pPr>
      <w:r w:rsidRPr="59C1B2A0">
        <w:rPr>
          <w:rFonts w:ascii="Aptos" w:eastAsia="Aptos" w:hAnsi="Aptos" w:cs="Aptos"/>
          <w:b/>
          <w:bCs/>
        </w:rPr>
        <w:t xml:space="preserve">Nature vs Nurture: </w:t>
      </w:r>
    </w:p>
    <w:p w14:paraId="7F4597AF" w14:textId="1EDDF14F" w:rsidR="41FA8037" w:rsidRDefault="41FA8037" w:rsidP="733D9B98">
      <w:pPr>
        <w:spacing w:line="360" w:lineRule="auto"/>
      </w:pPr>
      <w:r w:rsidRPr="733D9B98">
        <w:rPr>
          <w:rFonts w:ascii="Aptos" w:eastAsia="Aptos" w:hAnsi="Aptos" w:cs="Aptos"/>
        </w:rPr>
        <w:t>Nature is the theory that human behaviour and development are largely influenced by biological factors. It suggests that individuals inherit genetic traits from their parents, which shape characteristics such as intelligence, temperament, personality, and certain behaviours. From this perspective, development is driven primarily by inherited abilities and biological processes.</w:t>
      </w:r>
    </w:p>
    <w:p w14:paraId="7AD9C272" w14:textId="57F8EC36" w:rsidR="41FA8037" w:rsidRDefault="41FA8037" w:rsidP="733D9B98">
      <w:pPr>
        <w:spacing w:line="360" w:lineRule="auto"/>
      </w:pPr>
      <w:r w:rsidRPr="733D9B98">
        <w:rPr>
          <w:rFonts w:ascii="Aptos" w:eastAsia="Aptos" w:hAnsi="Aptos" w:cs="Aptos"/>
        </w:rPr>
        <w:t>Nurture is the theory that human behaviour and development are shaped by environmental experiences rather than biology alone. It emphasises the impact of factors such as parenting, education, culture, social relationships, and life experiences in influencing an individual's behaviour, learning, and personal development. This perspective argues that people develop through their interactions with the environment throughout their lives.</w:t>
      </w:r>
      <w:r w:rsidR="657ACEFE" w:rsidRPr="733D9B98">
        <w:rPr>
          <w:rFonts w:ascii="Aptos" w:eastAsia="Aptos" w:hAnsi="Aptos" w:cs="Aptos"/>
        </w:rPr>
        <w:t xml:space="preserve"> As for Erikson's theory </w:t>
      </w:r>
    </w:p>
    <w:p w14:paraId="2E0A44C1" w14:textId="006377D5" w:rsidR="678AC761" w:rsidRDefault="678AC761" w:rsidP="01F2ABAD">
      <w:pPr>
        <w:rPr>
          <w:rFonts w:ascii="Aptos" w:eastAsia="Aptos" w:hAnsi="Aptos" w:cs="Aptos"/>
          <w:b/>
          <w:bCs/>
        </w:rPr>
      </w:pPr>
      <w:r w:rsidRPr="733D9B98">
        <w:rPr>
          <w:rFonts w:ascii="Aptos" w:eastAsia="Aptos" w:hAnsi="Aptos" w:cs="Aptos"/>
          <w:b/>
          <w:bCs/>
        </w:rPr>
        <w:t xml:space="preserve">Conclusion: </w:t>
      </w:r>
    </w:p>
    <w:p w14:paraId="1C37F2E5" w14:textId="47B9D84A" w:rsidR="59C1B2A0" w:rsidRDefault="4C3F6F55" w:rsidP="733D9B98">
      <w:pPr>
        <w:spacing w:line="360" w:lineRule="auto"/>
      </w:pPr>
      <w:r w:rsidRPr="733D9B98">
        <w:rPr>
          <w:rFonts w:ascii="Aptos" w:eastAsia="Aptos" w:hAnsi="Aptos" w:cs="Aptos"/>
        </w:rPr>
        <w:t>Social media significantly influences adolescent mental health by shaping identity development during Erikson's stage of Identity versus Role Confusion. As teenagers seek acceptance and define their sense of self through online interactions, exposure to idealised content can encourage unrealistic comparisons and increase the likelihood of anxiety and depression.</w:t>
      </w:r>
    </w:p>
    <w:p w14:paraId="4045F1A7" w14:textId="39D20F06" w:rsidR="2707E155" w:rsidRDefault="2707E155" w:rsidP="733D9B98">
      <w:pPr>
        <w:spacing w:line="360" w:lineRule="auto"/>
        <w:rPr>
          <w:rFonts w:ascii="Aptos" w:eastAsia="Aptos" w:hAnsi="Aptos" w:cs="Aptos"/>
        </w:rPr>
      </w:pPr>
      <w:r w:rsidRPr="733D9B98">
        <w:rPr>
          <w:rFonts w:ascii="Aptos" w:eastAsia="Aptos" w:hAnsi="Aptos" w:cs="Aptos"/>
        </w:rPr>
        <w:t>Social media can shape adolescent mental health by acting as an alternative source of emotional support. According to John Bowlby's Attachment Theory, adolescents with insecure attachments may turn to social media to fulfil unmet emotional needs. However, relying on online validation can increase the risk of anxiety, depression, and low self-esteem.</w:t>
      </w:r>
    </w:p>
    <w:p w14:paraId="75343C40" w14:textId="31DCA427" w:rsidR="59C1B2A0" w:rsidRDefault="59C1B2A0" w:rsidP="59C1B2A0">
      <w:pPr>
        <w:rPr>
          <w:rFonts w:ascii="Aptos" w:eastAsia="Aptos" w:hAnsi="Aptos" w:cs="Aptos"/>
          <w:b/>
          <w:bCs/>
        </w:rPr>
      </w:pPr>
    </w:p>
    <w:p w14:paraId="01B54649" w14:textId="4DE8AC80" w:rsidR="59C1B2A0" w:rsidRDefault="59C1B2A0" w:rsidP="59C1B2A0">
      <w:pPr>
        <w:rPr>
          <w:rFonts w:ascii="Aptos" w:eastAsia="Aptos" w:hAnsi="Aptos" w:cs="Aptos"/>
          <w:b/>
          <w:bCs/>
        </w:rPr>
      </w:pPr>
    </w:p>
    <w:p w14:paraId="671AA594" w14:textId="6A1387D8" w:rsidR="59C1B2A0" w:rsidRDefault="59C1B2A0" w:rsidP="59C1B2A0">
      <w:pPr>
        <w:rPr>
          <w:rFonts w:ascii="Aptos" w:eastAsia="Aptos" w:hAnsi="Aptos" w:cs="Aptos"/>
          <w:b/>
          <w:bCs/>
        </w:rPr>
      </w:pPr>
    </w:p>
    <w:p w14:paraId="06A0DDDC" w14:textId="08C986CC" w:rsidR="01F2ABAD" w:rsidRDefault="01F2ABAD" w:rsidP="01F2ABAD">
      <w:pPr>
        <w:rPr>
          <w:rFonts w:ascii="Aptos" w:eastAsia="Aptos" w:hAnsi="Aptos" w:cs="Aptos"/>
          <w:b/>
          <w:bCs/>
        </w:rPr>
      </w:pPr>
    </w:p>
    <w:p w14:paraId="07C7CC2E" w14:textId="6880D785" w:rsidR="01F2ABAD" w:rsidRDefault="01F2ABAD" w:rsidP="01F2ABAD">
      <w:pPr>
        <w:rPr>
          <w:rFonts w:ascii="Aptos" w:eastAsia="Aptos" w:hAnsi="Aptos" w:cs="Aptos"/>
        </w:rPr>
      </w:pPr>
    </w:p>
    <w:p w14:paraId="660531CE" w14:textId="376A2E84" w:rsidR="01F2ABAD" w:rsidRDefault="01F2ABAD" w:rsidP="01F2ABAD">
      <w:pPr>
        <w:rPr>
          <w:rFonts w:ascii="Aptos" w:eastAsia="Aptos" w:hAnsi="Aptos" w:cs="Aptos"/>
        </w:rPr>
      </w:pPr>
    </w:p>
    <w:p w14:paraId="505799EF" w14:textId="3AA2FDF8" w:rsidR="7A56A894" w:rsidRDefault="77FB321C" w:rsidP="01F2ABAD">
      <w:pPr>
        <w:rPr>
          <w:rFonts w:ascii="Aptos" w:eastAsia="Aptos" w:hAnsi="Aptos" w:cs="Aptos"/>
          <w:b/>
          <w:bCs/>
          <w:sz w:val="28"/>
          <w:szCs w:val="28"/>
        </w:rPr>
      </w:pPr>
      <w:r w:rsidRPr="01F2ABAD">
        <w:rPr>
          <w:rFonts w:ascii="Aptos" w:eastAsia="Aptos" w:hAnsi="Aptos" w:cs="Aptos"/>
          <w:b/>
          <w:bCs/>
          <w:sz w:val="28"/>
          <w:szCs w:val="28"/>
        </w:rPr>
        <w:t xml:space="preserve">References </w:t>
      </w:r>
    </w:p>
    <w:p w14:paraId="10BB49E0" w14:textId="1C4F2510" w:rsidR="1E690F03" w:rsidRDefault="3B97D44A" w:rsidP="01F2ABAD">
      <w:pPr>
        <w:spacing w:after="0"/>
      </w:pPr>
      <w:r w:rsidRPr="01F2ABAD">
        <w:rPr>
          <w:rFonts w:ascii="Calibri" w:eastAsia="Calibri" w:hAnsi="Calibri" w:cs="Calibri"/>
          <w:color w:val="000000" w:themeColor="text1"/>
          <w:sz w:val="27"/>
          <w:szCs w:val="27"/>
        </w:rPr>
        <w:t xml:space="preserve">National Library of Medicine (2024). </w:t>
      </w:r>
      <w:r w:rsidRPr="01F2ABAD">
        <w:rPr>
          <w:rFonts w:ascii="Calibri" w:eastAsia="Calibri" w:hAnsi="Calibri" w:cs="Calibri"/>
          <w:i/>
          <w:iCs/>
          <w:color w:val="000000" w:themeColor="text1"/>
          <w:sz w:val="27"/>
          <w:szCs w:val="27"/>
        </w:rPr>
        <w:t>PMC Home</w:t>
      </w:r>
      <w:r w:rsidRPr="01F2ABAD">
        <w:rPr>
          <w:rFonts w:ascii="Calibri" w:eastAsia="Calibri" w:hAnsi="Calibri" w:cs="Calibri"/>
          <w:color w:val="000000" w:themeColor="text1"/>
          <w:sz w:val="27"/>
          <w:szCs w:val="27"/>
        </w:rPr>
        <w:t xml:space="preserve">. [online] Nih.gov. Available at: </w:t>
      </w:r>
      <w:hyperlink r:id="rId7">
        <w:r w:rsidRPr="01F2ABAD">
          <w:rPr>
            <w:rStyle w:val="Hyperlink"/>
          </w:rPr>
          <w:t>https://pmc.ncbi.nlm.nih.gov/</w:t>
        </w:r>
      </w:hyperlink>
      <w:r w:rsidRPr="01F2ABAD">
        <w:rPr>
          <w:rFonts w:ascii="Calibri" w:eastAsia="Calibri" w:hAnsi="Calibri" w:cs="Calibri"/>
          <w:color w:val="000000" w:themeColor="text1"/>
          <w:sz w:val="27"/>
          <w:szCs w:val="27"/>
        </w:rPr>
        <w:t>.</w:t>
      </w:r>
    </w:p>
    <w:p w14:paraId="5ADD60F6" w14:textId="28619540" w:rsidR="1E690F03" w:rsidRDefault="1E690F03" w:rsidP="01F2ABAD">
      <w:pPr>
        <w:spacing w:after="0"/>
        <w:rPr>
          <w:rFonts w:ascii="Calibri" w:eastAsia="Calibri" w:hAnsi="Calibri" w:cs="Calibri"/>
          <w:color w:val="000000" w:themeColor="text1"/>
          <w:sz w:val="27"/>
          <w:szCs w:val="27"/>
        </w:rPr>
      </w:pPr>
    </w:p>
    <w:p w14:paraId="62119F97" w14:textId="63379DF4" w:rsidR="1E690F03" w:rsidRDefault="1F603C1F" w:rsidP="01F2ABAD">
      <w:pPr>
        <w:spacing w:after="0"/>
      </w:pPr>
      <w:r w:rsidRPr="01F2ABAD">
        <w:rPr>
          <w:rFonts w:ascii="Calibri" w:eastAsia="Calibri" w:hAnsi="Calibri" w:cs="Calibri"/>
          <w:color w:val="000000" w:themeColor="text1"/>
          <w:sz w:val="27"/>
          <w:szCs w:val="27"/>
        </w:rPr>
        <w:t xml:space="preserve">Mental Health UK. (2026). </w:t>
      </w:r>
      <w:r w:rsidRPr="01F2ABAD">
        <w:rPr>
          <w:rFonts w:ascii="Calibri" w:eastAsia="Calibri" w:hAnsi="Calibri" w:cs="Calibri"/>
          <w:i/>
          <w:iCs/>
          <w:color w:val="000000" w:themeColor="text1"/>
          <w:sz w:val="27"/>
          <w:szCs w:val="27"/>
        </w:rPr>
        <w:t>Social media and young people’s mental health - Mental Health UK</w:t>
      </w:r>
      <w:r w:rsidRPr="01F2ABAD">
        <w:rPr>
          <w:rFonts w:ascii="Calibri" w:eastAsia="Calibri" w:hAnsi="Calibri" w:cs="Calibri"/>
          <w:color w:val="000000" w:themeColor="text1"/>
          <w:sz w:val="27"/>
          <w:szCs w:val="27"/>
        </w:rPr>
        <w:t xml:space="preserve">. [online] Available at: </w:t>
      </w:r>
      <w:hyperlink r:id="rId8">
        <w:r w:rsidRPr="01F2ABAD">
          <w:rPr>
            <w:rStyle w:val="Hyperlink"/>
          </w:rPr>
          <w:t>https://mentalhealth-uk.org/help-and-information/health-and-wellbeing/social-media-and-young-peoples-mental-health/</w:t>
        </w:r>
      </w:hyperlink>
      <w:r w:rsidRPr="01F2ABAD">
        <w:rPr>
          <w:rFonts w:ascii="Calibri" w:eastAsia="Calibri" w:hAnsi="Calibri" w:cs="Calibri"/>
          <w:color w:val="000000" w:themeColor="text1"/>
          <w:sz w:val="27"/>
          <w:szCs w:val="27"/>
        </w:rPr>
        <w:t>.</w:t>
      </w:r>
    </w:p>
    <w:p w14:paraId="56FE7A45" w14:textId="6FAAAE99" w:rsidR="1E690F03" w:rsidRDefault="1E690F03" w:rsidP="01F2ABAD">
      <w:pPr>
        <w:spacing w:after="0"/>
        <w:rPr>
          <w:rFonts w:ascii="Calibri" w:eastAsia="Calibri" w:hAnsi="Calibri" w:cs="Calibri"/>
          <w:color w:val="000000" w:themeColor="text1"/>
          <w:sz w:val="27"/>
          <w:szCs w:val="27"/>
        </w:rPr>
      </w:pPr>
    </w:p>
    <w:p w14:paraId="0B687DB9" w14:textId="5C1D40E8" w:rsidR="1E690F03" w:rsidRDefault="69805928" w:rsidP="01F2ABAD">
      <w:pPr>
        <w:spacing w:after="0"/>
      </w:pPr>
      <w:r w:rsidRPr="01F2ABAD">
        <w:rPr>
          <w:rFonts w:ascii="Calibri" w:eastAsia="Calibri" w:hAnsi="Calibri" w:cs="Calibri"/>
          <w:color w:val="000000" w:themeColor="text1"/>
          <w:sz w:val="27"/>
          <w:szCs w:val="27"/>
        </w:rPr>
        <w:t xml:space="preserve">Agyapong-Opoku, N., Agyapong-Opoku, F. and Greenshaw, A.J. (2025). Effects of Social Media Use on Youth and Adolescent Mental Health: A Scoping Review of Reviews. </w:t>
      </w:r>
      <w:r w:rsidRPr="01F2ABAD">
        <w:rPr>
          <w:rFonts w:ascii="Calibri" w:eastAsia="Calibri" w:hAnsi="Calibri" w:cs="Calibri"/>
          <w:i/>
          <w:iCs/>
          <w:color w:val="000000" w:themeColor="text1"/>
          <w:sz w:val="27"/>
          <w:szCs w:val="27"/>
        </w:rPr>
        <w:t>Behavioural Sciences</w:t>
      </w:r>
      <w:r w:rsidRPr="01F2ABAD">
        <w:rPr>
          <w:rFonts w:ascii="Calibri" w:eastAsia="Calibri" w:hAnsi="Calibri" w:cs="Calibri"/>
          <w:color w:val="000000" w:themeColor="text1"/>
          <w:sz w:val="27"/>
          <w:szCs w:val="27"/>
        </w:rPr>
        <w:t xml:space="preserve">, [online] 15(5). Doi: </w:t>
      </w:r>
      <w:hyperlink r:id="rId9">
        <w:r w:rsidRPr="01F2ABAD">
          <w:rPr>
            <w:rStyle w:val="Hyperlink"/>
          </w:rPr>
          <w:t>HTTPs://doi.org/10.3390/bs15050574</w:t>
        </w:r>
      </w:hyperlink>
      <w:r w:rsidRPr="01F2ABAD">
        <w:rPr>
          <w:rFonts w:ascii="Calibri" w:eastAsia="Calibri" w:hAnsi="Calibri" w:cs="Calibri"/>
          <w:color w:val="000000" w:themeColor="text1"/>
          <w:sz w:val="27"/>
          <w:szCs w:val="27"/>
        </w:rPr>
        <w:t>.</w:t>
      </w:r>
    </w:p>
    <w:p w14:paraId="72E1E89B" w14:textId="66447DFA" w:rsidR="1E690F03" w:rsidRDefault="1E690F03" w:rsidP="01F2ABAD">
      <w:pPr>
        <w:spacing w:after="0"/>
        <w:rPr>
          <w:rFonts w:ascii="Calibri" w:eastAsia="Calibri" w:hAnsi="Calibri" w:cs="Calibri"/>
          <w:color w:val="000000" w:themeColor="text1"/>
          <w:sz w:val="27"/>
          <w:szCs w:val="27"/>
        </w:rPr>
      </w:pPr>
    </w:p>
    <w:p w14:paraId="0C2E41AD" w14:textId="79CC7B63" w:rsidR="1E690F03" w:rsidRDefault="69805928" w:rsidP="01F2ABAD">
      <w:pPr>
        <w:spacing w:after="0"/>
      </w:pPr>
      <w:r w:rsidRPr="01F2ABAD">
        <w:rPr>
          <w:rFonts w:ascii="Calibri" w:eastAsia="Calibri" w:hAnsi="Calibri" w:cs="Calibri"/>
          <w:color w:val="000000" w:themeColor="text1"/>
          <w:sz w:val="27"/>
          <w:szCs w:val="27"/>
        </w:rPr>
        <w:t xml:space="preserve">Office of the Surgeon General (2023). </w:t>
      </w:r>
      <w:r w:rsidRPr="01F2ABAD">
        <w:rPr>
          <w:rFonts w:ascii="Calibri" w:eastAsia="Calibri" w:hAnsi="Calibri" w:cs="Calibri"/>
          <w:i/>
          <w:iCs/>
          <w:color w:val="000000" w:themeColor="text1"/>
          <w:sz w:val="27"/>
          <w:szCs w:val="27"/>
        </w:rPr>
        <w:t>Social Media Has Both Positive and Negative Impacts on Children and Adolescents</w:t>
      </w:r>
      <w:r w:rsidRPr="01F2ABAD">
        <w:rPr>
          <w:rFonts w:ascii="Calibri" w:eastAsia="Calibri" w:hAnsi="Calibri" w:cs="Calibri"/>
          <w:color w:val="000000" w:themeColor="text1"/>
          <w:sz w:val="27"/>
          <w:szCs w:val="27"/>
        </w:rPr>
        <w:t xml:space="preserve">. [online] </w:t>
      </w:r>
      <w:hyperlink r:id="rId10">
        <w:r w:rsidRPr="01F2ABAD">
          <w:rPr>
            <w:rStyle w:val="Hyperlink"/>
          </w:rPr>
          <w:t>www.ncbi.nlm.nih.gov</w:t>
        </w:r>
      </w:hyperlink>
      <w:r w:rsidRPr="01F2ABAD">
        <w:rPr>
          <w:rFonts w:ascii="Calibri" w:eastAsia="Calibri" w:hAnsi="Calibri" w:cs="Calibri"/>
          <w:color w:val="000000" w:themeColor="text1"/>
          <w:sz w:val="27"/>
          <w:szCs w:val="27"/>
        </w:rPr>
        <w:t xml:space="preserve">. Available at: </w:t>
      </w:r>
      <w:hyperlink r:id="rId11">
        <w:r w:rsidRPr="01F2ABAD">
          <w:rPr>
            <w:rStyle w:val="Hyperlink"/>
          </w:rPr>
          <w:t>https://www.ncbi.nlm.nih.gov/books/NBK594763/</w:t>
        </w:r>
      </w:hyperlink>
      <w:r w:rsidRPr="01F2ABAD">
        <w:rPr>
          <w:rFonts w:ascii="Calibri" w:eastAsia="Calibri" w:hAnsi="Calibri" w:cs="Calibri"/>
          <w:color w:val="000000" w:themeColor="text1"/>
          <w:sz w:val="27"/>
          <w:szCs w:val="27"/>
        </w:rPr>
        <w:t>.</w:t>
      </w:r>
    </w:p>
    <w:p w14:paraId="2237CE86" w14:textId="6BD1F28C" w:rsidR="1E690F03" w:rsidRDefault="1E690F03" w:rsidP="01F2ABAD">
      <w:pPr>
        <w:spacing w:after="0"/>
        <w:rPr>
          <w:rFonts w:ascii="Calibri" w:eastAsia="Calibri" w:hAnsi="Calibri" w:cs="Calibri"/>
          <w:color w:val="000000" w:themeColor="text1"/>
          <w:sz w:val="27"/>
          <w:szCs w:val="27"/>
        </w:rPr>
      </w:pPr>
    </w:p>
    <w:p w14:paraId="421D60CE" w14:textId="389CB293" w:rsidR="1E690F03" w:rsidRDefault="69805928" w:rsidP="01F2ABAD">
      <w:pPr>
        <w:spacing w:after="0"/>
      </w:pPr>
      <w:r w:rsidRPr="01F2ABAD">
        <w:rPr>
          <w:rFonts w:ascii="Calibri" w:eastAsia="Calibri" w:hAnsi="Calibri" w:cs="Calibri"/>
          <w:color w:val="000000" w:themeColor="text1"/>
          <w:sz w:val="27"/>
          <w:szCs w:val="27"/>
        </w:rPr>
        <w:t>‌</w:t>
      </w:r>
      <w:r w:rsidR="2EB85D35" w:rsidRPr="01F2ABAD">
        <w:rPr>
          <w:rFonts w:ascii="Calibri" w:eastAsia="Calibri" w:hAnsi="Calibri" w:cs="Calibri"/>
          <w:color w:val="000000" w:themeColor="text1"/>
          <w:sz w:val="27"/>
          <w:szCs w:val="27"/>
        </w:rPr>
        <w:t xml:space="preserve"> Cassidy, J., Jones, J.D. and Shaver, P.R. (2013). Contributions of Attachment Theory and research: a Framework for Future research, translation, and Policy. </w:t>
      </w:r>
      <w:r w:rsidR="2EB85D35" w:rsidRPr="01F2ABAD">
        <w:rPr>
          <w:rFonts w:ascii="Calibri" w:eastAsia="Calibri" w:hAnsi="Calibri" w:cs="Calibri"/>
          <w:i/>
          <w:iCs/>
          <w:color w:val="000000" w:themeColor="text1"/>
          <w:sz w:val="27"/>
          <w:szCs w:val="27"/>
        </w:rPr>
        <w:t>Development and Psychopathology</w:t>
      </w:r>
      <w:r w:rsidR="2EB85D35" w:rsidRPr="01F2ABAD">
        <w:rPr>
          <w:rFonts w:ascii="Calibri" w:eastAsia="Calibri" w:hAnsi="Calibri" w:cs="Calibri"/>
          <w:color w:val="000000" w:themeColor="text1"/>
          <w:sz w:val="27"/>
          <w:szCs w:val="27"/>
        </w:rPr>
        <w:t xml:space="preserve">, [online] 25(4pt2), pp.1415–1434. Doi: </w:t>
      </w:r>
      <w:hyperlink r:id="rId12">
        <w:r w:rsidR="2EB85D35" w:rsidRPr="01F2ABAD">
          <w:rPr>
            <w:rStyle w:val="Hyperlink"/>
          </w:rPr>
          <w:t>HTTPs://doi.org/10.1017/s0954579413000692</w:t>
        </w:r>
      </w:hyperlink>
      <w:r w:rsidR="2EB85D35" w:rsidRPr="01F2ABAD">
        <w:rPr>
          <w:rFonts w:ascii="Calibri" w:eastAsia="Calibri" w:hAnsi="Calibri" w:cs="Calibri"/>
          <w:color w:val="000000" w:themeColor="text1"/>
          <w:sz w:val="27"/>
          <w:szCs w:val="27"/>
        </w:rPr>
        <w:t>.</w:t>
      </w:r>
    </w:p>
    <w:p w14:paraId="66031FFD" w14:textId="66FEF046" w:rsidR="1E690F03" w:rsidRDefault="1E690F03" w:rsidP="01F2ABAD">
      <w:pPr>
        <w:spacing w:after="0"/>
        <w:rPr>
          <w:rFonts w:ascii="Calibri" w:eastAsia="Calibri" w:hAnsi="Calibri" w:cs="Calibri"/>
          <w:color w:val="000000" w:themeColor="text1"/>
          <w:sz w:val="27"/>
          <w:szCs w:val="27"/>
        </w:rPr>
      </w:pPr>
    </w:p>
    <w:p w14:paraId="55F93D21" w14:textId="7DD135A5" w:rsidR="1E690F03" w:rsidRDefault="2EB85D35" w:rsidP="01F2ABAD">
      <w:pPr>
        <w:spacing w:after="0"/>
      </w:pPr>
      <w:r w:rsidRPr="59C1B2A0">
        <w:rPr>
          <w:rFonts w:ascii="Calibri" w:eastAsia="Calibri" w:hAnsi="Calibri" w:cs="Calibri"/>
          <w:color w:val="000000" w:themeColor="text1"/>
          <w:sz w:val="27"/>
          <w:szCs w:val="27"/>
        </w:rPr>
        <w:t xml:space="preserve">Mentallyhealthyschools.org.uk. (2019). </w:t>
      </w:r>
      <w:r w:rsidRPr="59C1B2A0">
        <w:rPr>
          <w:rFonts w:ascii="Calibri" w:eastAsia="Calibri" w:hAnsi="Calibri" w:cs="Calibri"/>
          <w:i/>
          <w:iCs/>
          <w:color w:val="000000" w:themeColor="text1"/>
          <w:sz w:val="27"/>
          <w:szCs w:val="27"/>
        </w:rPr>
        <w:t>Attachment and child development: Mentally Healthy Schools</w:t>
      </w:r>
      <w:r w:rsidRPr="59C1B2A0">
        <w:rPr>
          <w:rFonts w:ascii="Calibri" w:eastAsia="Calibri" w:hAnsi="Calibri" w:cs="Calibri"/>
          <w:color w:val="000000" w:themeColor="text1"/>
          <w:sz w:val="27"/>
          <w:szCs w:val="27"/>
        </w:rPr>
        <w:t xml:space="preserve">. [online] Available at: </w:t>
      </w:r>
      <w:hyperlink r:id="rId13">
        <w:r w:rsidRPr="59C1B2A0">
          <w:rPr>
            <w:rStyle w:val="Hyperlink"/>
          </w:rPr>
          <w:t>https://www.mentallyhealthyschools.org.uk/mental-health-information/attachment-and-child-development/</w:t>
        </w:r>
      </w:hyperlink>
      <w:r w:rsidRPr="59C1B2A0">
        <w:rPr>
          <w:rFonts w:ascii="Calibri" w:eastAsia="Calibri" w:hAnsi="Calibri" w:cs="Calibri"/>
          <w:color w:val="000000" w:themeColor="text1"/>
          <w:sz w:val="27"/>
          <w:szCs w:val="27"/>
        </w:rPr>
        <w:t>.</w:t>
      </w:r>
    </w:p>
    <w:p w14:paraId="36BA2794" w14:textId="0061C659" w:rsidR="59C1B2A0" w:rsidRDefault="59C1B2A0" w:rsidP="59C1B2A0">
      <w:pPr>
        <w:spacing w:after="0"/>
        <w:rPr>
          <w:rFonts w:ascii="Calibri" w:eastAsia="Calibri" w:hAnsi="Calibri" w:cs="Calibri"/>
          <w:color w:val="000000" w:themeColor="text1"/>
          <w:sz w:val="27"/>
          <w:szCs w:val="27"/>
        </w:rPr>
      </w:pPr>
    </w:p>
    <w:p w14:paraId="777B5C09" w14:textId="78F2DCA8" w:rsidR="464DDC7D" w:rsidRDefault="464DDC7D">
      <w:r w:rsidRPr="733D9B98">
        <w:rPr>
          <w:rFonts w:ascii="Calibri" w:eastAsia="Calibri" w:hAnsi="Calibri" w:cs="Calibri"/>
          <w:sz w:val="27"/>
          <w:szCs w:val="27"/>
        </w:rPr>
        <w:t xml:space="preserve">tutor2u (2020). </w:t>
      </w:r>
      <w:r w:rsidRPr="733D9B98">
        <w:rPr>
          <w:rFonts w:ascii="Calibri" w:eastAsia="Calibri" w:hAnsi="Calibri" w:cs="Calibri"/>
          <w:i/>
          <w:iCs/>
          <w:sz w:val="27"/>
          <w:szCs w:val="27"/>
        </w:rPr>
        <w:t>The Nature / Nurture Debate</w:t>
      </w:r>
      <w:r w:rsidRPr="733D9B98">
        <w:rPr>
          <w:rFonts w:ascii="Calibri" w:eastAsia="Calibri" w:hAnsi="Calibri" w:cs="Calibri"/>
          <w:sz w:val="27"/>
          <w:szCs w:val="27"/>
        </w:rPr>
        <w:t xml:space="preserve">. [online] tutor2u. Available at: </w:t>
      </w:r>
      <w:hyperlink r:id="rId14">
        <w:r w:rsidRPr="733D9B98">
          <w:rPr>
            <w:rStyle w:val="Hyperlink"/>
          </w:rPr>
          <w:t>https://www.tutor2u.net/hsc/reference/the-nature-nurture-debate</w:t>
        </w:r>
      </w:hyperlink>
      <w:r w:rsidRPr="733D9B98">
        <w:rPr>
          <w:rFonts w:ascii="Calibri" w:eastAsia="Calibri" w:hAnsi="Calibri" w:cs="Calibri"/>
          <w:sz w:val="27"/>
          <w:szCs w:val="27"/>
        </w:rPr>
        <w:t xml:space="preserve"> [Accessed 8 July 2026].</w:t>
      </w:r>
    </w:p>
    <w:p w14:paraId="0DE8BFE9" w14:textId="4ABD5E51" w:rsidR="59C1B2A0" w:rsidRDefault="317A876E" w:rsidP="733D9B98">
      <w:pPr>
        <w:spacing w:after="0"/>
      </w:pPr>
      <w:r w:rsidRPr="733D9B98">
        <w:rPr>
          <w:rFonts w:ascii="Calibri" w:eastAsia="Calibri" w:hAnsi="Calibri" w:cs="Calibri"/>
          <w:sz w:val="27"/>
          <w:szCs w:val="27"/>
        </w:rPr>
        <w:t xml:space="preserve">Breen, M. (n.d.). </w:t>
      </w:r>
      <w:r w:rsidRPr="733D9B98">
        <w:rPr>
          <w:rFonts w:ascii="Calibri" w:eastAsia="Calibri" w:hAnsi="Calibri" w:cs="Calibri"/>
          <w:i/>
          <w:iCs/>
          <w:sz w:val="27"/>
          <w:szCs w:val="27"/>
        </w:rPr>
        <w:t>Digital Commons @ CSUMB Digital Commons @ CSUMB Capstone Projects and Master’s Theses 5-2020 Social Media: Impact on Adolescents Social Media: Impact on Adolescents</w:t>
      </w:r>
      <w:r w:rsidRPr="733D9B98">
        <w:rPr>
          <w:rFonts w:ascii="Calibri" w:eastAsia="Calibri" w:hAnsi="Calibri" w:cs="Calibri"/>
          <w:sz w:val="27"/>
          <w:szCs w:val="27"/>
        </w:rPr>
        <w:t xml:space="preserve">. [online] Available at: </w:t>
      </w:r>
      <w:hyperlink r:id="rId15">
        <w:r w:rsidRPr="733D9B98">
          <w:rPr>
            <w:rStyle w:val="Hyperlink"/>
          </w:rPr>
          <w:t>https://digitalcommons.csumb.edu/cgi/viewcontent.cgi?article=1748&amp;context=caps_thes_all</w:t>
        </w:r>
      </w:hyperlink>
      <w:r w:rsidRPr="733D9B98">
        <w:rPr>
          <w:rFonts w:ascii="Calibri" w:eastAsia="Calibri" w:hAnsi="Calibri" w:cs="Calibri"/>
          <w:sz w:val="27"/>
          <w:szCs w:val="27"/>
        </w:rPr>
        <w:t xml:space="preserve"> [Accessed 14 July 2026].</w:t>
      </w:r>
    </w:p>
    <w:p w14:paraId="3CFDFA8F" w14:textId="1B6EFE94" w:rsidR="59C1B2A0" w:rsidRDefault="59C1B2A0" w:rsidP="733D9B98">
      <w:pPr>
        <w:spacing w:after="0"/>
        <w:rPr>
          <w:rFonts w:ascii="Calibri" w:eastAsia="Calibri" w:hAnsi="Calibri" w:cs="Calibri"/>
          <w:sz w:val="27"/>
          <w:szCs w:val="27"/>
        </w:rPr>
      </w:pPr>
    </w:p>
    <w:p w14:paraId="15E67364" w14:textId="58F9DC1D" w:rsidR="59C1B2A0" w:rsidRDefault="7B7A36B7" w:rsidP="59C1B2A0">
      <w:pPr>
        <w:spacing w:after="0"/>
      </w:pPr>
      <w:r w:rsidRPr="733D9B98">
        <w:rPr>
          <w:rFonts w:ascii="Calibri" w:eastAsia="Calibri" w:hAnsi="Calibri" w:cs="Calibri"/>
          <w:sz w:val="27"/>
          <w:szCs w:val="27"/>
        </w:rPr>
        <w:t xml:space="preserve">D’Arienzo, M.C., Boursier, V. and Griffiths, M.D. (2019). Addiction to Social Media and Attachment Styles: A Systematic Literature Review. </w:t>
      </w:r>
      <w:r w:rsidRPr="733D9B98">
        <w:rPr>
          <w:rFonts w:ascii="Calibri" w:eastAsia="Calibri" w:hAnsi="Calibri" w:cs="Calibri"/>
          <w:i/>
          <w:iCs/>
          <w:sz w:val="27"/>
          <w:szCs w:val="27"/>
        </w:rPr>
        <w:t>International Journal of Mental Health and Addiction</w:t>
      </w:r>
      <w:r w:rsidRPr="733D9B98">
        <w:rPr>
          <w:rFonts w:ascii="Calibri" w:eastAsia="Calibri" w:hAnsi="Calibri" w:cs="Calibri"/>
          <w:sz w:val="27"/>
          <w:szCs w:val="27"/>
        </w:rPr>
        <w:t>, [online] 17(4). doi:10.1007/s11469-019-00082-5.</w:t>
      </w:r>
    </w:p>
    <w:p w14:paraId="484DFA8A" w14:textId="121FF437" w:rsidR="59C1B2A0" w:rsidRDefault="59C1B2A0" w:rsidP="733D9B98">
      <w:pPr>
        <w:spacing w:after="0"/>
        <w:rPr>
          <w:rFonts w:ascii="Calibri" w:eastAsia="Calibri" w:hAnsi="Calibri" w:cs="Calibri"/>
          <w:sz w:val="27"/>
          <w:szCs w:val="27"/>
        </w:rPr>
      </w:pPr>
    </w:p>
    <w:p w14:paraId="3EFE19A6" w14:textId="41AE3A6C" w:rsidR="59C1B2A0" w:rsidRDefault="79DD8E57" w:rsidP="59C1B2A0">
      <w:pPr>
        <w:spacing w:after="0"/>
      </w:pPr>
      <w:r w:rsidRPr="733D9B98">
        <w:rPr>
          <w:rFonts w:ascii="Calibri" w:eastAsia="Calibri" w:hAnsi="Calibri" w:cs="Calibri"/>
          <w:sz w:val="27"/>
          <w:szCs w:val="27"/>
        </w:rPr>
        <w:t xml:space="preserve">Zeng, X. (2025). The Impact of Social Media on Adolescents” Mental Health. </w:t>
      </w:r>
      <w:r w:rsidRPr="733D9B98">
        <w:rPr>
          <w:rFonts w:ascii="Calibri" w:eastAsia="Calibri" w:hAnsi="Calibri" w:cs="Calibri"/>
          <w:i/>
          <w:iCs/>
          <w:sz w:val="27"/>
          <w:szCs w:val="27"/>
        </w:rPr>
        <w:t>Communications in Humanities Research</w:t>
      </w:r>
      <w:r w:rsidRPr="733D9B98">
        <w:rPr>
          <w:rFonts w:ascii="Calibri" w:eastAsia="Calibri" w:hAnsi="Calibri" w:cs="Calibri"/>
          <w:sz w:val="27"/>
          <w:szCs w:val="27"/>
        </w:rPr>
        <w:t>, 85(1), pp.85–93. doi:10.54254/2753-7064/2025.ht27388.</w:t>
      </w:r>
    </w:p>
    <w:p w14:paraId="62048B07" w14:textId="5C66F014" w:rsidR="59C1B2A0" w:rsidRDefault="79DD8E57" w:rsidP="59C1B2A0">
      <w:pPr>
        <w:spacing w:after="0"/>
      </w:pPr>
      <w:r w:rsidRPr="733D9B98">
        <w:rPr>
          <w:rFonts w:ascii="Calibri" w:eastAsia="Calibri" w:hAnsi="Calibri" w:cs="Calibri"/>
          <w:color w:val="000000" w:themeColor="text1"/>
          <w:sz w:val="27"/>
          <w:szCs w:val="27"/>
        </w:rPr>
        <w:t xml:space="preserve"> </w:t>
      </w:r>
    </w:p>
    <w:p w14:paraId="42504AF4" w14:textId="3E04F857" w:rsidR="1E690F03" w:rsidRDefault="2EB85D35" w:rsidP="1E690F03">
      <w:r w:rsidRPr="01F2ABAD">
        <w:rPr>
          <w:rFonts w:ascii="Calibri" w:eastAsia="Calibri" w:hAnsi="Calibri" w:cs="Calibri"/>
          <w:color w:val="000000" w:themeColor="text1"/>
          <w:sz w:val="27"/>
          <w:szCs w:val="27"/>
        </w:rPr>
        <w:t>‌</w:t>
      </w:r>
    </w:p>
    <w:p w14:paraId="3BEA2349" w14:textId="24D2D8F4" w:rsidR="1E690F03" w:rsidRDefault="1E690F03" w:rsidP="01F2ABAD">
      <w:pPr>
        <w:spacing w:after="0"/>
        <w:rPr>
          <w:rFonts w:ascii="Calibri" w:eastAsia="Calibri" w:hAnsi="Calibri" w:cs="Calibri"/>
          <w:color w:val="000000" w:themeColor="text1"/>
          <w:sz w:val="27"/>
          <w:szCs w:val="27"/>
        </w:rPr>
      </w:pPr>
    </w:p>
    <w:p w14:paraId="31A6EECA" w14:textId="71A00238" w:rsidR="1E690F03" w:rsidRDefault="1E690F03" w:rsidP="01F2ABAD">
      <w:pPr>
        <w:spacing w:after="0"/>
        <w:rPr>
          <w:rFonts w:ascii="Calibri" w:eastAsia="Calibri" w:hAnsi="Calibri" w:cs="Calibri"/>
          <w:color w:val="000000" w:themeColor="text1"/>
          <w:sz w:val="27"/>
          <w:szCs w:val="27"/>
        </w:rPr>
      </w:pPr>
    </w:p>
    <w:p w14:paraId="36FF0ECE" w14:textId="1F635DC7" w:rsidR="1E690F03" w:rsidRDefault="2EB85D35" w:rsidP="1E690F03">
      <w:r w:rsidRPr="01F2ABAD">
        <w:rPr>
          <w:rFonts w:ascii="Calibri" w:eastAsia="Calibri" w:hAnsi="Calibri" w:cs="Calibri"/>
          <w:color w:val="000000" w:themeColor="text1"/>
          <w:sz w:val="27"/>
          <w:szCs w:val="27"/>
        </w:rPr>
        <w:t>‌</w:t>
      </w:r>
    </w:p>
    <w:p w14:paraId="5EC2871D" w14:textId="66F68D49" w:rsidR="1E690F03" w:rsidRDefault="1E690F03" w:rsidP="01F2ABAD">
      <w:pPr>
        <w:rPr>
          <w:rFonts w:ascii="Calibri" w:eastAsia="Calibri" w:hAnsi="Calibri" w:cs="Calibri"/>
          <w:color w:val="000000" w:themeColor="text1"/>
          <w:sz w:val="27"/>
          <w:szCs w:val="27"/>
        </w:rPr>
      </w:pPr>
    </w:p>
    <w:p w14:paraId="26862DC9" w14:textId="290FDE18" w:rsidR="1E690F03" w:rsidRDefault="1E690F03" w:rsidP="01F2ABAD">
      <w:pPr>
        <w:spacing w:after="0"/>
        <w:rPr>
          <w:rFonts w:ascii="Calibri" w:eastAsia="Calibri" w:hAnsi="Calibri" w:cs="Calibri"/>
          <w:color w:val="000000" w:themeColor="text1"/>
          <w:sz w:val="27"/>
          <w:szCs w:val="27"/>
        </w:rPr>
      </w:pPr>
    </w:p>
    <w:p w14:paraId="13FEEAC8" w14:textId="426D5993" w:rsidR="1E690F03" w:rsidRDefault="1E690F03" w:rsidP="01F2ABAD">
      <w:pPr>
        <w:spacing w:after="0"/>
        <w:rPr>
          <w:rFonts w:ascii="Calibri" w:eastAsia="Calibri" w:hAnsi="Calibri" w:cs="Calibri"/>
          <w:color w:val="000000" w:themeColor="text1"/>
          <w:sz w:val="27"/>
          <w:szCs w:val="27"/>
        </w:rPr>
      </w:pPr>
    </w:p>
    <w:p w14:paraId="7FA1387B" w14:textId="78B54F29" w:rsidR="1E690F03" w:rsidRDefault="69805928" w:rsidP="1E690F03">
      <w:r w:rsidRPr="01F2ABAD">
        <w:rPr>
          <w:rFonts w:ascii="Calibri" w:eastAsia="Calibri" w:hAnsi="Calibri" w:cs="Calibri"/>
          <w:color w:val="000000" w:themeColor="text1"/>
          <w:sz w:val="27"/>
          <w:szCs w:val="27"/>
        </w:rPr>
        <w:t>‌</w:t>
      </w:r>
    </w:p>
    <w:p w14:paraId="1EE64BD1" w14:textId="5349AB58" w:rsidR="1E690F03" w:rsidRDefault="1E690F03" w:rsidP="01F2ABAD">
      <w:pPr>
        <w:spacing w:after="0"/>
        <w:rPr>
          <w:rFonts w:ascii="Calibri" w:eastAsia="Calibri" w:hAnsi="Calibri" w:cs="Calibri"/>
          <w:color w:val="000000" w:themeColor="text1"/>
          <w:sz w:val="27"/>
          <w:szCs w:val="27"/>
        </w:rPr>
      </w:pPr>
    </w:p>
    <w:p w14:paraId="6CD988DB" w14:textId="51D913BB" w:rsidR="1E690F03" w:rsidRDefault="3B97D44A" w:rsidP="1E690F03">
      <w:r w:rsidRPr="01F2ABAD">
        <w:rPr>
          <w:rFonts w:ascii="Calibri" w:eastAsia="Calibri" w:hAnsi="Calibri" w:cs="Calibri"/>
          <w:color w:val="000000" w:themeColor="text1"/>
        </w:rPr>
        <w:t>‌</w:t>
      </w:r>
    </w:p>
    <w:p w14:paraId="2D7E62DF" w14:textId="01963DB0" w:rsidR="1E690F03" w:rsidRDefault="1E690F03" w:rsidP="1E690F03">
      <w:pPr>
        <w:rPr>
          <w:rFonts w:ascii="Aptos" w:eastAsia="Aptos" w:hAnsi="Aptos" w:cs="Aptos"/>
        </w:rPr>
      </w:pPr>
    </w:p>
    <w:p w14:paraId="53D9CBEB" w14:textId="47B81A04" w:rsidR="1E690F03" w:rsidRDefault="1E690F03" w:rsidP="1E690F03"/>
    <w:p w14:paraId="2EB6982E" w14:textId="3AB78C79" w:rsidR="1E690F03" w:rsidRDefault="1E690F03" w:rsidP="1E690F03">
      <w:pPr>
        <w:rPr>
          <w:sz w:val="32"/>
          <w:szCs w:val="32"/>
        </w:rPr>
      </w:pPr>
    </w:p>
    <w:sectPr w:rsidR="1E690F03">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A71C4D6" w14:textId="77777777" w:rsidR="001142D7" w:rsidRDefault="001142D7">
      <w:pPr>
        <w:spacing w:after="0" w:line="240" w:lineRule="auto"/>
      </w:pPr>
      <w:r>
        <w:separator/>
      </w:r>
    </w:p>
  </w:endnote>
  <w:endnote w:type="continuationSeparator" w:id="0">
    <w:p w14:paraId="7628FD16" w14:textId="77777777" w:rsidR="001142D7" w:rsidRDefault="00114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01F2ABAD" w14:paraId="14B0B13E" w14:textId="77777777" w:rsidTr="01F2ABAD">
      <w:trPr>
        <w:trHeight w:val="300"/>
      </w:trPr>
      <w:tc>
        <w:tcPr>
          <w:tcW w:w="3005" w:type="dxa"/>
        </w:tcPr>
        <w:p w14:paraId="64C389B0" w14:textId="39EF121C" w:rsidR="01F2ABAD" w:rsidRDefault="01F2ABAD" w:rsidP="01F2ABAD">
          <w:pPr>
            <w:pStyle w:val="Header"/>
            <w:ind w:left="-115"/>
          </w:pPr>
        </w:p>
      </w:tc>
      <w:tc>
        <w:tcPr>
          <w:tcW w:w="3005" w:type="dxa"/>
        </w:tcPr>
        <w:p w14:paraId="550F426B" w14:textId="3DF69A73" w:rsidR="01F2ABAD" w:rsidRDefault="01F2ABAD" w:rsidP="01F2ABAD">
          <w:pPr>
            <w:pStyle w:val="Header"/>
            <w:jc w:val="center"/>
          </w:pPr>
        </w:p>
      </w:tc>
      <w:tc>
        <w:tcPr>
          <w:tcW w:w="3005" w:type="dxa"/>
        </w:tcPr>
        <w:p w14:paraId="64D73F2C" w14:textId="6803D3A9" w:rsidR="01F2ABAD" w:rsidRDefault="01F2ABAD" w:rsidP="01F2ABAD">
          <w:pPr>
            <w:pStyle w:val="Header"/>
            <w:ind w:right="-115"/>
            <w:jc w:val="right"/>
          </w:pPr>
        </w:p>
      </w:tc>
    </w:tr>
  </w:tbl>
  <w:p w14:paraId="79873C77" w14:textId="08C4617A" w:rsidR="01F2ABAD" w:rsidRDefault="01F2ABAD" w:rsidP="01F2AB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1F69323" w14:textId="77777777" w:rsidR="001142D7" w:rsidRDefault="001142D7">
      <w:pPr>
        <w:spacing w:after="0" w:line="240" w:lineRule="auto"/>
      </w:pPr>
      <w:r>
        <w:separator/>
      </w:r>
    </w:p>
  </w:footnote>
  <w:footnote w:type="continuationSeparator" w:id="0">
    <w:p w14:paraId="0E99A7F9" w14:textId="77777777" w:rsidR="001142D7" w:rsidRDefault="001142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01F2ABAD" w14:paraId="6D0D024F" w14:textId="77777777" w:rsidTr="01F2ABAD">
      <w:trPr>
        <w:trHeight w:val="300"/>
      </w:trPr>
      <w:tc>
        <w:tcPr>
          <w:tcW w:w="3005" w:type="dxa"/>
        </w:tcPr>
        <w:p w14:paraId="5B52790B" w14:textId="2752176E" w:rsidR="01F2ABAD" w:rsidRDefault="01F2ABAD" w:rsidP="01F2ABAD">
          <w:pPr>
            <w:pStyle w:val="Header"/>
            <w:ind w:left="-115"/>
          </w:pPr>
        </w:p>
      </w:tc>
      <w:tc>
        <w:tcPr>
          <w:tcW w:w="3005" w:type="dxa"/>
        </w:tcPr>
        <w:p w14:paraId="5BC8D711" w14:textId="0E013A36" w:rsidR="01F2ABAD" w:rsidRDefault="01F2ABAD" w:rsidP="01F2ABAD">
          <w:pPr>
            <w:pStyle w:val="Header"/>
            <w:jc w:val="center"/>
          </w:pPr>
        </w:p>
      </w:tc>
      <w:tc>
        <w:tcPr>
          <w:tcW w:w="3005" w:type="dxa"/>
        </w:tcPr>
        <w:p w14:paraId="26CD3FE8" w14:textId="4F5E4F01" w:rsidR="01F2ABAD" w:rsidRDefault="01F2ABAD" w:rsidP="01F2ABAD">
          <w:pPr>
            <w:pStyle w:val="Header"/>
            <w:ind w:right="-115"/>
            <w:jc w:val="right"/>
          </w:pPr>
          <w:r>
            <w:fldChar w:fldCharType="begin"/>
          </w:r>
          <w:r>
            <w:instrText>PAGE</w:instrText>
          </w:r>
          <w:r>
            <w:fldChar w:fldCharType="separate"/>
          </w:r>
          <w:r>
            <w:fldChar w:fldCharType="end"/>
          </w:r>
        </w:p>
      </w:tc>
    </w:tr>
  </w:tbl>
  <w:p w14:paraId="71624F10" w14:textId="555CFAEC" w:rsidR="01F2ABAD" w:rsidRDefault="01F2ABAD" w:rsidP="01F2AB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A5A6E3"/>
    <w:rsid w:val="001142D7"/>
    <w:rsid w:val="00490ACE"/>
    <w:rsid w:val="0055759C"/>
    <w:rsid w:val="005E47B2"/>
    <w:rsid w:val="007E3DEB"/>
    <w:rsid w:val="00A0609C"/>
    <w:rsid w:val="00DD749E"/>
    <w:rsid w:val="00E52573"/>
    <w:rsid w:val="01F2ABAD"/>
    <w:rsid w:val="04C864E8"/>
    <w:rsid w:val="059601B1"/>
    <w:rsid w:val="06DBF705"/>
    <w:rsid w:val="091C1090"/>
    <w:rsid w:val="0B496791"/>
    <w:rsid w:val="0B91D9C2"/>
    <w:rsid w:val="0CDF6618"/>
    <w:rsid w:val="0D57B909"/>
    <w:rsid w:val="0DE172C0"/>
    <w:rsid w:val="0DF67CB6"/>
    <w:rsid w:val="113B0C9B"/>
    <w:rsid w:val="114C5680"/>
    <w:rsid w:val="12E6BD6D"/>
    <w:rsid w:val="1374B351"/>
    <w:rsid w:val="18A5A6E3"/>
    <w:rsid w:val="1C065D3D"/>
    <w:rsid w:val="1CE8E374"/>
    <w:rsid w:val="1E690F03"/>
    <w:rsid w:val="1F4F7602"/>
    <w:rsid w:val="1F603C1F"/>
    <w:rsid w:val="22AA2822"/>
    <w:rsid w:val="2446A28C"/>
    <w:rsid w:val="2707E155"/>
    <w:rsid w:val="276A5F68"/>
    <w:rsid w:val="27D3F7F1"/>
    <w:rsid w:val="2C01AAF8"/>
    <w:rsid w:val="2EB85D35"/>
    <w:rsid w:val="2F996979"/>
    <w:rsid w:val="317A876E"/>
    <w:rsid w:val="357FF176"/>
    <w:rsid w:val="366F1AA1"/>
    <w:rsid w:val="3B76E000"/>
    <w:rsid w:val="3B97D44A"/>
    <w:rsid w:val="3C6E1ED8"/>
    <w:rsid w:val="406282E9"/>
    <w:rsid w:val="41FA8037"/>
    <w:rsid w:val="428BE43F"/>
    <w:rsid w:val="42F7E172"/>
    <w:rsid w:val="43C57F7F"/>
    <w:rsid w:val="45F0852D"/>
    <w:rsid w:val="464DDC7D"/>
    <w:rsid w:val="4A965F42"/>
    <w:rsid w:val="4C3F6F55"/>
    <w:rsid w:val="54E65961"/>
    <w:rsid w:val="56074311"/>
    <w:rsid w:val="5946D4DF"/>
    <w:rsid w:val="59C1B2A0"/>
    <w:rsid w:val="59C938DF"/>
    <w:rsid w:val="5A10F74F"/>
    <w:rsid w:val="5C083E7C"/>
    <w:rsid w:val="5DD40B56"/>
    <w:rsid w:val="5F7F504B"/>
    <w:rsid w:val="61D15498"/>
    <w:rsid w:val="63A38F54"/>
    <w:rsid w:val="64EF7A69"/>
    <w:rsid w:val="6540C2E8"/>
    <w:rsid w:val="657ACEFE"/>
    <w:rsid w:val="66C612B3"/>
    <w:rsid w:val="678AC761"/>
    <w:rsid w:val="67DCD47B"/>
    <w:rsid w:val="68E8975D"/>
    <w:rsid w:val="69805928"/>
    <w:rsid w:val="69AF230F"/>
    <w:rsid w:val="6B54E962"/>
    <w:rsid w:val="6F962AE8"/>
    <w:rsid w:val="733D9B98"/>
    <w:rsid w:val="73B57305"/>
    <w:rsid w:val="772642D2"/>
    <w:rsid w:val="77FB321C"/>
    <w:rsid w:val="78C67216"/>
    <w:rsid w:val="792A9659"/>
    <w:rsid w:val="79DD8E57"/>
    <w:rsid w:val="7A56A894"/>
    <w:rsid w:val="7B7A36B7"/>
    <w:rsid w:val="7BF7BC77"/>
    <w:rsid w:val="7D476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30D2B"/>
  <w15:chartTrackingRefBased/>
  <w15:docId w15:val="{52BA4DF6-86D3-4FCB-8173-E26BECB44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E690F03"/>
    <w:rPr>
      <w:color w:val="467886"/>
      <w:u w:val="single"/>
    </w:rPr>
  </w:style>
  <w:style w:type="paragraph" w:styleId="Header">
    <w:name w:val="header"/>
    <w:basedOn w:val="Normal"/>
    <w:uiPriority w:val="99"/>
    <w:unhideWhenUsed/>
    <w:rsid w:val="01F2ABAD"/>
    <w:pPr>
      <w:tabs>
        <w:tab w:val="center" w:pos="4680"/>
        <w:tab w:val="right" w:pos="9360"/>
      </w:tabs>
      <w:spacing w:after="0" w:line="240" w:lineRule="auto"/>
    </w:pPr>
  </w:style>
  <w:style w:type="paragraph" w:styleId="Footer">
    <w:name w:val="footer"/>
    <w:basedOn w:val="Normal"/>
    <w:uiPriority w:val="99"/>
    <w:unhideWhenUsed/>
    <w:rsid w:val="01F2ABA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ntalhealth-uk.org/help-and-information/health-and-wellbeing/social-media-and-young-peoples-mental-health/" TargetMode="External"/><Relationship Id="rId13" Type="http://schemas.openxmlformats.org/officeDocument/2006/relationships/hyperlink" Target="https://www.mentallyhealthyschools.org.uk/mental-health-information/attachment-and-child-develop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mc.ncbi.nlm.nih.gov/" TargetMode="External"/><Relationship Id="rId12" Type="http://schemas.openxmlformats.org/officeDocument/2006/relationships/hyperlink" Target="HTTPs://doi.org/10.1017/s0954579413000692"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books/NBK594763/" TargetMode="External"/><Relationship Id="rId5" Type="http://schemas.openxmlformats.org/officeDocument/2006/relationships/footnotes" Target="footnotes.xml"/><Relationship Id="rId15" Type="http://schemas.openxmlformats.org/officeDocument/2006/relationships/hyperlink" Target="https://digitalcommons.csumb.edu/cgi/viewcontent.cgi?article=1748&amp;context=caps_thes_all" TargetMode="External"/><Relationship Id="rId10" Type="http://schemas.openxmlformats.org/officeDocument/2006/relationships/hyperlink" Target="https://www.ncbi.nlm.nih.gov"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3390/bs15050574" TargetMode="External"/><Relationship Id="rId14" Type="http://schemas.openxmlformats.org/officeDocument/2006/relationships/hyperlink" Target="https://www.tutor2u.net/hsc/reference/the-nature-nurture-deb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1956</Words>
  <Characters>11154</Characters>
  <Application>Microsoft Office Word</Application>
  <DocSecurity>0</DocSecurity>
  <Lines>92</Lines>
  <Paragraphs>26</Paragraphs>
  <ScaleCrop>false</ScaleCrop>
  <Company/>
  <LinksUpToDate>false</LinksUpToDate>
  <CharactersWithSpaces>13084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Djouher Benhamza (2505754)</dc:creator>
  <cp:keywords/>
  <dc:description/>
  <cp:lastModifiedBy>Djouher Benhamza (2505754)</cp:lastModifiedBy>
  <cp:revision>7</cp:revision>
  <dcterms:created xsi:type="dcterms:W3CDTF">2026-06-24T15:44:00Z</dcterms:created>
  <dcterms:modified xsi:type="dcterms:W3CDTF">2026-07-19T19:27:00Z</dcterms:modified>
</cp:coreProperties>
</file>