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7F0B4" w14:textId="386AEEFD" w:rsidR="000D2F73" w:rsidRPr="00AD1D4B" w:rsidRDefault="006F7710" w:rsidP="006F7710">
      <w:pPr>
        <w:spacing w:line="360" w:lineRule="auto"/>
        <w:jc w:val="both"/>
        <w:rPr>
          <w:rFonts w:ascii="Calibri" w:hAnsi="Calibri" w:cs="Calibri"/>
          <w:color w:val="000000" w:themeColor="text1"/>
          <w:sz w:val="28"/>
          <w:szCs w:val="28"/>
        </w:rPr>
      </w:pPr>
      <w:r w:rsidRPr="00AD1D4B">
        <w:rPr>
          <w:rFonts w:ascii="Calibri" w:hAnsi="Calibri" w:cs="Calibri"/>
          <w:color w:val="000000" w:themeColor="text1"/>
          <w:sz w:val="28"/>
          <w:szCs w:val="28"/>
        </w:rPr>
        <w:t xml:space="preserve">In this essay I will be critically discussing the limits and benefits of the Multi Agency approach in Wales for Safeguarding children and young people. I will further be discussing child protection procedures, as well as strategies to promote the welfare of children and young people in the context of policy and practice in education, child-care, family support and relevant issues. Finally, I will discuss the current and future developments in the context of child protection including internet safety. </w:t>
      </w:r>
    </w:p>
    <w:p w14:paraId="64BCE5DE" w14:textId="77777777" w:rsidR="00AD1D4B" w:rsidRPr="00AD1D4B" w:rsidRDefault="00AD1D4B" w:rsidP="006F7710">
      <w:pPr>
        <w:spacing w:line="360" w:lineRule="auto"/>
        <w:jc w:val="both"/>
        <w:rPr>
          <w:rFonts w:ascii="Calibri" w:hAnsi="Calibri" w:cs="Calibri"/>
          <w:color w:val="000000" w:themeColor="text1"/>
          <w:sz w:val="28"/>
          <w:szCs w:val="28"/>
        </w:rPr>
      </w:pPr>
    </w:p>
    <w:p w14:paraId="0F3A6429" w14:textId="77777777"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The safeguarding policy for Wales states that ‘safeguarding is everyone’s responsibility’ (</w:t>
      </w:r>
      <w:proofErr w:type="spellStart"/>
      <w:r w:rsidRPr="00AD1D4B">
        <w:rPr>
          <w:rFonts w:cstheme="minorHAnsi"/>
          <w:color w:val="000000" w:themeColor="text1"/>
          <w:sz w:val="28"/>
          <w:szCs w:val="28"/>
          <w:shd w:val="clear" w:color="auto" w:fill="FFFFFF"/>
        </w:rPr>
        <w:t>Llywodraeth</w:t>
      </w:r>
      <w:proofErr w:type="spellEnd"/>
      <w:r w:rsidRPr="00AD1D4B">
        <w:rPr>
          <w:rFonts w:cstheme="minorHAnsi"/>
          <w:color w:val="000000" w:themeColor="text1"/>
          <w:sz w:val="28"/>
          <w:szCs w:val="28"/>
          <w:shd w:val="clear" w:color="auto" w:fill="FFFFFF"/>
        </w:rPr>
        <w:t xml:space="preserve"> Cymru, 2022). Safeguarding means keeping people safe from abuse, neglect or harm. It is important for people who work in the education system to have adequate training and understanding of the safeguarding procedures in place at their setting. </w:t>
      </w:r>
    </w:p>
    <w:p w14:paraId="5D907BC9" w14:textId="77777777" w:rsidR="00AD1D4B" w:rsidRPr="00AD1D4B" w:rsidRDefault="00AD1D4B" w:rsidP="006F7710">
      <w:pPr>
        <w:spacing w:line="360" w:lineRule="auto"/>
        <w:jc w:val="both"/>
        <w:rPr>
          <w:rFonts w:ascii="Calibri" w:hAnsi="Calibri" w:cs="Calibri"/>
          <w:color w:val="000000" w:themeColor="text1"/>
          <w:sz w:val="28"/>
          <w:szCs w:val="28"/>
        </w:rPr>
      </w:pPr>
    </w:p>
    <w:p w14:paraId="17D6FC9B" w14:textId="5CB54209" w:rsidR="00AD1D4B" w:rsidRPr="00AD1D4B" w:rsidRDefault="00AD1D4B" w:rsidP="006F7710">
      <w:pPr>
        <w:spacing w:line="360" w:lineRule="auto"/>
        <w:jc w:val="both"/>
        <w:rPr>
          <w:rFonts w:ascii="Calibri" w:hAnsi="Calibri" w:cs="Calibri"/>
          <w:color w:val="000000" w:themeColor="text1"/>
          <w:sz w:val="28"/>
          <w:szCs w:val="28"/>
        </w:rPr>
      </w:pPr>
      <w:r w:rsidRPr="00AD1D4B">
        <w:rPr>
          <w:rFonts w:ascii="Calibri" w:hAnsi="Calibri" w:cs="Calibri"/>
          <w:color w:val="000000" w:themeColor="text1"/>
          <w:sz w:val="28"/>
          <w:szCs w:val="28"/>
        </w:rPr>
        <w:t xml:space="preserve">The Multi-agency approach refers to the multi-agency system that is used in Wales </w:t>
      </w:r>
      <w:proofErr w:type="gramStart"/>
      <w:r w:rsidRPr="00AD1D4B">
        <w:rPr>
          <w:rFonts w:ascii="Calibri" w:hAnsi="Calibri" w:cs="Calibri"/>
          <w:color w:val="000000" w:themeColor="text1"/>
          <w:sz w:val="28"/>
          <w:szCs w:val="28"/>
        </w:rPr>
        <w:t>in regard to</w:t>
      </w:r>
      <w:proofErr w:type="gramEnd"/>
      <w:r w:rsidRPr="00AD1D4B">
        <w:rPr>
          <w:rFonts w:ascii="Calibri" w:hAnsi="Calibri" w:cs="Calibri"/>
          <w:color w:val="000000" w:themeColor="text1"/>
          <w:sz w:val="28"/>
          <w:szCs w:val="28"/>
        </w:rPr>
        <w:t xml:space="preserve"> safeguarding children and young people. The ‘Multi-Agency Safeguarding Hub (Mash) enables the sharing of information between services so that risks to children can be identified at an early stage.’ (Oxfordshire County Council, </w:t>
      </w:r>
      <w:proofErr w:type="spellStart"/>
      <w:r w:rsidRPr="00AD1D4B">
        <w:rPr>
          <w:rFonts w:ascii="Calibri" w:hAnsi="Calibri" w:cs="Calibri"/>
          <w:color w:val="000000" w:themeColor="text1"/>
          <w:sz w:val="28"/>
          <w:szCs w:val="28"/>
        </w:rPr>
        <w:t>n.d</w:t>
      </w:r>
      <w:proofErr w:type="spellEnd"/>
      <w:r w:rsidRPr="00AD1D4B">
        <w:rPr>
          <w:rFonts w:ascii="Calibri" w:hAnsi="Calibri" w:cs="Calibri"/>
          <w:color w:val="000000" w:themeColor="text1"/>
          <w:sz w:val="28"/>
          <w:szCs w:val="28"/>
        </w:rPr>
        <w:t xml:space="preserve">). Agencies used within MASH include the school, GP’s the police, ambulance service and social workers. While there are benefits to having a multi-agency system, there are drawbacks. </w:t>
      </w:r>
    </w:p>
    <w:p w14:paraId="43CCC4C8" w14:textId="77777777" w:rsidR="00AD1D4B" w:rsidRPr="00AD1D4B" w:rsidRDefault="00AD1D4B" w:rsidP="006F7710">
      <w:pPr>
        <w:spacing w:line="360" w:lineRule="auto"/>
        <w:jc w:val="both"/>
        <w:rPr>
          <w:rFonts w:ascii="Calibri" w:hAnsi="Calibri" w:cs="Calibri"/>
          <w:color w:val="000000" w:themeColor="text1"/>
          <w:sz w:val="28"/>
          <w:szCs w:val="28"/>
        </w:rPr>
      </w:pPr>
    </w:p>
    <w:p w14:paraId="4F5AB541" w14:textId="77777777"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According to Hampshire County Council (</w:t>
      </w:r>
      <w:proofErr w:type="spellStart"/>
      <w:r w:rsidRPr="00AD1D4B">
        <w:rPr>
          <w:rFonts w:cstheme="minorHAnsi"/>
          <w:color w:val="000000" w:themeColor="text1"/>
          <w:sz w:val="28"/>
          <w:szCs w:val="28"/>
          <w:shd w:val="clear" w:color="auto" w:fill="FFFFFF"/>
        </w:rPr>
        <w:t>n.d</w:t>
      </w:r>
      <w:proofErr w:type="spellEnd"/>
      <w:r w:rsidRPr="00AD1D4B">
        <w:rPr>
          <w:rFonts w:cstheme="minorHAnsi"/>
          <w:color w:val="000000" w:themeColor="text1"/>
          <w:sz w:val="28"/>
          <w:szCs w:val="28"/>
          <w:shd w:val="clear" w:color="auto" w:fill="FFFFFF"/>
        </w:rPr>
        <w:t xml:space="preserve">), one of the benefits of the multi-agency system is ‘financial savings through economies of scale and avoiding duplication of work’.  However, this is also a negative as professionals such as teachers and social workers are required to do more work due to funding cutbacks and job losses within local authorities. As a result of this, referrals take </w:t>
      </w:r>
      <w:r w:rsidRPr="00AD1D4B">
        <w:rPr>
          <w:rFonts w:cstheme="minorHAnsi"/>
          <w:color w:val="000000" w:themeColor="text1"/>
          <w:sz w:val="28"/>
          <w:szCs w:val="28"/>
          <w:shd w:val="clear" w:color="auto" w:fill="FFFFFF"/>
        </w:rPr>
        <w:lastRenderedPageBreak/>
        <w:t xml:space="preserve">more time to work their way through the system and children are being let down because of the delays. </w:t>
      </w:r>
    </w:p>
    <w:p w14:paraId="20538C42" w14:textId="77777777" w:rsidR="00AD1D4B" w:rsidRPr="00AD1D4B" w:rsidRDefault="00AD1D4B" w:rsidP="00AD1D4B">
      <w:pPr>
        <w:spacing w:line="360" w:lineRule="auto"/>
        <w:jc w:val="both"/>
        <w:rPr>
          <w:rFonts w:cstheme="minorHAnsi"/>
          <w:color w:val="000000" w:themeColor="text1"/>
          <w:sz w:val="28"/>
          <w:szCs w:val="28"/>
          <w:shd w:val="clear" w:color="auto" w:fill="FFFFFF"/>
        </w:rPr>
      </w:pPr>
    </w:p>
    <w:p w14:paraId="0B2DD225" w14:textId="387CDBAD"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Another one of the key benefits of the multi-agency system is ‘</w:t>
      </w:r>
      <w:r w:rsidRPr="00AD1D4B">
        <w:rPr>
          <w:rFonts w:cstheme="minorHAnsi"/>
          <w:color w:val="000000" w:themeColor="text1"/>
          <w:sz w:val="28"/>
          <w:szCs w:val="28"/>
        </w:rPr>
        <w:t xml:space="preserve">timely access to a range of partner agency information which builds a picture and enables us to understand the level of risk.’ (Coventry County Council, </w:t>
      </w:r>
      <w:proofErr w:type="spellStart"/>
      <w:r w:rsidRPr="00AD1D4B">
        <w:rPr>
          <w:rFonts w:cstheme="minorHAnsi"/>
          <w:color w:val="000000" w:themeColor="text1"/>
          <w:sz w:val="28"/>
          <w:szCs w:val="28"/>
        </w:rPr>
        <w:t>n.d</w:t>
      </w:r>
      <w:proofErr w:type="spellEnd"/>
      <w:r w:rsidRPr="00AD1D4B">
        <w:rPr>
          <w:rFonts w:cstheme="minorHAnsi"/>
          <w:color w:val="000000" w:themeColor="text1"/>
          <w:sz w:val="28"/>
          <w:szCs w:val="28"/>
        </w:rPr>
        <w:t xml:space="preserve">). The school will have the benefit of seeing the child every day and be able to take notes of any physical signs of abuse or neglect whereas the GP and NHS would have access to medical records and notes of doctors’ visits. This would also allow for an ‘improved recognition of risk and threat.’ (West Berkshire Council, </w:t>
      </w:r>
      <w:proofErr w:type="spellStart"/>
      <w:r w:rsidRPr="00AD1D4B">
        <w:rPr>
          <w:rFonts w:cstheme="minorHAnsi"/>
          <w:color w:val="000000" w:themeColor="text1"/>
          <w:sz w:val="28"/>
          <w:szCs w:val="28"/>
        </w:rPr>
        <w:t>n.d</w:t>
      </w:r>
      <w:proofErr w:type="spellEnd"/>
      <w:r w:rsidRPr="00AD1D4B">
        <w:rPr>
          <w:rFonts w:cstheme="minorHAnsi"/>
          <w:color w:val="000000" w:themeColor="text1"/>
          <w:sz w:val="28"/>
          <w:szCs w:val="28"/>
        </w:rPr>
        <w:t>).</w:t>
      </w:r>
    </w:p>
    <w:p w14:paraId="23C9AE3B" w14:textId="77777777" w:rsidR="00AD1D4B" w:rsidRPr="00AD1D4B" w:rsidRDefault="00AD1D4B" w:rsidP="00AD1D4B">
      <w:pPr>
        <w:spacing w:line="360" w:lineRule="auto"/>
        <w:jc w:val="both"/>
        <w:rPr>
          <w:rFonts w:cstheme="minorHAnsi"/>
          <w:color w:val="000000" w:themeColor="text1"/>
          <w:sz w:val="28"/>
          <w:szCs w:val="28"/>
          <w:shd w:val="clear" w:color="auto" w:fill="FFFFFF"/>
        </w:rPr>
      </w:pPr>
    </w:p>
    <w:p w14:paraId="552A0757" w14:textId="72118CD4"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Good practise is essential when working within a multi-agency team. Ensuring good communication with other teams involved within the panel is an example of good practise. ‘At the core of multi-agency working is collaboration across services to improve outcomes for the children and young people they support.’ (Central and Local Government, </w:t>
      </w:r>
      <w:proofErr w:type="spellStart"/>
      <w:r w:rsidRPr="00AD1D4B">
        <w:rPr>
          <w:rFonts w:cstheme="minorHAnsi"/>
          <w:color w:val="000000" w:themeColor="text1"/>
          <w:sz w:val="28"/>
          <w:szCs w:val="28"/>
          <w:shd w:val="clear" w:color="auto" w:fill="FFFFFF"/>
        </w:rPr>
        <w:t>n.d</w:t>
      </w:r>
      <w:proofErr w:type="spellEnd"/>
      <w:r w:rsidRPr="00AD1D4B">
        <w:rPr>
          <w:rFonts w:cstheme="minorHAnsi"/>
          <w:color w:val="000000" w:themeColor="text1"/>
          <w:sz w:val="28"/>
          <w:szCs w:val="28"/>
          <w:shd w:val="clear" w:color="auto" w:fill="FFFFFF"/>
        </w:rPr>
        <w:t xml:space="preserve">). While working in a multi-agency team, lack of communication can result in a potential conflict between the practitioners and have a negative effect on their work. This would result in the child or young adult who has been referred not be getting effective help. </w:t>
      </w:r>
    </w:p>
    <w:p w14:paraId="46D3BF02" w14:textId="77777777" w:rsidR="00AD1D4B" w:rsidRPr="00AD1D4B" w:rsidRDefault="00AD1D4B" w:rsidP="00AD1D4B">
      <w:pPr>
        <w:spacing w:line="360" w:lineRule="auto"/>
        <w:jc w:val="both"/>
        <w:rPr>
          <w:rFonts w:cstheme="minorHAnsi"/>
          <w:color w:val="000000" w:themeColor="text1"/>
          <w:sz w:val="28"/>
          <w:szCs w:val="28"/>
          <w:shd w:val="clear" w:color="auto" w:fill="FFFFFF"/>
        </w:rPr>
      </w:pPr>
    </w:p>
    <w:p w14:paraId="54EB04AC" w14:textId="1A6D16B7"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A challenge for multi-agency systems is that different policies are in place for the different services. An example of this is that hospitals and GP’s have patient confidentiality agreements and because of this it could take longer for the other people involved to get the information that they need to move forward with their referrals. It could also mean that any decision made by the multi-agency system could be delayed because of the delay in getting information.</w:t>
      </w:r>
    </w:p>
    <w:p w14:paraId="01E53C71" w14:textId="77777777" w:rsidR="00AD1D4B" w:rsidRPr="00AD1D4B" w:rsidRDefault="00AD1D4B" w:rsidP="00AD1D4B">
      <w:pPr>
        <w:spacing w:line="360" w:lineRule="auto"/>
        <w:jc w:val="both"/>
        <w:rPr>
          <w:rFonts w:cstheme="minorHAnsi"/>
          <w:color w:val="000000" w:themeColor="text1"/>
          <w:sz w:val="28"/>
          <w:szCs w:val="28"/>
          <w:shd w:val="clear" w:color="auto" w:fill="FFFFFF"/>
        </w:rPr>
      </w:pPr>
    </w:p>
    <w:p w14:paraId="3F386A3F" w14:textId="7250C41B" w:rsidR="00AD1D4B" w:rsidRPr="00AD1D4B" w:rsidRDefault="00AD1D4B" w:rsidP="00AD1D4B">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lastRenderedPageBreak/>
        <w:t xml:space="preserve">Another service which can offer support to families is Team Around the Family (TAF). It works as a multi-agency team that offers support to families who need help. When a referral is made, an assessment is carried out which identifies the areas in which the family can be supported. The family is then connected to the external services recommended to them by TAF. Team Around the Family is seen as more approachable by parents as it does not require a social worker, which means families are more likely to cooperate, feel less threatened and more likely to accept the help that is offered to them. </w:t>
      </w:r>
    </w:p>
    <w:p w14:paraId="591BBEC4" w14:textId="77777777" w:rsidR="00AD1D4B" w:rsidRPr="00AD1D4B" w:rsidRDefault="00AD1D4B" w:rsidP="00AD1D4B">
      <w:pPr>
        <w:spacing w:line="360" w:lineRule="auto"/>
        <w:jc w:val="both"/>
        <w:rPr>
          <w:rFonts w:cstheme="minorHAnsi"/>
          <w:color w:val="000000" w:themeColor="text1"/>
          <w:sz w:val="28"/>
          <w:szCs w:val="28"/>
          <w:shd w:val="clear" w:color="auto" w:fill="FFFFFF"/>
        </w:rPr>
      </w:pPr>
    </w:p>
    <w:p w14:paraId="281BFCB8" w14:textId="77777777"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Within schools and other education settings there are policies in place to ensure a child’s well-being. Schools across Wales are adopting a child centred approach, in which pupils feel as though they have a strong voice in their learning and feel that the school values their opinion. In doing so the schools builds trust with the pupils and they feel as though they can approach adults with concerns or problems that they have. </w:t>
      </w:r>
    </w:p>
    <w:p w14:paraId="4AACD7EB"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6351DF17" w14:textId="7C39A646"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Nurturing the well-being of children and young people in the education system is essential, especially if you identify a child who is at risk. To identify the needs of a child at risk it is essential that education professionals build an understanding of what a day is like in the life of that child. It is also important for them to understand how that day changes during weekends and over the holidays. </w:t>
      </w:r>
    </w:p>
    <w:p w14:paraId="2B01CE04"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21456162" w14:textId="58E0E0BB" w:rsidR="00AD1D4B" w:rsidRPr="00AD1D4B" w:rsidRDefault="00AD1D4B" w:rsidP="00AD1D4B">
      <w:pPr>
        <w:spacing w:line="360" w:lineRule="auto"/>
        <w:jc w:val="center"/>
        <w:rPr>
          <w:rFonts w:ascii="Calibri" w:hAnsi="Calibri" w:cs="Calibri"/>
          <w:color w:val="000000" w:themeColor="text1"/>
          <w:sz w:val="28"/>
          <w:szCs w:val="28"/>
          <w:shd w:val="clear" w:color="auto" w:fill="FFFFFF"/>
        </w:rPr>
      </w:pPr>
      <w:r w:rsidRPr="00AD1D4B">
        <w:rPr>
          <w:rFonts w:ascii="Calibri" w:hAnsi="Calibri" w:cs="Calibri"/>
          <w:i/>
          <w:iCs/>
          <w:color w:val="000000" w:themeColor="text1"/>
          <w:sz w:val="30"/>
          <w:szCs w:val="30"/>
          <w:shd w:val="clear" w:color="auto" w:fill="FFFFFF"/>
        </w:rPr>
        <w:t xml:space="preserve">‘It is only by understanding their daily lived experience that practitioners can appreciate how abuse or neglect is affecting the individual, their needs, areas of resilience and the risk factors.’ </w:t>
      </w:r>
      <w:r w:rsidRPr="00AD1D4B">
        <w:rPr>
          <w:rFonts w:ascii="Calibri" w:hAnsi="Calibri" w:cs="Calibri"/>
          <w:color w:val="000000" w:themeColor="text1"/>
          <w:sz w:val="30"/>
          <w:szCs w:val="30"/>
          <w:shd w:val="clear" w:color="auto" w:fill="FFFFFF"/>
        </w:rPr>
        <w:t xml:space="preserve">(Wales Safeguarding Procedures, </w:t>
      </w:r>
      <w:proofErr w:type="spellStart"/>
      <w:r w:rsidRPr="00AD1D4B">
        <w:rPr>
          <w:rFonts w:ascii="Calibri" w:hAnsi="Calibri" w:cs="Calibri"/>
          <w:color w:val="000000" w:themeColor="text1"/>
          <w:sz w:val="30"/>
          <w:szCs w:val="30"/>
          <w:shd w:val="clear" w:color="auto" w:fill="FFFFFF"/>
        </w:rPr>
        <w:t>n.d</w:t>
      </w:r>
      <w:proofErr w:type="spellEnd"/>
      <w:r w:rsidRPr="00AD1D4B">
        <w:rPr>
          <w:rFonts w:ascii="Calibri" w:hAnsi="Calibri" w:cs="Calibri"/>
          <w:color w:val="000000" w:themeColor="text1"/>
          <w:sz w:val="30"/>
          <w:szCs w:val="30"/>
          <w:shd w:val="clear" w:color="auto" w:fill="FFFFFF"/>
        </w:rPr>
        <w:t xml:space="preserve">). </w:t>
      </w:r>
    </w:p>
    <w:p w14:paraId="3BE4CFC6"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744C7786" w14:textId="2308EA94"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ascii="Calibri" w:hAnsi="Calibri" w:cs="Calibri"/>
          <w:color w:val="000000" w:themeColor="text1"/>
          <w:sz w:val="28"/>
          <w:szCs w:val="28"/>
        </w:rPr>
        <w:t>There are many documented cases where children have been let down and neglected by a system that was set up to protect them. ‘</w:t>
      </w:r>
      <w:r w:rsidRPr="00AD1D4B">
        <w:rPr>
          <w:rFonts w:cstheme="minorHAnsi"/>
          <w:color w:val="000000" w:themeColor="text1"/>
          <w:sz w:val="28"/>
          <w:szCs w:val="28"/>
          <w:shd w:val="clear" w:color="auto" w:fill="FFFFFF"/>
        </w:rPr>
        <w:t>On average about 80 children die of abuse or neglect in England and Wales every year, and there have been more than 70 inquiries since the Children Act 1948.’ (Community Care, 2007). Everyone has human rights but people under 18 years old are covered by children’s rights. Children’s rights are violated every day because they are dependent on adults.</w:t>
      </w:r>
    </w:p>
    <w:p w14:paraId="081A9218"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4707EA24" w14:textId="1EC88E00"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One of the most recognised names in child neglect cases is Victoria Climbie. Victoria Climbie was murdered in the year 2000 at the hands of her aunt and her aunt’s boyfriend. This case is an early example of the multi-agency system failing as the police, the social services departments of four local authorities, the NHS, the NSPCC and the local church all noted and raised concerns of her abuse. According to a report by (The Guardian, 2001), the child protection team that allowed Victoria to continue living with her aunt and her aunt’s boyfriend were ‘blindingly incompetent’. </w:t>
      </w:r>
    </w:p>
    <w:p w14:paraId="2DD0A842"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70A70B48" w14:textId="56DD5B88"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Since the inquiry into Victoria Climbie’s murder. The Government created the Children Act 2004. </w:t>
      </w:r>
    </w:p>
    <w:p w14:paraId="1E6A3316" w14:textId="1F26CED2" w:rsidR="00AD1D4B" w:rsidRPr="00AD1D4B" w:rsidRDefault="00AD1D4B" w:rsidP="006F7710">
      <w:pPr>
        <w:spacing w:line="360" w:lineRule="auto"/>
        <w:jc w:val="both"/>
        <w:rPr>
          <w:rFonts w:cstheme="minorHAnsi"/>
          <w:color w:val="000000" w:themeColor="text1"/>
          <w:sz w:val="28"/>
          <w:szCs w:val="28"/>
          <w:shd w:val="clear" w:color="auto" w:fill="FFFFFF"/>
        </w:rPr>
      </w:pPr>
    </w:p>
    <w:p w14:paraId="47A8C583" w14:textId="60A04D54" w:rsidR="00AD1D4B" w:rsidRPr="00AD1D4B" w:rsidRDefault="00AD1D4B" w:rsidP="00AD1D4B">
      <w:pPr>
        <w:spacing w:line="360" w:lineRule="auto"/>
        <w:jc w:val="center"/>
        <w:rPr>
          <w:rFonts w:cstheme="minorHAnsi"/>
          <w:color w:val="000000" w:themeColor="text1"/>
          <w:sz w:val="28"/>
          <w:szCs w:val="28"/>
          <w:shd w:val="clear" w:color="auto" w:fill="FFFFFF"/>
        </w:rPr>
      </w:pPr>
      <w:r w:rsidRPr="00AD1D4B">
        <w:rPr>
          <w:rFonts w:cstheme="minorHAnsi"/>
          <w:i/>
          <w:iCs/>
          <w:color w:val="000000" w:themeColor="text1"/>
          <w:sz w:val="28"/>
          <w:szCs w:val="28"/>
          <w:shd w:val="clear" w:color="auto" w:fill="FFFFFF"/>
        </w:rPr>
        <w:t>‘The Children Act 2004 is an expansion of the 1989 Children Act. The 2004 Act reinforces that all people and organisations working with children have a duty to help safeguard children and protect their welfare. The main purpose of the Children Act 2004 is to make Britain a safer place for children.’</w:t>
      </w:r>
      <w:r w:rsidRPr="00AD1D4B">
        <w:rPr>
          <w:rFonts w:cstheme="minorHAnsi"/>
          <w:color w:val="000000" w:themeColor="text1"/>
          <w:sz w:val="28"/>
          <w:szCs w:val="28"/>
          <w:shd w:val="clear" w:color="auto" w:fill="FFFFFF"/>
        </w:rPr>
        <w:t xml:space="preserve"> (Holland Family Law, </w:t>
      </w:r>
      <w:proofErr w:type="spellStart"/>
      <w:r w:rsidRPr="00AD1D4B">
        <w:rPr>
          <w:rFonts w:cstheme="minorHAnsi"/>
          <w:color w:val="000000" w:themeColor="text1"/>
          <w:sz w:val="28"/>
          <w:szCs w:val="28"/>
          <w:shd w:val="clear" w:color="auto" w:fill="FFFFFF"/>
        </w:rPr>
        <w:t>n.d</w:t>
      </w:r>
      <w:proofErr w:type="spellEnd"/>
      <w:r w:rsidRPr="00AD1D4B">
        <w:rPr>
          <w:rFonts w:cstheme="minorHAnsi"/>
          <w:color w:val="000000" w:themeColor="text1"/>
          <w:sz w:val="28"/>
          <w:szCs w:val="28"/>
          <w:shd w:val="clear" w:color="auto" w:fill="FFFFFF"/>
        </w:rPr>
        <w:t xml:space="preserve">). </w:t>
      </w:r>
    </w:p>
    <w:p w14:paraId="2C0B9A9F" w14:textId="422B8188"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lastRenderedPageBreak/>
        <w:t>After another high-profile case involving the murder of two 10-year-old girls in 2006 by a member of staff at their school, it became law that any individual hoping to get employment in an environment with children or vulnerable people, would need a DBS check. This policy was extremely beneficial to the safety of children in the UK.</w:t>
      </w:r>
    </w:p>
    <w:p w14:paraId="3D41A252" w14:textId="77777777" w:rsidR="00AD1D4B" w:rsidRPr="00AD1D4B" w:rsidRDefault="00AD1D4B" w:rsidP="006F7710">
      <w:pPr>
        <w:spacing w:line="360" w:lineRule="auto"/>
        <w:jc w:val="both"/>
        <w:rPr>
          <w:rFonts w:cstheme="minorHAnsi"/>
          <w:color w:val="000000" w:themeColor="text1"/>
          <w:sz w:val="28"/>
          <w:szCs w:val="28"/>
          <w:shd w:val="clear" w:color="auto" w:fill="FFFFFF"/>
        </w:rPr>
      </w:pPr>
    </w:p>
    <w:p w14:paraId="1633E259" w14:textId="29AC26B7" w:rsidR="00AD1D4B" w:rsidRPr="00AD1D4B" w:rsidRDefault="00AD1D4B" w:rsidP="006F7710">
      <w:pPr>
        <w:spacing w:line="360" w:lineRule="auto"/>
        <w:jc w:val="both"/>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One of the biggest changes since the implementation of the Children Act 2004 is the progression of the internet and social media. </w:t>
      </w:r>
    </w:p>
    <w:p w14:paraId="00BA1C3F" w14:textId="77777777" w:rsidR="00AD1D4B" w:rsidRPr="00AD1D4B" w:rsidRDefault="00AD1D4B" w:rsidP="00AD1D4B">
      <w:pPr>
        <w:jc w:val="center"/>
        <w:rPr>
          <w:rFonts w:cstheme="minorHAnsi"/>
          <w:i/>
          <w:iCs/>
          <w:color w:val="000000" w:themeColor="text1"/>
          <w:spacing w:val="-2"/>
          <w:sz w:val="28"/>
          <w:szCs w:val="28"/>
          <w:shd w:val="clear" w:color="auto" w:fill="FAFAFA"/>
        </w:rPr>
      </w:pPr>
    </w:p>
    <w:p w14:paraId="4A0D0C0D" w14:textId="4255BA1E" w:rsidR="00AD1D4B" w:rsidRPr="00AD1D4B" w:rsidRDefault="00AD1D4B" w:rsidP="00AD1D4B">
      <w:pPr>
        <w:spacing w:line="360" w:lineRule="auto"/>
        <w:jc w:val="center"/>
        <w:rPr>
          <w:rFonts w:cstheme="minorHAnsi"/>
          <w:color w:val="000000" w:themeColor="text1"/>
          <w:sz w:val="28"/>
          <w:szCs w:val="28"/>
          <w:shd w:val="clear" w:color="auto" w:fill="FFFFFF"/>
        </w:rPr>
      </w:pPr>
      <w:r w:rsidRPr="00AD1D4B">
        <w:rPr>
          <w:rFonts w:cstheme="minorHAnsi"/>
          <w:i/>
          <w:iCs/>
          <w:color w:val="000000" w:themeColor="text1"/>
          <w:sz w:val="28"/>
          <w:szCs w:val="28"/>
          <w:shd w:val="clear" w:color="auto" w:fill="FFFFFF"/>
        </w:rPr>
        <w:t xml:space="preserve">‘Children and young people use many different social media apps and sites. The most popular are Facebook and Instagram, with many others such as Snapchat, TikTok and Twitter.’ </w:t>
      </w:r>
      <w:r w:rsidRPr="00AD1D4B">
        <w:rPr>
          <w:rFonts w:cstheme="minorHAnsi"/>
          <w:color w:val="000000" w:themeColor="text1"/>
          <w:sz w:val="28"/>
          <w:szCs w:val="28"/>
          <w:shd w:val="clear" w:color="auto" w:fill="FFFFFF"/>
        </w:rPr>
        <w:t xml:space="preserve">(NSPCC, </w:t>
      </w:r>
      <w:proofErr w:type="spellStart"/>
      <w:r w:rsidRPr="00AD1D4B">
        <w:rPr>
          <w:rFonts w:cstheme="minorHAnsi"/>
          <w:color w:val="000000" w:themeColor="text1"/>
          <w:sz w:val="28"/>
          <w:szCs w:val="28"/>
          <w:shd w:val="clear" w:color="auto" w:fill="FFFFFF"/>
        </w:rPr>
        <w:t>n.d</w:t>
      </w:r>
      <w:proofErr w:type="spellEnd"/>
      <w:r w:rsidRPr="00AD1D4B">
        <w:rPr>
          <w:rFonts w:cstheme="minorHAnsi"/>
          <w:color w:val="000000" w:themeColor="text1"/>
          <w:sz w:val="28"/>
          <w:szCs w:val="28"/>
          <w:shd w:val="clear" w:color="auto" w:fill="FFFFFF"/>
        </w:rPr>
        <w:t>).</w:t>
      </w:r>
    </w:p>
    <w:p w14:paraId="4737ED52" w14:textId="77777777" w:rsidR="00AD1D4B" w:rsidRPr="00AD1D4B" w:rsidRDefault="00AD1D4B" w:rsidP="00AD1D4B">
      <w:pPr>
        <w:spacing w:line="360" w:lineRule="auto"/>
        <w:rPr>
          <w:rFonts w:cstheme="minorHAnsi"/>
          <w:color w:val="000000" w:themeColor="text1"/>
          <w:sz w:val="28"/>
          <w:szCs w:val="28"/>
          <w:shd w:val="clear" w:color="auto" w:fill="FFFFFF"/>
        </w:rPr>
      </w:pPr>
    </w:p>
    <w:p w14:paraId="28890D72" w14:textId="4F934BBA" w:rsidR="00AD1D4B" w:rsidRPr="00AD1D4B" w:rsidRDefault="00AD1D4B" w:rsidP="00AD1D4B">
      <w:pPr>
        <w:spacing w:line="360" w:lineRule="auto"/>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Although there are age restrictions to these sites, the social media companies do not police it as there are children as young as 12 years old signing up for sites such as Facebook and Instagram by claiming that they are older than they are. </w:t>
      </w:r>
      <w:r w:rsidR="00BD0705">
        <w:rPr>
          <w:rFonts w:cstheme="minorHAnsi"/>
          <w:color w:val="000000" w:themeColor="text1"/>
          <w:sz w:val="28"/>
          <w:szCs w:val="28"/>
          <w:shd w:val="clear" w:color="auto" w:fill="FFFFFF"/>
        </w:rPr>
        <w:t>‘</w:t>
      </w:r>
      <w:r w:rsidR="00BD0705" w:rsidRPr="00BD0705">
        <w:rPr>
          <w:rFonts w:ascii="Calibri" w:hAnsi="Calibri" w:cs="Calibri"/>
          <w:color w:val="111111"/>
          <w:sz w:val="28"/>
          <w:szCs w:val="28"/>
          <w:shd w:val="clear" w:color="auto" w:fill="FFFFFF"/>
        </w:rPr>
        <w:t>24% of children admitted to lying about their age on social media.</w:t>
      </w:r>
      <w:r w:rsidR="00BD0705">
        <w:rPr>
          <w:rFonts w:ascii="Calibri" w:hAnsi="Calibri" w:cs="Calibri"/>
          <w:color w:val="111111"/>
          <w:sz w:val="28"/>
          <w:szCs w:val="28"/>
          <w:shd w:val="clear" w:color="auto" w:fill="FFFFFF"/>
        </w:rPr>
        <w:t>’ (Martin &amp; Helms Injury Attorneys, 2023).</w:t>
      </w:r>
    </w:p>
    <w:p w14:paraId="3BF7A2AE" w14:textId="77777777" w:rsidR="00AD1D4B" w:rsidRPr="00AD1D4B" w:rsidRDefault="00AD1D4B" w:rsidP="00AD1D4B">
      <w:pPr>
        <w:spacing w:line="360" w:lineRule="auto"/>
        <w:rPr>
          <w:rFonts w:cstheme="minorHAnsi"/>
          <w:color w:val="000000" w:themeColor="text1"/>
          <w:sz w:val="28"/>
          <w:szCs w:val="28"/>
          <w:shd w:val="clear" w:color="auto" w:fill="FFFFFF"/>
        </w:rPr>
      </w:pPr>
    </w:p>
    <w:p w14:paraId="04665B0A" w14:textId="406FCBBE" w:rsidR="00AD1D4B" w:rsidRPr="00AD1D4B" w:rsidRDefault="00AD1D4B" w:rsidP="00AD1D4B">
      <w:pPr>
        <w:spacing w:line="360" w:lineRule="auto"/>
        <w:rPr>
          <w:rFonts w:cstheme="minorHAnsi"/>
          <w:color w:val="000000" w:themeColor="text1"/>
          <w:sz w:val="28"/>
          <w:szCs w:val="28"/>
          <w:shd w:val="clear" w:color="auto" w:fill="FFFFFF"/>
        </w:rPr>
      </w:pPr>
      <w:r w:rsidRPr="00AD1D4B">
        <w:rPr>
          <w:rFonts w:cstheme="minorHAnsi"/>
          <w:color w:val="000000" w:themeColor="text1"/>
          <w:sz w:val="28"/>
          <w:szCs w:val="28"/>
          <w:shd w:val="clear" w:color="auto" w:fill="FFFFFF"/>
        </w:rPr>
        <w:t xml:space="preserve">Social media exposes children to content which could become harmful to their well-being and mental health. One of the main causes of a decline in their mental health is Cyberbullying. ‘Cyberbullying is when someone uses technology to harass, threaten, embarrass or target another person.’ (Kids Health, 2022). </w:t>
      </w:r>
    </w:p>
    <w:p w14:paraId="344B4975" w14:textId="77777777" w:rsidR="00AD1D4B" w:rsidRPr="00AD1D4B" w:rsidRDefault="00AD1D4B" w:rsidP="00AD1D4B">
      <w:pPr>
        <w:pStyle w:val="NormalWeb"/>
        <w:spacing w:before="0" w:beforeAutospacing="0" w:after="0" w:afterAutospacing="0"/>
        <w:jc w:val="center"/>
        <w:rPr>
          <w:rFonts w:asciiTheme="minorHAnsi" w:hAnsiTheme="minorHAnsi" w:cstheme="minorHAnsi"/>
          <w:i/>
          <w:iCs/>
          <w:color w:val="000000" w:themeColor="text1"/>
          <w:sz w:val="28"/>
          <w:szCs w:val="28"/>
        </w:rPr>
      </w:pPr>
    </w:p>
    <w:p w14:paraId="5ACD763C" w14:textId="3A4CEDCB" w:rsidR="00AD1D4B" w:rsidRPr="00AD1D4B" w:rsidRDefault="00AD1D4B" w:rsidP="00AD1D4B">
      <w:pPr>
        <w:pStyle w:val="NormalWeb"/>
        <w:spacing w:before="0" w:beforeAutospacing="0" w:after="0" w:afterAutospacing="0"/>
        <w:jc w:val="center"/>
        <w:rPr>
          <w:rFonts w:asciiTheme="minorHAnsi" w:hAnsiTheme="minorHAnsi" w:cstheme="minorHAnsi"/>
          <w:color w:val="000000" w:themeColor="text1"/>
          <w:sz w:val="28"/>
          <w:szCs w:val="28"/>
        </w:rPr>
      </w:pPr>
      <w:r w:rsidRPr="00AD1D4B">
        <w:rPr>
          <w:rFonts w:asciiTheme="minorHAnsi" w:hAnsiTheme="minorHAnsi" w:cstheme="minorHAnsi"/>
          <w:i/>
          <w:iCs/>
          <w:color w:val="000000" w:themeColor="text1"/>
          <w:sz w:val="28"/>
          <w:szCs w:val="28"/>
        </w:rPr>
        <w:t>‘Around one in five children aged 10 to 15 years in England and Wales (19%) experienced at least one type of online bullying behaviour in the year ending March 2020, equivalent to 764,000 children.’</w:t>
      </w:r>
      <w:r w:rsidRPr="00AD1D4B">
        <w:rPr>
          <w:rFonts w:asciiTheme="minorHAnsi" w:hAnsiTheme="minorHAnsi" w:cstheme="minorHAnsi"/>
          <w:color w:val="000000" w:themeColor="text1"/>
          <w:sz w:val="28"/>
          <w:szCs w:val="28"/>
        </w:rPr>
        <w:t xml:space="preserve"> (Office for National Statistics, 2020).</w:t>
      </w:r>
    </w:p>
    <w:p w14:paraId="6A1CEE7F" w14:textId="32CE75BE"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r w:rsidRPr="00AD1D4B">
        <w:rPr>
          <w:rFonts w:asciiTheme="minorHAnsi" w:hAnsiTheme="minorHAnsi" w:cstheme="minorHAnsi"/>
          <w:color w:val="000000" w:themeColor="text1"/>
          <w:sz w:val="28"/>
          <w:szCs w:val="28"/>
        </w:rPr>
        <w:lastRenderedPageBreak/>
        <w:t>The year 2020 saw the Covid-19 pandemic bring national lockdown to the UK and as a result more children were using social media or going online. As a result of this there was a 60% increase in contacts from people to the NSPCC who were worried about children experiencing online sexual abuse. The NSPCC also reported that ‘1 in 25 primary age children had been sent a naked or semi-naked photograph by an adult.’</w:t>
      </w:r>
      <w:r>
        <w:rPr>
          <w:rFonts w:asciiTheme="minorHAnsi" w:hAnsiTheme="minorHAnsi" w:cstheme="minorHAnsi"/>
          <w:color w:val="000000" w:themeColor="text1"/>
          <w:sz w:val="28"/>
          <w:szCs w:val="28"/>
        </w:rPr>
        <w:t xml:space="preserve"> (NSPCC, </w:t>
      </w:r>
      <w:proofErr w:type="spellStart"/>
      <w:r>
        <w:rPr>
          <w:rFonts w:asciiTheme="minorHAnsi" w:hAnsiTheme="minorHAnsi" w:cstheme="minorHAnsi"/>
          <w:color w:val="000000" w:themeColor="text1"/>
          <w:sz w:val="28"/>
          <w:szCs w:val="28"/>
        </w:rPr>
        <w:t>n.d</w:t>
      </w:r>
      <w:proofErr w:type="spellEnd"/>
      <w:r>
        <w:rPr>
          <w:rFonts w:asciiTheme="minorHAnsi" w:hAnsiTheme="minorHAnsi" w:cstheme="minorHAnsi"/>
          <w:color w:val="000000" w:themeColor="text1"/>
          <w:sz w:val="28"/>
          <w:szCs w:val="28"/>
        </w:rPr>
        <w:t>).</w:t>
      </w:r>
    </w:p>
    <w:p w14:paraId="2D9A08AA"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p>
    <w:p w14:paraId="249C40E1" w14:textId="502DEBD3" w:rsidR="00AD1D4B" w:rsidRP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The Covid-19 pandemic has had a significant impact on children’s mental health and schools across the United Kingdom are having to support them. ‘</w:t>
      </w:r>
      <w:r w:rsidRPr="00AD1D4B">
        <w:rPr>
          <w:rStyle w:val="Strong"/>
          <w:rFonts w:asciiTheme="minorHAnsi" w:hAnsiTheme="minorHAnsi" w:cstheme="minorHAnsi"/>
          <w:b w:val="0"/>
          <w:bCs w:val="0"/>
          <w:color w:val="000000" w:themeColor="text1"/>
          <w:sz w:val="28"/>
          <w:szCs w:val="28"/>
        </w:rPr>
        <w:t>67% believed that the pandemic will have a long-term negative effect</w:t>
      </w:r>
      <w:r w:rsidRPr="00AD1D4B">
        <w:rPr>
          <w:rFonts w:asciiTheme="minorHAnsi" w:hAnsiTheme="minorHAnsi" w:cstheme="minorHAnsi"/>
          <w:b/>
          <w:bCs/>
          <w:color w:val="000000" w:themeColor="text1"/>
          <w:sz w:val="28"/>
          <w:szCs w:val="28"/>
          <w:shd w:val="clear" w:color="auto" w:fill="FFFFFF"/>
        </w:rPr>
        <w:t> </w:t>
      </w:r>
      <w:r w:rsidRPr="00AD1D4B">
        <w:rPr>
          <w:rStyle w:val="Strong"/>
          <w:rFonts w:asciiTheme="minorHAnsi" w:hAnsiTheme="minorHAnsi" w:cstheme="minorHAnsi"/>
          <w:b w:val="0"/>
          <w:bCs w:val="0"/>
          <w:color w:val="000000" w:themeColor="text1"/>
          <w:sz w:val="28"/>
          <w:szCs w:val="28"/>
        </w:rPr>
        <w:t>on their mental health</w:t>
      </w:r>
      <w:r w:rsidRPr="00AD1D4B">
        <w:rPr>
          <w:rFonts w:asciiTheme="minorHAnsi" w:hAnsiTheme="minorHAnsi" w:cstheme="minorHAnsi"/>
          <w:b/>
          <w:bCs/>
          <w:color w:val="000000" w:themeColor="text1"/>
          <w:sz w:val="28"/>
          <w:szCs w:val="28"/>
          <w:shd w:val="clear" w:color="auto" w:fill="FFFFFF"/>
        </w:rPr>
        <w:t>.</w:t>
      </w:r>
      <w:r>
        <w:rPr>
          <w:rFonts w:asciiTheme="minorHAnsi" w:hAnsiTheme="minorHAnsi" w:cstheme="minorHAnsi"/>
          <w:color w:val="000000" w:themeColor="text1"/>
          <w:sz w:val="28"/>
          <w:szCs w:val="28"/>
          <w:shd w:val="clear" w:color="auto" w:fill="FFFFFF"/>
        </w:rPr>
        <w:t>’ (</w:t>
      </w:r>
      <w:proofErr w:type="spellStart"/>
      <w:r>
        <w:rPr>
          <w:rFonts w:asciiTheme="minorHAnsi" w:hAnsiTheme="minorHAnsi" w:cstheme="minorHAnsi"/>
          <w:color w:val="000000" w:themeColor="text1"/>
          <w:sz w:val="28"/>
          <w:szCs w:val="28"/>
          <w:shd w:val="clear" w:color="auto" w:fill="FFFFFF"/>
        </w:rPr>
        <w:t>YoungMinds</w:t>
      </w:r>
      <w:proofErr w:type="spellEnd"/>
      <w:r>
        <w:rPr>
          <w:rFonts w:asciiTheme="minorHAnsi" w:hAnsiTheme="minorHAnsi" w:cstheme="minorHAnsi"/>
          <w:color w:val="000000" w:themeColor="text1"/>
          <w:sz w:val="28"/>
          <w:szCs w:val="28"/>
          <w:shd w:val="clear" w:color="auto" w:fill="FFFFFF"/>
        </w:rPr>
        <w:t xml:space="preserve">, 2021). </w:t>
      </w:r>
    </w:p>
    <w:p w14:paraId="29525FE2" w14:textId="77777777" w:rsidR="00AD1D4B" w:rsidRP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p>
    <w:p w14:paraId="0B965313" w14:textId="7C3C69C0" w:rsidR="00AD1D4B" w:rsidRP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r w:rsidRPr="00AD1D4B">
        <w:rPr>
          <w:rFonts w:asciiTheme="minorHAnsi" w:hAnsiTheme="minorHAnsi" w:cstheme="minorHAnsi"/>
          <w:color w:val="000000" w:themeColor="text1"/>
          <w:sz w:val="28"/>
          <w:szCs w:val="28"/>
        </w:rPr>
        <w:t>With 97% of children aged up to 12 years old owning a smartphone, the Government are considering a new policy in which mobile phones will be banned in school settings. ‘</w:t>
      </w:r>
      <w:r w:rsidRPr="00AD1D4B">
        <w:rPr>
          <w:rFonts w:ascii="Calibri" w:hAnsi="Calibri" w:cs="Calibri"/>
          <w:color w:val="000000" w:themeColor="text1"/>
          <w:sz w:val="28"/>
          <w:szCs w:val="28"/>
        </w:rPr>
        <w:t>This could include banning phones from the school premises, handing in phones on arrival at school, or keeping phones locked away.’ (Gov.UK, 2024).</w:t>
      </w:r>
    </w:p>
    <w:p w14:paraId="1B1B7957"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p>
    <w:p w14:paraId="0ED56CA2" w14:textId="77A2B36E"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While schools may be able to control a child’s mobile phone use in school, it is also important to educate children about online safety when they are at home. Gaming is another factor which contributes to child abuse online. Schools are encouraged to ‘provide advice on using social media’ and ‘support and include parents and carers by sharing helpful advice and resources.’ (NSPCC Learning, 2024). </w:t>
      </w:r>
    </w:p>
    <w:p w14:paraId="1F10ADC6"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p>
    <w:p w14:paraId="0C34595C" w14:textId="0535362F" w:rsidR="00AD1D4B" w:rsidRDefault="00AD1D4B" w:rsidP="00AD1D4B">
      <w:pPr>
        <w:pStyle w:val="NormalWeb"/>
        <w:spacing w:before="0" w:beforeAutospacing="0" w:after="0" w:afterAutospacing="0" w:line="360" w:lineRule="auto"/>
        <w:jc w:val="both"/>
        <w:rPr>
          <w:rFonts w:asciiTheme="minorHAnsi" w:hAnsiTheme="minorHAnsi" w:cstheme="minorHAnsi"/>
          <w:color w:val="0B0C0C"/>
          <w:sz w:val="28"/>
          <w:szCs w:val="28"/>
          <w:shd w:val="clear" w:color="auto" w:fill="FFFFFF"/>
        </w:rPr>
      </w:pPr>
      <w:r>
        <w:rPr>
          <w:rFonts w:asciiTheme="minorHAnsi" w:hAnsiTheme="minorHAnsi" w:cstheme="minorHAnsi"/>
          <w:color w:val="000000" w:themeColor="text1"/>
          <w:sz w:val="28"/>
          <w:szCs w:val="28"/>
        </w:rPr>
        <w:t xml:space="preserve">In England, the Government has introduced a policy in which schools and teachers must be educated about children’s online safety. The policy states that </w:t>
      </w:r>
      <w:r>
        <w:rPr>
          <w:rFonts w:asciiTheme="minorHAnsi" w:hAnsiTheme="minorHAnsi" w:cstheme="minorHAnsi"/>
          <w:color w:val="000000" w:themeColor="text1"/>
          <w:sz w:val="28"/>
          <w:szCs w:val="28"/>
        </w:rPr>
        <w:lastRenderedPageBreak/>
        <w:t>as well as teaching pupils about relationships, sex and health, ‘pupils are taught about online safety and harms’ and ‘</w:t>
      </w:r>
      <w:r>
        <w:rPr>
          <w:rFonts w:asciiTheme="minorHAnsi" w:hAnsiTheme="minorHAnsi" w:cstheme="minorHAnsi"/>
          <w:color w:val="0B0C0C"/>
          <w:sz w:val="28"/>
          <w:szCs w:val="28"/>
          <w:shd w:val="clear" w:color="auto" w:fill="FFFFFF"/>
        </w:rPr>
        <w:t xml:space="preserve">teachers </w:t>
      </w:r>
      <w:r w:rsidRPr="00AD1D4B">
        <w:rPr>
          <w:rFonts w:asciiTheme="minorHAnsi" w:hAnsiTheme="minorHAnsi" w:cstheme="minorHAnsi"/>
          <w:color w:val="0B0C0C"/>
          <w:sz w:val="28"/>
          <w:szCs w:val="28"/>
          <w:shd w:val="clear" w:color="auto" w:fill="FFFFFF"/>
        </w:rPr>
        <w:t>will address online safety and appropriate behaviour in an age-appropriate way that is relevant to their pupils’ lives.</w:t>
      </w:r>
      <w:r>
        <w:rPr>
          <w:rFonts w:asciiTheme="minorHAnsi" w:hAnsiTheme="minorHAnsi" w:cstheme="minorHAnsi"/>
          <w:color w:val="0B0C0C"/>
          <w:sz w:val="28"/>
          <w:szCs w:val="28"/>
          <w:shd w:val="clear" w:color="auto" w:fill="FFFFFF"/>
        </w:rPr>
        <w:t xml:space="preserve">’ (Gov.UK, 2023). </w:t>
      </w:r>
    </w:p>
    <w:p w14:paraId="5632E05F"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B0C0C"/>
          <w:sz w:val="28"/>
          <w:szCs w:val="28"/>
          <w:shd w:val="clear" w:color="auto" w:fill="FFFFFF"/>
        </w:rPr>
      </w:pPr>
    </w:p>
    <w:p w14:paraId="5733A49B" w14:textId="0DA42D55" w:rsidR="00AD1D4B" w:rsidRDefault="00AD1D4B" w:rsidP="00AD1D4B">
      <w:pPr>
        <w:pStyle w:val="NormalWeb"/>
        <w:spacing w:before="0" w:beforeAutospacing="0" w:after="0" w:afterAutospacing="0" w:line="360" w:lineRule="auto"/>
        <w:jc w:val="both"/>
        <w:rPr>
          <w:rFonts w:asciiTheme="minorHAnsi" w:hAnsiTheme="minorHAnsi" w:cstheme="minorHAnsi"/>
          <w:color w:val="0B0C0C"/>
          <w:sz w:val="28"/>
          <w:szCs w:val="28"/>
          <w:shd w:val="clear" w:color="auto" w:fill="FFFFFF"/>
        </w:rPr>
      </w:pPr>
      <w:r>
        <w:rPr>
          <w:rFonts w:asciiTheme="minorHAnsi" w:hAnsiTheme="minorHAnsi" w:cstheme="minorHAnsi"/>
          <w:color w:val="0B0C0C"/>
          <w:sz w:val="28"/>
          <w:szCs w:val="28"/>
          <w:shd w:val="clear" w:color="auto" w:fill="FFFFFF"/>
        </w:rPr>
        <w:t xml:space="preserve">To conclude, </w:t>
      </w:r>
      <w:proofErr w:type="gramStart"/>
      <w:r>
        <w:rPr>
          <w:rFonts w:asciiTheme="minorHAnsi" w:hAnsiTheme="minorHAnsi" w:cstheme="minorHAnsi"/>
          <w:color w:val="0B0C0C"/>
          <w:sz w:val="28"/>
          <w:szCs w:val="28"/>
          <w:shd w:val="clear" w:color="auto" w:fill="FFFFFF"/>
        </w:rPr>
        <w:t>it is clear that there</w:t>
      </w:r>
      <w:proofErr w:type="gramEnd"/>
      <w:r>
        <w:rPr>
          <w:rFonts w:asciiTheme="minorHAnsi" w:hAnsiTheme="minorHAnsi" w:cstheme="minorHAnsi"/>
          <w:color w:val="0B0C0C"/>
          <w:sz w:val="28"/>
          <w:szCs w:val="28"/>
          <w:shd w:val="clear" w:color="auto" w:fill="FFFFFF"/>
        </w:rPr>
        <w:t xml:space="preserve"> are both benefits and limitations to the multi-agency system used within the safeguarding policy in Wales. While it is beneficial that information can be shared with the appropriate parties easily, the policies which place restrictions on other agencies are a clear limitation. Another limitation to the multi-agency approach is that a referral will take longer to process as it will need to be read and assessed by all the agencies involved. As well as this, funding cuts mean that people are having to take on more responsibilities at work and therefore might not have the time to dedicate fully to the safeguarding issue they have been referred. </w:t>
      </w:r>
    </w:p>
    <w:p w14:paraId="37E79BEE"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B0C0C"/>
          <w:sz w:val="28"/>
          <w:szCs w:val="28"/>
          <w:shd w:val="clear" w:color="auto" w:fill="FFFFFF"/>
        </w:rPr>
      </w:pPr>
    </w:p>
    <w:p w14:paraId="3589CECD" w14:textId="32C5C672"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r>
        <w:rPr>
          <w:rFonts w:asciiTheme="minorHAnsi" w:hAnsiTheme="minorHAnsi" w:cstheme="minorHAnsi"/>
          <w:color w:val="0B0C0C"/>
          <w:sz w:val="28"/>
          <w:szCs w:val="28"/>
          <w:shd w:val="clear" w:color="auto" w:fill="FFFFFF"/>
        </w:rPr>
        <w:t xml:space="preserve">Despite this, </w:t>
      </w:r>
      <w:proofErr w:type="gramStart"/>
      <w:r>
        <w:rPr>
          <w:rFonts w:asciiTheme="minorHAnsi" w:hAnsiTheme="minorHAnsi" w:cstheme="minorHAnsi"/>
          <w:color w:val="0B0C0C"/>
          <w:sz w:val="28"/>
          <w:szCs w:val="28"/>
          <w:shd w:val="clear" w:color="auto" w:fill="FFFFFF"/>
        </w:rPr>
        <w:t>it is clear that since</w:t>
      </w:r>
      <w:proofErr w:type="gramEnd"/>
      <w:r>
        <w:rPr>
          <w:rFonts w:asciiTheme="minorHAnsi" w:hAnsiTheme="minorHAnsi" w:cstheme="minorHAnsi"/>
          <w:color w:val="0B0C0C"/>
          <w:sz w:val="28"/>
          <w:szCs w:val="28"/>
          <w:shd w:val="clear" w:color="auto" w:fill="FFFFFF"/>
        </w:rPr>
        <w:t xml:space="preserve"> the year 2000, the policies in place for assuring children and young people’s safety have drastically improved. The updated Children Act 2004 policy gives education and local authority professionals clear guidelines to follow to ensure the safety of children and young people in their area. Adequate and frequent training for professionals working with children is also important to ensure all guidelines are followed and it is vital that online safety be a crucial aspect of this training.</w:t>
      </w:r>
    </w:p>
    <w:p w14:paraId="47932984" w14:textId="77777777" w:rsidR="00AD1D4B" w:rsidRDefault="00AD1D4B" w:rsidP="00AD1D4B">
      <w:pPr>
        <w:pStyle w:val="NormalWeb"/>
        <w:spacing w:before="0" w:beforeAutospacing="0" w:after="0" w:afterAutospacing="0" w:line="360" w:lineRule="auto"/>
        <w:jc w:val="both"/>
        <w:rPr>
          <w:rFonts w:asciiTheme="minorHAnsi" w:hAnsiTheme="minorHAnsi" w:cstheme="minorHAnsi"/>
          <w:color w:val="000000" w:themeColor="text1"/>
          <w:sz w:val="28"/>
          <w:szCs w:val="28"/>
        </w:rPr>
      </w:pPr>
    </w:p>
    <w:p w14:paraId="397F6EA9" w14:textId="77777777" w:rsidR="00AD1D4B" w:rsidRDefault="00AD1D4B" w:rsidP="00AD1D4B">
      <w:pPr>
        <w:pStyle w:val="NormalWeb"/>
        <w:spacing w:before="0" w:beforeAutospacing="0" w:after="0" w:afterAutospacing="0" w:line="480" w:lineRule="atLeast"/>
        <w:jc w:val="center"/>
        <w:rPr>
          <w:rFonts w:asciiTheme="minorHAnsi" w:hAnsiTheme="minorHAnsi" w:cstheme="minorHAnsi"/>
          <w:color w:val="000000" w:themeColor="text1"/>
          <w:sz w:val="28"/>
          <w:szCs w:val="28"/>
        </w:rPr>
      </w:pPr>
    </w:p>
    <w:p w14:paraId="6BFCDC74" w14:textId="77777777" w:rsidR="00AD1D4B" w:rsidRPr="00AD1D4B" w:rsidRDefault="00AD1D4B" w:rsidP="00AD1D4B">
      <w:pPr>
        <w:pStyle w:val="NormalWeb"/>
        <w:spacing w:before="0" w:beforeAutospacing="0" w:after="0" w:afterAutospacing="0" w:line="480" w:lineRule="atLeast"/>
        <w:jc w:val="both"/>
        <w:rPr>
          <w:rFonts w:asciiTheme="minorHAnsi" w:hAnsiTheme="minorHAnsi" w:cstheme="minorHAnsi"/>
          <w:color w:val="000000" w:themeColor="text1"/>
          <w:sz w:val="28"/>
          <w:szCs w:val="28"/>
        </w:rPr>
      </w:pPr>
    </w:p>
    <w:p w14:paraId="589B1E22" w14:textId="77777777" w:rsidR="00AD1D4B" w:rsidRPr="00AD1D4B" w:rsidRDefault="00AD1D4B" w:rsidP="00AD1D4B">
      <w:pPr>
        <w:spacing w:line="360" w:lineRule="auto"/>
        <w:jc w:val="center"/>
        <w:rPr>
          <w:rFonts w:cstheme="minorHAnsi"/>
          <w:i/>
          <w:iCs/>
          <w:color w:val="000000" w:themeColor="text1"/>
          <w:sz w:val="28"/>
          <w:szCs w:val="28"/>
          <w:shd w:val="clear" w:color="auto" w:fill="FFFFFF"/>
        </w:rPr>
      </w:pPr>
    </w:p>
    <w:p w14:paraId="01C70E34" w14:textId="77777777" w:rsidR="00AD1D4B" w:rsidRDefault="00AD1D4B" w:rsidP="006F7710">
      <w:pPr>
        <w:spacing w:line="360" w:lineRule="auto"/>
        <w:jc w:val="both"/>
        <w:rPr>
          <w:rFonts w:cstheme="minorHAnsi"/>
          <w:color w:val="000000" w:themeColor="text1"/>
          <w:sz w:val="28"/>
          <w:szCs w:val="28"/>
          <w:shd w:val="clear" w:color="auto" w:fill="FFFFFF"/>
        </w:rPr>
      </w:pPr>
    </w:p>
    <w:p w14:paraId="43E61CEA" w14:textId="685AE318" w:rsidR="00AD1D4B" w:rsidRDefault="00AD1D4B" w:rsidP="006F7710">
      <w:pPr>
        <w:spacing w:line="360" w:lineRule="auto"/>
        <w:jc w:val="both"/>
        <w:rPr>
          <w:rFonts w:ascii="Calibri" w:hAnsi="Calibri" w:cs="Calibri"/>
          <w:sz w:val="28"/>
          <w:szCs w:val="28"/>
          <w:u w:val="single"/>
        </w:rPr>
      </w:pPr>
      <w:r w:rsidRPr="00AD1D4B">
        <w:rPr>
          <w:rFonts w:ascii="Calibri" w:hAnsi="Calibri" w:cs="Calibri"/>
          <w:sz w:val="28"/>
          <w:szCs w:val="28"/>
          <w:u w:val="single"/>
        </w:rPr>
        <w:lastRenderedPageBreak/>
        <w:t>References</w:t>
      </w:r>
    </w:p>
    <w:p w14:paraId="7F09D4A6" w14:textId="77777777" w:rsidR="00AD1D4B" w:rsidRDefault="00AD1D4B" w:rsidP="00AD1D4B">
      <w:pPr>
        <w:rPr>
          <w:rFonts w:ascii="Calibri" w:hAnsi="Calibri" w:cs="Calibri"/>
          <w:sz w:val="28"/>
          <w:szCs w:val="28"/>
          <w:u w:val="single"/>
        </w:rPr>
      </w:pPr>
    </w:p>
    <w:p w14:paraId="30A90B9F" w14:textId="63D8F6EA" w:rsidR="00AD1D4B" w:rsidRPr="00AD1D4B" w:rsidRDefault="00AD1D4B" w:rsidP="00AD1D4B">
      <w:pPr>
        <w:rPr>
          <w:rFonts w:ascii="Calibri" w:hAnsi="Calibri" w:cs="Calibri"/>
          <w:sz w:val="28"/>
          <w:szCs w:val="28"/>
        </w:rPr>
      </w:pPr>
      <w:r>
        <w:rPr>
          <w:rFonts w:ascii="Calibri" w:hAnsi="Calibri" w:cs="Calibri"/>
          <w:sz w:val="28"/>
          <w:szCs w:val="28"/>
        </w:rPr>
        <w:t>Central and Local Government (</w:t>
      </w:r>
      <w:proofErr w:type="spellStart"/>
      <w:r>
        <w:rPr>
          <w:rFonts w:ascii="Calibri" w:hAnsi="Calibri" w:cs="Calibri"/>
          <w:sz w:val="28"/>
          <w:szCs w:val="28"/>
        </w:rPr>
        <w:t>n.d</w:t>
      </w:r>
      <w:proofErr w:type="spellEnd"/>
      <w:r>
        <w:rPr>
          <w:rFonts w:ascii="Calibri" w:hAnsi="Calibri" w:cs="Calibri"/>
          <w:sz w:val="28"/>
          <w:szCs w:val="28"/>
        </w:rPr>
        <w:t xml:space="preserve">). What is </w:t>
      </w:r>
      <w:proofErr w:type="gramStart"/>
      <w:r>
        <w:rPr>
          <w:rFonts w:ascii="Calibri" w:hAnsi="Calibri" w:cs="Calibri"/>
          <w:sz w:val="28"/>
          <w:szCs w:val="28"/>
        </w:rPr>
        <w:t>Multi-Agency</w:t>
      </w:r>
      <w:proofErr w:type="gramEnd"/>
      <w:r>
        <w:rPr>
          <w:rFonts w:ascii="Calibri" w:hAnsi="Calibri" w:cs="Calibri"/>
          <w:sz w:val="28"/>
          <w:szCs w:val="28"/>
        </w:rPr>
        <w:t xml:space="preserve"> working? Coordinating Services for Children in Care. Available at </w:t>
      </w:r>
      <w:hyperlink r:id="rId7" w:anchor=":~:text=Good%20examples%20of%20multi%2Dagency,and%20young%20people%20they%20support" w:history="1">
        <w:r w:rsidRPr="0022005F">
          <w:rPr>
            <w:rStyle w:val="Hyperlink"/>
            <w:rFonts w:ascii="Calibri" w:hAnsi="Calibri" w:cs="Calibri"/>
            <w:sz w:val="28"/>
            <w:szCs w:val="28"/>
          </w:rPr>
          <w:t>https://blog.insidegovernment.co.uk/central-and-local-government/multi-agency-working-children-in-care#:~:text=Good%20examples%20of%20multi%2Dagency,and%20young%20people%20they%20support</w:t>
        </w:r>
      </w:hyperlink>
      <w:r w:rsidRPr="00AD1D4B">
        <w:rPr>
          <w:rFonts w:ascii="Calibri" w:hAnsi="Calibri" w:cs="Calibri"/>
          <w:sz w:val="28"/>
          <w:szCs w:val="28"/>
        </w:rPr>
        <w:t>.</w:t>
      </w:r>
      <w:r>
        <w:rPr>
          <w:rFonts w:ascii="Calibri" w:hAnsi="Calibri" w:cs="Calibri"/>
          <w:sz w:val="28"/>
          <w:szCs w:val="28"/>
        </w:rPr>
        <w:t xml:space="preserve"> (Accessed on 10</w:t>
      </w:r>
      <w:r w:rsidRPr="00AD1D4B">
        <w:rPr>
          <w:rFonts w:ascii="Calibri" w:hAnsi="Calibri" w:cs="Calibri"/>
          <w:sz w:val="28"/>
          <w:szCs w:val="28"/>
          <w:vertAlign w:val="superscript"/>
        </w:rPr>
        <w:t>th</w:t>
      </w:r>
      <w:r>
        <w:rPr>
          <w:rFonts w:ascii="Calibri" w:hAnsi="Calibri" w:cs="Calibri"/>
          <w:sz w:val="28"/>
          <w:szCs w:val="28"/>
        </w:rPr>
        <w:t xml:space="preserve"> April 2024).</w:t>
      </w:r>
    </w:p>
    <w:p w14:paraId="1C1DAE3D" w14:textId="77777777" w:rsidR="00AD1D4B" w:rsidRDefault="00AD1D4B" w:rsidP="006F7710">
      <w:pPr>
        <w:spacing w:line="360" w:lineRule="auto"/>
        <w:jc w:val="both"/>
        <w:rPr>
          <w:rFonts w:ascii="Calibri" w:hAnsi="Calibri" w:cs="Calibri"/>
          <w:sz w:val="28"/>
          <w:szCs w:val="28"/>
          <w:u w:val="single"/>
        </w:rPr>
      </w:pPr>
    </w:p>
    <w:p w14:paraId="03B7A96E" w14:textId="159A339D"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sidRPr="00AD1D4B">
        <w:rPr>
          <w:rFonts w:asciiTheme="minorHAnsi" w:hAnsiTheme="minorHAnsi" w:cstheme="minorHAnsi"/>
          <w:b w:val="0"/>
          <w:bCs w:val="0"/>
          <w:color w:val="000000" w:themeColor="text1"/>
          <w:sz w:val="28"/>
          <w:szCs w:val="28"/>
        </w:rPr>
        <w:t>Community Care (2007). What have we learned? Child death scandals since 1944</w:t>
      </w:r>
      <w:r>
        <w:rPr>
          <w:rFonts w:asciiTheme="minorHAnsi" w:hAnsiTheme="minorHAnsi" w:cstheme="minorHAnsi"/>
          <w:b w:val="0"/>
          <w:bCs w:val="0"/>
          <w:color w:val="000000" w:themeColor="text1"/>
          <w:sz w:val="28"/>
          <w:szCs w:val="28"/>
        </w:rPr>
        <w:t xml:space="preserve">. Available at </w:t>
      </w:r>
      <w:hyperlink r:id="rId8" w:history="1">
        <w:r w:rsidRPr="0022005F">
          <w:rPr>
            <w:rStyle w:val="Hyperlink"/>
            <w:rFonts w:asciiTheme="minorHAnsi" w:hAnsiTheme="minorHAnsi" w:cstheme="minorHAnsi"/>
            <w:b w:val="0"/>
            <w:bCs w:val="0"/>
            <w:sz w:val="28"/>
            <w:szCs w:val="28"/>
          </w:rPr>
          <w:t>https://www.communitycare.co.uk/2007/01/10/what-have-we-learned-child-death-scandals-since-1944/</w:t>
        </w:r>
      </w:hyperlink>
      <w:r>
        <w:rPr>
          <w:rFonts w:asciiTheme="minorHAnsi" w:hAnsiTheme="minorHAnsi" w:cstheme="minorHAnsi"/>
          <w:b w:val="0"/>
          <w:bCs w:val="0"/>
          <w:color w:val="000000" w:themeColor="text1"/>
          <w:sz w:val="28"/>
          <w:szCs w:val="28"/>
        </w:rPr>
        <w:t xml:space="preserve"> (Accessed on 10</w:t>
      </w:r>
      <w:r w:rsidRPr="00AD1D4B">
        <w:rPr>
          <w:rFonts w:asciiTheme="minorHAnsi" w:hAnsiTheme="minorHAnsi" w:cstheme="minorHAnsi"/>
          <w:b w:val="0"/>
          <w:bCs w:val="0"/>
          <w:color w:val="000000" w:themeColor="text1"/>
          <w:sz w:val="28"/>
          <w:szCs w:val="28"/>
          <w:vertAlign w:val="superscript"/>
        </w:rPr>
        <w:t>th</w:t>
      </w:r>
      <w:r>
        <w:rPr>
          <w:rFonts w:asciiTheme="minorHAnsi" w:hAnsiTheme="minorHAnsi" w:cstheme="minorHAnsi"/>
          <w:b w:val="0"/>
          <w:bCs w:val="0"/>
          <w:color w:val="000000" w:themeColor="text1"/>
          <w:sz w:val="28"/>
          <w:szCs w:val="28"/>
        </w:rPr>
        <w:t xml:space="preserve"> April 2024).</w:t>
      </w:r>
    </w:p>
    <w:p w14:paraId="08F960F8"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290B2F1D" w14:textId="51105953"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 xml:space="preserve">Gov.UK (2023). Teaching online safety in schools. Available at </w:t>
      </w:r>
      <w:hyperlink r:id="rId9" w:history="1">
        <w:r w:rsidRPr="0022005F">
          <w:rPr>
            <w:rStyle w:val="Hyperlink"/>
            <w:rFonts w:asciiTheme="minorHAnsi" w:hAnsiTheme="minorHAnsi" w:cstheme="minorHAnsi"/>
            <w:b w:val="0"/>
            <w:bCs w:val="0"/>
            <w:sz w:val="28"/>
            <w:szCs w:val="28"/>
          </w:rPr>
          <w:t>https://www.gov.uk/government/publications/teaching-online-safety-in-schools/teaching-online-safety-in-schools</w:t>
        </w:r>
      </w:hyperlink>
      <w:r>
        <w:rPr>
          <w:rFonts w:asciiTheme="minorHAnsi" w:hAnsiTheme="minorHAnsi" w:cstheme="minorHAnsi"/>
          <w:b w:val="0"/>
          <w:bCs w:val="0"/>
          <w:color w:val="000000" w:themeColor="text1"/>
          <w:sz w:val="28"/>
          <w:szCs w:val="28"/>
        </w:rPr>
        <w:t xml:space="preserve"> (Accessed on 20th April 2024).</w:t>
      </w:r>
    </w:p>
    <w:p w14:paraId="765954BD"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26C8AAEE" w14:textId="02CD5929"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 xml:space="preserve">Gov.UK (2024). Mobile phones in schools: are they being banned? Available at </w:t>
      </w:r>
      <w:hyperlink r:id="rId10" w:history="1">
        <w:r w:rsidRPr="0022005F">
          <w:rPr>
            <w:rStyle w:val="Hyperlink"/>
            <w:rFonts w:asciiTheme="minorHAnsi" w:hAnsiTheme="minorHAnsi" w:cstheme="minorHAnsi"/>
            <w:b w:val="0"/>
            <w:bCs w:val="0"/>
            <w:sz w:val="28"/>
            <w:szCs w:val="28"/>
          </w:rPr>
          <w:t>https://educationhub.blog.gov.uk/2024/02/19/mobile-phones-in-schools-are-they-being-banned/</w:t>
        </w:r>
      </w:hyperlink>
      <w:r>
        <w:rPr>
          <w:rFonts w:asciiTheme="minorHAnsi" w:hAnsiTheme="minorHAnsi" w:cstheme="minorHAnsi"/>
          <w:b w:val="0"/>
          <w:bCs w:val="0"/>
          <w:color w:val="000000" w:themeColor="text1"/>
          <w:sz w:val="28"/>
          <w:szCs w:val="28"/>
        </w:rPr>
        <w:t xml:space="preserve"> (Accessed on 15</w:t>
      </w:r>
      <w:r w:rsidRPr="00AD1D4B">
        <w:rPr>
          <w:rFonts w:asciiTheme="minorHAnsi" w:hAnsiTheme="minorHAnsi" w:cstheme="minorHAnsi"/>
          <w:b w:val="0"/>
          <w:bCs w:val="0"/>
          <w:color w:val="000000" w:themeColor="text1"/>
          <w:sz w:val="28"/>
          <w:szCs w:val="28"/>
          <w:vertAlign w:val="superscript"/>
        </w:rPr>
        <w:t>th</w:t>
      </w:r>
      <w:r>
        <w:rPr>
          <w:rFonts w:asciiTheme="minorHAnsi" w:hAnsiTheme="minorHAnsi" w:cstheme="minorHAnsi"/>
          <w:b w:val="0"/>
          <w:bCs w:val="0"/>
          <w:color w:val="000000" w:themeColor="text1"/>
          <w:sz w:val="28"/>
          <w:szCs w:val="28"/>
        </w:rPr>
        <w:t xml:space="preserve"> April 2024).</w:t>
      </w:r>
    </w:p>
    <w:p w14:paraId="24A94DE8"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5A38AC14" w14:textId="776CD160"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Hampshire County Council (</w:t>
      </w:r>
      <w:proofErr w:type="spellStart"/>
      <w:r>
        <w:rPr>
          <w:rFonts w:asciiTheme="minorHAnsi" w:hAnsiTheme="minorHAnsi" w:cstheme="minorHAnsi"/>
          <w:b w:val="0"/>
          <w:bCs w:val="0"/>
          <w:color w:val="000000" w:themeColor="text1"/>
          <w:sz w:val="28"/>
          <w:szCs w:val="28"/>
        </w:rPr>
        <w:t>n.d</w:t>
      </w:r>
      <w:proofErr w:type="spellEnd"/>
      <w:r>
        <w:rPr>
          <w:rFonts w:asciiTheme="minorHAnsi" w:hAnsiTheme="minorHAnsi" w:cstheme="minorHAnsi"/>
          <w:b w:val="0"/>
          <w:bCs w:val="0"/>
          <w:color w:val="000000" w:themeColor="text1"/>
          <w:sz w:val="28"/>
          <w:szCs w:val="28"/>
        </w:rPr>
        <w:t xml:space="preserve">). Multi-Agency Safeguarding Hub. Available at </w:t>
      </w:r>
      <w:hyperlink r:id="rId11" w:history="1">
        <w:r w:rsidRPr="0022005F">
          <w:rPr>
            <w:rStyle w:val="Hyperlink"/>
            <w:rFonts w:asciiTheme="minorHAnsi" w:hAnsiTheme="minorHAnsi" w:cstheme="minorHAnsi"/>
            <w:b w:val="0"/>
            <w:bCs w:val="0"/>
            <w:sz w:val="28"/>
            <w:szCs w:val="28"/>
          </w:rPr>
          <w:t>https://www.hants.gov.uk/socialcareandhealth/childrenandfamilies/safeguardingchildren/childprotection/mash</w:t>
        </w:r>
      </w:hyperlink>
      <w:r>
        <w:rPr>
          <w:rFonts w:asciiTheme="minorHAnsi" w:hAnsiTheme="minorHAnsi" w:cstheme="minorHAnsi"/>
          <w:b w:val="0"/>
          <w:bCs w:val="0"/>
          <w:color w:val="000000" w:themeColor="text1"/>
          <w:sz w:val="28"/>
          <w:szCs w:val="28"/>
        </w:rPr>
        <w:t xml:space="preserve"> (Accessed on 10th April 2024).</w:t>
      </w:r>
    </w:p>
    <w:p w14:paraId="6CB54764"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44FA9800" w14:textId="30E17726"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roofErr w:type="spellStart"/>
      <w:r>
        <w:rPr>
          <w:rFonts w:asciiTheme="minorHAnsi" w:hAnsiTheme="minorHAnsi" w:cstheme="minorHAnsi"/>
          <w:b w:val="0"/>
          <w:bCs w:val="0"/>
          <w:color w:val="000000" w:themeColor="text1"/>
          <w:sz w:val="28"/>
          <w:szCs w:val="28"/>
        </w:rPr>
        <w:t>Llywodraeth</w:t>
      </w:r>
      <w:proofErr w:type="spellEnd"/>
      <w:r>
        <w:rPr>
          <w:rFonts w:asciiTheme="minorHAnsi" w:hAnsiTheme="minorHAnsi" w:cstheme="minorHAnsi"/>
          <w:b w:val="0"/>
          <w:bCs w:val="0"/>
          <w:color w:val="000000" w:themeColor="text1"/>
          <w:sz w:val="28"/>
          <w:szCs w:val="28"/>
        </w:rPr>
        <w:t xml:space="preserve"> Cymru (2022). Social Services and Well-being (Wales) Act 2014. Available at </w:t>
      </w:r>
      <w:hyperlink r:id="rId12" w:history="1">
        <w:r w:rsidRPr="0022005F">
          <w:rPr>
            <w:rStyle w:val="Hyperlink"/>
            <w:rFonts w:asciiTheme="minorHAnsi" w:hAnsiTheme="minorHAnsi" w:cstheme="minorHAnsi"/>
            <w:b w:val="0"/>
            <w:bCs w:val="0"/>
            <w:sz w:val="28"/>
            <w:szCs w:val="28"/>
          </w:rPr>
          <w:t>https://www.gov.wales/sites/default/files/publications/2022-01/working-together-to-safeguard-people--code-of-safeguarding-practice_0.pdf</w:t>
        </w:r>
      </w:hyperlink>
      <w:r>
        <w:rPr>
          <w:rFonts w:asciiTheme="minorHAnsi" w:hAnsiTheme="minorHAnsi" w:cstheme="minorHAnsi"/>
          <w:b w:val="0"/>
          <w:bCs w:val="0"/>
          <w:color w:val="000000" w:themeColor="text1"/>
          <w:sz w:val="28"/>
          <w:szCs w:val="28"/>
        </w:rPr>
        <w:t xml:space="preserve"> (Accessed on 10th April 2024).</w:t>
      </w:r>
    </w:p>
    <w:p w14:paraId="1800C294" w14:textId="77777777" w:rsidR="00BD0705" w:rsidRDefault="00BD0705" w:rsidP="00BD0705">
      <w:pPr>
        <w:pStyle w:val="Heading1"/>
        <w:spacing w:before="0" w:beforeAutospacing="0" w:after="150" w:afterAutospacing="0"/>
        <w:rPr>
          <w:rFonts w:asciiTheme="minorHAnsi" w:hAnsiTheme="minorHAnsi" w:cstheme="minorHAnsi"/>
          <w:b w:val="0"/>
          <w:bCs w:val="0"/>
          <w:color w:val="000000" w:themeColor="text1"/>
          <w:sz w:val="28"/>
          <w:szCs w:val="28"/>
        </w:rPr>
      </w:pPr>
    </w:p>
    <w:p w14:paraId="4D27CF57" w14:textId="3706B955" w:rsidR="00BD0705" w:rsidRPr="00BD0705" w:rsidRDefault="00BD0705" w:rsidP="00BD0705">
      <w:pPr>
        <w:pStyle w:val="Heading1"/>
        <w:spacing w:before="0" w:beforeAutospacing="0" w:after="150" w:afterAutospacing="0"/>
        <w:rPr>
          <w:rFonts w:ascii="Roboto" w:hAnsi="Roboto"/>
          <w:b w:val="0"/>
          <w:bCs w:val="0"/>
          <w:color w:val="000000" w:themeColor="text1"/>
          <w:sz w:val="57"/>
          <w:szCs w:val="57"/>
        </w:rPr>
      </w:pPr>
      <w:r w:rsidRPr="00BD0705">
        <w:rPr>
          <w:rFonts w:asciiTheme="minorHAnsi" w:hAnsiTheme="minorHAnsi" w:cstheme="minorHAnsi"/>
          <w:b w:val="0"/>
          <w:bCs w:val="0"/>
          <w:color w:val="000000" w:themeColor="text1"/>
          <w:sz w:val="28"/>
          <w:szCs w:val="28"/>
        </w:rPr>
        <w:t xml:space="preserve">Martin &amp; Helms Injury Attorneys (2023). Survey Reveals the Threat of </w:t>
      </w:r>
      <w:proofErr w:type="gramStart"/>
      <w:r w:rsidRPr="00BD0705">
        <w:rPr>
          <w:rFonts w:asciiTheme="minorHAnsi" w:hAnsiTheme="minorHAnsi" w:cstheme="minorHAnsi"/>
          <w:b w:val="0"/>
          <w:bCs w:val="0"/>
          <w:color w:val="000000" w:themeColor="text1"/>
          <w:sz w:val="28"/>
          <w:szCs w:val="28"/>
        </w:rPr>
        <w:t>Social Media</w:t>
      </w:r>
      <w:proofErr w:type="gramEnd"/>
      <w:r w:rsidRPr="00BD0705">
        <w:rPr>
          <w:rFonts w:asciiTheme="minorHAnsi" w:hAnsiTheme="minorHAnsi" w:cstheme="minorHAnsi"/>
          <w:b w:val="0"/>
          <w:bCs w:val="0"/>
          <w:color w:val="000000" w:themeColor="text1"/>
          <w:sz w:val="28"/>
          <w:szCs w:val="28"/>
        </w:rPr>
        <w:t xml:space="preserve"> to Children</w:t>
      </w:r>
      <w:r>
        <w:rPr>
          <w:rFonts w:asciiTheme="minorHAnsi" w:hAnsiTheme="minorHAnsi" w:cstheme="minorHAnsi"/>
          <w:b w:val="0"/>
          <w:bCs w:val="0"/>
          <w:color w:val="000000" w:themeColor="text1"/>
          <w:sz w:val="28"/>
          <w:szCs w:val="28"/>
        </w:rPr>
        <w:t xml:space="preserve">. Available at </w:t>
      </w:r>
      <w:hyperlink r:id="rId13" w:anchor=":~:text=Children%20also%20lie%20on%20social,their%20age%20on%20social%20media" w:history="1">
        <w:r w:rsidRPr="0022005F">
          <w:rPr>
            <w:rStyle w:val="Hyperlink"/>
            <w:rFonts w:asciiTheme="minorHAnsi" w:hAnsiTheme="minorHAnsi" w:cstheme="minorHAnsi"/>
            <w:b w:val="0"/>
            <w:bCs w:val="0"/>
            <w:sz w:val="28"/>
            <w:szCs w:val="28"/>
          </w:rPr>
          <w:t>https://martinhelms.com/blog/survey-reveals-the-threat-of-social-media-to-children/#:~:text=Children%20also%20lie%20on%20social,their%20age%20on%20social%20media</w:t>
        </w:r>
      </w:hyperlink>
      <w:r w:rsidRPr="00BD0705">
        <w:rPr>
          <w:rFonts w:asciiTheme="minorHAnsi" w:hAnsiTheme="minorHAnsi" w:cstheme="minorHAnsi"/>
          <w:b w:val="0"/>
          <w:bCs w:val="0"/>
          <w:color w:val="000000" w:themeColor="text1"/>
          <w:sz w:val="28"/>
          <w:szCs w:val="28"/>
        </w:rPr>
        <w:t>.</w:t>
      </w:r>
      <w:r>
        <w:rPr>
          <w:rFonts w:asciiTheme="minorHAnsi" w:hAnsiTheme="minorHAnsi" w:cstheme="minorHAnsi"/>
          <w:b w:val="0"/>
          <w:bCs w:val="0"/>
          <w:color w:val="000000" w:themeColor="text1"/>
          <w:sz w:val="28"/>
          <w:szCs w:val="28"/>
        </w:rPr>
        <w:t xml:space="preserve"> (Accessed on 15</w:t>
      </w:r>
      <w:r w:rsidRPr="00BD0705">
        <w:rPr>
          <w:rFonts w:asciiTheme="minorHAnsi" w:hAnsiTheme="minorHAnsi" w:cstheme="minorHAnsi"/>
          <w:b w:val="0"/>
          <w:bCs w:val="0"/>
          <w:color w:val="000000" w:themeColor="text1"/>
          <w:sz w:val="28"/>
          <w:szCs w:val="28"/>
          <w:vertAlign w:val="superscript"/>
        </w:rPr>
        <w:t>th</w:t>
      </w:r>
      <w:r>
        <w:rPr>
          <w:rFonts w:asciiTheme="minorHAnsi" w:hAnsiTheme="minorHAnsi" w:cstheme="minorHAnsi"/>
          <w:b w:val="0"/>
          <w:bCs w:val="0"/>
          <w:color w:val="000000" w:themeColor="text1"/>
          <w:sz w:val="28"/>
          <w:szCs w:val="28"/>
        </w:rPr>
        <w:t xml:space="preserve"> April 2024).</w:t>
      </w:r>
    </w:p>
    <w:p w14:paraId="3D93AC38" w14:textId="1B49C19C"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lastRenderedPageBreak/>
        <w:t>NSPCC (</w:t>
      </w:r>
      <w:proofErr w:type="spellStart"/>
      <w:r>
        <w:rPr>
          <w:rFonts w:asciiTheme="minorHAnsi" w:hAnsiTheme="minorHAnsi" w:cstheme="minorHAnsi"/>
          <w:b w:val="0"/>
          <w:bCs w:val="0"/>
          <w:color w:val="000000" w:themeColor="text1"/>
          <w:sz w:val="28"/>
          <w:szCs w:val="28"/>
        </w:rPr>
        <w:t>n.d</w:t>
      </w:r>
      <w:proofErr w:type="spellEnd"/>
      <w:r>
        <w:rPr>
          <w:rFonts w:asciiTheme="minorHAnsi" w:hAnsiTheme="minorHAnsi" w:cstheme="minorHAnsi"/>
          <w:b w:val="0"/>
          <w:bCs w:val="0"/>
          <w:color w:val="000000" w:themeColor="text1"/>
          <w:sz w:val="28"/>
          <w:szCs w:val="28"/>
        </w:rPr>
        <w:t xml:space="preserve">). Social Media. Available at </w:t>
      </w:r>
      <w:hyperlink r:id="rId14" w:history="1">
        <w:r w:rsidRPr="0022005F">
          <w:rPr>
            <w:rStyle w:val="Hyperlink"/>
            <w:rFonts w:asciiTheme="minorHAnsi" w:hAnsiTheme="minorHAnsi" w:cstheme="minorHAnsi"/>
            <w:b w:val="0"/>
            <w:bCs w:val="0"/>
            <w:sz w:val="28"/>
            <w:szCs w:val="28"/>
          </w:rPr>
          <w:t>https://www.nspcc.org.uk/keeping-children-safe/online-safety/social-media/</w:t>
        </w:r>
      </w:hyperlink>
      <w:r>
        <w:rPr>
          <w:rFonts w:asciiTheme="minorHAnsi" w:hAnsiTheme="minorHAnsi" w:cstheme="minorHAnsi"/>
          <w:b w:val="0"/>
          <w:bCs w:val="0"/>
          <w:color w:val="000000" w:themeColor="text1"/>
          <w:sz w:val="28"/>
          <w:szCs w:val="28"/>
        </w:rPr>
        <w:t xml:space="preserve"> (Accessed on 15</w:t>
      </w:r>
      <w:r w:rsidRPr="00AD1D4B">
        <w:rPr>
          <w:rFonts w:asciiTheme="minorHAnsi" w:hAnsiTheme="minorHAnsi" w:cstheme="minorHAnsi"/>
          <w:b w:val="0"/>
          <w:bCs w:val="0"/>
          <w:color w:val="000000" w:themeColor="text1"/>
          <w:sz w:val="28"/>
          <w:szCs w:val="28"/>
          <w:vertAlign w:val="superscript"/>
        </w:rPr>
        <w:t>th</w:t>
      </w:r>
      <w:r>
        <w:rPr>
          <w:rFonts w:asciiTheme="minorHAnsi" w:hAnsiTheme="minorHAnsi" w:cstheme="minorHAnsi"/>
          <w:b w:val="0"/>
          <w:bCs w:val="0"/>
          <w:color w:val="000000" w:themeColor="text1"/>
          <w:sz w:val="28"/>
          <w:szCs w:val="28"/>
        </w:rPr>
        <w:t xml:space="preserve"> April 2024).</w:t>
      </w:r>
    </w:p>
    <w:p w14:paraId="0BF4412B"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7F7D7CC8" w14:textId="2F40CE8F"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NSPCC Learning (</w:t>
      </w:r>
      <w:proofErr w:type="spellStart"/>
      <w:r>
        <w:rPr>
          <w:rFonts w:asciiTheme="minorHAnsi" w:hAnsiTheme="minorHAnsi" w:cstheme="minorHAnsi"/>
          <w:b w:val="0"/>
          <w:bCs w:val="0"/>
          <w:color w:val="000000" w:themeColor="text1"/>
          <w:sz w:val="28"/>
          <w:szCs w:val="28"/>
        </w:rPr>
        <w:t>n.d</w:t>
      </w:r>
      <w:proofErr w:type="spellEnd"/>
      <w:r>
        <w:rPr>
          <w:rFonts w:asciiTheme="minorHAnsi" w:hAnsiTheme="minorHAnsi" w:cstheme="minorHAnsi"/>
          <w:b w:val="0"/>
          <w:bCs w:val="0"/>
          <w:color w:val="000000" w:themeColor="text1"/>
          <w:sz w:val="28"/>
          <w:szCs w:val="28"/>
        </w:rPr>
        <w:t xml:space="preserve">). Covid:19 safeguarding and child protection. Available at </w:t>
      </w:r>
      <w:hyperlink r:id="rId15" w:history="1">
        <w:r w:rsidRPr="0022005F">
          <w:rPr>
            <w:rStyle w:val="Hyperlink"/>
            <w:rFonts w:asciiTheme="minorHAnsi" w:hAnsiTheme="minorHAnsi" w:cstheme="minorHAnsi"/>
            <w:b w:val="0"/>
            <w:bCs w:val="0"/>
            <w:sz w:val="28"/>
            <w:szCs w:val="28"/>
          </w:rPr>
          <w:t>https://learning.nspcc.org.uk/safeguarding-child-protection/covid-pandemic</w:t>
        </w:r>
      </w:hyperlink>
      <w:r>
        <w:rPr>
          <w:rFonts w:asciiTheme="minorHAnsi" w:hAnsiTheme="minorHAnsi" w:cstheme="minorHAnsi"/>
          <w:b w:val="0"/>
          <w:bCs w:val="0"/>
          <w:color w:val="000000" w:themeColor="text1"/>
          <w:sz w:val="28"/>
          <w:szCs w:val="28"/>
        </w:rPr>
        <w:t xml:space="preserve"> (Accessed on 15th April 2024). </w:t>
      </w:r>
    </w:p>
    <w:p w14:paraId="32FAC372" w14:textId="7777777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22CE824C" w14:textId="3587BA17" w:rsid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 xml:space="preserve">NSPCC Learning (2024). Online safety and schools. Available at </w:t>
      </w:r>
      <w:hyperlink r:id="rId16" w:history="1">
        <w:r w:rsidRPr="0022005F">
          <w:rPr>
            <w:rStyle w:val="Hyperlink"/>
            <w:rFonts w:asciiTheme="minorHAnsi" w:hAnsiTheme="minorHAnsi" w:cstheme="minorHAnsi"/>
            <w:b w:val="0"/>
            <w:bCs w:val="0"/>
            <w:sz w:val="28"/>
            <w:szCs w:val="28"/>
          </w:rPr>
          <w:t>https://learning.nspcc.org.uk/online-safety/online-safety-for-schools</w:t>
        </w:r>
      </w:hyperlink>
      <w:r>
        <w:rPr>
          <w:rFonts w:asciiTheme="minorHAnsi" w:hAnsiTheme="minorHAnsi" w:cstheme="minorHAnsi"/>
          <w:b w:val="0"/>
          <w:bCs w:val="0"/>
          <w:color w:val="000000" w:themeColor="text1"/>
          <w:sz w:val="28"/>
          <w:szCs w:val="28"/>
        </w:rPr>
        <w:t xml:space="preserve"> (Accessed on 15th April 2024).</w:t>
      </w:r>
    </w:p>
    <w:p w14:paraId="7B6D2AA5" w14:textId="77777777" w:rsidR="00BD0705" w:rsidRDefault="00BD0705"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p>
    <w:p w14:paraId="4F5AF7E2" w14:textId="484E35A7" w:rsidR="00AD1D4B" w:rsidRPr="00AD1D4B" w:rsidRDefault="00AD1D4B" w:rsidP="00AD1D4B">
      <w:pPr>
        <w:pStyle w:val="Heading1"/>
        <w:shd w:val="clear" w:color="auto" w:fill="FFFFFF"/>
        <w:spacing w:before="0" w:beforeAutospacing="0" w:after="150" w:afterAutospacing="0"/>
        <w:textAlignment w:val="baseline"/>
        <w:rPr>
          <w:rFonts w:asciiTheme="minorHAnsi" w:hAnsiTheme="minorHAnsi" w:cstheme="minorHAnsi"/>
          <w:b w:val="0"/>
          <w:bCs w:val="0"/>
          <w:color w:val="000000" w:themeColor="text1"/>
          <w:sz w:val="28"/>
          <w:szCs w:val="28"/>
        </w:rPr>
      </w:pPr>
      <w:r>
        <w:rPr>
          <w:rFonts w:asciiTheme="minorHAnsi" w:hAnsiTheme="minorHAnsi" w:cstheme="minorHAnsi"/>
          <w:b w:val="0"/>
          <w:bCs w:val="0"/>
          <w:color w:val="000000" w:themeColor="text1"/>
          <w:sz w:val="28"/>
          <w:szCs w:val="28"/>
        </w:rPr>
        <w:t xml:space="preserve">Office for National Statistics (2020). Online Bullying in England and Wales: year ending March 2020. Available at </w:t>
      </w:r>
      <w:hyperlink r:id="rId17" w:anchor=":~:text=As%20some%20children%20experienced%20multiple,experienced%20an%20online%20bullying%20behaviour" w:history="1">
        <w:r w:rsidRPr="0022005F">
          <w:rPr>
            <w:rStyle w:val="Hyperlink"/>
            <w:rFonts w:asciiTheme="minorHAnsi" w:hAnsiTheme="minorHAnsi" w:cstheme="minorHAnsi"/>
            <w:b w:val="0"/>
            <w:bCs w:val="0"/>
            <w:sz w:val="28"/>
            <w:szCs w:val="28"/>
          </w:rPr>
          <w:t>https://www.ons.gov.uk/peoplepopulationandcommunity/crimeandjustice/bulletins/onlinebullyinginenglandandwales/yearendingmarch2020#:~:text=As%20some%20children%20experienced%20multiple,experienced%20an%20online%20bullying%20behaviour</w:t>
        </w:r>
      </w:hyperlink>
      <w:r w:rsidRPr="00AD1D4B">
        <w:rPr>
          <w:rFonts w:asciiTheme="minorHAnsi" w:hAnsiTheme="minorHAnsi" w:cstheme="minorHAnsi"/>
          <w:b w:val="0"/>
          <w:bCs w:val="0"/>
          <w:color w:val="000000" w:themeColor="text1"/>
          <w:sz w:val="28"/>
          <w:szCs w:val="28"/>
        </w:rPr>
        <w:t>.</w:t>
      </w:r>
      <w:r>
        <w:rPr>
          <w:rFonts w:asciiTheme="minorHAnsi" w:hAnsiTheme="minorHAnsi" w:cstheme="minorHAnsi"/>
          <w:b w:val="0"/>
          <w:bCs w:val="0"/>
          <w:color w:val="000000" w:themeColor="text1"/>
          <w:sz w:val="28"/>
          <w:szCs w:val="28"/>
        </w:rPr>
        <w:t xml:space="preserve"> (Accessed on 15</w:t>
      </w:r>
      <w:r w:rsidRPr="00AD1D4B">
        <w:rPr>
          <w:rFonts w:asciiTheme="minorHAnsi" w:hAnsiTheme="minorHAnsi" w:cstheme="minorHAnsi"/>
          <w:b w:val="0"/>
          <w:bCs w:val="0"/>
          <w:color w:val="000000" w:themeColor="text1"/>
          <w:sz w:val="28"/>
          <w:szCs w:val="28"/>
          <w:vertAlign w:val="superscript"/>
        </w:rPr>
        <w:t>th</w:t>
      </w:r>
      <w:r>
        <w:rPr>
          <w:rFonts w:asciiTheme="minorHAnsi" w:hAnsiTheme="minorHAnsi" w:cstheme="minorHAnsi"/>
          <w:b w:val="0"/>
          <w:bCs w:val="0"/>
          <w:color w:val="000000" w:themeColor="text1"/>
          <w:sz w:val="28"/>
          <w:szCs w:val="28"/>
        </w:rPr>
        <w:t xml:space="preserve"> April 2024).</w:t>
      </w:r>
    </w:p>
    <w:p w14:paraId="37EBA526" w14:textId="77777777" w:rsidR="00AD1D4B" w:rsidRPr="00AD1D4B" w:rsidRDefault="00AD1D4B" w:rsidP="00AD1D4B">
      <w:pPr>
        <w:rPr>
          <w:rFonts w:ascii="Times New Roman" w:eastAsia="Times New Roman" w:hAnsi="Times New Roman" w:cs="Times New Roman"/>
          <w:kern w:val="0"/>
          <w:lang w:eastAsia="en-GB"/>
          <w14:ligatures w14:val="none"/>
        </w:rPr>
      </w:pPr>
    </w:p>
    <w:p w14:paraId="3EBD23E3" w14:textId="7D473C05" w:rsidR="00AD1D4B" w:rsidRDefault="00AD1D4B" w:rsidP="00AD1D4B">
      <w:pPr>
        <w:rPr>
          <w:rFonts w:ascii="Calibri" w:hAnsi="Calibri" w:cs="Calibri"/>
          <w:sz w:val="28"/>
          <w:szCs w:val="28"/>
        </w:rPr>
      </w:pPr>
      <w:r>
        <w:rPr>
          <w:rFonts w:ascii="Calibri" w:hAnsi="Calibri" w:cs="Calibri"/>
          <w:sz w:val="28"/>
          <w:szCs w:val="28"/>
        </w:rPr>
        <w:t>Oxfordshire County Council (</w:t>
      </w:r>
      <w:proofErr w:type="spellStart"/>
      <w:r>
        <w:rPr>
          <w:rFonts w:ascii="Calibri" w:hAnsi="Calibri" w:cs="Calibri"/>
          <w:sz w:val="28"/>
          <w:szCs w:val="28"/>
        </w:rPr>
        <w:t>n.d</w:t>
      </w:r>
      <w:proofErr w:type="spellEnd"/>
      <w:r>
        <w:rPr>
          <w:rFonts w:ascii="Calibri" w:hAnsi="Calibri" w:cs="Calibri"/>
          <w:sz w:val="28"/>
          <w:szCs w:val="28"/>
        </w:rPr>
        <w:t xml:space="preserve">). Multi-Agency Safeguarding Hub (MASH). Available at </w:t>
      </w:r>
      <w:hyperlink r:id="rId18" w:anchor=":~:text=The%20Multi%2DAgency%20Safeguarding%20Hub,ambulance%20service%20and%20social%20care" w:history="1">
        <w:r w:rsidRPr="0022005F">
          <w:rPr>
            <w:rStyle w:val="Hyperlink"/>
            <w:rFonts w:ascii="Calibri" w:hAnsi="Calibri" w:cs="Calibri"/>
            <w:sz w:val="28"/>
            <w:szCs w:val="28"/>
          </w:rPr>
          <w:t>https://www.oxfordshire.gov.uk/business/information-providers/multi-agency-safeguarding-hub#:~:text=The%20Multi%2DAgency%20Safeguarding%20Hub,ambulance%20service%20and%20social%20care</w:t>
        </w:r>
      </w:hyperlink>
      <w:r w:rsidRPr="00AD1D4B">
        <w:rPr>
          <w:rFonts w:ascii="Calibri" w:hAnsi="Calibri" w:cs="Calibri"/>
          <w:sz w:val="28"/>
          <w:szCs w:val="28"/>
        </w:rPr>
        <w:t>.</w:t>
      </w:r>
      <w:r>
        <w:rPr>
          <w:rFonts w:ascii="Calibri" w:hAnsi="Calibri" w:cs="Calibri"/>
          <w:sz w:val="28"/>
          <w:szCs w:val="28"/>
        </w:rPr>
        <w:t xml:space="preserve"> (Accessed on 10</w:t>
      </w:r>
      <w:r w:rsidRPr="00AD1D4B">
        <w:rPr>
          <w:rFonts w:ascii="Calibri" w:hAnsi="Calibri" w:cs="Calibri"/>
          <w:sz w:val="28"/>
          <w:szCs w:val="28"/>
          <w:vertAlign w:val="superscript"/>
        </w:rPr>
        <w:t>th</w:t>
      </w:r>
      <w:r>
        <w:rPr>
          <w:rFonts w:ascii="Calibri" w:hAnsi="Calibri" w:cs="Calibri"/>
          <w:sz w:val="28"/>
          <w:szCs w:val="28"/>
        </w:rPr>
        <w:t xml:space="preserve"> April 2024).</w:t>
      </w:r>
    </w:p>
    <w:p w14:paraId="618B582E" w14:textId="77777777" w:rsidR="00AD1D4B" w:rsidRDefault="00AD1D4B" w:rsidP="00AD1D4B">
      <w:pPr>
        <w:rPr>
          <w:rFonts w:ascii="Calibri" w:hAnsi="Calibri" w:cs="Calibri"/>
          <w:sz w:val="28"/>
          <w:szCs w:val="28"/>
        </w:rPr>
      </w:pPr>
    </w:p>
    <w:p w14:paraId="00EA2DFB" w14:textId="19E86391" w:rsidR="00AD1D4B" w:rsidRDefault="00AD1D4B" w:rsidP="00AD1D4B">
      <w:pPr>
        <w:rPr>
          <w:rFonts w:cstheme="minorHAnsi"/>
          <w:sz w:val="28"/>
          <w:szCs w:val="28"/>
        </w:rPr>
      </w:pPr>
      <w:r w:rsidRPr="00AD1D4B">
        <w:rPr>
          <w:rFonts w:cstheme="minorHAnsi"/>
          <w:sz w:val="28"/>
          <w:szCs w:val="28"/>
        </w:rPr>
        <w:t xml:space="preserve">The Guardian (2001). Timeline for the Climbié case. Available at </w:t>
      </w:r>
      <w:hyperlink r:id="rId19" w:history="1">
        <w:r w:rsidRPr="00AD1D4B">
          <w:rPr>
            <w:rStyle w:val="Hyperlink"/>
            <w:rFonts w:cstheme="minorHAnsi"/>
            <w:sz w:val="28"/>
            <w:szCs w:val="28"/>
          </w:rPr>
          <w:t>https://www.theguardian.com/society/2001/sep/24/childrensservices</w:t>
        </w:r>
      </w:hyperlink>
      <w:r w:rsidRPr="00AD1D4B">
        <w:rPr>
          <w:rFonts w:cstheme="minorHAnsi"/>
          <w:sz w:val="28"/>
          <w:szCs w:val="28"/>
        </w:rPr>
        <w:t xml:space="preserve"> (Accessed on 10th April 2024).</w:t>
      </w:r>
    </w:p>
    <w:p w14:paraId="5FBFCE2E" w14:textId="77777777" w:rsidR="00AD1D4B" w:rsidRDefault="00AD1D4B" w:rsidP="00AD1D4B">
      <w:pPr>
        <w:rPr>
          <w:rFonts w:cstheme="minorHAnsi"/>
          <w:sz w:val="28"/>
          <w:szCs w:val="28"/>
        </w:rPr>
      </w:pPr>
    </w:p>
    <w:p w14:paraId="5DFC4B2E" w14:textId="101946E8" w:rsidR="00AD1D4B" w:rsidRDefault="00AD1D4B" w:rsidP="00AD1D4B">
      <w:pPr>
        <w:rPr>
          <w:rFonts w:cstheme="minorHAnsi"/>
          <w:sz w:val="28"/>
          <w:szCs w:val="28"/>
        </w:rPr>
      </w:pPr>
      <w:r>
        <w:rPr>
          <w:rFonts w:cstheme="minorHAnsi"/>
          <w:sz w:val="28"/>
          <w:szCs w:val="28"/>
        </w:rPr>
        <w:t>Wales Safeguarding Procedures (</w:t>
      </w:r>
      <w:proofErr w:type="spellStart"/>
      <w:r>
        <w:rPr>
          <w:rFonts w:cstheme="minorHAnsi"/>
          <w:sz w:val="28"/>
          <w:szCs w:val="28"/>
        </w:rPr>
        <w:t>n.d</w:t>
      </w:r>
      <w:proofErr w:type="spellEnd"/>
      <w:r>
        <w:rPr>
          <w:rFonts w:cstheme="minorHAnsi"/>
          <w:sz w:val="28"/>
          <w:szCs w:val="28"/>
        </w:rPr>
        <w:t xml:space="preserve">). Pointers for Practise: Taking a Child-centred Approach. Available at </w:t>
      </w:r>
      <w:hyperlink r:id="rId20" w:history="1">
        <w:r w:rsidRPr="0022005F">
          <w:rPr>
            <w:rStyle w:val="Hyperlink"/>
            <w:rFonts w:cstheme="minorHAnsi"/>
            <w:sz w:val="28"/>
            <w:szCs w:val="28"/>
          </w:rPr>
          <w:t>https://safeguarding.wales/en/chi-i/chi-i-cp/c1p-p1/</w:t>
        </w:r>
      </w:hyperlink>
      <w:r>
        <w:rPr>
          <w:rFonts w:cstheme="minorHAnsi"/>
          <w:sz w:val="28"/>
          <w:szCs w:val="28"/>
        </w:rPr>
        <w:t xml:space="preserve"> (Accessed on 10</w:t>
      </w:r>
      <w:r w:rsidRPr="00AD1D4B">
        <w:rPr>
          <w:rFonts w:cstheme="minorHAnsi"/>
          <w:sz w:val="28"/>
          <w:szCs w:val="28"/>
          <w:vertAlign w:val="superscript"/>
        </w:rPr>
        <w:t>th</w:t>
      </w:r>
      <w:r>
        <w:rPr>
          <w:rFonts w:cstheme="minorHAnsi"/>
          <w:sz w:val="28"/>
          <w:szCs w:val="28"/>
        </w:rPr>
        <w:t xml:space="preserve"> April 2024).</w:t>
      </w:r>
    </w:p>
    <w:p w14:paraId="1169692E" w14:textId="77777777" w:rsidR="00AD1D4B" w:rsidRDefault="00AD1D4B" w:rsidP="00AD1D4B">
      <w:pPr>
        <w:rPr>
          <w:rFonts w:cstheme="minorHAnsi"/>
          <w:sz w:val="28"/>
          <w:szCs w:val="28"/>
        </w:rPr>
      </w:pPr>
    </w:p>
    <w:p w14:paraId="3149551A" w14:textId="62F817D5" w:rsidR="00AD1D4B" w:rsidRDefault="00AD1D4B" w:rsidP="00AD1D4B">
      <w:pPr>
        <w:rPr>
          <w:rFonts w:cstheme="minorHAnsi"/>
          <w:sz w:val="28"/>
          <w:szCs w:val="28"/>
        </w:rPr>
      </w:pPr>
      <w:r>
        <w:rPr>
          <w:rFonts w:cstheme="minorHAnsi"/>
          <w:sz w:val="28"/>
          <w:szCs w:val="28"/>
        </w:rPr>
        <w:t>West Berkshire Council (</w:t>
      </w:r>
      <w:proofErr w:type="spellStart"/>
      <w:r>
        <w:rPr>
          <w:rFonts w:cstheme="minorHAnsi"/>
          <w:sz w:val="28"/>
          <w:szCs w:val="28"/>
        </w:rPr>
        <w:t>n.d</w:t>
      </w:r>
      <w:proofErr w:type="spellEnd"/>
      <w:r>
        <w:rPr>
          <w:rFonts w:cstheme="minorHAnsi"/>
          <w:sz w:val="28"/>
          <w:szCs w:val="28"/>
        </w:rPr>
        <w:t xml:space="preserve">). The Benefits of Having a Multi-Agency Safeguarding Hub (MASH). Available at </w:t>
      </w:r>
      <w:hyperlink r:id="rId21" w:anchor=":~:text=improves%20recognition%20of%20risk%20and,needs%20and%20improve%20overall%20outcomes" w:history="1">
        <w:r w:rsidRPr="0022005F">
          <w:rPr>
            <w:rStyle w:val="Hyperlink"/>
            <w:rFonts w:cstheme="minorHAnsi"/>
            <w:sz w:val="28"/>
            <w:szCs w:val="28"/>
          </w:rPr>
          <w:t>https://www.westberks.gov.uk/article/39758/The-Benefits-of-Having-a-Multi-Agency-Safeguarding-Hub-</w:t>
        </w:r>
        <w:r w:rsidRPr="0022005F">
          <w:rPr>
            <w:rStyle w:val="Hyperlink"/>
            <w:rFonts w:cstheme="minorHAnsi"/>
            <w:sz w:val="28"/>
            <w:szCs w:val="28"/>
          </w:rPr>
          <w:lastRenderedPageBreak/>
          <w:t>MASH#:~:text=improves%20recognition%20of%20risk%20and,needs%20and%20improve%20overall%20outcomes</w:t>
        </w:r>
      </w:hyperlink>
      <w:r>
        <w:rPr>
          <w:rFonts w:cstheme="minorHAnsi"/>
          <w:sz w:val="28"/>
          <w:szCs w:val="28"/>
        </w:rPr>
        <w:t xml:space="preserve"> (Accessed 10</w:t>
      </w:r>
      <w:r w:rsidRPr="00AD1D4B">
        <w:rPr>
          <w:rFonts w:cstheme="minorHAnsi"/>
          <w:sz w:val="28"/>
          <w:szCs w:val="28"/>
          <w:vertAlign w:val="superscript"/>
        </w:rPr>
        <w:t>th</w:t>
      </w:r>
      <w:r>
        <w:rPr>
          <w:rFonts w:cstheme="minorHAnsi"/>
          <w:sz w:val="28"/>
          <w:szCs w:val="28"/>
        </w:rPr>
        <w:t xml:space="preserve"> April 2024).</w:t>
      </w:r>
    </w:p>
    <w:p w14:paraId="31B6CD55" w14:textId="77777777" w:rsidR="00AD1D4B" w:rsidRDefault="00AD1D4B" w:rsidP="00AD1D4B">
      <w:pPr>
        <w:rPr>
          <w:rFonts w:cstheme="minorHAnsi"/>
          <w:sz w:val="28"/>
          <w:szCs w:val="28"/>
        </w:rPr>
      </w:pPr>
    </w:p>
    <w:p w14:paraId="420E97AF" w14:textId="5BFED6A3" w:rsidR="00AD1D4B" w:rsidRPr="00AD1D4B" w:rsidRDefault="00AD1D4B" w:rsidP="00AD1D4B">
      <w:pPr>
        <w:rPr>
          <w:rFonts w:cstheme="minorHAnsi"/>
          <w:sz w:val="28"/>
          <w:szCs w:val="28"/>
        </w:rPr>
      </w:pPr>
      <w:proofErr w:type="spellStart"/>
      <w:r>
        <w:rPr>
          <w:rFonts w:cstheme="minorHAnsi"/>
          <w:sz w:val="28"/>
          <w:szCs w:val="28"/>
        </w:rPr>
        <w:t>YoungMinds</w:t>
      </w:r>
      <w:proofErr w:type="spellEnd"/>
      <w:r>
        <w:rPr>
          <w:rFonts w:cstheme="minorHAnsi"/>
          <w:sz w:val="28"/>
          <w:szCs w:val="28"/>
        </w:rPr>
        <w:t xml:space="preserve"> (2021). Coronavirus: Impact on young people with mental health needs. Available at </w:t>
      </w:r>
      <w:hyperlink r:id="rId22" w:history="1">
        <w:r w:rsidRPr="0022005F">
          <w:rPr>
            <w:rStyle w:val="Hyperlink"/>
            <w:rFonts w:cstheme="minorHAnsi"/>
            <w:sz w:val="28"/>
            <w:szCs w:val="28"/>
          </w:rPr>
          <w:t>https://www.youngminds.org.uk/media/esifqn3z/youngminds-coronavirus-report-jan-2021.pdf</w:t>
        </w:r>
      </w:hyperlink>
      <w:r>
        <w:rPr>
          <w:rFonts w:cstheme="minorHAnsi"/>
          <w:sz w:val="28"/>
          <w:szCs w:val="28"/>
        </w:rPr>
        <w:t xml:space="preserve"> (Accessed on 15th April 2024).</w:t>
      </w:r>
    </w:p>
    <w:sectPr w:rsidR="00AD1D4B" w:rsidRPr="00AD1D4B">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02472" w14:textId="77777777" w:rsidR="00AD1D4B" w:rsidRDefault="00AD1D4B" w:rsidP="00AD1D4B">
      <w:r>
        <w:separator/>
      </w:r>
    </w:p>
  </w:endnote>
  <w:endnote w:type="continuationSeparator" w:id="0">
    <w:p w14:paraId="3890FBBA" w14:textId="77777777" w:rsidR="00AD1D4B" w:rsidRDefault="00AD1D4B" w:rsidP="00AD1D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537212"/>
      <w:docPartObj>
        <w:docPartGallery w:val="Page Numbers (Bottom of Page)"/>
        <w:docPartUnique/>
      </w:docPartObj>
    </w:sdtPr>
    <w:sdtEndPr>
      <w:rPr>
        <w:rStyle w:val="PageNumber"/>
      </w:rPr>
    </w:sdtEndPr>
    <w:sdtContent>
      <w:p w14:paraId="2E07DF04" w14:textId="3F90D2F1" w:rsidR="00AD1D4B" w:rsidRDefault="00AD1D4B" w:rsidP="002200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4603DE" w14:textId="77777777" w:rsidR="00AD1D4B" w:rsidRDefault="00AD1D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1546319"/>
      <w:docPartObj>
        <w:docPartGallery w:val="Page Numbers (Bottom of Page)"/>
        <w:docPartUnique/>
      </w:docPartObj>
    </w:sdtPr>
    <w:sdtEndPr>
      <w:rPr>
        <w:rStyle w:val="PageNumber"/>
      </w:rPr>
    </w:sdtEndPr>
    <w:sdtContent>
      <w:p w14:paraId="1970D0F9" w14:textId="7B00237F" w:rsidR="00AD1D4B" w:rsidRDefault="00AD1D4B" w:rsidP="002200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95E6DC" w14:textId="4C741E01" w:rsidR="00AD1D4B" w:rsidRDefault="00AD1D4B">
    <w:pPr>
      <w:pStyle w:val="Footer"/>
    </w:pPr>
    <w:r>
      <w:t>Nia Evans (2110313)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78799" w14:textId="77777777" w:rsidR="00AD1D4B" w:rsidRDefault="00AD1D4B" w:rsidP="00AD1D4B">
      <w:r>
        <w:separator/>
      </w:r>
    </w:p>
  </w:footnote>
  <w:footnote w:type="continuationSeparator" w:id="0">
    <w:p w14:paraId="3E835688" w14:textId="77777777" w:rsidR="00AD1D4B" w:rsidRDefault="00AD1D4B" w:rsidP="00AD1D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36715"/>
    <w:multiLevelType w:val="multilevel"/>
    <w:tmpl w:val="C3029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3138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710"/>
    <w:rsid w:val="000D2F73"/>
    <w:rsid w:val="00657917"/>
    <w:rsid w:val="006F7710"/>
    <w:rsid w:val="00AD1D4B"/>
    <w:rsid w:val="00BD0705"/>
    <w:rsid w:val="00DC6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06056D"/>
  <w15:chartTrackingRefBased/>
  <w15:docId w15:val="{6A157E95-0446-9248-B85E-ED8FBE74B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D1D4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1D4B"/>
    <w:rPr>
      <w:color w:val="0563C1" w:themeColor="hyperlink"/>
      <w:u w:val="single"/>
    </w:rPr>
  </w:style>
  <w:style w:type="character" w:styleId="UnresolvedMention">
    <w:name w:val="Unresolved Mention"/>
    <w:basedOn w:val="DefaultParagraphFont"/>
    <w:uiPriority w:val="99"/>
    <w:semiHidden/>
    <w:unhideWhenUsed/>
    <w:rsid w:val="00AD1D4B"/>
    <w:rPr>
      <w:color w:val="605E5C"/>
      <w:shd w:val="clear" w:color="auto" w:fill="E1DFDD"/>
    </w:rPr>
  </w:style>
  <w:style w:type="character" w:customStyle="1" w:styleId="Heading1Char">
    <w:name w:val="Heading 1 Char"/>
    <w:basedOn w:val="DefaultParagraphFont"/>
    <w:link w:val="Heading1"/>
    <w:uiPriority w:val="9"/>
    <w:rsid w:val="00AD1D4B"/>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AD1D4B"/>
    <w:pPr>
      <w:tabs>
        <w:tab w:val="center" w:pos="4513"/>
        <w:tab w:val="right" w:pos="9026"/>
      </w:tabs>
    </w:pPr>
  </w:style>
  <w:style w:type="character" w:customStyle="1" w:styleId="HeaderChar">
    <w:name w:val="Header Char"/>
    <w:basedOn w:val="DefaultParagraphFont"/>
    <w:link w:val="Header"/>
    <w:uiPriority w:val="99"/>
    <w:rsid w:val="00AD1D4B"/>
  </w:style>
  <w:style w:type="paragraph" w:styleId="Footer">
    <w:name w:val="footer"/>
    <w:basedOn w:val="Normal"/>
    <w:link w:val="FooterChar"/>
    <w:uiPriority w:val="99"/>
    <w:unhideWhenUsed/>
    <w:rsid w:val="00AD1D4B"/>
    <w:pPr>
      <w:tabs>
        <w:tab w:val="center" w:pos="4513"/>
        <w:tab w:val="right" w:pos="9026"/>
      </w:tabs>
    </w:pPr>
  </w:style>
  <w:style w:type="character" w:customStyle="1" w:styleId="FooterChar">
    <w:name w:val="Footer Char"/>
    <w:basedOn w:val="DefaultParagraphFont"/>
    <w:link w:val="Footer"/>
    <w:uiPriority w:val="99"/>
    <w:rsid w:val="00AD1D4B"/>
  </w:style>
  <w:style w:type="character" w:styleId="PageNumber">
    <w:name w:val="page number"/>
    <w:basedOn w:val="DefaultParagraphFont"/>
    <w:uiPriority w:val="99"/>
    <w:semiHidden/>
    <w:unhideWhenUsed/>
    <w:rsid w:val="00AD1D4B"/>
  </w:style>
  <w:style w:type="character" w:customStyle="1" w:styleId="apple-converted-space">
    <w:name w:val="apple-converted-space"/>
    <w:basedOn w:val="DefaultParagraphFont"/>
    <w:rsid w:val="00AD1D4B"/>
  </w:style>
  <w:style w:type="paragraph" w:styleId="NormalWeb">
    <w:name w:val="Normal (Web)"/>
    <w:basedOn w:val="Normal"/>
    <w:uiPriority w:val="99"/>
    <w:semiHidden/>
    <w:unhideWhenUsed/>
    <w:rsid w:val="00AD1D4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1D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638984">
      <w:bodyDiv w:val="1"/>
      <w:marLeft w:val="0"/>
      <w:marRight w:val="0"/>
      <w:marTop w:val="0"/>
      <w:marBottom w:val="0"/>
      <w:divBdr>
        <w:top w:val="none" w:sz="0" w:space="0" w:color="auto"/>
        <w:left w:val="none" w:sz="0" w:space="0" w:color="auto"/>
        <w:bottom w:val="none" w:sz="0" w:space="0" w:color="auto"/>
        <w:right w:val="none" w:sz="0" w:space="0" w:color="auto"/>
      </w:divBdr>
    </w:div>
    <w:div w:id="639267968">
      <w:bodyDiv w:val="1"/>
      <w:marLeft w:val="0"/>
      <w:marRight w:val="0"/>
      <w:marTop w:val="0"/>
      <w:marBottom w:val="0"/>
      <w:divBdr>
        <w:top w:val="none" w:sz="0" w:space="0" w:color="auto"/>
        <w:left w:val="none" w:sz="0" w:space="0" w:color="auto"/>
        <w:bottom w:val="none" w:sz="0" w:space="0" w:color="auto"/>
        <w:right w:val="none" w:sz="0" w:space="0" w:color="auto"/>
      </w:divBdr>
    </w:div>
    <w:div w:id="789476791">
      <w:bodyDiv w:val="1"/>
      <w:marLeft w:val="0"/>
      <w:marRight w:val="0"/>
      <w:marTop w:val="0"/>
      <w:marBottom w:val="0"/>
      <w:divBdr>
        <w:top w:val="none" w:sz="0" w:space="0" w:color="auto"/>
        <w:left w:val="none" w:sz="0" w:space="0" w:color="auto"/>
        <w:bottom w:val="none" w:sz="0" w:space="0" w:color="auto"/>
        <w:right w:val="none" w:sz="0" w:space="0" w:color="auto"/>
      </w:divBdr>
    </w:div>
    <w:div w:id="885218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2007/01/10/what-have-we-learned-child-death-scandals-since-1944/" TargetMode="External"/><Relationship Id="rId13" Type="http://schemas.openxmlformats.org/officeDocument/2006/relationships/hyperlink" Target="https://martinhelms.com/blog/survey-reveals-the-threat-of-social-media-to-children/" TargetMode="External"/><Relationship Id="rId18" Type="http://schemas.openxmlformats.org/officeDocument/2006/relationships/hyperlink" Target="https://www.oxfordshire.gov.uk/business/information-providers/multi-agency-safeguarding-hub"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estberks.gov.uk/article/39758/The-Benefits-of-Having-a-Multi-Agency-Safeguarding-Hub-MASH" TargetMode="External"/><Relationship Id="rId7" Type="http://schemas.openxmlformats.org/officeDocument/2006/relationships/hyperlink" Target="https://blog.insidegovernment.co.uk/central-and-local-government/multi-agency-working-children-in-care" TargetMode="External"/><Relationship Id="rId12" Type="http://schemas.openxmlformats.org/officeDocument/2006/relationships/hyperlink" Target="https://www.gov.wales/sites/default/files/publications/2022-01/working-together-to-safeguard-people--code-of-safeguarding-practice_0.pdf" TargetMode="External"/><Relationship Id="rId17" Type="http://schemas.openxmlformats.org/officeDocument/2006/relationships/hyperlink" Target="https://www.ons.gov.uk/peoplepopulationandcommunity/crimeandjustice/bulletins/onlinebullyinginenglandandwales/yearendingmarch202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nspcc.org.uk/online-safety/online-safety-for-schools" TargetMode="External"/><Relationship Id="rId20" Type="http://schemas.openxmlformats.org/officeDocument/2006/relationships/hyperlink" Target="https://safeguarding.wales/en/chi-i/chi-i-cp/c1p-p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nts.gov.uk/socialcareandhealth/childrenandfamilies/safeguardingchildren/childprotection/mash"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earning.nspcc.org.uk/safeguarding-child-protection/covid-pandemic" TargetMode="External"/><Relationship Id="rId23" Type="http://schemas.openxmlformats.org/officeDocument/2006/relationships/footer" Target="footer1.xml"/><Relationship Id="rId10" Type="http://schemas.openxmlformats.org/officeDocument/2006/relationships/hyperlink" Target="https://educationhub.blog.gov.uk/2024/02/19/mobile-phones-in-schools-are-they-being-banned/" TargetMode="External"/><Relationship Id="rId19" Type="http://schemas.openxmlformats.org/officeDocument/2006/relationships/hyperlink" Target="https://www.theguardian.com/society/2001/sep/24/childrensservices" TargetMode="External"/><Relationship Id="rId4" Type="http://schemas.openxmlformats.org/officeDocument/2006/relationships/webSettings" Target="webSettings.xml"/><Relationship Id="rId9" Type="http://schemas.openxmlformats.org/officeDocument/2006/relationships/hyperlink" Target="https://www.gov.uk/government/publications/teaching-online-safety-in-schools/teaching-online-safety-in-schools" TargetMode="External"/><Relationship Id="rId14" Type="http://schemas.openxmlformats.org/officeDocument/2006/relationships/hyperlink" Target="https://www.nspcc.org.uk/keeping-children-safe/online-safety/social-media/" TargetMode="External"/><Relationship Id="rId22" Type="http://schemas.openxmlformats.org/officeDocument/2006/relationships/hyperlink" Target="https://www.youngminds.org.uk/media/esifqn3z/youngminds-coronavirus-report-jan-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2582</Words>
  <Characters>14722</Characters>
  <Application>Microsoft Office Word</Application>
  <DocSecurity>0</DocSecurity>
  <Lines>122</Lines>
  <Paragraphs>34</Paragraphs>
  <ScaleCrop>false</ScaleCrop>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 (2110313)</dc:creator>
  <cp:keywords/>
  <dc:description/>
  <cp:lastModifiedBy>Nia Evans (2110313)</cp:lastModifiedBy>
  <cp:revision>2</cp:revision>
  <dcterms:created xsi:type="dcterms:W3CDTF">2024-04-21T16:32:00Z</dcterms:created>
  <dcterms:modified xsi:type="dcterms:W3CDTF">2024-04-21T16:32:00Z</dcterms:modified>
</cp:coreProperties>
</file>