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61F963E" w14:textId="77777777" w:rsidR="00F87549" w:rsidRDefault="00000000">
      <w:pPr>
        <w:rPr>
          <w:b/>
          <w:bCs/>
        </w:rPr>
      </w:pPr>
      <w:r>
        <w:rPr>
          <w:noProof/>
        </w:rPr>
        <w:drawing>
          <wp:anchor distT="114300" distB="114300" distL="114300" distR="114300" simplePos="0" relativeHeight="251658240" behindDoc="1" locked="0" layoutInCell="1" hidden="0" allowOverlap="1" wp14:anchorId="450650EF" wp14:editId="1E5BAEC1">
            <wp:simplePos x="0" y="0"/>
            <wp:positionH relativeFrom="column">
              <wp:posOffset>1</wp:posOffset>
            </wp:positionH>
            <wp:positionV relativeFrom="paragraph">
              <wp:posOffset>114300</wp:posOffset>
            </wp:positionV>
            <wp:extent cx="1652588" cy="566797"/>
            <wp:effectExtent l="0" t="0" r="0" b="0"/>
            <wp:wrapNone/>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4"/>
                    <a:srcRect/>
                    <a:stretch>
                      <a:fillRect/>
                    </a:stretch>
                  </pic:blipFill>
                  <pic:spPr>
                    <a:xfrm>
                      <a:off x="0" y="0"/>
                      <a:ext cx="1652588" cy="566797"/>
                    </a:xfrm>
                    <a:prstGeom prst="rect">
                      <a:avLst/>
                    </a:prstGeom>
                    <a:ln/>
                  </pic:spPr>
                </pic:pic>
              </a:graphicData>
            </a:graphic>
          </wp:anchor>
        </w:drawing>
      </w:r>
    </w:p>
    <w:p w14:paraId="34D3C7C1" w14:textId="77777777" w:rsidR="00F87549" w:rsidRDefault="00F87549">
      <w:pPr>
        <w:rPr>
          <w:b/>
          <w:bCs/>
        </w:rPr>
      </w:pPr>
    </w:p>
    <w:p w14:paraId="3BA2FB13" w14:textId="77777777" w:rsidR="00F87549" w:rsidRDefault="00F87549">
      <w:pPr>
        <w:rPr>
          <w:b/>
          <w:bCs/>
        </w:rPr>
      </w:pPr>
    </w:p>
    <w:p w14:paraId="61D542E4" w14:textId="77777777" w:rsidR="00F35889" w:rsidRDefault="00F35889" w:rsidP="00F35889">
      <w:pPr>
        <w:jc w:val="center"/>
        <w:rPr>
          <w:b/>
          <w:bCs/>
          <w:sz w:val="40"/>
          <w:szCs w:val="40"/>
        </w:rPr>
      </w:pPr>
    </w:p>
    <w:p w14:paraId="7686D813" w14:textId="123585F4" w:rsidR="00F87549" w:rsidRPr="00F35889" w:rsidRDefault="00851118" w:rsidP="00F35889">
      <w:pPr>
        <w:jc w:val="center"/>
        <w:rPr>
          <w:b/>
          <w:bCs/>
          <w:sz w:val="40"/>
          <w:szCs w:val="40"/>
        </w:rPr>
      </w:pPr>
      <w:r>
        <w:rPr>
          <w:b/>
          <w:bCs/>
          <w:sz w:val="40"/>
          <w:szCs w:val="40"/>
        </w:rPr>
        <w:t xml:space="preserve">        </w:t>
      </w:r>
      <w:r w:rsidR="00000000" w:rsidRPr="00F35889">
        <w:rPr>
          <w:b/>
          <w:bCs/>
          <w:sz w:val="40"/>
          <w:szCs w:val="40"/>
        </w:rPr>
        <w:t>Student name:</w:t>
      </w:r>
      <w:r>
        <w:rPr>
          <w:b/>
          <w:bCs/>
          <w:sz w:val="40"/>
          <w:szCs w:val="40"/>
        </w:rPr>
        <w:t xml:space="preserve"> Andrei Martin Iancu</w:t>
      </w:r>
    </w:p>
    <w:p w14:paraId="2E1C3861" w14:textId="74AC209E" w:rsidR="00F87549" w:rsidRPr="00F35889" w:rsidRDefault="00000000" w:rsidP="00F35889">
      <w:pPr>
        <w:jc w:val="center"/>
        <w:rPr>
          <w:b/>
          <w:bCs/>
          <w:sz w:val="40"/>
          <w:szCs w:val="40"/>
        </w:rPr>
      </w:pPr>
      <w:r w:rsidRPr="00F35889">
        <w:rPr>
          <w:b/>
          <w:bCs/>
          <w:sz w:val="40"/>
          <w:szCs w:val="40"/>
        </w:rPr>
        <w:t>Student ID number:</w:t>
      </w:r>
      <w:r w:rsidR="00E42C51">
        <w:rPr>
          <w:b/>
          <w:bCs/>
          <w:sz w:val="40"/>
          <w:szCs w:val="40"/>
        </w:rPr>
        <w:t>25</w:t>
      </w:r>
      <w:r w:rsidR="00B24939">
        <w:rPr>
          <w:b/>
          <w:bCs/>
          <w:sz w:val="40"/>
          <w:szCs w:val="40"/>
        </w:rPr>
        <w:t>3</w:t>
      </w:r>
      <w:r w:rsidR="00A65F14">
        <w:rPr>
          <w:b/>
          <w:bCs/>
          <w:sz w:val="40"/>
          <w:szCs w:val="40"/>
        </w:rPr>
        <w:t>0</w:t>
      </w:r>
      <w:r w:rsidR="002C4097">
        <w:rPr>
          <w:b/>
          <w:bCs/>
          <w:sz w:val="40"/>
          <w:szCs w:val="40"/>
        </w:rPr>
        <w:t>102</w:t>
      </w:r>
    </w:p>
    <w:p w14:paraId="0BABB53D" w14:textId="77777777" w:rsidR="00F87549" w:rsidRPr="00F35889" w:rsidRDefault="00000000" w:rsidP="00F35889">
      <w:pPr>
        <w:jc w:val="center"/>
        <w:rPr>
          <w:b/>
          <w:bCs/>
          <w:sz w:val="40"/>
          <w:szCs w:val="40"/>
        </w:rPr>
      </w:pPr>
      <w:r w:rsidRPr="00F35889">
        <w:rPr>
          <w:b/>
          <w:bCs/>
          <w:sz w:val="40"/>
          <w:szCs w:val="40"/>
        </w:rPr>
        <w:t>Lecturer’s Name: Muhammad Aliyu</w:t>
      </w:r>
    </w:p>
    <w:p w14:paraId="55548A06" w14:textId="77777777" w:rsidR="00F87549" w:rsidRPr="00F35889" w:rsidRDefault="00000000" w:rsidP="00F35889">
      <w:pPr>
        <w:jc w:val="center"/>
        <w:rPr>
          <w:b/>
          <w:bCs/>
          <w:sz w:val="40"/>
          <w:szCs w:val="40"/>
        </w:rPr>
      </w:pPr>
      <w:r w:rsidRPr="00F35889">
        <w:rPr>
          <w:b/>
          <w:bCs/>
          <w:sz w:val="40"/>
          <w:szCs w:val="40"/>
        </w:rPr>
        <w:t>Certificate of Higher Education Skills for the Workplace (Health &amp; Social Care)</w:t>
      </w:r>
    </w:p>
    <w:p w14:paraId="273FF01B" w14:textId="77777777" w:rsidR="00F87549" w:rsidRPr="00F35889" w:rsidRDefault="00000000" w:rsidP="00F35889">
      <w:pPr>
        <w:jc w:val="center"/>
        <w:rPr>
          <w:b/>
          <w:bCs/>
          <w:sz w:val="40"/>
          <w:szCs w:val="40"/>
        </w:rPr>
      </w:pPr>
      <w:r w:rsidRPr="00F35889">
        <w:rPr>
          <w:b/>
          <w:bCs/>
          <w:sz w:val="40"/>
          <w:szCs w:val="40"/>
        </w:rPr>
        <w:t>Introduction to Health and Social Care</w:t>
      </w:r>
    </w:p>
    <w:p w14:paraId="5AEB132C" w14:textId="77777777" w:rsidR="00F87549" w:rsidRDefault="00000000" w:rsidP="00F35889">
      <w:pPr>
        <w:jc w:val="center"/>
        <w:rPr>
          <w:b/>
          <w:bCs/>
        </w:rPr>
      </w:pPr>
      <w:r w:rsidRPr="00F35889">
        <w:rPr>
          <w:b/>
          <w:bCs/>
          <w:sz w:val="40"/>
          <w:szCs w:val="40"/>
        </w:rPr>
        <w:t>LCHS4003</w:t>
      </w:r>
    </w:p>
    <w:p w14:paraId="074B7740" w14:textId="77777777" w:rsidR="00F87549" w:rsidRDefault="00F87549">
      <w:pPr>
        <w:rPr>
          <w:b/>
          <w:bCs/>
        </w:rPr>
      </w:pPr>
    </w:p>
    <w:p w14:paraId="752A73D1" w14:textId="77777777" w:rsidR="00F87549" w:rsidRDefault="00F87549">
      <w:pPr>
        <w:rPr>
          <w:b/>
          <w:bCs/>
        </w:rPr>
      </w:pPr>
    </w:p>
    <w:p w14:paraId="78AA0126" w14:textId="77777777" w:rsidR="00F87549" w:rsidRDefault="00000000">
      <w:pPr>
        <w:rPr>
          <w:b/>
          <w:bCs/>
        </w:rPr>
      </w:pPr>
      <w:r>
        <w:br w:type="page"/>
      </w:r>
    </w:p>
    <w:p w14:paraId="6443FBD5" w14:textId="7AC64603" w:rsidR="00C77FFD" w:rsidRDefault="00A018D1">
      <w:pPr>
        <w:rPr>
          <w:b/>
          <w:bCs/>
        </w:rPr>
      </w:pPr>
      <w:r>
        <w:rPr>
          <w:b/>
          <w:bCs/>
        </w:rPr>
        <w:lastRenderedPageBreak/>
        <w:t>Task 1: Poster Presentation</w:t>
      </w:r>
    </w:p>
    <w:p w14:paraId="52E344DD" w14:textId="6CE65E51" w:rsidR="00C77FFD" w:rsidRDefault="00C77FFD">
      <w:pPr>
        <w:rPr>
          <w:b/>
          <w:bCs/>
        </w:rPr>
      </w:pPr>
      <w:r w:rsidRPr="00C77FFD">
        <w:rPr>
          <w:b/>
          <w:bCs/>
          <w:noProof/>
        </w:rPr>
        <w:drawing>
          <wp:inline distT="0" distB="0" distL="0" distR="0" wp14:anchorId="5CBD437C" wp14:editId="68C22304">
            <wp:extent cx="5943600" cy="3353435"/>
            <wp:effectExtent l="12700" t="12700" r="12700" b="12065"/>
            <wp:docPr id="3653570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5357022" name=""/>
                    <pic:cNvPicPr/>
                  </pic:nvPicPr>
                  <pic:blipFill>
                    <a:blip r:embed="rId5"/>
                    <a:stretch>
                      <a:fillRect/>
                    </a:stretch>
                  </pic:blipFill>
                  <pic:spPr>
                    <a:xfrm>
                      <a:off x="0" y="0"/>
                      <a:ext cx="5943600" cy="3353435"/>
                    </a:xfrm>
                    <a:prstGeom prst="rect">
                      <a:avLst/>
                    </a:prstGeom>
                    <a:ln>
                      <a:solidFill>
                        <a:schemeClr val="tx1"/>
                      </a:solidFill>
                    </a:ln>
                  </pic:spPr>
                </pic:pic>
              </a:graphicData>
            </a:graphic>
          </wp:inline>
        </w:drawing>
      </w:r>
    </w:p>
    <w:p w14:paraId="5688F85D" w14:textId="2A5427AC" w:rsidR="00F35889" w:rsidRPr="00F35889" w:rsidRDefault="00F35889" w:rsidP="00A018D1">
      <w:pPr>
        <w:jc w:val="center"/>
      </w:pPr>
    </w:p>
    <w:p w14:paraId="67CD2FCB" w14:textId="72D33BE9" w:rsidR="00F87549" w:rsidRPr="00A018D1" w:rsidRDefault="00000000">
      <w:r>
        <w:br w:type="page"/>
      </w:r>
      <w:r>
        <w:rPr>
          <w:b/>
          <w:bCs/>
        </w:rPr>
        <w:lastRenderedPageBreak/>
        <w:t>Task 2: Essay</w:t>
      </w:r>
    </w:p>
    <w:p w14:paraId="45AF780E" w14:textId="77777777" w:rsidR="00F87549" w:rsidRDefault="00000000">
      <w:pPr>
        <w:rPr>
          <w:b/>
          <w:bCs/>
        </w:rPr>
      </w:pPr>
      <w:r>
        <w:rPr>
          <w:b/>
          <w:bCs/>
        </w:rPr>
        <w:t>Evaluating the origins of the Community mental health services and exploring the historical context</w:t>
      </w:r>
    </w:p>
    <w:p w14:paraId="779D8DD8" w14:textId="5F516AEC" w:rsidR="00F87549" w:rsidRDefault="00000000">
      <w:pPr>
        <w:rPr>
          <w:b/>
          <w:bCs/>
        </w:rPr>
      </w:pPr>
      <w:r>
        <w:t xml:space="preserve">The origin has been transformed through the </w:t>
      </w:r>
      <w:r>
        <w:rPr>
          <w:b/>
          <w:bCs/>
        </w:rPr>
        <w:t>UK’s</w:t>
      </w:r>
      <w:r>
        <w:t xml:space="preserve"> context, where it can be aligned with the health and social care service-based structure. This has been included in the UK’s context, where it can be </w:t>
      </w:r>
      <w:r>
        <w:rPr>
          <w:b/>
          <w:bCs/>
        </w:rPr>
        <w:t>transitioned</w:t>
      </w:r>
      <w:r>
        <w:t xml:space="preserve"> from the </w:t>
      </w:r>
      <w:r>
        <w:rPr>
          <w:b/>
          <w:bCs/>
        </w:rPr>
        <w:t xml:space="preserve">asylums </w:t>
      </w:r>
      <w:r>
        <w:t>to a</w:t>
      </w:r>
      <w:r>
        <w:rPr>
          <w:b/>
          <w:bCs/>
        </w:rPr>
        <w:t xml:space="preserve"> localised</w:t>
      </w:r>
      <w:r>
        <w:t xml:space="preserve"> care structure. This is actually a concern due to the high impact of mental </w:t>
      </w:r>
      <w:r w:rsidR="00F35889">
        <w:t>health-based</w:t>
      </w:r>
      <w:r>
        <w:t xml:space="preserve"> </w:t>
      </w:r>
      <w:r w:rsidR="00F35889">
        <w:t>structures</w:t>
      </w:r>
      <w:r>
        <w:t xml:space="preserve"> in Uk. This has actually been included to enhance the mental health format by reducing anxiety, depression and heavy work pressure. This is actually driven by the </w:t>
      </w:r>
      <w:r>
        <w:rPr>
          <w:b/>
          <w:bCs/>
        </w:rPr>
        <w:t>Mental Treatment Act 1930</w:t>
      </w:r>
      <w:r>
        <w:t xml:space="preserve"> to enhance the health structure and social care. This has been used to raise more concern over mental health as well as physical health-based structure (Kelly, 2024).   </w:t>
      </w:r>
    </w:p>
    <w:p w14:paraId="725792B9" w14:textId="77777777" w:rsidR="00F87549" w:rsidRDefault="00000000">
      <w:pPr>
        <w:rPr>
          <w:b/>
          <w:bCs/>
        </w:rPr>
      </w:pPr>
      <w:r>
        <w:t xml:space="preserve">The </w:t>
      </w:r>
      <w:r>
        <w:rPr>
          <w:b/>
          <w:bCs/>
        </w:rPr>
        <w:t xml:space="preserve">historical </w:t>
      </w:r>
      <w:r>
        <w:t xml:space="preserve">pattern has been changed from the </w:t>
      </w:r>
      <w:r>
        <w:rPr>
          <w:b/>
          <w:bCs/>
        </w:rPr>
        <w:t>UK-based</w:t>
      </w:r>
      <w:r>
        <w:t xml:space="preserve"> structure, where it can be used to define mental health as a main concern. This was not being elaborated on or given concern for the mental health structure. This can be less prioritised in the past form, and hence it can create a lack of </w:t>
      </w:r>
      <w:r>
        <w:rPr>
          <w:b/>
          <w:bCs/>
        </w:rPr>
        <w:t>mental depression</w:t>
      </w:r>
      <w:r>
        <w:t xml:space="preserve">, </w:t>
      </w:r>
      <w:r>
        <w:rPr>
          <w:b/>
          <w:bCs/>
        </w:rPr>
        <w:t>heavy workload pressure</w:t>
      </w:r>
      <w:r>
        <w:t xml:space="preserve"> and </w:t>
      </w:r>
      <w:r>
        <w:rPr>
          <w:b/>
          <w:bCs/>
        </w:rPr>
        <w:t>anxiety</w:t>
      </w:r>
      <w:r>
        <w:t xml:space="preserve">. This structure can cause sevior health r4elated problems such as insomnia, weight loss and major suicidal cases. This has been developing from the </w:t>
      </w:r>
      <w:r>
        <w:rPr>
          <w:b/>
          <w:bCs/>
        </w:rPr>
        <w:t>1930</w:t>
      </w:r>
      <w:r>
        <w:t xml:space="preserve"> where this has been developed through the </w:t>
      </w:r>
      <w:r>
        <w:rPr>
          <w:b/>
          <w:bCs/>
        </w:rPr>
        <w:t xml:space="preserve">1930 Mental Treatment Act </w:t>
      </w:r>
      <w:r>
        <w:t xml:space="preserve">was developed. Apart from this, it can be developed by the 1990 NHS and Community Care Act. This has been disrupted by the lack of funding and budget management, which can directly impact the growth of </w:t>
      </w:r>
      <w:r>
        <w:rPr>
          <w:b/>
          <w:bCs/>
        </w:rPr>
        <w:t>mental health</w:t>
      </w:r>
      <w:r>
        <w:t xml:space="preserve">. This was the turning point which can change the transition to enhance mental health by the NHS (Ikkos </w:t>
      </w:r>
      <w:r>
        <w:rPr>
          <w:i/>
          <w:iCs/>
        </w:rPr>
        <w:t>et al</w:t>
      </w:r>
      <w:r>
        <w:t xml:space="preserve">. 2023).     </w:t>
      </w:r>
    </w:p>
    <w:p w14:paraId="24A4BBC5" w14:textId="517FB621" w:rsidR="00F87549" w:rsidRDefault="00000000">
      <w:r>
        <w:t xml:space="preserve">The functioning pattern in the UK’s factor has been aligning </w:t>
      </w:r>
      <w:r>
        <w:rPr>
          <w:b/>
          <w:bCs/>
        </w:rPr>
        <w:t>collaboration</w:t>
      </w:r>
      <w:r>
        <w:t xml:space="preserve"> and</w:t>
      </w:r>
      <w:r>
        <w:rPr>
          <w:b/>
          <w:bCs/>
        </w:rPr>
        <w:t xml:space="preserve"> primary care </w:t>
      </w:r>
      <w:r>
        <w:t xml:space="preserve">to develop the structure of health and social care enhancement. This has included the partnership with local </w:t>
      </w:r>
      <w:r>
        <w:rPr>
          <w:b/>
          <w:bCs/>
        </w:rPr>
        <w:t>general physicians</w:t>
      </w:r>
      <w:r>
        <w:t xml:space="preserve">, </w:t>
      </w:r>
      <w:r>
        <w:rPr>
          <w:b/>
          <w:bCs/>
        </w:rPr>
        <w:t xml:space="preserve">clinics </w:t>
      </w:r>
      <w:r>
        <w:t xml:space="preserve">and </w:t>
      </w:r>
      <w:r>
        <w:rPr>
          <w:b/>
          <w:bCs/>
        </w:rPr>
        <w:t>hospitals</w:t>
      </w:r>
      <w:r>
        <w:t xml:space="preserve"> to identify who needs the extreme care and support. This has been used to develop the structure of mental health condition enhancement in the </w:t>
      </w:r>
      <w:r>
        <w:rPr>
          <w:b/>
          <w:bCs/>
        </w:rPr>
        <w:t>UK context</w:t>
      </w:r>
      <w:r>
        <w:t xml:space="preserve">. Apart from this, the </w:t>
      </w:r>
      <w:r>
        <w:rPr>
          <w:b/>
          <w:bCs/>
        </w:rPr>
        <w:t xml:space="preserve">partnership </w:t>
      </w:r>
      <w:r>
        <w:t xml:space="preserve">structure has provided a primary care network to enhance the assessment and development of health and social care. This function can be used as an identifying tool to detect people who need </w:t>
      </w:r>
      <w:r>
        <w:rPr>
          <w:b/>
          <w:bCs/>
        </w:rPr>
        <w:t>extreme care</w:t>
      </w:r>
      <w:r>
        <w:t xml:space="preserve"> and </w:t>
      </w:r>
      <w:r>
        <w:rPr>
          <w:b/>
          <w:bCs/>
        </w:rPr>
        <w:t>mental health-based support</w:t>
      </w:r>
      <w:r>
        <w:t xml:space="preserve"> to enhance their health condition. The services-based structure can make the next step after identifying the people who need support in early </w:t>
      </w:r>
      <w:r w:rsidR="00F35889">
        <w:t>stage, and</w:t>
      </w:r>
      <w:r>
        <w:t xml:space="preserve"> then provide support close to their home. This has been used to nurture the care and </w:t>
      </w:r>
      <w:r>
        <w:rPr>
          <w:b/>
          <w:bCs/>
        </w:rPr>
        <w:t xml:space="preserve">observation </w:t>
      </w:r>
      <w:r>
        <w:t xml:space="preserve">that can not only provide support to the needy people but also reduce future threats (McGorry </w:t>
      </w:r>
      <w:r>
        <w:rPr>
          <w:i/>
          <w:iCs/>
        </w:rPr>
        <w:t>et al</w:t>
      </w:r>
      <w:r>
        <w:t xml:space="preserve">. 2022).  </w:t>
      </w:r>
    </w:p>
    <w:p w14:paraId="5EC43215" w14:textId="77777777" w:rsidR="00F87549" w:rsidRDefault="00000000">
      <w:pPr>
        <w:rPr>
          <w:b/>
          <w:bCs/>
        </w:rPr>
      </w:pPr>
      <w:r>
        <w:t xml:space="preserve">On the other hand, in the </w:t>
      </w:r>
      <w:r>
        <w:rPr>
          <w:b/>
          <w:bCs/>
        </w:rPr>
        <w:t>UK-based structure</w:t>
      </w:r>
      <w:r>
        <w:t xml:space="preserve">, the </w:t>
      </w:r>
      <w:r>
        <w:rPr>
          <w:b/>
          <w:bCs/>
        </w:rPr>
        <w:t xml:space="preserve">NHS </w:t>
      </w:r>
      <w:r>
        <w:t xml:space="preserve">has been implementing a tiered mental health enhancement plan for better development. Here, it can be aligned that the </w:t>
      </w:r>
      <w:r>
        <w:rPr>
          <w:b/>
          <w:bCs/>
        </w:rPr>
        <w:t xml:space="preserve">Integrated Care </w:t>
      </w:r>
      <w:r>
        <w:rPr>
          <w:b/>
          <w:bCs/>
        </w:rPr>
        <w:lastRenderedPageBreak/>
        <w:t>System</w:t>
      </w:r>
      <w:r>
        <w:t xml:space="preserve"> can be aligned to develop the funding received and then to make various types of models to improve mental health conditions. Hence, the </w:t>
      </w:r>
      <w:r>
        <w:rPr>
          <w:b/>
          <w:bCs/>
        </w:rPr>
        <w:t xml:space="preserve">NHS </w:t>
      </w:r>
      <w:r>
        <w:t xml:space="preserve">has been implementing the </w:t>
      </w:r>
      <w:r>
        <w:rPr>
          <w:b/>
          <w:bCs/>
        </w:rPr>
        <w:t>Community Mental Health framework</w:t>
      </w:r>
      <w:r>
        <w:t xml:space="preserve"> to enhance mental health conditions. This has included the structure of the community, which can be aligned by modernising well-being and behaviour to enhance mental health conditions (NHS England, 2024). </w:t>
      </w:r>
    </w:p>
    <w:p w14:paraId="27C22E57" w14:textId="2B7ADF7D" w:rsidR="00F87549" w:rsidRDefault="00000000">
      <w:r>
        <w:t xml:space="preserve">The quality of life in community mental health services can include a change from managing </w:t>
      </w:r>
      <w:r>
        <w:rPr>
          <w:b/>
          <w:bCs/>
        </w:rPr>
        <w:t>symptoms</w:t>
      </w:r>
      <w:r>
        <w:t xml:space="preserve"> to providing healthy and structured </w:t>
      </w:r>
      <w:r>
        <w:rPr>
          <w:b/>
          <w:bCs/>
        </w:rPr>
        <w:t>well-being</w:t>
      </w:r>
      <w:r>
        <w:t xml:space="preserve"> for better development. This has been used to enhance the structure of a lifestyle that can evolve with people. This has been used to reduce the </w:t>
      </w:r>
      <w:r>
        <w:rPr>
          <w:b/>
          <w:bCs/>
        </w:rPr>
        <w:t>lifestyle lack</w:t>
      </w:r>
      <w:r>
        <w:t xml:space="preserve">, </w:t>
      </w:r>
      <w:r>
        <w:rPr>
          <w:b/>
          <w:bCs/>
        </w:rPr>
        <w:t xml:space="preserve">collapse </w:t>
      </w:r>
      <w:r>
        <w:t xml:space="preserve">and </w:t>
      </w:r>
      <w:r>
        <w:rPr>
          <w:b/>
          <w:bCs/>
        </w:rPr>
        <w:t>extreme work pressure</w:t>
      </w:r>
      <w:r>
        <w:t xml:space="preserve">. This approach has been used to develop services for users by enhancing their own </w:t>
      </w:r>
      <w:r>
        <w:rPr>
          <w:b/>
          <w:bCs/>
        </w:rPr>
        <w:t>community-based</w:t>
      </w:r>
      <w:r>
        <w:t xml:space="preserve"> lifestyle along with social integration and enhancement, which can help develop mental health enhancement (</w:t>
      </w:r>
      <w:proofErr w:type="spellStart"/>
      <w:r>
        <w:t>Buchcik</w:t>
      </w:r>
      <w:proofErr w:type="spellEnd"/>
      <w:r>
        <w:t xml:space="preserve"> </w:t>
      </w:r>
      <w:r>
        <w:rPr>
          <w:i/>
          <w:iCs/>
        </w:rPr>
        <w:t>et al</w:t>
      </w:r>
      <w:r>
        <w:t>. 2023).</w:t>
      </w:r>
    </w:p>
    <w:p w14:paraId="5F7889DC" w14:textId="77777777" w:rsidR="00F87549" w:rsidRDefault="00F87549"/>
    <w:p w14:paraId="2E4D96FD" w14:textId="77777777" w:rsidR="00F87549" w:rsidRDefault="00F87549"/>
    <w:p w14:paraId="71A6281F" w14:textId="77777777" w:rsidR="00F87549" w:rsidRDefault="00F87549"/>
    <w:p w14:paraId="0E5E20A8" w14:textId="77777777" w:rsidR="00F87549" w:rsidRDefault="00F87549"/>
    <w:p w14:paraId="4C177604" w14:textId="77777777" w:rsidR="00F87549" w:rsidRDefault="00F87549"/>
    <w:p w14:paraId="3B175F01" w14:textId="77777777" w:rsidR="00F87549" w:rsidRDefault="00F87549"/>
    <w:p w14:paraId="0AA48441" w14:textId="77777777" w:rsidR="00F87549" w:rsidRDefault="00F87549"/>
    <w:p w14:paraId="647271C0" w14:textId="77777777" w:rsidR="00F87549" w:rsidRDefault="00000000">
      <w:r>
        <w:br w:type="page"/>
      </w:r>
    </w:p>
    <w:p w14:paraId="1582BF2D" w14:textId="77777777" w:rsidR="00F87549" w:rsidRDefault="00000000">
      <w:pPr>
        <w:rPr>
          <w:b/>
          <w:bCs/>
        </w:rPr>
      </w:pPr>
      <w:r>
        <w:rPr>
          <w:b/>
          <w:bCs/>
        </w:rPr>
        <w:lastRenderedPageBreak/>
        <w:t>References</w:t>
      </w:r>
    </w:p>
    <w:p w14:paraId="6132DB62" w14:textId="77777777" w:rsidR="00F35889" w:rsidRPr="00F35889" w:rsidRDefault="00F35889">
      <w:proofErr w:type="spellStart"/>
      <w:r w:rsidRPr="00F35889">
        <w:rPr>
          <w:highlight w:val="white"/>
        </w:rPr>
        <w:t>Buchcik</w:t>
      </w:r>
      <w:proofErr w:type="spellEnd"/>
      <w:r w:rsidRPr="00F35889">
        <w:rPr>
          <w:highlight w:val="white"/>
        </w:rPr>
        <w:t xml:space="preserve">, J., Kovach, V. and Adedeji, A. (2023). Mental health outcomes and quality of life of Ukrainian refugees in Germany. </w:t>
      </w:r>
      <w:r w:rsidRPr="00F35889">
        <w:rPr>
          <w:i/>
          <w:iCs/>
          <w:highlight w:val="white"/>
        </w:rPr>
        <w:t>Health and quality of life outcomes</w:t>
      </w:r>
      <w:r w:rsidRPr="00F35889">
        <w:rPr>
          <w:highlight w:val="white"/>
        </w:rPr>
        <w:t xml:space="preserve">, </w:t>
      </w:r>
      <w:r w:rsidRPr="00F35889">
        <w:rPr>
          <w:i/>
          <w:iCs/>
          <w:highlight w:val="white"/>
        </w:rPr>
        <w:t>21</w:t>
      </w:r>
      <w:r w:rsidRPr="00F35889">
        <w:rPr>
          <w:highlight w:val="white"/>
        </w:rPr>
        <w:t xml:space="preserve">(1), p.23. </w:t>
      </w:r>
      <w:hyperlink r:id="rId6">
        <w:r w:rsidRPr="00F35889">
          <w:rPr>
            <w:color w:val="1155CC"/>
            <w:highlight w:val="white"/>
            <w:u w:val="single"/>
          </w:rPr>
          <w:t>https://link.springer.com/article/10.1186/s12955-023-02101-5</w:t>
        </w:r>
      </w:hyperlink>
      <w:r w:rsidRPr="00F35889">
        <w:rPr>
          <w:highlight w:val="white"/>
        </w:rPr>
        <w:t xml:space="preserve">   </w:t>
      </w:r>
      <w:r w:rsidRPr="00F35889">
        <w:t xml:space="preserve"> </w:t>
      </w:r>
    </w:p>
    <w:p w14:paraId="77172972" w14:textId="77777777" w:rsidR="00F35889" w:rsidRPr="00F35889" w:rsidRDefault="00F35889">
      <w:proofErr w:type="spellStart"/>
      <w:r w:rsidRPr="00F35889">
        <w:rPr>
          <w:highlight w:val="white"/>
        </w:rPr>
        <w:t>Ikkos</w:t>
      </w:r>
      <w:proofErr w:type="spellEnd"/>
      <w:r w:rsidRPr="00F35889">
        <w:rPr>
          <w:highlight w:val="white"/>
        </w:rPr>
        <w:t xml:space="preserve">, G., Bouras, N. and Tyrer, P., (2023). Madness and society in Britain. </w:t>
      </w:r>
      <w:r w:rsidRPr="00F35889">
        <w:rPr>
          <w:i/>
          <w:iCs/>
          <w:highlight w:val="white"/>
        </w:rPr>
        <w:t>BJPsych Bulletin</w:t>
      </w:r>
      <w:r w:rsidRPr="00F35889">
        <w:rPr>
          <w:highlight w:val="white"/>
        </w:rPr>
        <w:t xml:space="preserve">, </w:t>
      </w:r>
      <w:r w:rsidRPr="00F35889">
        <w:rPr>
          <w:i/>
          <w:iCs/>
          <w:highlight w:val="white"/>
        </w:rPr>
        <w:t>47</w:t>
      </w:r>
      <w:r w:rsidRPr="00F35889">
        <w:rPr>
          <w:highlight w:val="white"/>
        </w:rPr>
        <w:t xml:space="preserve">(3), pp.152-156. </w:t>
      </w:r>
      <w:hyperlink r:id="rId7">
        <w:r w:rsidRPr="00F35889">
          <w:rPr>
            <w:color w:val="1155CC"/>
            <w:highlight w:val="white"/>
            <w:u w:val="single"/>
          </w:rPr>
          <w:t>https://www.cambridge.org/core/journals/bjpsych-bulletin/article/madness-and-society-inbritain/4E1D5EFED764F6253966858E93BA2475</w:t>
        </w:r>
      </w:hyperlink>
      <w:r w:rsidRPr="00F35889">
        <w:rPr>
          <w:highlight w:val="white"/>
        </w:rPr>
        <w:t xml:space="preserve"> </w:t>
      </w:r>
      <w:r w:rsidRPr="00F35889">
        <w:t xml:space="preserve"> </w:t>
      </w:r>
    </w:p>
    <w:p w14:paraId="4E9DFB5D" w14:textId="77777777" w:rsidR="00F35889" w:rsidRPr="00F35889" w:rsidRDefault="00F35889">
      <w:r w:rsidRPr="00F35889">
        <w:rPr>
          <w:highlight w:val="white"/>
        </w:rPr>
        <w:t xml:space="preserve">Kelly, B.D. (2024). History and development of mental health law. In the </w:t>
      </w:r>
      <w:r w:rsidRPr="00F35889">
        <w:rPr>
          <w:i/>
          <w:iCs/>
          <w:highlight w:val="white"/>
        </w:rPr>
        <w:t>Routledge Handbook of Mental Health Law</w:t>
      </w:r>
      <w:r w:rsidRPr="00F35889">
        <w:rPr>
          <w:highlight w:val="white"/>
        </w:rPr>
        <w:t>. Taylor &amp; Francis.</w:t>
      </w:r>
      <w:r w:rsidRPr="00F35889">
        <w:t xml:space="preserve"> </w:t>
      </w:r>
      <w:hyperlink r:id="rId8">
        <w:r w:rsidRPr="00F35889">
          <w:rPr>
            <w:color w:val="1155CC"/>
            <w:u w:val="single"/>
          </w:rPr>
          <w:t>https://library.oapen.org/handle/20.500.12657/86376</w:t>
        </w:r>
      </w:hyperlink>
      <w:r w:rsidRPr="00F35889">
        <w:t xml:space="preserve"> </w:t>
      </w:r>
    </w:p>
    <w:p w14:paraId="1DC10FDB" w14:textId="77777777" w:rsidR="00F35889" w:rsidRPr="00F35889" w:rsidRDefault="00F35889">
      <w:pPr>
        <w:rPr>
          <w:highlight w:val="white"/>
        </w:rPr>
      </w:pPr>
      <w:r w:rsidRPr="00F35889">
        <w:rPr>
          <w:highlight w:val="white"/>
        </w:rPr>
        <w:t>McGorry, P.D., Mei, C., Chanen, A., Hodges, C., Alvarez</w:t>
      </w:r>
      <w:r w:rsidRPr="00F35889">
        <w:rPr>
          <w:rFonts w:ascii="Cambria Math" w:hAnsi="Cambria Math" w:cs="Cambria Math"/>
          <w:highlight w:val="white"/>
        </w:rPr>
        <w:t>‐</w:t>
      </w:r>
      <w:r w:rsidRPr="00F35889">
        <w:rPr>
          <w:highlight w:val="white"/>
        </w:rPr>
        <w:t xml:space="preserve">Jimenez, M. and Killackey, E. (2022). Designing and scaling up integrated youth mental health care. </w:t>
      </w:r>
      <w:r w:rsidRPr="00F35889">
        <w:rPr>
          <w:i/>
          <w:iCs/>
          <w:highlight w:val="white"/>
        </w:rPr>
        <w:t>World Psychiatry</w:t>
      </w:r>
      <w:r w:rsidRPr="00F35889">
        <w:rPr>
          <w:highlight w:val="white"/>
        </w:rPr>
        <w:t xml:space="preserve">, </w:t>
      </w:r>
      <w:r w:rsidRPr="00F35889">
        <w:rPr>
          <w:i/>
          <w:iCs/>
          <w:highlight w:val="white"/>
        </w:rPr>
        <w:t>21</w:t>
      </w:r>
      <w:r w:rsidRPr="00F35889">
        <w:rPr>
          <w:highlight w:val="white"/>
        </w:rPr>
        <w:t xml:space="preserve">(1), pp.61-76. </w:t>
      </w:r>
      <w:hyperlink r:id="rId9">
        <w:r w:rsidRPr="00F35889">
          <w:rPr>
            <w:color w:val="1155CC"/>
            <w:highlight w:val="white"/>
            <w:u w:val="single"/>
          </w:rPr>
          <w:t>https://onlinelibrary.wiley.com/doi/abs/10.1002/wps.20938</w:t>
        </w:r>
      </w:hyperlink>
    </w:p>
    <w:p w14:paraId="1289FBB5" w14:textId="77777777" w:rsidR="00F35889" w:rsidRPr="00F35889" w:rsidRDefault="00F35889">
      <w:pPr>
        <w:rPr>
          <w:rFonts w:eastAsia="Times New Roman"/>
        </w:rPr>
      </w:pPr>
      <w:r w:rsidRPr="00F35889">
        <w:rPr>
          <w:rFonts w:eastAsia="Times New Roman"/>
        </w:rPr>
        <w:t xml:space="preserve">NHS England (2024). </w:t>
      </w:r>
      <w:r w:rsidRPr="00F35889">
        <w:rPr>
          <w:rFonts w:eastAsia="Times New Roman"/>
          <w:i/>
          <w:iCs/>
        </w:rPr>
        <w:t>NHS England Community Mental Health Services</w:t>
      </w:r>
      <w:r w:rsidRPr="00F35889">
        <w:rPr>
          <w:rFonts w:eastAsia="Times New Roman"/>
        </w:rPr>
        <w:t xml:space="preserve">. England.nhs.uk. Available at: </w:t>
      </w:r>
      <w:hyperlink r:id="rId10">
        <w:r w:rsidRPr="00F35889">
          <w:rPr>
            <w:rFonts w:eastAsia="Times New Roman"/>
            <w:color w:val="1155CC"/>
            <w:u w:val="single"/>
          </w:rPr>
          <w:t>https://www.england.nhs.uk/mental-health/adults/cmhs/</w:t>
        </w:r>
      </w:hyperlink>
      <w:r w:rsidRPr="00F35889">
        <w:rPr>
          <w:rFonts w:eastAsia="Times New Roman"/>
        </w:rPr>
        <w:t xml:space="preserve"> [Accessed: 14 July 2026].</w:t>
      </w:r>
    </w:p>
    <w:p w14:paraId="2C5DB94C" w14:textId="77777777" w:rsidR="00F87549" w:rsidRDefault="00F87549"/>
    <w:p w14:paraId="229A73B9" w14:textId="77777777" w:rsidR="00F87549" w:rsidRDefault="00F87549"/>
    <w:p w14:paraId="1A565541" w14:textId="77777777" w:rsidR="00F87549" w:rsidRDefault="00F87549">
      <w:pPr>
        <w:rPr>
          <w:b/>
          <w:bCs/>
        </w:rPr>
      </w:pPr>
    </w:p>
    <w:p w14:paraId="7D11584E" w14:textId="77777777" w:rsidR="00F87549" w:rsidRDefault="00F87549">
      <w:pPr>
        <w:rPr>
          <w:b/>
          <w:bCs/>
        </w:rPr>
      </w:pPr>
    </w:p>
    <w:p w14:paraId="1D75A34C" w14:textId="77777777" w:rsidR="00F87549" w:rsidRDefault="00F87549">
      <w:pPr>
        <w:rPr>
          <w:b/>
          <w:bCs/>
        </w:rPr>
      </w:pPr>
    </w:p>
    <w:sectPr w:rsidR="00F87549">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rial">
    <w:panose1 w:val="020B0604020202020204"/>
    <w:charset w:val="00"/>
    <w:family w:val="swiss"/>
    <w:pitch w:val="variable"/>
    <w:sig w:usb0="E0002AFF" w:usb1="C0007843" w:usb2="00000009" w:usb3="00000000" w:csb0="000001FF" w:csb1="00000000"/>
    <w:embedRegular r:id="rId1" w:fontKey="{BB9E1C49-4BBE-1A44-9B7F-35CBAC5B5270}"/>
    <w:embedBold r:id="rId2" w:fontKey="{08185750-18A9-F541-9EBD-73055E391896}"/>
    <w:embedItalic r:id="rId3" w:fontKey="{1225A0E4-BCA0-9C4D-8A41-8A2326D9D58D}"/>
  </w:font>
  <w:font w:name="Times New Roman">
    <w:panose1 w:val="02020603050405020304"/>
    <w:charset w:val="00"/>
    <w:family w:val="roman"/>
    <w:pitch w:val="variable"/>
    <w:sig w:usb0="E0002EFF" w:usb1="C000785B" w:usb2="00000009" w:usb3="00000000" w:csb0="000001FF" w:csb1="00000000"/>
    <w:embedRegular r:id="rId4" w:fontKey="{195AA9D1-20EC-D84E-ACBA-1697EC93157B}"/>
    <w:embedItalic r:id="rId5" w:fontKey="{3C043018-8919-364D-971D-A94FB0617C65}"/>
  </w:font>
  <w:font w:name="Cambria Math">
    <w:panose1 w:val="02040503050406030204"/>
    <w:charset w:val="00"/>
    <w:family w:val="roman"/>
    <w:pitch w:val="variable"/>
    <w:sig w:usb0="E00006FF" w:usb1="420024FF" w:usb2="02000000" w:usb3="00000000" w:csb0="0000019F" w:csb1="00000000"/>
    <w:embedRegular r:id="rId6" w:fontKey="{97180403-BAED-9645-B6FC-6BF18B0FCCA2}"/>
  </w:font>
  <w:font w:name="Calibri">
    <w:panose1 w:val="020F0502020204030204"/>
    <w:charset w:val="00"/>
    <w:family w:val="swiss"/>
    <w:pitch w:val="variable"/>
    <w:sig w:usb0="E0002AFF" w:usb1="C000ACFF" w:usb2="00000009" w:usb3="00000000" w:csb0="000001FF" w:csb1="00000000"/>
    <w:embedRegular r:id="rId7" w:fontKey="{8F560E70-9EFD-9D4E-AC3E-4E1FB2E671F3}"/>
  </w:font>
  <w:font w:name="Cambria">
    <w:panose1 w:val="02040503050406030204"/>
    <w:charset w:val="00"/>
    <w:family w:val="roman"/>
    <w:pitch w:val="variable"/>
    <w:sig w:usb0="E00006FF" w:usb1="420024FF" w:usb2="02000000" w:usb3="00000000" w:csb0="0000019F" w:csb1="00000000"/>
    <w:embedRegular r:id="rId8" w:fontKey="{A25A5C69-7102-7D42-AD2B-E4177C0F4FB9}"/>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98"/>
  <w:embedTrueTypeFonts/>
  <w:proofState w:spelling="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87549"/>
    <w:rsid w:val="00037268"/>
    <w:rsid w:val="000C4CD7"/>
    <w:rsid w:val="002C4097"/>
    <w:rsid w:val="00422A7B"/>
    <w:rsid w:val="005F2115"/>
    <w:rsid w:val="00851118"/>
    <w:rsid w:val="00A018D1"/>
    <w:rsid w:val="00A65F14"/>
    <w:rsid w:val="00B24939"/>
    <w:rsid w:val="00C77FFD"/>
    <w:rsid w:val="00E42C51"/>
    <w:rsid w:val="00F35889"/>
    <w:rsid w:val="00F8754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AC55E4"/>
  <w15:docId w15:val="{A2978065-B7A0-455A-914E-F008043545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rial" w:eastAsia="Arial" w:hAnsi="Arial" w:cs="Arial"/>
        <w:sz w:val="22"/>
        <w:szCs w:val="22"/>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pPr>
      <w:keepNext/>
      <w:keepLines/>
      <w:outlineLvl w:val="0"/>
    </w:pPr>
    <w:rPr>
      <w:b/>
      <w:bCs/>
    </w:rPr>
  </w:style>
  <w:style w:type="paragraph" w:styleId="Titlu2">
    <w:name w:val="heading 2"/>
    <w:basedOn w:val="Normal"/>
    <w:next w:val="Normal"/>
    <w:uiPriority w:val="9"/>
    <w:semiHidden/>
    <w:unhideWhenUsed/>
    <w:qFormat/>
    <w:pPr>
      <w:keepNext/>
      <w:keepLines/>
      <w:outlineLvl w:val="1"/>
    </w:pPr>
    <w:rPr>
      <w:b/>
      <w:bCs/>
    </w:rPr>
  </w:style>
  <w:style w:type="paragraph" w:styleId="Titlu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Titlu5">
    <w:name w:val="heading 5"/>
    <w:basedOn w:val="Normal"/>
    <w:next w:val="Normal"/>
    <w:uiPriority w:val="9"/>
    <w:semiHidden/>
    <w:unhideWhenUsed/>
    <w:qFormat/>
    <w:pPr>
      <w:keepNext/>
      <w:keepLines/>
      <w:spacing w:before="240" w:after="80"/>
      <w:outlineLvl w:val="4"/>
    </w:pPr>
    <w:rPr>
      <w:color w:val="666666"/>
    </w:rPr>
  </w:style>
  <w:style w:type="paragraph" w:styleId="Titlu6">
    <w:name w:val="heading 6"/>
    <w:basedOn w:val="Normal"/>
    <w:next w:val="Normal"/>
    <w:uiPriority w:val="9"/>
    <w:semiHidden/>
    <w:unhideWhenUsed/>
    <w:qFormat/>
    <w:pPr>
      <w:keepNext/>
      <w:keepLines/>
      <w:spacing w:before="240" w:after="80"/>
      <w:outlineLvl w:val="5"/>
    </w:pPr>
    <w:rPr>
      <w:i/>
      <w:iCs/>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customStyle="1" w:styleId="TableNormal">
    <w:name w:val="TableNormal"/>
    <w:tblPr>
      <w:tblCellMar>
        <w:top w:w="100" w:type="dxa"/>
        <w:left w:w="100" w:type="dxa"/>
        <w:bottom w:w="100" w:type="dxa"/>
        <w:right w:w="100" w:type="dxa"/>
      </w:tblCellMar>
    </w:tblPr>
  </w:style>
  <w:style w:type="paragraph" w:styleId="Titlu">
    <w:name w:val="Title"/>
    <w:basedOn w:val="Normal"/>
    <w:next w:val="Normal"/>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library.oapen.org/handle/20.500.12657/86376" TargetMode="External"/><Relationship Id="rId3" Type="http://schemas.openxmlformats.org/officeDocument/2006/relationships/webSettings" Target="webSettings.xml"/><Relationship Id="rId7" Type="http://schemas.openxmlformats.org/officeDocument/2006/relationships/hyperlink" Target="https://www.cambridge.org/core/journals/bjpsych-bulletin/article/madness-and-society-inbritain/4E1D5EFED764F6253966858E93BA2475"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link.springer.com/article/10.1186/s12955-023-02101-5" TargetMode="External"/><Relationship Id="rId11" Type="http://schemas.openxmlformats.org/officeDocument/2006/relationships/fontTable" Target="fontTable.xml"/><Relationship Id="rId5" Type="http://schemas.openxmlformats.org/officeDocument/2006/relationships/image" Target="media/image2.png"/><Relationship Id="rId10" Type="http://schemas.openxmlformats.org/officeDocument/2006/relationships/hyperlink" Target="https://www.england.nhs.uk/mental-health/adults/cmhs/" TargetMode="External"/><Relationship Id="rId4" Type="http://schemas.openxmlformats.org/officeDocument/2006/relationships/image" Target="media/image1.png"/><Relationship Id="rId9" Type="http://schemas.openxmlformats.org/officeDocument/2006/relationships/hyperlink" Target="https://onlinelibrary.wiley.com/doi/abs/10.1002/wps.20938" TargetMode="Externa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5</Pages>
  <Words>846</Words>
  <Characters>4910</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AMT SOLUTION</dc:creator>
  <cp:lastModifiedBy>Cristina Tanase</cp:lastModifiedBy>
  <cp:revision>8</cp:revision>
  <dcterms:created xsi:type="dcterms:W3CDTF">2026-07-14T12:09:00Z</dcterms:created>
  <dcterms:modified xsi:type="dcterms:W3CDTF">2026-07-19T23:38:00Z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3ee5425f-1b65-4f0d-93b9-f4f179418fa3</vt:lpwstr>
  </property>
</Properties>
</file>