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2AF11" w14:textId="04DE8625" w:rsidR="00664518" w:rsidRPr="00904695" w:rsidRDefault="00070E54" w:rsidP="00664518">
      <w:pPr>
        <w:rPr>
          <w:rFonts w:cs="Times New Roman"/>
        </w:rPr>
      </w:pPr>
      <w:r>
        <w:fldChar w:fldCharType="begin"/>
      </w:r>
      <w:r>
        <w:instrText xml:space="preserve"> INCLUDEPICTURE "https://tukuz.com/wp-content/uploads/2021/06/university-of-wales-trinity-saint-david-logo-vector.png" \* MERGEFORMATINET </w:instrText>
      </w:r>
      <w:r>
        <w:fldChar w:fldCharType="separate"/>
      </w:r>
      <w:r>
        <w:rPr>
          <w:noProof/>
        </w:rPr>
        <w:drawing>
          <wp:inline distT="0" distB="0" distL="0" distR="0" wp14:anchorId="67CCFDC6" wp14:editId="3E3087F2">
            <wp:extent cx="5901267" cy="2168620"/>
            <wp:effectExtent l="0" t="0" r="4445" b="3175"/>
            <wp:docPr id="929072509"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72509" name="Picture 1" descr="A black and yellow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67913" cy="2229860"/>
                    </a:xfrm>
                    <a:prstGeom prst="rect">
                      <a:avLst/>
                    </a:prstGeom>
                    <a:noFill/>
                    <a:ln>
                      <a:noFill/>
                    </a:ln>
                  </pic:spPr>
                </pic:pic>
              </a:graphicData>
            </a:graphic>
          </wp:inline>
        </w:drawing>
      </w:r>
      <w:r>
        <w:fldChar w:fldCharType="end"/>
      </w:r>
    </w:p>
    <w:p w14:paraId="684F619E" w14:textId="4860E355" w:rsidR="00664518" w:rsidRDefault="00664518" w:rsidP="00664518">
      <w:pPr>
        <w:rPr>
          <w:rFonts w:cs="Times New Roman"/>
        </w:rPr>
      </w:pPr>
    </w:p>
    <w:p w14:paraId="706C9A53" w14:textId="44D7AEA6" w:rsidR="00326799" w:rsidRDefault="00326799" w:rsidP="00326799">
      <w:pPr>
        <w:spacing w:line="240" w:lineRule="auto"/>
        <w:jc w:val="center"/>
        <w:rPr>
          <w:b/>
          <w:bCs/>
          <w:sz w:val="32"/>
          <w:szCs w:val="32"/>
        </w:rPr>
      </w:pPr>
      <w:r w:rsidRPr="006A0108">
        <w:rPr>
          <w:b/>
          <w:bCs/>
          <w:sz w:val="32"/>
          <w:szCs w:val="32"/>
        </w:rPr>
        <w:t>LCBB</w:t>
      </w:r>
      <w:r>
        <w:rPr>
          <w:b/>
          <w:bCs/>
          <w:sz w:val="32"/>
          <w:szCs w:val="32"/>
        </w:rPr>
        <w:t xml:space="preserve">6002 International Financial Management </w:t>
      </w:r>
    </w:p>
    <w:p w14:paraId="11695B51" w14:textId="77777777" w:rsidR="00326799" w:rsidRDefault="00326799" w:rsidP="00326799">
      <w:pPr>
        <w:spacing w:line="240" w:lineRule="auto"/>
        <w:jc w:val="center"/>
        <w:rPr>
          <w:b/>
          <w:bCs/>
          <w:sz w:val="32"/>
          <w:szCs w:val="32"/>
        </w:rPr>
      </w:pPr>
    </w:p>
    <w:p w14:paraId="11E0DAF7" w14:textId="3C63675E" w:rsidR="00326799" w:rsidRDefault="00326799" w:rsidP="00326799">
      <w:pPr>
        <w:spacing w:line="240" w:lineRule="auto"/>
        <w:jc w:val="center"/>
        <w:rPr>
          <w:b/>
          <w:bCs/>
          <w:sz w:val="32"/>
          <w:szCs w:val="32"/>
        </w:rPr>
      </w:pPr>
      <w:r>
        <w:rPr>
          <w:b/>
          <w:bCs/>
          <w:sz w:val="32"/>
          <w:szCs w:val="32"/>
        </w:rPr>
        <w:t xml:space="preserve">Assessment </w:t>
      </w:r>
      <w:r>
        <w:rPr>
          <w:b/>
          <w:bCs/>
          <w:sz w:val="32"/>
          <w:szCs w:val="32"/>
        </w:rPr>
        <w:t xml:space="preserve">1 </w:t>
      </w:r>
    </w:p>
    <w:p w14:paraId="7A3CF378" w14:textId="77777777" w:rsidR="00326799" w:rsidRDefault="00326799" w:rsidP="00326799">
      <w:pPr>
        <w:spacing w:line="240" w:lineRule="auto"/>
        <w:jc w:val="center"/>
        <w:rPr>
          <w:b/>
          <w:bCs/>
          <w:sz w:val="32"/>
          <w:szCs w:val="32"/>
        </w:rPr>
      </w:pPr>
    </w:p>
    <w:p w14:paraId="0F553636" w14:textId="5D521786" w:rsidR="00326799" w:rsidRPr="005A593E" w:rsidRDefault="00326799" w:rsidP="00326799">
      <w:pPr>
        <w:spacing w:line="240" w:lineRule="auto"/>
        <w:jc w:val="center"/>
        <w:rPr>
          <w:b/>
          <w:bCs/>
          <w:sz w:val="32"/>
          <w:szCs w:val="32"/>
          <w:lang w:val="nl-NL"/>
        </w:rPr>
      </w:pPr>
      <w:r w:rsidRPr="005A593E">
        <w:rPr>
          <w:b/>
          <w:bCs/>
          <w:sz w:val="32"/>
          <w:szCs w:val="32"/>
          <w:lang w:val="nl-NL"/>
        </w:rPr>
        <w:t xml:space="preserve">Student Name: </w:t>
      </w:r>
      <w:r>
        <w:rPr>
          <w:b/>
          <w:bCs/>
          <w:sz w:val="32"/>
          <w:szCs w:val="32"/>
          <w:lang w:val="nl-NL"/>
        </w:rPr>
        <w:t>Rumyana Popova</w:t>
      </w:r>
    </w:p>
    <w:p w14:paraId="530D7395" w14:textId="77777777" w:rsidR="00326799" w:rsidRPr="005A593E" w:rsidRDefault="00326799" w:rsidP="00326799">
      <w:pPr>
        <w:spacing w:line="240" w:lineRule="auto"/>
        <w:jc w:val="center"/>
        <w:rPr>
          <w:b/>
          <w:bCs/>
          <w:sz w:val="32"/>
          <w:szCs w:val="32"/>
          <w:lang w:val="nl-NL"/>
        </w:rPr>
      </w:pPr>
    </w:p>
    <w:p w14:paraId="4617FD49" w14:textId="79A5E2C6" w:rsidR="00326799" w:rsidRPr="005A593E" w:rsidRDefault="00326799" w:rsidP="00326799">
      <w:pPr>
        <w:spacing w:line="240" w:lineRule="auto"/>
        <w:jc w:val="center"/>
        <w:rPr>
          <w:b/>
          <w:bCs/>
          <w:sz w:val="32"/>
          <w:szCs w:val="32"/>
          <w:lang w:val="nl-NL"/>
        </w:rPr>
      </w:pPr>
      <w:r w:rsidRPr="005A593E">
        <w:rPr>
          <w:b/>
          <w:bCs/>
          <w:sz w:val="32"/>
          <w:szCs w:val="32"/>
          <w:lang w:val="nl-NL"/>
        </w:rPr>
        <w:t xml:space="preserve">Student ID: </w:t>
      </w:r>
      <w:r>
        <w:rPr>
          <w:b/>
          <w:bCs/>
          <w:sz w:val="32"/>
          <w:szCs w:val="32"/>
          <w:lang w:val="nl-NL"/>
        </w:rPr>
        <w:t>1909673</w:t>
      </w:r>
    </w:p>
    <w:p w14:paraId="215CB16A" w14:textId="77777777" w:rsidR="00326799" w:rsidRPr="005A593E" w:rsidRDefault="00326799" w:rsidP="00326799">
      <w:pPr>
        <w:spacing w:line="240" w:lineRule="auto"/>
        <w:jc w:val="center"/>
        <w:rPr>
          <w:b/>
          <w:bCs/>
          <w:sz w:val="32"/>
          <w:szCs w:val="32"/>
          <w:lang w:val="nl-NL"/>
        </w:rPr>
      </w:pPr>
    </w:p>
    <w:p w14:paraId="7C0EE574" w14:textId="4851CCBD" w:rsidR="00326799" w:rsidRDefault="00326799" w:rsidP="00326799">
      <w:pPr>
        <w:spacing w:line="240" w:lineRule="auto"/>
        <w:jc w:val="center"/>
        <w:rPr>
          <w:b/>
          <w:bCs/>
          <w:sz w:val="32"/>
          <w:szCs w:val="32"/>
        </w:rPr>
      </w:pPr>
      <w:r>
        <w:rPr>
          <w:b/>
          <w:bCs/>
          <w:sz w:val="32"/>
          <w:szCs w:val="32"/>
        </w:rPr>
        <w:t xml:space="preserve">Lecturer Name: </w:t>
      </w:r>
      <w:r w:rsidR="00DA09BB">
        <w:rPr>
          <w:b/>
          <w:bCs/>
          <w:sz w:val="32"/>
          <w:szCs w:val="32"/>
        </w:rPr>
        <w:t>Andry Rakotovololona</w:t>
      </w:r>
    </w:p>
    <w:p w14:paraId="62858AF3" w14:textId="77777777" w:rsidR="00326799" w:rsidRDefault="00326799" w:rsidP="00326799">
      <w:pPr>
        <w:spacing w:line="240" w:lineRule="auto"/>
        <w:jc w:val="center"/>
        <w:rPr>
          <w:b/>
          <w:bCs/>
          <w:sz w:val="32"/>
          <w:szCs w:val="32"/>
        </w:rPr>
      </w:pPr>
    </w:p>
    <w:p w14:paraId="38307733" w14:textId="160BAE53" w:rsidR="00326799" w:rsidRDefault="00326799" w:rsidP="00326799">
      <w:pPr>
        <w:spacing w:line="240" w:lineRule="auto"/>
        <w:jc w:val="center"/>
        <w:rPr>
          <w:b/>
          <w:bCs/>
          <w:sz w:val="32"/>
          <w:szCs w:val="32"/>
        </w:rPr>
      </w:pPr>
      <w:r>
        <w:rPr>
          <w:b/>
          <w:bCs/>
          <w:sz w:val="32"/>
          <w:szCs w:val="32"/>
        </w:rPr>
        <w:t xml:space="preserve"> Term </w:t>
      </w:r>
      <w:r w:rsidR="00DA09BB">
        <w:rPr>
          <w:b/>
          <w:bCs/>
          <w:sz w:val="32"/>
          <w:szCs w:val="32"/>
        </w:rPr>
        <w:t xml:space="preserve">1 February </w:t>
      </w:r>
      <w:r>
        <w:rPr>
          <w:b/>
          <w:bCs/>
          <w:sz w:val="32"/>
          <w:szCs w:val="32"/>
        </w:rPr>
        <w:t>202</w:t>
      </w:r>
      <w:r>
        <w:rPr>
          <w:b/>
          <w:bCs/>
          <w:sz w:val="32"/>
          <w:szCs w:val="32"/>
        </w:rPr>
        <w:t>4</w:t>
      </w:r>
    </w:p>
    <w:p w14:paraId="7D15EEB4" w14:textId="77777777" w:rsidR="00326799" w:rsidRDefault="00326799" w:rsidP="00664518">
      <w:pPr>
        <w:rPr>
          <w:rFonts w:cs="Times New Roman"/>
        </w:rPr>
      </w:pPr>
    </w:p>
    <w:p w14:paraId="77333D60" w14:textId="596432CA" w:rsidR="00664518" w:rsidRPr="00904695" w:rsidRDefault="005B1338" w:rsidP="00664518">
      <w:pPr>
        <w:rPr>
          <w:rFonts w:cs="Times New Roman"/>
        </w:rPr>
      </w:pPr>
      <w:r w:rsidRPr="00904695">
        <w:rPr>
          <w:rFonts w:cs="Times New Roman"/>
        </w:rPr>
        <w:br w:type="page"/>
      </w:r>
    </w:p>
    <w:sdt>
      <w:sdtPr>
        <w:rPr>
          <w:rFonts w:ascii="Times New Roman" w:eastAsiaTheme="minorHAnsi" w:hAnsi="Times New Roman" w:cs="Times New Roman"/>
          <w:color w:val="auto"/>
          <w:kern w:val="2"/>
          <w:sz w:val="24"/>
          <w:szCs w:val="22"/>
          <w:lang w:val="en-GB"/>
          <w14:ligatures w14:val="standardContextual"/>
        </w:rPr>
        <w:id w:val="-785814399"/>
        <w:docPartObj>
          <w:docPartGallery w:val="Table of Contents"/>
          <w:docPartUnique/>
        </w:docPartObj>
      </w:sdtPr>
      <w:sdtEndPr>
        <w:rPr>
          <w:b/>
          <w:bCs/>
          <w:noProof/>
        </w:rPr>
      </w:sdtEndPr>
      <w:sdtContent>
        <w:p w14:paraId="393782BD" w14:textId="0D8770CD" w:rsidR="00664518" w:rsidRPr="00904695" w:rsidRDefault="00664518">
          <w:pPr>
            <w:pStyle w:val="TOCHeading"/>
            <w:rPr>
              <w:rFonts w:ascii="Times New Roman" w:hAnsi="Times New Roman" w:cs="Times New Roman"/>
              <w:b/>
              <w:bCs/>
              <w:color w:val="auto"/>
            </w:rPr>
          </w:pPr>
          <w:r w:rsidRPr="00904695">
            <w:rPr>
              <w:rFonts w:ascii="Times New Roman" w:hAnsi="Times New Roman" w:cs="Times New Roman"/>
              <w:b/>
              <w:bCs/>
              <w:color w:val="auto"/>
            </w:rPr>
            <w:t>Contents</w:t>
          </w:r>
        </w:p>
        <w:p w14:paraId="4ECA153D" w14:textId="6A5BE835" w:rsidR="00C63FD2" w:rsidRPr="00904695" w:rsidRDefault="00664518">
          <w:pPr>
            <w:pStyle w:val="TOC1"/>
            <w:tabs>
              <w:tab w:val="right" w:leader="dot" w:pos="9350"/>
            </w:tabs>
            <w:rPr>
              <w:rFonts w:eastAsiaTheme="minorEastAsia" w:cs="Times New Roman"/>
              <w:noProof/>
              <w:kern w:val="0"/>
              <w:sz w:val="22"/>
              <w:lang w:eastAsia="en-GB"/>
              <w14:ligatures w14:val="none"/>
            </w:rPr>
          </w:pPr>
          <w:r w:rsidRPr="00904695">
            <w:rPr>
              <w:rFonts w:cs="Times New Roman"/>
            </w:rPr>
            <w:fldChar w:fldCharType="begin"/>
          </w:r>
          <w:r w:rsidRPr="00904695">
            <w:rPr>
              <w:rFonts w:cs="Times New Roman"/>
            </w:rPr>
            <w:instrText xml:space="preserve"> TOC \o "1-3" \h \z \u </w:instrText>
          </w:r>
          <w:r w:rsidRPr="00904695">
            <w:rPr>
              <w:rFonts w:cs="Times New Roman"/>
            </w:rPr>
            <w:fldChar w:fldCharType="separate"/>
          </w:r>
          <w:hyperlink w:anchor="_Toc161521487" w:history="1">
            <w:r w:rsidR="00C63FD2" w:rsidRPr="00904695">
              <w:rPr>
                <w:rStyle w:val="Hyperlink"/>
                <w:rFonts w:cs="Times New Roman"/>
                <w:noProof/>
              </w:rPr>
              <w:t>Introduction</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_Toc161521487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3</w:t>
            </w:r>
            <w:r w:rsidR="00C63FD2" w:rsidRPr="00904695">
              <w:rPr>
                <w:rFonts w:cs="Times New Roman"/>
                <w:noProof/>
                <w:webHidden/>
              </w:rPr>
              <w:fldChar w:fldCharType="end"/>
            </w:r>
          </w:hyperlink>
        </w:p>
        <w:p w14:paraId="399D9556" w14:textId="5FBDA686" w:rsidR="00C63FD2" w:rsidRPr="00904695" w:rsidRDefault="00000000">
          <w:pPr>
            <w:pStyle w:val="TOC1"/>
            <w:tabs>
              <w:tab w:val="right" w:leader="dot" w:pos="9350"/>
            </w:tabs>
            <w:rPr>
              <w:rFonts w:eastAsiaTheme="minorEastAsia" w:cs="Times New Roman"/>
              <w:noProof/>
              <w:kern w:val="0"/>
              <w:sz w:val="22"/>
              <w:lang w:eastAsia="en-GB"/>
              <w14:ligatures w14:val="none"/>
            </w:rPr>
          </w:pPr>
          <w:hyperlink w:anchor="_Toc161521488" w:history="1">
            <w:r w:rsidR="00C63FD2" w:rsidRPr="00904695">
              <w:rPr>
                <w:rStyle w:val="Hyperlink"/>
                <w:rFonts w:cs="Times New Roman"/>
                <w:noProof/>
              </w:rPr>
              <w:t>MNCs and Foreign Exchange Risks</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_Toc161521488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3</w:t>
            </w:r>
            <w:r w:rsidR="00C63FD2" w:rsidRPr="00904695">
              <w:rPr>
                <w:rFonts w:cs="Times New Roman"/>
                <w:noProof/>
                <w:webHidden/>
              </w:rPr>
              <w:fldChar w:fldCharType="end"/>
            </w:r>
          </w:hyperlink>
        </w:p>
        <w:p w14:paraId="6D76C55A" w14:textId="1804DD8C"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89" w:history="1">
            <w:r w:rsidR="00C63FD2" w:rsidRPr="00904695">
              <w:rPr>
                <w:rStyle w:val="Hyperlink"/>
                <w:rFonts w:cs="Times New Roman"/>
                <w:noProof/>
                <w:lang w:val="en-US"/>
              </w:rPr>
              <w:t>1.</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Transaction Risk</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_Toc161521489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3</w:t>
            </w:r>
            <w:r w:rsidR="00C63FD2" w:rsidRPr="00904695">
              <w:rPr>
                <w:rFonts w:cs="Times New Roman"/>
                <w:noProof/>
                <w:webHidden/>
              </w:rPr>
              <w:fldChar w:fldCharType="end"/>
            </w:r>
          </w:hyperlink>
        </w:p>
        <w:p w14:paraId="007E07FC" w14:textId="7E7A9D91"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90" w:history="1">
            <w:r w:rsidR="00C63FD2" w:rsidRPr="00904695">
              <w:rPr>
                <w:rStyle w:val="Hyperlink"/>
                <w:rFonts w:cs="Times New Roman"/>
                <w:noProof/>
                <w:lang w:val="en-US"/>
              </w:rPr>
              <w:t>2.</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Economic Risk</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_Toc161521490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3</w:t>
            </w:r>
            <w:r w:rsidR="00C63FD2" w:rsidRPr="00904695">
              <w:rPr>
                <w:rFonts w:cs="Times New Roman"/>
                <w:noProof/>
                <w:webHidden/>
              </w:rPr>
              <w:fldChar w:fldCharType="end"/>
            </w:r>
          </w:hyperlink>
        </w:p>
        <w:p w14:paraId="7E04EC71" w14:textId="23D79CA2"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91" w:history="1">
            <w:r w:rsidR="00C63FD2" w:rsidRPr="00904695">
              <w:rPr>
                <w:rStyle w:val="Hyperlink"/>
                <w:rFonts w:cs="Times New Roman"/>
                <w:noProof/>
                <w:lang w:val="en-US"/>
              </w:rPr>
              <w:t>3.</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Translation Risk</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_Toc161521491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4</w:t>
            </w:r>
            <w:r w:rsidR="00C63FD2" w:rsidRPr="00904695">
              <w:rPr>
                <w:rFonts w:cs="Times New Roman"/>
                <w:noProof/>
                <w:webHidden/>
              </w:rPr>
              <w:fldChar w:fldCharType="end"/>
            </w:r>
          </w:hyperlink>
        </w:p>
        <w:p w14:paraId="1DEF971A" w14:textId="138E4879" w:rsidR="00C63FD2" w:rsidRPr="00904695" w:rsidRDefault="00000000">
          <w:pPr>
            <w:pStyle w:val="TOC1"/>
            <w:tabs>
              <w:tab w:val="right" w:leader="dot" w:pos="9350"/>
            </w:tabs>
            <w:rPr>
              <w:rFonts w:eastAsiaTheme="minorEastAsia" w:cs="Times New Roman"/>
              <w:noProof/>
              <w:kern w:val="0"/>
              <w:sz w:val="22"/>
              <w:lang w:eastAsia="en-GB"/>
              <w14:ligatures w14:val="none"/>
            </w:rPr>
          </w:pPr>
          <w:hyperlink w:anchor="_Toc161521492" w:history="1">
            <w:r w:rsidR="00C63FD2" w:rsidRPr="00904695">
              <w:rPr>
                <w:rStyle w:val="Hyperlink"/>
                <w:rFonts w:cs="Times New Roman"/>
                <w:noProof/>
              </w:rPr>
              <w:t>International Financial Management Theories and Foreign Exchange Risk Management</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_Toc161521492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4</w:t>
            </w:r>
            <w:r w:rsidR="00C63FD2" w:rsidRPr="00904695">
              <w:rPr>
                <w:rFonts w:cs="Times New Roman"/>
                <w:noProof/>
                <w:webHidden/>
              </w:rPr>
              <w:fldChar w:fldCharType="end"/>
            </w:r>
          </w:hyperlink>
        </w:p>
        <w:p w14:paraId="0B847C9E" w14:textId="40AFAE37"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93" w:history="1">
            <w:r w:rsidR="00C63FD2" w:rsidRPr="00904695">
              <w:rPr>
                <w:rStyle w:val="Hyperlink"/>
                <w:rFonts w:cs="Times New Roman"/>
                <w:noProof/>
                <w:lang w:val="en-US"/>
              </w:rPr>
              <w:t>1.</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Modern Portfolio Theory (MPT)</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_Toc161521493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4</w:t>
            </w:r>
            <w:r w:rsidR="00C63FD2" w:rsidRPr="00904695">
              <w:rPr>
                <w:rFonts w:cs="Times New Roman"/>
                <w:noProof/>
                <w:webHidden/>
              </w:rPr>
              <w:fldChar w:fldCharType="end"/>
            </w:r>
          </w:hyperlink>
        </w:p>
        <w:p w14:paraId="74AD6767" w14:textId="54EC7E83"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94" w:history="1">
            <w:r w:rsidR="00C63FD2" w:rsidRPr="00904695">
              <w:rPr>
                <w:rStyle w:val="Hyperlink"/>
                <w:rFonts w:cs="Times New Roman"/>
                <w:noProof/>
                <w:lang w:val="en-US"/>
              </w:rPr>
              <w:t>2.</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Capital Asset Pricing Model (CAPM)</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_Toc161521494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5</w:t>
            </w:r>
            <w:r w:rsidR="00C63FD2" w:rsidRPr="00904695">
              <w:rPr>
                <w:rFonts w:cs="Times New Roman"/>
                <w:noProof/>
                <w:webHidden/>
              </w:rPr>
              <w:fldChar w:fldCharType="end"/>
            </w:r>
          </w:hyperlink>
        </w:p>
        <w:p w14:paraId="3B64C87D" w14:textId="095904F7"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95" w:history="1">
            <w:r w:rsidR="00C63FD2" w:rsidRPr="00904695">
              <w:rPr>
                <w:rStyle w:val="Hyperlink"/>
                <w:rFonts w:cs="Times New Roman"/>
                <w:noProof/>
                <w:lang w:val="en-US"/>
              </w:rPr>
              <w:t>3.</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Real Options Theory</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_Toc161521495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5</w:t>
            </w:r>
            <w:r w:rsidR="00C63FD2" w:rsidRPr="00904695">
              <w:rPr>
                <w:rFonts w:cs="Times New Roman"/>
                <w:noProof/>
                <w:webHidden/>
              </w:rPr>
              <w:fldChar w:fldCharType="end"/>
            </w:r>
          </w:hyperlink>
        </w:p>
        <w:p w14:paraId="246C36CF" w14:textId="55032906" w:rsidR="00C63FD2" w:rsidRPr="00904695" w:rsidRDefault="00000000">
          <w:pPr>
            <w:pStyle w:val="TOC1"/>
            <w:tabs>
              <w:tab w:val="right" w:leader="dot" w:pos="9350"/>
            </w:tabs>
            <w:rPr>
              <w:rFonts w:eastAsiaTheme="minorEastAsia" w:cs="Times New Roman"/>
              <w:noProof/>
              <w:kern w:val="0"/>
              <w:sz w:val="22"/>
              <w:lang w:eastAsia="en-GB"/>
              <w14:ligatures w14:val="none"/>
            </w:rPr>
          </w:pPr>
          <w:hyperlink w:anchor="_Toc161521496" w:history="1">
            <w:r w:rsidR="00C63FD2" w:rsidRPr="00904695">
              <w:rPr>
                <w:rStyle w:val="Hyperlink"/>
                <w:rFonts w:cs="Times New Roman"/>
                <w:noProof/>
              </w:rPr>
              <w:t>Foreign Exchange Risk Management Strategies</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_Toc161521496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5</w:t>
            </w:r>
            <w:r w:rsidR="00C63FD2" w:rsidRPr="00904695">
              <w:rPr>
                <w:rFonts w:cs="Times New Roman"/>
                <w:noProof/>
                <w:webHidden/>
              </w:rPr>
              <w:fldChar w:fldCharType="end"/>
            </w:r>
          </w:hyperlink>
        </w:p>
        <w:p w14:paraId="667F5D0B" w14:textId="4CF3AEC9"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497" w:history="1">
            <w:r w:rsidR="00C63FD2" w:rsidRPr="00904695">
              <w:rPr>
                <w:rStyle w:val="Hyperlink"/>
                <w:rFonts w:cs="Times New Roman"/>
                <w:noProof/>
                <w:lang w:val="en-US"/>
              </w:rPr>
              <w:t>1.</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Currency Hedging</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_Toc161521497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5</w:t>
            </w:r>
            <w:r w:rsidR="00C63FD2" w:rsidRPr="00904695">
              <w:rPr>
                <w:rFonts w:cs="Times New Roman"/>
                <w:noProof/>
                <w:webHidden/>
              </w:rPr>
              <w:fldChar w:fldCharType="end"/>
            </w:r>
          </w:hyperlink>
        </w:p>
        <w:p w14:paraId="3F215187" w14:textId="082859AA" w:rsidR="00C63FD2" w:rsidRPr="00904695" w:rsidRDefault="00000000">
          <w:pPr>
            <w:pStyle w:val="TOC3"/>
            <w:tabs>
              <w:tab w:val="right" w:leader="dot" w:pos="9350"/>
            </w:tabs>
            <w:rPr>
              <w:rFonts w:eastAsiaTheme="minorEastAsia" w:cs="Times New Roman"/>
              <w:noProof/>
              <w:kern w:val="0"/>
              <w:sz w:val="22"/>
              <w:lang w:eastAsia="en-GB"/>
              <w14:ligatures w14:val="none"/>
            </w:rPr>
          </w:pPr>
          <w:hyperlink w:anchor="_Toc161521498" w:history="1">
            <w:r w:rsidR="00C63FD2" w:rsidRPr="00904695">
              <w:rPr>
                <w:rStyle w:val="Hyperlink"/>
                <w:rFonts w:cs="Times New Roman"/>
                <w:noProof/>
              </w:rPr>
              <w:t>Forward Contracts</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_Toc161521498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6</w:t>
            </w:r>
            <w:r w:rsidR="00C63FD2" w:rsidRPr="00904695">
              <w:rPr>
                <w:rFonts w:cs="Times New Roman"/>
                <w:noProof/>
                <w:webHidden/>
              </w:rPr>
              <w:fldChar w:fldCharType="end"/>
            </w:r>
          </w:hyperlink>
        </w:p>
        <w:p w14:paraId="7C417C69" w14:textId="31FB1815" w:rsidR="00C63FD2" w:rsidRPr="00904695" w:rsidRDefault="00000000">
          <w:pPr>
            <w:pStyle w:val="TOC3"/>
            <w:tabs>
              <w:tab w:val="right" w:leader="dot" w:pos="9350"/>
            </w:tabs>
            <w:rPr>
              <w:rFonts w:eastAsiaTheme="minorEastAsia" w:cs="Times New Roman"/>
              <w:noProof/>
              <w:kern w:val="0"/>
              <w:sz w:val="22"/>
              <w:lang w:eastAsia="en-GB"/>
              <w14:ligatures w14:val="none"/>
            </w:rPr>
          </w:pPr>
          <w:hyperlink w:anchor="_Toc161521499" w:history="1">
            <w:r w:rsidR="00C63FD2" w:rsidRPr="00904695">
              <w:rPr>
                <w:rStyle w:val="Hyperlink"/>
                <w:rFonts w:cs="Times New Roman"/>
                <w:noProof/>
              </w:rPr>
              <w:t>Currency Options</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_Toc161521499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6</w:t>
            </w:r>
            <w:r w:rsidR="00C63FD2" w:rsidRPr="00904695">
              <w:rPr>
                <w:rFonts w:cs="Times New Roman"/>
                <w:noProof/>
                <w:webHidden/>
              </w:rPr>
              <w:fldChar w:fldCharType="end"/>
            </w:r>
          </w:hyperlink>
        </w:p>
        <w:p w14:paraId="774EB636" w14:textId="67ABC0A3" w:rsidR="00C63FD2" w:rsidRPr="00904695" w:rsidRDefault="00000000">
          <w:pPr>
            <w:pStyle w:val="TOC3"/>
            <w:tabs>
              <w:tab w:val="right" w:leader="dot" w:pos="9350"/>
            </w:tabs>
            <w:rPr>
              <w:rFonts w:eastAsiaTheme="minorEastAsia" w:cs="Times New Roman"/>
              <w:noProof/>
              <w:kern w:val="0"/>
              <w:sz w:val="22"/>
              <w:lang w:eastAsia="en-GB"/>
              <w14:ligatures w14:val="none"/>
            </w:rPr>
          </w:pPr>
          <w:hyperlink w:anchor="_Toc161521500" w:history="1">
            <w:r w:rsidR="00C63FD2" w:rsidRPr="00904695">
              <w:rPr>
                <w:rStyle w:val="Hyperlink"/>
                <w:rFonts w:cs="Times New Roman"/>
                <w:noProof/>
              </w:rPr>
              <w:t>Currency Swaps</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_Toc161521500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6</w:t>
            </w:r>
            <w:r w:rsidR="00C63FD2" w:rsidRPr="00904695">
              <w:rPr>
                <w:rFonts w:cs="Times New Roman"/>
                <w:noProof/>
                <w:webHidden/>
              </w:rPr>
              <w:fldChar w:fldCharType="end"/>
            </w:r>
          </w:hyperlink>
        </w:p>
        <w:p w14:paraId="21B12F61" w14:textId="087D6B1C" w:rsidR="00C63FD2" w:rsidRPr="00904695" w:rsidRDefault="00000000">
          <w:pPr>
            <w:pStyle w:val="TOC2"/>
            <w:tabs>
              <w:tab w:val="left" w:pos="660"/>
              <w:tab w:val="right" w:leader="dot" w:pos="9350"/>
            </w:tabs>
            <w:rPr>
              <w:rFonts w:eastAsiaTheme="minorEastAsia" w:cs="Times New Roman"/>
              <w:noProof/>
              <w:kern w:val="0"/>
              <w:sz w:val="22"/>
              <w:lang w:eastAsia="en-GB"/>
              <w14:ligatures w14:val="none"/>
            </w:rPr>
          </w:pPr>
          <w:hyperlink w:anchor="_Toc161521501" w:history="1">
            <w:r w:rsidR="00C63FD2" w:rsidRPr="00904695">
              <w:rPr>
                <w:rStyle w:val="Hyperlink"/>
                <w:rFonts w:cs="Times New Roman"/>
                <w:noProof/>
                <w:lang w:val="en-US"/>
              </w:rPr>
              <w:t>2.</w:t>
            </w:r>
            <w:r w:rsidR="00C63FD2" w:rsidRPr="00904695">
              <w:rPr>
                <w:rFonts w:eastAsiaTheme="minorEastAsia" w:cs="Times New Roman"/>
                <w:noProof/>
                <w:kern w:val="0"/>
                <w:sz w:val="22"/>
                <w:lang w:eastAsia="en-GB"/>
                <w14:ligatures w14:val="none"/>
              </w:rPr>
              <w:tab/>
            </w:r>
            <w:r w:rsidR="00C63FD2" w:rsidRPr="00904695">
              <w:rPr>
                <w:rStyle w:val="Hyperlink"/>
                <w:rFonts w:cs="Times New Roman"/>
                <w:noProof/>
                <w:lang w:val="en-US"/>
              </w:rPr>
              <w:t>Netting</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_Toc161521501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7</w:t>
            </w:r>
            <w:r w:rsidR="00C63FD2" w:rsidRPr="00904695">
              <w:rPr>
                <w:rFonts w:cs="Times New Roman"/>
                <w:noProof/>
                <w:webHidden/>
              </w:rPr>
              <w:fldChar w:fldCharType="end"/>
            </w:r>
          </w:hyperlink>
        </w:p>
        <w:p w14:paraId="25735629" w14:textId="2C849925" w:rsidR="00C63FD2" w:rsidRPr="00904695" w:rsidRDefault="00000000">
          <w:pPr>
            <w:pStyle w:val="TOC1"/>
            <w:tabs>
              <w:tab w:val="right" w:leader="dot" w:pos="9350"/>
            </w:tabs>
            <w:rPr>
              <w:rFonts w:eastAsiaTheme="minorEastAsia" w:cs="Times New Roman"/>
              <w:noProof/>
              <w:kern w:val="0"/>
              <w:sz w:val="22"/>
              <w:lang w:eastAsia="en-GB"/>
              <w14:ligatures w14:val="none"/>
            </w:rPr>
          </w:pPr>
          <w:hyperlink w:anchor="_Toc161521502" w:history="1">
            <w:r w:rsidR="00C63FD2" w:rsidRPr="00904695">
              <w:rPr>
                <w:rStyle w:val="Hyperlink"/>
                <w:rFonts w:cs="Times New Roman"/>
                <w:noProof/>
              </w:rPr>
              <w:t>Conclusion</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_Toc161521502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8</w:t>
            </w:r>
            <w:r w:rsidR="00C63FD2" w:rsidRPr="00904695">
              <w:rPr>
                <w:rFonts w:cs="Times New Roman"/>
                <w:noProof/>
                <w:webHidden/>
              </w:rPr>
              <w:fldChar w:fldCharType="end"/>
            </w:r>
          </w:hyperlink>
        </w:p>
        <w:p w14:paraId="54BD2608" w14:textId="02A65664" w:rsidR="00C63FD2" w:rsidRPr="00904695" w:rsidRDefault="00000000">
          <w:pPr>
            <w:pStyle w:val="TOC1"/>
            <w:tabs>
              <w:tab w:val="right" w:leader="dot" w:pos="9350"/>
            </w:tabs>
            <w:rPr>
              <w:rFonts w:eastAsiaTheme="minorEastAsia" w:cs="Times New Roman"/>
              <w:noProof/>
              <w:kern w:val="0"/>
              <w:sz w:val="22"/>
              <w:lang w:eastAsia="en-GB"/>
              <w14:ligatures w14:val="none"/>
            </w:rPr>
          </w:pPr>
          <w:hyperlink w:anchor="_Toc161521503" w:history="1">
            <w:r w:rsidR="00C63FD2" w:rsidRPr="00904695">
              <w:rPr>
                <w:rStyle w:val="Hyperlink"/>
                <w:rFonts w:cs="Times New Roman"/>
                <w:noProof/>
                <w:lang w:val="en-US"/>
              </w:rPr>
              <w:t>References</w:t>
            </w:r>
            <w:r w:rsidR="00C63FD2" w:rsidRPr="00904695">
              <w:rPr>
                <w:rFonts w:cs="Times New Roman"/>
                <w:noProof/>
                <w:webHidden/>
              </w:rPr>
              <w:tab/>
            </w:r>
            <w:r w:rsidR="00C63FD2" w:rsidRPr="00904695">
              <w:rPr>
                <w:rFonts w:cs="Times New Roman"/>
                <w:noProof/>
                <w:webHidden/>
              </w:rPr>
              <w:fldChar w:fldCharType="begin"/>
            </w:r>
            <w:r w:rsidR="00C63FD2" w:rsidRPr="00904695">
              <w:rPr>
                <w:rFonts w:cs="Times New Roman"/>
                <w:noProof/>
                <w:webHidden/>
              </w:rPr>
              <w:instrText xml:space="preserve"> PAGEREF _Toc161521503 \h </w:instrText>
            </w:r>
            <w:r w:rsidR="00C63FD2" w:rsidRPr="00904695">
              <w:rPr>
                <w:rFonts w:cs="Times New Roman"/>
                <w:noProof/>
                <w:webHidden/>
              </w:rPr>
            </w:r>
            <w:r w:rsidR="00C63FD2" w:rsidRPr="00904695">
              <w:rPr>
                <w:rFonts w:cs="Times New Roman"/>
                <w:noProof/>
                <w:webHidden/>
              </w:rPr>
              <w:fldChar w:fldCharType="separate"/>
            </w:r>
            <w:r w:rsidR="00C63FD2" w:rsidRPr="00904695">
              <w:rPr>
                <w:rFonts w:cs="Times New Roman"/>
                <w:noProof/>
                <w:webHidden/>
              </w:rPr>
              <w:t>9</w:t>
            </w:r>
            <w:r w:rsidR="00C63FD2" w:rsidRPr="00904695">
              <w:rPr>
                <w:rFonts w:cs="Times New Roman"/>
                <w:noProof/>
                <w:webHidden/>
              </w:rPr>
              <w:fldChar w:fldCharType="end"/>
            </w:r>
          </w:hyperlink>
        </w:p>
        <w:p w14:paraId="219F563E" w14:textId="7768D127" w:rsidR="00664518" w:rsidRPr="00904695" w:rsidRDefault="00664518">
          <w:pPr>
            <w:rPr>
              <w:rFonts w:cs="Times New Roman"/>
            </w:rPr>
          </w:pPr>
          <w:r w:rsidRPr="00904695">
            <w:rPr>
              <w:rFonts w:cs="Times New Roman"/>
              <w:b/>
              <w:bCs/>
              <w:noProof/>
            </w:rPr>
            <w:fldChar w:fldCharType="end"/>
          </w:r>
        </w:p>
      </w:sdtContent>
    </w:sdt>
    <w:p w14:paraId="0347B823" w14:textId="716FC76A" w:rsidR="00664518" w:rsidRPr="00904695" w:rsidRDefault="00664518" w:rsidP="00664518">
      <w:pPr>
        <w:rPr>
          <w:rFonts w:cs="Times New Roman"/>
        </w:rPr>
      </w:pPr>
    </w:p>
    <w:p w14:paraId="77FE316B" w14:textId="789B0614" w:rsidR="009903A1" w:rsidRPr="00904695" w:rsidRDefault="009903A1" w:rsidP="009903A1">
      <w:pPr>
        <w:pStyle w:val="Heading1"/>
        <w:rPr>
          <w:rFonts w:cs="Times New Roman"/>
        </w:rPr>
      </w:pPr>
      <w:bookmarkStart w:id="0" w:name="_Toc161521487"/>
      <w:r w:rsidRPr="00904695">
        <w:rPr>
          <w:rFonts w:cs="Times New Roman"/>
        </w:rPr>
        <w:lastRenderedPageBreak/>
        <w:t>Introduction</w:t>
      </w:r>
      <w:bookmarkEnd w:id="0"/>
    </w:p>
    <w:p w14:paraId="2D5536FD" w14:textId="702E3ABE" w:rsidR="00D92CC2" w:rsidRPr="00904695" w:rsidRDefault="00D92CC2" w:rsidP="00D92CC2">
      <w:pPr>
        <w:rPr>
          <w:rFonts w:cs="Times New Roman"/>
          <w:b/>
        </w:rPr>
      </w:pPr>
      <w:r w:rsidRPr="00904695">
        <w:rPr>
          <w:rFonts w:cs="Times New Roman"/>
        </w:rPr>
        <w:t xml:space="preserve">The international exposure of MNCs to divergent currencies and foreign exchange risks across their various operating countries may result in negative financial reporting performance and instability. The </w:t>
      </w:r>
      <w:proofErr w:type="gramStart"/>
      <w:r w:rsidRPr="00904695">
        <w:rPr>
          <w:rFonts w:cs="Times New Roman"/>
        </w:rPr>
        <w:t>main focus</w:t>
      </w:r>
      <w:proofErr w:type="gramEnd"/>
      <w:r w:rsidRPr="00904695">
        <w:rPr>
          <w:rFonts w:cs="Times New Roman"/>
        </w:rPr>
        <w:t xml:space="preserve"> of this report is the foreign exchange risk management problems MNCs face. It looks at these theories in depth as well as the strategic hedging </w:t>
      </w:r>
      <w:r w:rsidR="00DA09BB" w:rsidRPr="00904695">
        <w:rPr>
          <w:rFonts w:cs="Times New Roman"/>
        </w:rPr>
        <w:t>instruments,</w:t>
      </w:r>
      <w:r w:rsidRPr="00904695">
        <w:rPr>
          <w:rFonts w:cs="Times New Roman"/>
        </w:rPr>
        <w:t xml:space="preserve"> forwards, currency options, swaps and netting. Furthermore, in its analysis, the report evaluates critically those tools' limits and how they can be put into practice. The report is aiming at raising the awareness of international currency market risk management strategies for MNCs</w:t>
      </w:r>
      <w:r w:rsidR="00F72414" w:rsidRPr="00904695">
        <w:rPr>
          <w:rFonts w:cs="Times New Roman"/>
        </w:rPr>
        <w:t>.</w:t>
      </w:r>
    </w:p>
    <w:p w14:paraId="26885E02" w14:textId="7F63A8F2" w:rsidR="005840C2" w:rsidRPr="00904695" w:rsidRDefault="005840C2" w:rsidP="0022255F">
      <w:pPr>
        <w:pStyle w:val="Heading1"/>
        <w:rPr>
          <w:rFonts w:cs="Times New Roman"/>
        </w:rPr>
      </w:pPr>
      <w:bookmarkStart w:id="1" w:name="_Toc161521488"/>
      <w:r w:rsidRPr="00904695">
        <w:rPr>
          <w:rFonts w:cs="Times New Roman"/>
        </w:rPr>
        <w:t>MNCs and Foreign Exchange Risks</w:t>
      </w:r>
      <w:bookmarkEnd w:id="1"/>
    </w:p>
    <w:p w14:paraId="2F228701" w14:textId="3E08E4D8" w:rsidR="00EE7C77" w:rsidRPr="00904695" w:rsidRDefault="00D92CC2" w:rsidP="00EE7C77">
      <w:pPr>
        <w:rPr>
          <w:rFonts w:cs="Times New Roman"/>
          <w:lang w:val="en-US"/>
        </w:rPr>
      </w:pPr>
      <w:r w:rsidRPr="00904695">
        <w:rPr>
          <w:rFonts w:cs="Times New Roman"/>
        </w:rPr>
        <w:t xml:space="preserve">MNCs can be exposed to different types of foreign exchange risks which can arise from their global outreach and cross-border trading activities. </w:t>
      </w:r>
    </w:p>
    <w:p w14:paraId="5AA20E7F" w14:textId="58D22DFC" w:rsidR="00EE7C77" w:rsidRPr="00904695" w:rsidRDefault="00EE7C77" w:rsidP="00B94CA7">
      <w:pPr>
        <w:pStyle w:val="Heading2"/>
        <w:numPr>
          <w:ilvl w:val="0"/>
          <w:numId w:val="14"/>
        </w:numPr>
        <w:rPr>
          <w:rFonts w:cs="Times New Roman"/>
          <w:lang w:val="en-US"/>
        </w:rPr>
      </w:pPr>
      <w:bookmarkStart w:id="2" w:name="_Toc161521489"/>
      <w:r w:rsidRPr="00904695">
        <w:rPr>
          <w:rFonts w:cs="Times New Roman"/>
          <w:lang w:val="en-US"/>
        </w:rPr>
        <w:t>Transaction Risk</w:t>
      </w:r>
      <w:bookmarkEnd w:id="2"/>
    </w:p>
    <w:p w14:paraId="161315E0" w14:textId="76BBE56E" w:rsidR="00EE7C77" w:rsidRPr="00904695" w:rsidRDefault="00E62A6C" w:rsidP="00EE7C77">
      <w:pPr>
        <w:rPr>
          <w:rFonts w:cs="Times New Roman"/>
          <w:lang w:val="en-US"/>
        </w:rPr>
      </w:pPr>
      <w:r w:rsidRPr="00904695">
        <w:rPr>
          <w:rFonts w:cs="Times New Roman"/>
        </w:rPr>
        <w:t xml:space="preserve">Along with the fact that MNCs </w:t>
      </w:r>
      <w:proofErr w:type="gramStart"/>
      <w:r w:rsidRPr="00904695">
        <w:rPr>
          <w:rFonts w:cs="Times New Roman"/>
        </w:rPr>
        <w:t>have to</w:t>
      </w:r>
      <w:proofErr w:type="gramEnd"/>
      <w:r w:rsidRPr="00904695">
        <w:rPr>
          <w:rFonts w:cs="Times New Roman"/>
        </w:rPr>
        <w:t xml:space="preserve"> take into account transaction risk as one of their key foreign exchange risks, there are also other risks that the companies may face. This risk arises when MNCs are doing financial operations including international sales, purchases, or lending that are in foreign currencies</w:t>
      </w:r>
      <w:r w:rsidR="00B33E62" w:rsidRPr="00904695">
        <w:rPr>
          <w:rFonts w:cs="Times New Roman"/>
        </w:rPr>
        <w:t xml:space="preserve"> </w:t>
      </w:r>
      <w:r w:rsidR="00072945" w:rsidRPr="00904695">
        <w:rPr>
          <w:rFonts w:cs="Times New Roman"/>
        </w:rPr>
        <w:t>(Niepmann and Schmidt-Eisenlohr, 2017)</w:t>
      </w:r>
      <w:r w:rsidRPr="00904695">
        <w:rPr>
          <w:rFonts w:cs="Times New Roman"/>
        </w:rPr>
        <w:t>.</w:t>
      </w:r>
      <w:r w:rsidR="00DA0637" w:rsidRPr="00904695">
        <w:rPr>
          <w:rFonts w:cs="Times New Roman"/>
        </w:rPr>
        <w:t xml:space="preserve"> </w:t>
      </w:r>
      <w:r w:rsidRPr="00904695">
        <w:rPr>
          <w:rFonts w:cs="Times New Roman"/>
        </w:rPr>
        <w:t>MNCs may curb transactional risks through hedge strategies</w:t>
      </w:r>
      <w:r w:rsidR="00B33E62" w:rsidRPr="00904695">
        <w:rPr>
          <w:rFonts w:cs="Times New Roman"/>
        </w:rPr>
        <w:t xml:space="preserve"> </w:t>
      </w:r>
      <w:r w:rsidR="00072945" w:rsidRPr="00904695">
        <w:rPr>
          <w:rFonts w:cs="Times New Roman"/>
        </w:rPr>
        <w:t>(Gautam et al., 2023)</w:t>
      </w:r>
      <w:r w:rsidRPr="00904695">
        <w:rPr>
          <w:rFonts w:cs="Times New Roman"/>
        </w:rPr>
        <w:t xml:space="preserve">. For instance, say that a UK business is expecting payment from the US in </w:t>
      </w:r>
      <w:r w:rsidR="00DA09BB" w:rsidRPr="00904695">
        <w:rPr>
          <w:rFonts w:cs="Times New Roman"/>
        </w:rPr>
        <w:t>June,</w:t>
      </w:r>
      <w:r w:rsidRPr="00904695">
        <w:rPr>
          <w:rFonts w:cs="Times New Roman"/>
        </w:rPr>
        <w:t xml:space="preserve"> but the invoice was made in January. The rate of exchange will surely have changed in the period. To illustrate this, if the deal is worth £1,000,000 and the dollar’s value against the pound sterling went from US$1.40 in January to US$1.50 in June, the UK company would lose £47,619.</w:t>
      </w:r>
    </w:p>
    <w:p w14:paraId="753AEFE3" w14:textId="7A41DD9F" w:rsidR="00EE7C77" w:rsidRPr="00904695" w:rsidRDefault="00EE7C77" w:rsidP="00B94CA7">
      <w:pPr>
        <w:pStyle w:val="Heading2"/>
        <w:numPr>
          <w:ilvl w:val="0"/>
          <w:numId w:val="14"/>
        </w:numPr>
        <w:rPr>
          <w:rFonts w:cs="Times New Roman"/>
          <w:lang w:val="en-US"/>
        </w:rPr>
      </w:pPr>
      <w:bookmarkStart w:id="3" w:name="_Toc161521490"/>
      <w:r w:rsidRPr="00904695">
        <w:rPr>
          <w:rFonts w:cs="Times New Roman"/>
          <w:lang w:val="en-US"/>
        </w:rPr>
        <w:t>Economic Risk</w:t>
      </w:r>
      <w:bookmarkEnd w:id="3"/>
    </w:p>
    <w:p w14:paraId="7111DC89" w14:textId="43660E6B" w:rsidR="00EE7C77" w:rsidRPr="00904695" w:rsidRDefault="00E62A6C" w:rsidP="00EE7C77">
      <w:pPr>
        <w:rPr>
          <w:rFonts w:cs="Times New Roman"/>
          <w:lang w:val="en-US"/>
        </w:rPr>
      </w:pPr>
      <w:r w:rsidRPr="00904695">
        <w:rPr>
          <w:rFonts w:cs="Times New Roman"/>
          <w:lang w:val="en-US"/>
        </w:rPr>
        <w:t>MNCs incur different types of economic risk which can be attributed to the exchange rates fluctuation that can have an adverse impact on their market value and cash flows</w:t>
      </w:r>
      <w:r w:rsidR="001D11D0" w:rsidRPr="00904695">
        <w:rPr>
          <w:rFonts w:cs="Times New Roman"/>
          <w:lang w:val="en-US"/>
        </w:rPr>
        <w:t xml:space="preserve"> </w:t>
      </w:r>
      <w:r w:rsidR="00072945" w:rsidRPr="00904695">
        <w:rPr>
          <w:rFonts w:cs="Times New Roman"/>
          <w:lang w:val="en-US"/>
        </w:rPr>
        <w:t>(Maggiori, 2017)</w:t>
      </w:r>
      <w:r w:rsidRPr="00904695">
        <w:rPr>
          <w:rFonts w:cs="Times New Roman"/>
          <w:lang w:val="en-US"/>
        </w:rPr>
        <w:t>. Risk can be economic conditions, geopolitical instability, and government regulations, which can impede MNC's competitiveness in the market and profitability</w:t>
      </w:r>
      <w:r w:rsidR="001D11D0" w:rsidRPr="00904695">
        <w:rPr>
          <w:rFonts w:cs="Times New Roman"/>
          <w:lang w:val="en-US"/>
        </w:rPr>
        <w:t xml:space="preserve"> </w:t>
      </w:r>
      <w:r w:rsidR="00072945" w:rsidRPr="00904695">
        <w:rPr>
          <w:rFonts w:cs="Times New Roman"/>
          <w:lang w:val="en-US"/>
        </w:rPr>
        <w:t>(Andrew, 2017)</w:t>
      </w:r>
      <w:r w:rsidRPr="00904695">
        <w:rPr>
          <w:rFonts w:cs="Times New Roman"/>
          <w:lang w:val="en-US"/>
        </w:rPr>
        <w:t xml:space="preserve">. To prevent this </w:t>
      </w:r>
      <w:r w:rsidRPr="00904695">
        <w:rPr>
          <w:rFonts w:cs="Times New Roman"/>
          <w:lang w:val="en-US"/>
        </w:rPr>
        <w:lastRenderedPageBreak/>
        <w:t xml:space="preserve">risk from derailing their business, MNCs disperse their operations across different countries and currencies, thus insuring themselves from any single market. For </w:t>
      </w:r>
      <w:r w:rsidR="00080D8B" w:rsidRPr="00904695">
        <w:rPr>
          <w:rFonts w:cs="Times New Roman"/>
          <w:lang w:val="en-US"/>
        </w:rPr>
        <w:t>example</w:t>
      </w:r>
      <w:r w:rsidRPr="00904695">
        <w:rPr>
          <w:rFonts w:cs="Times New Roman"/>
          <w:lang w:val="en-US"/>
        </w:rPr>
        <w:t>, the dollar exchange rate volatility peak in 2023 as the airline costs rise (Georgiadis, 2023).</w:t>
      </w:r>
    </w:p>
    <w:p w14:paraId="55466463" w14:textId="4DF6B693" w:rsidR="00EE7C77" w:rsidRPr="00904695" w:rsidRDefault="00EE7C77" w:rsidP="00B94CA7">
      <w:pPr>
        <w:pStyle w:val="Heading2"/>
        <w:numPr>
          <w:ilvl w:val="0"/>
          <w:numId w:val="14"/>
        </w:numPr>
        <w:rPr>
          <w:rFonts w:cs="Times New Roman"/>
          <w:lang w:val="en-US"/>
        </w:rPr>
      </w:pPr>
      <w:bookmarkStart w:id="4" w:name="_Toc161521491"/>
      <w:r w:rsidRPr="00904695">
        <w:rPr>
          <w:rFonts w:cs="Times New Roman"/>
          <w:lang w:val="en-US"/>
        </w:rPr>
        <w:t>Translation Risk</w:t>
      </w:r>
      <w:bookmarkEnd w:id="4"/>
    </w:p>
    <w:p w14:paraId="0886041B" w14:textId="452C25FA" w:rsidR="00EE7C77" w:rsidRDefault="00A63BAD" w:rsidP="00EE7C77">
      <w:pPr>
        <w:rPr>
          <w:rFonts w:cs="Times New Roman"/>
          <w:lang w:val="en-US"/>
        </w:rPr>
      </w:pPr>
      <w:r w:rsidRPr="00A63BAD">
        <w:rPr>
          <w:rFonts w:cs="Times New Roman"/>
          <w:lang w:val="en-US"/>
        </w:rPr>
        <w:t>Another significant issue of translation risk or exposure is also facing by the MNCs. The risk originates in MNCs converting and translating the financial statements of their international subsidiaries or operations into the reporting currency of their parent companies, which is their home currency (Shapiro &amp; Hanouna, 2023). A distortion of the MNC operating results will be a result of the foreign currency rate adjustments that will affect the balance sheet and will make it hard for the MNC to determine the assets, liabilities and equity. The translation risk of MNCs can be reduced by adopting the hedging strategies such as currency swaps that aim to mitigate the effect of currency fluctuations on the consolidated financial statements which are of the MNCs as well (Shapiro and Hanouna, 2023)</w:t>
      </w:r>
      <w:r w:rsidR="00E62A6C" w:rsidRPr="00904695">
        <w:rPr>
          <w:rFonts w:cs="Times New Roman"/>
          <w:lang w:val="en-US"/>
        </w:rPr>
        <w:t xml:space="preserve">. </w:t>
      </w:r>
    </w:p>
    <w:p w14:paraId="5A985824" w14:textId="77777777" w:rsidR="00070E54" w:rsidRPr="00904695" w:rsidRDefault="00070E54" w:rsidP="00EE7C77">
      <w:pPr>
        <w:rPr>
          <w:rFonts w:cs="Times New Roman"/>
          <w:lang w:val="en-US"/>
        </w:rPr>
      </w:pPr>
    </w:p>
    <w:p w14:paraId="74B52265" w14:textId="5A680421" w:rsidR="00C27088" w:rsidRPr="00904695" w:rsidRDefault="00C27088" w:rsidP="00C27088">
      <w:pPr>
        <w:pStyle w:val="Heading1"/>
        <w:rPr>
          <w:rFonts w:cs="Times New Roman"/>
        </w:rPr>
      </w:pPr>
      <w:bookmarkStart w:id="5" w:name="_Toc161521492"/>
      <w:r w:rsidRPr="00904695">
        <w:rPr>
          <w:rFonts w:cs="Times New Roman"/>
        </w:rPr>
        <w:t>International Financial Management Theories and</w:t>
      </w:r>
      <w:r w:rsidR="006E5E98" w:rsidRPr="00904695">
        <w:rPr>
          <w:rFonts w:cs="Times New Roman"/>
        </w:rPr>
        <w:t xml:space="preserve"> Foreign Exchange Risk Management</w:t>
      </w:r>
      <w:bookmarkEnd w:id="5"/>
    </w:p>
    <w:p w14:paraId="4819FB66" w14:textId="3C380CAC" w:rsidR="006920AA" w:rsidRPr="00904695" w:rsidRDefault="009520B8" w:rsidP="006920AA">
      <w:pPr>
        <w:rPr>
          <w:rFonts w:cs="Times New Roman"/>
          <w:lang w:val="en-US"/>
        </w:rPr>
      </w:pPr>
      <w:r w:rsidRPr="00904695">
        <w:rPr>
          <w:rFonts w:cs="Times New Roman"/>
          <w:lang w:val="en-US"/>
        </w:rPr>
        <w:t xml:space="preserve">Modern Portfolio Theory (MPT), Capital Asset Pricing Model (CAPM), and Real Options Theory are among the three most influential theories in the realm of international risk management. </w:t>
      </w:r>
    </w:p>
    <w:p w14:paraId="27CE4DB3" w14:textId="098C3A7D" w:rsidR="006920AA" w:rsidRPr="00904695" w:rsidRDefault="006920AA" w:rsidP="00B94CA7">
      <w:pPr>
        <w:pStyle w:val="Heading2"/>
        <w:numPr>
          <w:ilvl w:val="0"/>
          <w:numId w:val="15"/>
        </w:numPr>
        <w:rPr>
          <w:rFonts w:eastAsiaTheme="minorHAnsi" w:cs="Times New Roman"/>
          <w:lang w:val="en-US"/>
        </w:rPr>
      </w:pPr>
      <w:bookmarkStart w:id="6" w:name="_Toc161521493"/>
      <w:r w:rsidRPr="00904695">
        <w:rPr>
          <w:rFonts w:eastAsiaTheme="minorHAnsi" w:cs="Times New Roman"/>
          <w:lang w:val="en-US"/>
        </w:rPr>
        <w:t>Modern Portfolio Theory (MPT)</w:t>
      </w:r>
      <w:bookmarkEnd w:id="6"/>
    </w:p>
    <w:p w14:paraId="63673EDB" w14:textId="00BFE9B5" w:rsidR="009520B8" w:rsidRPr="00904695" w:rsidRDefault="009520B8" w:rsidP="009520B8">
      <w:pPr>
        <w:rPr>
          <w:rFonts w:cs="Times New Roman"/>
          <w:lang w:val="en-US"/>
        </w:rPr>
      </w:pPr>
      <w:r w:rsidRPr="00904695">
        <w:rPr>
          <w:rFonts w:cs="Times New Roman"/>
          <w:lang w:val="en-US"/>
        </w:rPr>
        <w:t>Modern Portfolio Theory or MPT theory is the first important theory in finance that helps to build efficient portfolios by balancing the risk and return. It was first developed by Harry Markowitz in the1950s</w:t>
      </w:r>
      <w:r w:rsidR="001D11D0" w:rsidRPr="00904695">
        <w:rPr>
          <w:rFonts w:cs="Times New Roman"/>
          <w:lang w:val="en-US"/>
        </w:rPr>
        <w:t xml:space="preserve"> </w:t>
      </w:r>
      <w:r w:rsidR="00243146" w:rsidRPr="00904695">
        <w:rPr>
          <w:rFonts w:cs="Times New Roman"/>
          <w:lang w:val="en-US"/>
        </w:rPr>
        <w:t>(Surtee and Alagidede, 2023)</w:t>
      </w:r>
      <w:r w:rsidRPr="00904695">
        <w:rPr>
          <w:rFonts w:cs="Times New Roman"/>
          <w:lang w:val="en-US"/>
        </w:rPr>
        <w:t>. The theory provides a premise that an investor should diversify his holdings across different asset classes in a way that will lower unsystematic risk (that is to say, risk that is specific to an asset) and at the same time capture the possibility of a higher return</w:t>
      </w:r>
      <w:r w:rsidR="001D11D0" w:rsidRPr="00904695">
        <w:rPr>
          <w:rFonts w:cs="Times New Roman"/>
          <w:lang w:val="en-US"/>
        </w:rPr>
        <w:t xml:space="preserve"> </w:t>
      </w:r>
      <w:r w:rsidR="00243146" w:rsidRPr="00904695">
        <w:rPr>
          <w:rFonts w:cs="Times New Roman"/>
          <w:lang w:val="en-US"/>
        </w:rPr>
        <w:t>(Lukomnik and Hawley, 2021)</w:t>
      </w:r>
      <w:r w:rsidRPr="00904695">
        <w:rPr>
          <w:rFonts w:cs="Times New Roman"/>
          <w:lang w:val="en-US"/>
        </w:rPr>
        <w:t xml:space="preserve">. </w:t>
      </w:r>
    </w:p>
    <w:p w14:paraId="56A930FD" w14:textId="236FC212" w:rsidR="006920AA" w:rsidRPr="00904695" w:rsidRDefault="009520B8" w:rsidP="009520B8">
      <w:pPr>
        <w:rPr>
          <w:rFonts w:cs="Times New Roman"/>
          <w:lang w:val="en-US"/>
        </w:rPr>
      </w:pPr>
      <w:r w:rsidRPr="00904695">
        <w:rPr>
          <w:rFonts w:cs="Times New Roman"/>
          <w:lang w:val="en-US"/>
        </w:rPr>
        <w:lastRenderedPageBreak/>
        <w:t xml:space="preserve">In international exchanges, MPT helps to diversify their portfolios across </w:t>
      </w:r>
      <w:r w:rsidR="00193856">
        <w:rPr>
          <w:rFonts w:cs="Times New Roman"/>
          <w:lang w:val="en-US"/>
        </w:rPr>
        <w:t>various</w:t>
      </w:r>
      <w:r w:rsidRPr="00904695">
        <w:rPr>
          <w:rFonts w:cs="Times New Roman"/>
          <w:lang w:val="en-US"/>
        </w:rPr>
        <w:t xml:space="preserve"> countries,</w:t>
      </w:r>
      <w:r w:rsidR="00193856">
        <w:rPr>
          <w:rFonts w:cs="Times New Roman"/>
          <w:lang w:val="en-US"/>
        </w:rPr>
        <w:t xml:space="preserve"> and</w:t>
      </w:r>
      <w:r w:rsidRPr="00904695">
        <w:rPr>
          <w:rFonts w:cs="Times New Roman"/>
          <w:lang w:val="en-US"/>
        </w:rPr>
        <w:t xml:space="preserve"> industries and thus lower the country specific and industry specific risks</w:t>
      </w:r>
      <w:r w:rsidR="001D11D0" w:rsidRPr="00904695">
        <w:rPr>
          <w:rFonts w:cs="Times New Roman"/>
          <w:lang w:val="en-US"/>
        </w:rPr>
        <w:t xml:space="preserve"> </w:t>
      </w:r>
      <w:r w:rsidR="00243146" w:rsidRPr="00904695">
        <w:rPr>
          <w:rFonts w:cs="Times New Roman"/>
          <w:lang w:val="en-US"/>
        </w:rPr>
        <w:t>(dos Santos and Brandi, 2017)</w:t>
      </w:r>
      <w:r w:rsidRPr="00904695">
        <w:rPr>
          <w:rFonts w:cs="Times New Roman"/>
          <w:lang w:val="en-US"/>
        </w:rPr>
        <w:t>. Through allocating some of their capital to assets with low or negative correlations, investors can diversity the portfolio risk without sacrificing long-term expected returns.</w:t>
      </w:r>
    </w:p>
    <w:p w14:paraId="33C94F40" w14:textId="055DE909" w:rsidR="006920AA" w:rsidRPr="00904695" w:rsidRDefault="006920AA" w:rsidP="00B94CA7">
      <w:pPr>
        <w:pStyle w:val="Heading2"/>
        <w:numPr>
          <w:ilvl w:val="0"/>
          <w:numId w:val="15"/>
        </w:numPr>
        <w:rPr>
          <w:rFonts w:eastAsiaTheme="minorHAnsi" w:cs="Times New Roman"/>
          <w:lang w:val="en-US"/>
        </w:rPr>
      </w:pPr>
      <w:bookmarkStart w:id="7" w:name="_Toc161521494"/>
      <w:r w:rsidRPr="00904695">
        <w:rPr>
          <w:rFonts w:eastAsiaTheme="minorHAnsi" w:cs="Times New Roman"/>
          <w:lang w:val="en-US"/>
        </w:rPr>
        <w:t>Capital Asset Pricing Model (CAPM)</w:t>
      </w:r>
      <w:bookmarkEnd w:id="7"/>
    </w:p>
    <w:p w14:paraId="7DE6AF01" w14:textId="0AD5301C" w:rsidR="009520B8" w:rsidRPr="00904695" w:rsidRDefault="009520B8" w:rsidP="009520B8">
      <w:pPr>
        <w:rPr>
          <w:rFonts w:cs="Times New Roman"/>
          <w:lang w:val="en-US"/>
        </w:rPr>
      </w:pPr>
      <w:r w:rsidRPr="00904695">
        <w:rPr>
          <w:rFonts w:cs="Times New Roman"/>
          <w:lang w:val="en-US"/>
        </w:rPr>
        <w:t>Capital Asset Pricing Model (CAPM) that helps describe the systemic risk and expected returns for assets or portfolios. The model assumes that the expected rate of return on an asset is proportional to its beta, which is known as systematic risk and measures an asset's sensitivity to general market movements</w:t>
      </w:r>
      <w:r w:rsidR="001D11D0" w:rsidRPr="00904695">
        <w:rPr>
          <w:rFonts w:cs="Times New Roman"/>
          <w:lang w:val="en-US"/>
        </w:rPr>
        <w:t xml:space="preserve"> </w:t>
      </w:r>
      <w:r w:rsidR="00243146" w:rsidRPr="00904695">
        <w:rPr>
          <w:rFonts w:cs="Times New Roman"/>
          <w:lang w:val="en-US"/>
        </w:rPr>
        <w:t>(Rossi, 2016)</w:t>
      </w:r>
      <w:r w:rsidRPr="00904695">
        <w:rPr>
          <w:rFonts w:cs="Times New Roman"/>
          <w:lang w:val="en-US"/>
        </w:rPr>
        <w:t>.</w:t>
      </w:r>
    </w:p>
    <w:p w14:paraId="427F1F12" w14:textId="6D063416" w:rsidR="006D39EA" w:rsidRDefault="006D39EA" w:rsidP="009520B8">
      <w:pPr>
        <w:rPr>
          <w:rFonts w:cs="Times New Roman"/>
          <w:lang w:val="en-US"/>
        </w:rPr>
      </w:pPr>
      <w:r>
        <w:rPr>
          <w:rFonts w:cs="Times New Roman"/>
          <w:lang w:val="en-US"/>
        </w:rPr>
        <w:t xml:space="preserve">In terms of international finance, CAPM can be increased more if the other risk factors are </w:t>
      </w:r>
      <w:r w:rsidR="00070E54">
        <w:rPr>
          <w:rFonts w:cs="Times New Roman"/>
          <w:lang w:val="en-US"/>
        </w:rPr>
        <w:t>considered</w:t>
      </w:r>
      <w:r>
        <w:rPr>
          <w:rFonts w:cs="Times New Roman"/>
          <w:lang w:val="en-US"/>
        </w:rPr>
        <w:t xml:space="preserve">. Some of these risk factors are country risk, currency risk and political risk </w:t>
      </w:r>
      <w:r w:rsidRPr="00904695">
        <w:rPr>
          <w:rFonts w:cs="Times New Roman"/>
          <w:lang w:val="en-US"/>
        </w:rPr>
        <w:t>(Bajpai and Sharma, 2015)</w:t>
      </w:r>
      <w:r>
        <w:rPr>
          <w:rFonts w:cs="Times New Roman"/>
          <w:lang w:val="en-US"/>
        </w:rPr>
        <w:t xml:space="preserve">. In this case, International Capital Asset Pricing Model (ICAPM) can be </w:t>
      </w:r>
      <w:proofErr w:type="gramStart"/>
      <w:r>
        <w:rPr>
          <w:rFonts w:cs="Times New Roman"/>
          <w:lang w:val="en-US"/>
        </w:rPr>
        <w:t>taken into account</w:t>
      </w:r>
      <w:proofErr w:type="gramEnd"/>
      <w:r>
        <w:rPr>
          <w:rFonts w:cs="Times New Roman"/>
          <w:lang w:val="en-US"/>
        </w:rPr>
        <w:t>.</w:t>
      </w:r>
    </w:p>
    <w:p w14:paraId="539C5627" w14:textId="77777777" w:rsidR="00070E54" w:rsidRPr="00904695" w:rsidRDefault="00070E54" w:rsidP="009520B8">
      <w:pPr>
        <w:rPr>
          <w:rFonts w:cs="Times New Roman"/>
          <w:lang w:val="en-US"/>
        </w:rPr>
      </w:pPr>
    </w:p>
    <w:p w14:paraId="66D20951" w14:textId="25BD8E36" w:rsidR="009903A1" w:rsidRPr="00904695" w:rsidRDefault="00193856" w:rsidP="006920AA">
      <w:pPr>
        <w:pStyle w:val="Heading1"/>
        <w:rPr>
          <w:rFonts w:cs="Times New Roman"/>
        </w:rPr>
      </w:pPr>
      <w:r>
        <w:rPr>
          <w:rFonts w:cs="Times New Roman"/>
        </w:rPr>
        <w:t>Strategies for Managing Financial Exchange Risk</w:t>
      </w:r>
    </w:p>
    <w:p w14:paraId="49319FB1" w14:textId="7056AFAD" w:rsidR="007D7339" w:rsidRPr="00904695" w:rsidRDefault="007D7339" w:rsidP="00BF34BB">
      <w:pPr>
        <w:pStyle w:val="Heading2"/>
        <w:numPr>
          <w:ilvl w:val="0"/>
          <w:numId w:val="13"/>
        </w:numPr>
        <w:rPr>
          <w:rFonts w:cs="Times New Roman"/>
          <w:lang w:val="en-US"/>
        </w:rPr>
      </w:pPr>
      <w:bookmarkStart w:id="8" w:name="_Toc161521497"/>
      <w:r w:rsidRPr="00904695">
        <w:rPr>
          <w:rFonts w:cs="Times New Roman"/>
          <w:lang w:val="en-US"/>
        </w:rPr>
        <w:t>Currency Hedging</w:t>
      </w:r>
      <w:bookmarkEnd w:id="8"/>
    </w:p>
    <w:p w14:paraId="0E7CD0C9" w14:textId="09CC817F" w:rsidR="007D7339" w:rsidRPr="00904695" w:rsidRDefault="009520B8" w:rsidP="007D7339">
      <w:pPr>
        <w:rPr>
          <w:rFonts w:cs="Times New Roman"/>
          <w:lang w:val="en-US"/>
        </w:rPr>
      </w:pPr>
      <w:r w:rsidRPr="00904695">
        <w:rPr>
          <w:rFonts w:cs="Times New Roman"/>
          <w:lang w:val="en-US"/>
        </w:rPr>
        <w:t xml:space="preserve">Currency hedging is a deliberate profit-shielding mechanism that corporations and investors </w:t>
      </w:r>
      <w:r w:rsidR="00070E54" w:rsidRPr="00904695">
        <w:rPr>
          <w:rFonts w:cs="Times New Roman"/>
          <w:lang w:val="en-US"/>
        </w:rPr>
        <w:t>util</w:t>
      </w:r>
      <w:r w:rsidR="00070E54">
        <w:rPr>
          <w:rFonts w:cs="Times New Roman"/>
          <w:lang w:val="en-US"/>
        </w:rPr>
        <w:t>iz</w:t>
      </w:r>
      <w:r w:rsidR="00070E54" w:rsidRPr="00904695">
        <w:rPr>
          <w:rFonts w:cs="Times New Roman"/>
          <w:lang w:val="en-US"/>
        </w:rPr>
        <w:t>e</w:t>
      </w:r>
      <w:r w:rsidRPr="00904695">
        <w:rPr>
          <w:rFonts w:cs="Times New Roman"/>
          <w:lang w:val="en-US"/>
        </w:rPr>
        <w:t xml:space="preserve"> </w:t>
      </w:r>
      <w:proofErr w:type="gramStart"/>
      <w:r w:rsidRPr="00904695">
        <w:rPr>
          <w:rFonts w:cs="Times New Roman"/>
          <w:lang w:val="en-US"/>
        </w:rPr>
        <w:t>in order</w:t>
      </w:r>
      <w:r w:rsidR="00070E54">
        <w:rPr>
          <w:rFonts w:cs="Times New Roman"/>
          <w:lang w:val="en-US"/>
        </w:rPr>
        <w:t xml:space="preserve"> </w:t>
      </w:r>
      <w:r w:rsidRPr="00904695">
        <w:rPr>
          <w:rFonts w:cs="Times New Roman"/>
          <w:lang w:val="en-US"/>
        </w:rPr>
        <w:t>to</w:t>
      </w:r>
      <w:proofErr w:type="gramEnd"/>
      <w:r w:rsidRPr="00904695">
        <w:rPr>
          <w:rFonts w:cs="Times New Roman"/>
          <w:lang w:val="en-US"/>
        </w:rPr>
        <w:t xml:space="preserve"> </w:t>
      </w:r>
      <w:r w:rsidR="00070E54" w:rsidRPr="00904695">
        <w:rPr>
          <w:rFonts w:cs="Times New Roman"/>
          <w:lang w:val="en-US"/>
        </w:rPr>
        <w:t>minim</w:t>
      </w:r>
      <w:r w:rsidR="00070E54">
        <w:rPr>
          <w:rFonts w:cs="Times New Roman"/>
          <w:lang w:val="en-US"/>
        </w:rPr>
        <w:t>iz</w:t>
      </w:r>
      <w:r w:rsidR="00070E54" w:rsidRPr="00904695">
        <w:rPr>
          <w:rFonts w:cs="Times New Roman"/>
          <w:lang w:val="en-US"/>
        </w:rPr>
        <w:t>e</w:t>
      </w:r>
      <w:r w:rsidRPr="00904695">
        <w:rPr>
          <w:rFonts w:cs="Times New Roman"/>
          <w:lang w:val="en-US"/>
        </w:rPr>
        <w:t xml:space="preserve"> the risks connected with the ever-changing exchange rates</w:t>
      </w:r>
      <w:r w:rsidR="001D11D0" w:rsidRPr="00904695">
        <w:rPr>
          <w:rFonts w:cs="Times New Roman"/>
          <w:lang w:val="en-US"/>
        </w:rPr>
        <w:t xml:space="preserve"> </w:t>
      </w:r>
      <w:r w:rsidR="00F12536" w:rsidRPr="00904695">
        <w:rPr>
          <w:rFonts w:cs="Times New Roman"/>
          <w:lang w:val="en-US"/>
        </w:rPr>
        <w:t>(Opie and Riddiough, 2020)</w:t>
      </w:r>
      <w:r w:rsidRPr="00904695">
        <w:rPr>
          <w:rFonts w:cs="Times New Roman"/>
          <w:lang w:val="en-US"/>
        </w:rPr>
        <w:t>. Some of the most frequently used hedging devices and their benefits and drawbacks are indicated as follows:</w:t>
      </w:r>
    </w:p>
    <w:p w14:paraId="0C783767" w14:textId="43D289ED" w:rsidR="007D7339" w:rsidRPr="00904695" w:rsidRDefault="007D7339" w:rsidP="007D7339">
      <w:pPr>
        <w:pStyle w:val="Heading3"/>
        <w:rPr>
          <w:rFonts w:cs="Times New Roman"/>
        </w:rPr>
      </w:pPr>
      <w:bookmarkStart w:id="9" w:name="_Toc161521498"/>
      <w:r w:rsidRPr="00904695">
        <w:rPr>
          <w:rFonts w:cs="Times New Roman"/>
        </w:rPr>
        <w:t>Forward Contracts</w:t>
      </w:r>
      <w:bookmarkEnd w:id="9"/>
    </w:p>
    <w:p w14:paraId="65625FA5" w14:textId="34D8B8D5" w:rsidR="007D7339" w:rsidRPr="00904695" w:rsidRDefault="009520B8" w:rsidP="007D7339">
      <w:pPr>
        <w:rPr>
          <w:rFonts w:cs="Times New Roman"/>
          <w:lang w:val="en-US"/>
        </w:rPr>
      </w:pPr>
      <w:r w:rsidRPr="00904695">
        <w:rPr>
          <w:rFonts w:cs="Times New Roman"/>
          <w:lang w:val="en-US"/>
        </w:rPr>
        <w:t>The main method of currency hedging is the application of forward contracts. These contracts enable the parties to the transaction to lock in exchange rate and thereby to protect themselves from the uncertainty of currency movements</w:t>
      </w:r>
      <w:r w:rsidR="001D11D0" w:rsidRPr="00904695">
        <w:rPr>
          <w:rFonts w:cs="Times New Roman"/>
          <w:lang w:val="en-US"/>
        </w:rPr>
        <w:t xml:space="preserve"> </w:t>
      </w:r>
      <w:r w:rsidR="00F12536" w:rsidRPr="00904695">
        <w:rPr>
          <w:rFonts w:cs="Times New Roman"/>
          <w:lang w:val="en-US"/>
        </w:rPr>
        <w:t>(Polak and Ulrych, 2024)</w:t>
      </w:r>
      <w:r w:rsidRPr="00904695">
        <w:rPr>
          <w:rFonts w:cs="Times New Roman"/>
          <w:lang w:val="en-US"/>
        </w:rPr>
        <w:t xml:space="preserve">. For example, suppose an American company is due to be paid with euros six months from now. It can buy a forward contract </w:t>
      </w:r>
      <w:r w:rsidRPr="00904695">
        <w:rPr>
          <w:rFonts w:cs="Times New Roman"/>
          <w:lang w:val="en-US"/>
        </w:rPr>
        <w:lastRenderedPageBreak/>
        <w:t>to sell the euro at a fixed rate, thus eliminating the risk of the euro depreciating against the US dollar during this period.</w:t>
      </w:r>
    </w:p>
    <w:p w14:paraId="3AFAC9F4" w14:textId="30B564F6" w:rsidR="002919AB" w:rsidRPr="00904695" w:rsidRDefault="00B94CA7" w:rsidP="007D7339">
      <w:pPr>
        <w:rPr>
          <w:rFonts w:cs="Times New Roman"/>
          <w:lang w:val="en-US"/>
        </w:rPr>
      </w:pPr>
      <w:r w:rsidRPr="00904695">
        <w:rPr>
          <w:rFonts w:cs="Times New Roman"/>
          <w:lang w:val="en-US"/>
        </w:rPr>
        <w:t>A drawback of forward contracts is that the parties get stuck in the agreed exchange rate, thus losing possible advantage of market exchange rate changes.</w:t>
      </w:r>
    </w:p>
    <w:p w14:paraId="09FC38BA" w14:textId="3947BE8A" w:rsidR="007D7339" w:rsidRPr="00904695" w:rsidRDefault="007D7339" w:rsidP="007D7339">
      <w:pPr>
        <w:pStyle w:val="Heading3"/>
        <w:rPr>
          <w:rFonts w:cs="Times New Roman"/>
        </w:rPr>
      </w:pPr>
      <w:bookmarkStart w:id="10" w:name="_Toc161521499"/>
      <w:r w:rsidRPr="00904695">
        <w:rPr>
          <w:rFonts w:cs="Times New Roman"/>
        </w:rPr>
        <w:t>Currency Options</w:t>
      </w:r>
      <w:bookmarkEnd w:id="10"/>
    </w:p>
    <w:p w14:paraId="257016E4" w14:textId="05909120" w:rsidR="00B94CA7" w:rsidRPr="00904695" w:rsidRDefault="00B94CA7" w:rsidP="00B94CA7">
      <w:pPr>
        <w:rPr>
          <w:rFonts w:cs="Times New Roman"/>
          <w:lang w:val="en-US"/>
        </w:rPr>
      </w:pPr>
      <w:r w:rsidRPr="00904695">
        <w:rPr>
          <w:rFonts w:cs="Times New Roman"/>
          <w:lang w:val="en-US"/>
        </w:rPr>
        <w:t>One more well-known hedging instrument is currency options. As opposed to the forward contracts, options give their holders a right (but no obligation) to negotiate a currency transaction at a set price either immediately or in a few days</w:t>
      </w:r>
      <w:r w:rsidR="001D11D0" w:rsidRPr="00904695">
        <w:rPr>
          <w:rFonts w:cs="Times New Roman"/>
          <w:lang w:val="en-US"/>
        </w:rPr>
        <w:t xml:space="preserve"> </w:t>
      </w:r>
      <w:r w:rsidR="00F12536" w:rsidRPr="00904695">
        <w:rPr>
          <w:rFonts w:cs="Times New Roman"/>
          <w:lang w:val="en-US"/>
        </w:rPr>
        <w:t>(Hong</w:t>
      </w:r>
      <w:r w:rsidR="00070E54">
        <w:rPr>
          <w:rFonts w:cs="Times New Roman"/>
          <w:lang w:val="en-US"/>
        </w:rPr>
        <w:t xml:space="preserve"> </w:t>
      </w:r>
      <w:r w:rsidR="00F12536" w:rsidRPr="00904695">
        <w:rPr>
          <w:rFonts w:cs="Times New Roman"/>
          <w:lang w:val="en-US"/>
        </w:rPr>
        <w:t>Xing et al., 2024)</w:t>
      </w:r>
      <w:r w:rsidRPr="00904695">
        <w:rPr>
          <w:rFonts w:cs="Times New Roman"/>
          <w:lang w:val="en-US"/>
        </w:rPr>
        <w:t>. This flexibility could be an advantage as when the buyer profits from gains of the exchange rate, it also serves as a limitation of losses from the market.</w:t>
      </w:r>
    </w:p>
    <w:p w14:paraId="454ECFDE" w14:textId="5C13F0F9" w:rsidR="00FE2BE9" w:rsidRPr="00904695" w:rsidRDefault="00B94CA7" w:rsidP="00B94CA7">
      <w:pPr>
        <w:rPr>
          <w:rFonts w:cs="Times New Roman"/>
          <w:lang w:val="en-US"/>
        </w:rPr>
      </w:pPr>
      <w:r w:rsidRPr="00904695">
        <w:rPr>
          <w:rFonts w:cs="Times New Roman"/>
          <w:lang w:val="en-US"/>
        </w:rPr>
        <w:t xml:space="preserve">One disadvantage of an options contract is that you </w:t>
      </w:r>
      <w:proofErr w:type="gramStart"/>
      <w:r w:rsidRPr="00904695">
        <w:rPr>
          <w:rFonts w:cs="Times New Roman"/>
          <w:lang w:val="en-US"/>
        </w:rPr>
        <w:t>have to</w:t>
      </w:r>
      <w:proofErr w:type="gramEnd"/>
      <w:r w:rsidRPr="00904695">
        <w:rPr>
          <w:rFonts w:cs="Times New Roman"/>
          <w:lang w:val="en-US"/>
        </w:rPr>
        <w:t xml:space="preserve"> pay a premium in advance, regardless of whether it gets exercised or not. Thus, the currency option instruments enable companies to maintain the flexibility required for currency risk management and earn more due to positive exchange rate movements while </w:t>
      </w:r>
      <w:r w:rsidR="00070E54" w:rsidRPr="00904695">
        <w:rPr>
          <w:rFonts w:cs="Times New Roman"/>
          <w:lang w:val="en-US"/>
        </w:rPr>
        <w:t>minim</w:t>
      </w:r>
      <w:r w:rsidR="00070E54">
        <w:rPr>
          <w:rFonts w:cs="Times New Roman"/>
          <w:lang w:val="en-US"/>
        </w:rPr>
        <w:t>iz</w:t>
      </w:r>
      <w:r w:rsidR="00070E54" w:rsidRPr="00904695">
        <w:rPr>
          <w:rFonts w:cs="Times New Roman"/>
          <w:lang w:val="en-US"/>
        </w:rPr>
        <w:t>ing</w:t>
      </w:r>
      <w:r w:rsidRPr="00904695">
        <w:rPr>
          <w:rFonts w:cs="Times New Roman"/>
          <w:lang w:val="en-US"/>
        </w:rPr>
        <w:t xml:space="preserve"> losses due to negative ones.</w:t>
      </w:r>
    </w:p>
    <w:p w14:paraId="53657860" w14:textId="24B9CB69" w:rsidR="007D7339" w:rsidRPr="00904695" w:rsidRDefault="007D7339" w:rsidP="007D7339">
      <w:pPr>
        <w:pStyle w:val="Heading3"/>
        <w:rPr>
          <w:rFonts w:cs="Times New Roman"/>
        </w:rPr>
      </w:pPr>
      <w:bookmarkStart w:id="11" w:name="_Toc161521500"/>
      <w:r w:rsidRPr="00904695">
        <w:rPr>
          <w:rFonts w:cs="Times New Roman"/>
        </w:rPr>
        <w:t>Currency Swaps</w:t>
      </w:r>
      <w:bookmarkEnd w:id="11"/>
    </w:p>
    <w:p w14:paraId="4E943D73" w14:textId="6020CE26" w:rsidR="00FE2BE9" w:rsidRPr="00904695" w:rsidRDefault="00B94CA7" w:rsidP="007D7339">
      <w:pPr>
        <w:rPr>
          <w:rFonts w:cs="Times New Roman"/>
          <w:lang w:val="en-US"/>
        </w:rPr>
      </w:pPr>
      <w:r w:rsidRPr="00904695">
        <w:rPr>
          <w:rFonts w:cs="Times New Roman"/>
          <w:lang w:val="en-US"/>
        </w:rPr>
        <w:t>Currency swap is yet another hedging strategy between the parties who undertake to exchange the cash flows that are in difference currencies</w:t>
      </w:r>
      <w:r w:rsidR="001D11D0" w:rsidRPr="00904695">
        <w:rPr>
          <w:rFonts w:cs="Times New Roman"/>
          <w:lang w:val="en-US"/>
        </w:rPr>
        <w:t xml:space="preserve"> </w:t>
      </w:r>
      <w:r w:rsidR="00F12536" w:rsidRPr="00904695">
        <w:rPr>
          <w:rFonts w:cs="Times New Roman"/>
          <w:lang w:val="en-US"/>
        </w:rPr>
        <w:t>(Mohammed, 2024)</w:t>
      </w:r>
      <w:r w:rsidRPr="00904695">
        <w:rPr>
          <w:rFonts w:cs="Times New Roman"/>
          <w:lang w:val="en-US"/>
        </w:rPr>
        <w:t xml:space="preserve">. It gives them the ability to cover currency risk </w:t>
      </w:r>
      <w:proofErr w:type="gramStart"/>
      <w:r w:rsidRPr="00904695">
        <w:rPr>
          <w:rFonts w:cs="Times New Roman"/>
          <w:lang w:val="en-US"/>
        </w:rPr>
        <w:t>as long as</w:t>
      </w:r>
      <w:proofErr w:type="gramEnd"/>
      <w:r w:rsidRPr="00904695">
        <w:rPr>
          <w:rFonts w:cs="Times New Roman"/>
          <w:lang w:val="en-US"/>
        </w:rPr>
        <w:t xml:space="preserve"> they are not turning the principal amount from one currency to another. An example would be a company with dollars as revenues and euro costs so that it will be able to enter a currency swap to get its dollar cash flow into euros at a fixed rate that will help in mitigating the effects of the fluctuations in the currency on its financial performance.</w:t>
      </w:r>
    </w:p>
    <w:p w14:paraId="3A486C16" w14:textId="7C0A7360" w:rsidR="007D7339" w:rsidRPr="00904695" w:rsidRDefault="00B94CA7" w:rsidP="007D7339">
      <w:pPr>
        <w:rPr>
          <w:rFonts w:cs="Times New Roman"/>
          <w:lang w:val="en-US"/>
        </w:rPr>
      </w:pPr>
      <w:r w:rsidRPr="00904695">
        <w:rPr>
          <w:rFonts w:cs="Times New Roman"/>
          <w:lang w:val="en-US"/>
        </w:rPr>
        <w:t xml:space="preserve">A key challenge associated with currency swaps is that they might result in counterparty risk as the other party in the swap arrangement may end up not fulfilling its obligations. However, this risk will be </w:t>
      </w:r>
      <w:r w:rsidR="00070E54" w:rsidRPr="00904695">
        <w:rPr>
          <w:rFonts w:cs="Times New Roman"/>
          <w:lang w:val="en-US"/>
        </w:rPr>
        <w:t>minim</w:t>
      </w:r>
      <w:r w:rsidR="00070E54">
        <w:rPr>
          <w:rFonts w:cs="Times New Roman"/>
          <w:lang w:val="en-US"/>
        </w:rPr>
        <w:t>iz</w:t>
      </w:r>
      <w:r w:rsidR="00070E54" w:rsidRPr="00904695">
        <w:rPr>
          <w:rFonts w:cs="Times New Roman"/>
          <w:lang w:val="en-US"/>
        </w:rPr>
        <w:t>ed</w:t>
      </w:r>
      <w:r w:rsidRPr="00904695">
        <w:rPr>
          <w:rFonts w:cs="Times New Roman"/>
          <w:lang w:val="en-US"/>
        </w:rPr>
        <w:t xml:space="preserve"> through a well-thought-out process of choosing counterparties and using the appropriate legal documents. </w:t>
      </w:r>
    </w:p>
    <w:p w14:paraId="7993C7D1" w14:textId="036E3A08" w:rsidR="007D7339" w:rsidRPr="00904695" w:rsidRDefault="007D7339" w:rsidP="00BF34BB">
      <w:pPr>
        <w:pStyle w:val="Heading2"/>
        <w:numPr>
          <w:ilvl w:val="0"/>
          <w:numId w:val="13"/>
        </w:numPr>
        <w:rPr>
          <w:rFonts w:cs="Times New Roman"/>
          <w:sz w:val="24"/>
          <w:szCs w:val="22"/>
          <w:lang w:val="en-US"/>
        </w:rPr>
      </w:pPr>
      <w:bookmarkStart w:id="12" w:name="_Toc161521501"/>
      <w:r w:rsidRPr="00904695">
        <w:rPr>
          <w:rFonts w:cs="Times New Roman"/>
          <w:lang w:val="en-US"/>
        </w:rPr>
        <w:lastRenderedPageBreak/>
        <w:t>Netting</w:t>
      </w:r>
      <w:bookmarkEnd w:id="12"/>
    </w:p>
    <w:p w14:paraId="07AE9274" w14:textId="46AB6020" w:rsidR="00ED1ADE" w:rsidRPr="00904695" w:rsidRDefault="001D11D0" w:rsidP="00B94CA7">
      <w:pPr>
        <w:rPr>
          <w:rFonts w:cs="Times New Roman"/>
          <w:lang w:val="en-US"/>
        </w:rPr>
      </w:pPr>
      <w:r w:rsidRPr="00904695">
        <w:rPr>
          <w:rFonts w:cs="Times New Roman"/>
          <w:lang w:val="en-US"/>
        </w:rPr>
        <w:t xml:space="preserve">The netting method is a risk-management strategy </w:t>
      </w:r>
      <w:r w:rsidR="00070E54" w:rsidRPr="00904695">
        <w:rPr>
          <w:rFonts w:cs="Times New Roman"/>
          <w:lang w:val="en-US"/>
        </w:rPr>
        <w:t>util</w:t>
      </w:r>
      <w:r w:rsidR="00070E54">
        <w:rPr>
          <w:rFonts w:cs="Times New Roman"/>
          <w:lang w:val="en-US"/>
        </w:rPr>
        <w:t>iz</w:t>
      </w:r>
      <w:r w:rsidR="00070E54" w:rsidRPr="00904695">
        <w:rPr>
          <w:rFonts w:cs="Times New Roman"/>
          <w:lang w:val="en-US"/>
        </w:rPr>
        <w:t>ed</w:t>
      </w:r>
      <w:r w:rsidRPr="00904695">
        <w:rPr>
          <w:rFonts w:cs="Times New Roman"/>
          <w:lang w:val="en-US"/>
        </w:rPr>
        <w:t xml:space="preserve"> by multinational companies (MNCs) to address international financial management issues. It enables a multinational company to do cross-currency offsetting in various subsidiaries or divisions which are a part of the MNC </w:t>
      </w:r>
      <w:r w:rsidR="00F12536" w:rsidRPr="00904695">
        <w:rPr>
          <w:rFonts w:cs="Times New Roman"/>
          <w:lang w:val="en-US"/>
        </w:rPr>
        <w:t>(Abboud, 2024)</w:t>
      </w:r>
      <w:r w:rsidRPr="00904695">
        <w:rPr>
          <w:rFonts w:cs="Times New Roman"/>
          <w:lang w:val="en-US"/>
        </w:rPr>
        <w:t>. Through combining and consolidating their foreign exchange transactions, MNCs tend to lower their overall foreign exchange risk exposure. MNCs can use netting to take advantage of the pre-existing natural hedges in the organ</w:t>
      </w:r>
      <w:r w:rsidR="00904695">
        <w:rPr>
          <w:rFonts w:cs="Times New Roman"/>
          <w:lang w:val="en-US"/>
        </w:rPr>
        <w:t>is</w:t>
      </w:r>
      <w:r w:rsidRPr="00904695">
        <w:rPr>
          <w:rFonts w:cs="Times New Roman"/>
          <w:lang w:val="en-US"/>
        </w:rPr>
        <w:t xml:space="preserve">ation where inflows of the same currency and outflows of the opposite currency </w:t>
      </w:r>
      <w:r w:rsidR="00070E54" w:rsidRPr="00904695">
        <w:rPr>
          <w:rFonts w:cs="Times New Roman"/>
          <w:lang w:val="en-US"/>
        </w:rPr>
        <w:t>neutral</w:t>
      </w:r>
      <w:r w:rsidR="00070E54">
        <w:rPr>
          <w:rFonts w:cs="Times New Roman"/>
          <w:lang w:val="en-US"/>
        </w:rPr>
        <w:t>iz</w:t>
      </w:r>
      <w:r w:rsidR="00070E54" w:rsidRPr="00904695">
        <w:rPr>
          <w:rFonts w:cs="Times New Roman"/>
          <w:lang w:val="en-US"/>
        </w:rPr>
        <w:t>e</w:t>
      </w:r>
      <w:r w:rsidRPr="00904695">
        <w:rPr>
          <w:rFonts w:cs="Times New Roman"/>
          <w:lang w:val="en-US"/>
        </w:rPr>
        <w:t xml:space="preserve"> each other</w:t>
      </w:r>
      <w:r w:rsidR="00072945" w:rsidRPr="00904695">
        <w:rPr>
          <w:rFonts w:cs="Times New Roman"/>
          <w:lang w:val="en-US"/>
        </w:rPr>
        <w:t xml:space="preserve"> </w:t>
      </w:r>
      <w:r w:rsidR="00F12536" w:rsidRPr="00904695">
        <w:rPr>
          <w:rFonts w:cs="Times New Roman"/>
          <w:lang w:val="en-US"/>
        </w:rPr>
        <w:t>(Burvenich et al., 2024)</w:t>
      </w:r>
      <w:r w:rsidRPr="00904695">
        <w:rPr>
          <w:rFonts w:cs="Times New Roman"/>
          <w:lang w:val="en-US"/>
        </w:rPr>
        <w:t>.</w:t>
      </w:r>
    </w:p>
    <w:p w14:paraId="684503B7" w14:textId="19099BEC" w:rsidR="00ED1ADE" w:rsidRDefault="00B94CA7" w:rsidP="00ED1ADE">
      <w:pPr>
        <w:rPr>
          <w:rFonts w:cs="Times New Roman"/>
          <w:lang w:val="en-US"/>
        </w:rPr>
      </w:pPr>
      <w:r w:rsidRPr="00904695">
        <w:rPr>
          <w:rFonts w:cs="Times New Roman"/>
          <w:lang w:val="en-US"/>
        </w:rPr>
        <w:t xml:space="preserve">Netting, however, becomes less efficient in cases when there is a significant divergence in the time of currency inflows and outflows. </w:t>
      </w:r>
      <w:r w:rsidR="00A63BAD">
        <w:rPr>
          <w:rFonts w:cs="Times New Roman"/>
          <w:lang w:val="en-US"/>
        </w:rPr>
        <w:t xml:space="preserve">An example of </w:t>
      </w:r>
      <w:r w:rsidR="00A63BAD" w:rsidRPr="00A63BAD">
        <w:rPr>
          <w:rFonts w:cs="Times New Roman"/>
          <w:lang w:val="en-US"/>
        </w:rPr>
        <w:t xml:space="preserve">netting in the international financial management is that a multinational corporation </w:t>
      </w:r>
      <w:proofErr w:type="gramStart"/>
      <w:r w:rsidR="00A63BAD" w:rsidRPr="00A63BAD">
        <w:rPr>
          <w:rFonts w:cs="Times New Roman"/>
          <w:lang w:val="en-US"/>
        </w:rPr>
        <w:t>is able to</w:t>
      </w:r>
      <w:proofErr w:type="gramEnd"/>
      <w:r w:rsidR="00A63BAD" w:rsidRPr="00A63BAD">
        <w:rPr>
          <w:rFonts w:cs="Times New Roman"/>
          <w:lang w:val="en-US"/>
        </w:rPr>
        <w:t xml:space="preserve"> settle its receivables in US dollars, which its US subsidiary holds, against its payable in US dollars to the Canadian supplier, thus </w:t>
      </w:r>
      <w:r w:rsidR="00070E54" w:rsidRPr="00A63BAD">
        <w:rPr>
          <w:rFonts w:cs="Times New Roman"/>
          <w:lang w:val="en-US"/>
        </w:rPr>
        <w:t>minimi</w:t>
      </w:r>
      <w:r w:rsidR="00070E54">
        <w:rPr>
          <w:rFonts w:cs="Times New Roman"/>
          <w:lang w:val="en-US"/>
        </w:rPr>
        <w:t>z</w:t>
      </w:r>
      <w:r w:rsidR="00070E54" w:rsidRPr="00A63BAD">
        <w:rPr>
          <w:rFonts w:cs="Times New Roman"/>
          <w:lang w:val="en-US"/>
        </w:rPr>
        <w:t>ing</w:t>
      </w:r>
      <w:r w:rsidR="00A63BAD" w:rsidRPr="00A63BAD">
        <w:rPr>
          <w:rFonts w:cs="Times New Roman"/>
          <w:lang w:val="en-US"/>
        </w:rPr>
        <w:t xml:space="preserve"> its foreign exchange expense.</w:t>
      </w:r>
    </w:p>
    <w:p w14:paraId="05F347CC" w14:textId="77777777" w:rsidR="00070E54" w:rsidRPr="00904695" w:rsidRDefault="00070E54" w:rsidP="00ED1ADE">
      <w:pPr>
        <w:rPr>
          <w:rFonts w:cs="Times New Roman"/>
          <w:lang w:val="en-US"/>
        </w:rPr>
      </w:pPr>
    </w:p>
    <w:p w14:paraId="23A60CB5" w14:textId="21A89681" w:rsidR="0022255F" w:rsidRPr="00904695" w:rsidRDefault="0022255F" w:rsidP="007D7339">
      <w:pPr>
        <w:pStyle w:val="Heading1"/>
        <w:rPr>
          <w:rFonts w:cs="Times New Roman"/>
        </w:rPr>
      </w:pPr>
      <w:bookmarkStart w:id="13" w:name="_Toc161521502"/>
      <w:r w:rsidRPr="00904695">
        <w:rPr>
          <w:rFonts w:cs="Times New Roman"/>
        </w:rPr>
        <w:t>Conclusion</w:t>
      </w:r>
      <w:bookmarkEnd w:id="13"/>
    </w:p>
    <w:p w14:paraId="5D834B77" w14:textId="45B1795B" w:rsidR="006D2126" w:rsidRPr="00904695" w:rsidRDefault="00A63BAD" w:rsidP="009D1978">
      <w:pPr>
        <w:rPr>
          <w:rFonts w:cs="Times New Roman"/>
        </w:rPr>
      </w:pPr>
      <w:r w:rsidRPr="00A63BAD">
        <w:rPr>
          <w:rFonts w:cs="Times New Roman"/>
        </w:rPr>
        <w:t xml:space="preserve">Country-to-Country transactions put MNCs at risk and threaten their financial stability as well as profitability. Therefore, they should properly manage their foreign exchange risks. This report has discussed several theories and strategies, such as using instruments to hedge, consisting of forwards, options, and swaps, as well as netting and portfolio diversification methods. This notwithstanding, these solutions may be very </w:t>
      </w:r>
      <w:r w:rsidR="00070E54" w:rsidRPr="00A63BAD">
        <w:rPr>
          <w:rFonts w:cs="Times New Roman"/>
        </w:rPr>
        <w:t>effective,</w:t>
      </w:r>
      <w:r w:rsidRPr="00A63BAD">
        <w:rPr>
          <w:rFonts w:cs="Times New Roman"/>
        </w:rPr>
        <w:t xml:space="preserve"> but it should be noted that there are some limitations and real-world implementation challenges that should be given the due consideration. In the end, it is a combination of risk management knowledge and measures that will be best suited to the specific circumstances of an MNC as it faces exchange rate risks in a variety of currencies and regions.</w:t>
      </w:r>
      <w:r w:rsidR="006D2126" w:rsidRPr="00904695">
        <w:rPr>
          <w:rFonts w:cs="Times New Roman"/>
        </w:rPr>
        <w:br w:type="page"/>
      </w:r>
    </w:p>
    <w:p w14:paraId="00466458" w14:textId="76FF1E5B" w:rsidR="006D2126" w:rsidRPr="00904695" w:rsidRDefault="006D2126" w:rsidP="006D2126">
      <w:pPr>
        <w:pStyle w:val="Heading1"/>
        <w:rPr>
          <w:rFonts w:cs="Times New Roman"/>
          <w:lang w:val="en-US"/>
        </w:rPr>
      </w:pPr>
      <w:bookmarkStart w:id="14" w:name="_Toc161521503"/>
      <w:r w:rsidRPr="00904695">
        <w:rPr>
          <w:rFonts w:cs="Times New Roman"/>
          <w:lang w:val="en-US"/>
        </w:rPr>
        <w:lastRenderedPageBreak/>
        <w:t>References</w:t>
      </w:r>
      <w:bookmarkEnd w:id="14"/>
    </w:p>
    <w:p w14:paraId="1DCEA9B5"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Abboud, E. (2024) “Financial and credit risk research,” </w:t>
      </w:r>
      <w:r w:rsidRPr="00E40F26">
        <w:rPr>
          <w:rFonts w:eastAsia="Times New Roman" w:cs="Times New Roman"/>
          <w:i/>
          <w:iCs/>
          <w:kern w:val="0"/>
          <w:szCs w:val="24"/>
          <w:lang w:eastAsia="en-GB"/>
          <w14:ligatures w14:val="none"/>
        </w:rPr>
        <w:t>SSRN Electronic Journal</w:t>
      </w:r>
      <w:r w:rsidRPr="00E40F26">
        <w:rPr>
          <w:rFonts w:eastAsia="Times New Roman" w:cs="Times New Roman"/>
          <w:kern w:val="0"/>
          <w:szCs w:val="24"/>
          <w:lang w:eastAsia="en-GB"/>
          <w14:ligatures w14:val="none"/>
        </w:rPr>
        <w:t>. doi: 10.2139/ssrn.4719821.</w:t>
      </w:r>
    </w:p>
    <w:p w14:paraId="1C513E3A"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Andrew, D. (2017) </w:t>
      </w:r>
      <w:r w:rsidRPr="00E40F26">
        <w:rPr>
          <w:rFonts w:eastAsia="Times New Roman" w:cs="Times New Roman"/>
          <w:i/>
          <w:iCs/>
          <w:kern w:val="0"/>
          <w:szCs w:val="24"/>
          <w:lang w:eastAsia="en-GB"/>
          <w14:ligatures w14:val="none"/>
        </w:rPr>
        <w:t>Regulating capital: Setting standards for the international financial system</w:t>
      </w:r>
      <w:r w:rsidRPr="00E40F26">
        <w:rPr>
          <w:rFonts w:eastAsia="Times New Roman" w:cs="Times New Roman"/>
          <w:kern w:val="0"/>
          <w:szCs w:val="24"/>
          <w:lang w:eastAsia="en-GB"/>
          <w14:ligatures w14:val="none"/>
        </w:rPr>
        <w:t>. Ithaca, NY: Cornell University Press. doi: 10.7591/9780801461842.</w:t>
      </w:r>
    </w:p>
    <w:p w14:paraId="73CCF6C2"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Bajpai, S. and Sharma, A. K. (2015) “An empirical testing of capital asset pricing model in India,” </w:t>
      </w:r>
      <w:r w:rsidRPr="00E40F26">
        <w:rPr>
          <w:rFonts w:eastAsia="Times New Roman" w:cs="Times New Roman"/>
          <w:i/>
          <w:iCs/>
          <w:kern w:val="0"/>
          <w:szCs w:val="24"/>
          <w:lang w:eastAsia="en-GB"/>
          <w14:ligatures w14:val="none"/>
        </w:rPr>
        <w:t>Procedia, social and behavioral sciences</w:t>
      </w:r>
      <w:r w:rsidRPr="00E40F26">
        <w:rPr>
          <w:rFonts w:eastAsia="Times New Roman" w:cs="Times New Roman"/>
          <w:kern w:val="0"/>
          <w:szCs w:val="24"/>
          <w:lang w:eastAsia="en-GB"/>
          <w14:ligatures w14:val="none"/>
        </w:rPr>
        <w:t>, 189, pp. 259–265. doi: 10.1016/j.sbspro.2015.03.221.</w:t>
      </w:r>
    </w:p>
    <w:p w14:paraId="19235974"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Burvenich, R. </w:t>
      </w:r>
      <w:r w:rsidRPr="00E40F26">
        <w:rPr>
          <w:rFonts w:eastAsia="Times New Roman" w:cs="Times New Roman"/>
          <w:i/>
          <w:iCs/>
          <w:kern w:val="0"/>
          <w:szCs w:val="24"/>
          <w:lang w:eastAsia="en-GB"/>
          <w14:ligatures w14:val="none"/>
        </w:rPr>
        <w:t>et al.</w:t>
      </w:r>
      <w:r w:rsidRPr="00E40F26">
        <w:rPr>
          <w:rFonts w:eastAsia="Times New Roman" w:cs="Times New Roman"/>
          <w:kern w:val="0"/>
          <w:szCs w:val="24"/>
          <w:lang w:eastAsia="en-GB"/>
          <w14:ligatures w14:val="none"/>
        </w:rPr>
        <w:t> (2024) “Towards an international consensus on safety netting advice for acutely ill children presenting to ambulatory care: a modified e-Delphi procedure,” </w:t>
      </w:r>
      <w:r w:rsidRPr="00E40F26">
        <w:rPr>
          <w:rFonts w:eastAsia="Times New Roman" w:cs="Times New Roman"/>
          <w:i/>
          <w:iCs/>
          <w:kern w:val="0"/>
          <w:szCs w:val="24"/>
          <w:lang w:eastAsia="en-GB"/>
          <w14:ligatures w14:val="none"/>
        </w:rPr>
        <w:t>Archives of disease in childhood</w:t>
      </w:r>
      <w:r w:rsidRPr="00E40F26">
        <w:rPr>
          <w:rFonts w:eastAsia="Times New Roman" w:cs="Times New Roman"/>
          <w:kern w:val="0"/>
          <w:szCs w:val="24"/>
          <w:lang w:eastAsia="en-GB"/>
          <w14:ligatures w14:val="none"/>
        </w:rPr>
        <w:t>, 109(2), pp. 93–99. doi: 10.1136/archdischild-2023-326370.</w:t>
      </w:r>
    </w:p>
    <w:p w14:paraId="7C2B7D0C" w14:textId="2D4F5655" w:rsidR="00E40F26" w:rsidRPr="00904695"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dos Santos, S. F. and Brandi, H. S. (2017) “Selecting portfolios for composite indexes: application of Modern Portfolio Theory to competitiveness,” </w:t>
      </w:r>
      <w:r w:rsidRPr="00E40F26">
        <w:rPr>
          <w:rFonts w:eastAsia="Times New Roman" w:cs="Times New Roman"/>
          <w:i/>
          <w:iCs/>
          <w:kern w:val="0"/>
          <w:szCs w:val="24"/>
          <w:lang w:eastAsia="en-GB"/>
          <w14:ligatures w14:val="none"/>
        </w:rPr>
        <w:t>Clean technologies and environmental policy</w:t>
      </w:r>
      <w:r w:rsidRPr="00E40F26">
        <w:rPr>
          <w:rFonts w:eastAsia="Times New Roman" w:cs="Times New Roman"/>
          <w:kern w:val="0"/>
          <w:szCs w:val="24"/>
          <w:lang w:eastAsia="en-GB"/>
          <w14:ligatures w14:val="none"/>
        </w:rPr>
        <w:t>, 19(10), pp. 2443–2453. doi: 10.1007/s10098-017-1441-y.</w:t>
      </w:r>
    </w:p>
    <w:p w14:paraId="2B692142"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Eiteman, D. K., Stonehill, A. I. and Moffett, M. H. (2018) </w:t>
      </w:r>
      <w:r w:rsidRPr="00E40F26">
        <w:rPr>
          <w:rFonts w:eastAsia="Times New Roman" w:cs="Times New Roman"/>
          <w:i/>
          <w:iCs/>
          <w:kern w:val="0"/>
          <w:szCs w:val="24"/>
          <w:lang w:eastAsia="en-GB"/>
          <w14:ligatures w14:val="none"/>
        </w:rPr>
        <w:t>Multinational Business Finance</w:t>
      </w:r>
      <w:r w:rsidRPr="00E40F26">
        <w:rPr>
          <w:rFonts w:eastAsia="Times New Roman" w:cs="Times New Roman"/>
          <w:kern w:val="0"/>
          <w:szCs w:val="24"/>
          <w:lang w:eastAsia="en-GB"/>
          <w14:ligatures w14:val="none"/>
        </w:rPr>
        <w:t>. 15th ed. Upper Saddle River, NJ: Pearson.</w:t>
      </w:r>
    </w:p>
    <w:p w14:paraId="7B2DAA07"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Fama, E. F. and French, K. R. (2017) “International tests of a five-factor asset pricing model,” </w:t>
      </w:r>
      <w:r w:rsidRPr="00E40F26">
        <w:rPr>
          <w:rFonts w:eastAsia="Times New Roman" w:cs="Times New Roman"/>
          <w:i/>
          <w:iCs/>
          <w:kern w:val="0"/>
          <w:szCs w:val="24"/>
          <w:lang w:eastAsia="en-GB"/>
          <w14:ligatures w14:val="none"/>
        </w:rPr>
        <w:t>Journal of financial economics</w:t>
      </w:r>
      <w:r w:rsidRPr="00E40F26">
        <w:rPr>
          <w:rFonts w:eastAsia="Times New Roman" w:cs="Times New Roman"/>
          <w:kern w:val="0"/>
          <w:szCs w:val="24"/>
          <w:lang w:eastAsia="en-GB"/>
          <w14:ligatures w14:val="none"/>
        </w:rPr>
        <w:t>, 123(3), pp. 441–463. doi: 10.1016/j.jfineco.2016.11.004.</w:t>
      </w:r>
    </w:p>
    <w:p w14:paraId="21E0D292"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Gautam, A., Jaiswal, T. and Keshari, A. (2023) </w:t>
      </w:r>
      <w:r w:rsidRPr="00E40F26">
        <w:rPr>
          <w:rFonts w:eastAsia="Times New Roman" w:cs="Times New Roman"/>
          <w:i/>
          <w:iCs/>
          <w:kern w:val="0"/>
          <w:szCs w:val="24"/>
          <w:lang w:eastAsia="en-GB"/>
          <w14:ligatures w14:val="none"/>
        </w:rPr>
        <w:t>International financial management</w:t>
      </w:r>
      <w:r w:rsidRPr="00E40F26">
        <w:rPr>
          <w:rFonts w:eastAsia="Times New Roman" w:cs="Times New Roman"/>
          <w:kern w:val="0"/>
          <w:szCs w:val="24"/>
          <w:lang w:eastAsia="en-GB"/>
          <w14:ligatures w14:val="none"/>
        </w:rPr>
        <w:t>. Delhi, India: PHI Learning.</w:t>
      </w:r>
    </w:p>
    <w:p w14:paraId="48FAE09D"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Georgiadis, P. (2023) “Strong dollar hits airlines as costs surge,” </w:t>
      </w:r>
      <w:r w:rsidRPr="00E40F26">
        <w:rPr>
          <w:rFonts w:eastAsia="Times New Roman" w:cs="Times New Roman"/>
          <w:i/>
          <w:iCs/>
          <w:kern w:val="0"/>
          <w:szCs w:val="24"/>
          <w:lang w:eastAsia="en-GB"/>
          <w14:ligatures w14:val="none"/>
        </w:rPr>
        <w:t>Financial Times</w:t>
      </w:r>
      <w:r w:rsidRPr="00E40F26">
        <w:rPr>
          <w:rFonts w:eastAsia="Times New Roman" w:cs="Times New Roman"/>
          <w:kern w:val="0"/>
          <w:szCs w:val="24"/>
          <w:lang w:eastAsia="en-GB"/>
          <w14:ligatures w14:val="none"/>
        </w:rPr>
        <w:t>. Available at: https://www.ft.com/content/b1c81565-bb92-4a37-850d-7bebcbd2e3d8 (Accessed: March 16, 2024).</w:t>
      </w:r>
    </w:p>
    <w:p w14:paraId="5B87BC01" w14:textId="58DFAEEB" w:rsidR="00E40F26" w:rsidRPr="00E40F26" w:rsidRDefault="00070E54"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lastRenderedPageBreak/>
        <w:t>Hong Xing</w:t>
      </w:r>
      <w:r w:rsidR="00E40F26" w:rsidRPr="00E40F26">
        <w:rPr>
          <w:rFonts w:eastAsia="Times New Roman" w:cs="Times New Roman"/>
          <w:kern w:val="0"/>
          <w:szCs w:val="24"/>
          <w:lang w:eastAsia="en-GB"/>
          <w14:ligatures w14:val="none"/>
        </w:rPr>
        <w:t>, Y. </w:t>
      </w:r>
      <w:r w:rsidR="00E40F26" w:rsidRPr="00E40F26">
        <w:rPr>
          <w:rFonts w:eastAsia="Times New Roman" w:cs="Times New Roman"/>
          <w:i/>
          <w:iCs/>
          <w:kern w:val="0"/>
          <w:szCs w:val="24"/>
          <w:lang w:eastAsia="en-GB"/>
          <w14:ligatures w14:val="none"/>
        </w:rPr>
        <w:t>et al.</w:t>
      </w:r>
      <w:r w:rsidR="00E40F26" w:rsidRPr="00E40F26">
        <w:rPr>
          <w:rFonts w:eastAsia="Times New Roman" w:cs="Times New Roman"/>
          <w:kern w:val="0"/>
          <w:szCs w:val="24"/>
          <w:lang w:eastAsia="en-GB"/>
          <w14:ligatures w14:val="none"/>
        </w:rPr>
        <w:t> (2024) “Connectedness between currency risk hedging and firm value: A deep neural network-based evaluation,” </w:t>
      </w:r>
      <w:r w:rsidR="00E40F26" w:rsidRPr="00E40F26">
        <w:rPr>
          <w:rFonts w:eastAsia="Times New Roman" w:cs="Times New Roman"/>
          <w:i/>
          <w:iCs/>
          <w:kern w:val="0"/>
          <w:szCs w:val="24"/>
          <w:lang w:eastAsia="en-GB"/>
          <w14:ligatures w14:val="none"/>
        </w:rPr>
        <w:t>Computational economics</w:t>
      </w:r>
      <w:r w:rsidR="00E40F26" w:rsidRPr="00E40F26">
        <w:rPr>
          <w:rFonts w:eastAsia="Times New Roman" w:cs="Times New Roman"/>
          <w:kern w:val="0"/>
          <w:szCs w:val="24"/>
          <w:lang w:eastAsia="en-GB"/>
          <w14:ligatures w14:val="none"/>
        </w:rPr>
        <w:t>, 63(2), pp. 599–638. doi: 10.1007/s10614-022-10353-4.</w:t>
      </w:r>
    </w:p>
    <w:p w14:paraId="01444B75"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Hundal, S., Eskola, A. and Tuan, D. (2019) “Risk–return relationship in the Finnish stock market in the light of Capital Asset Pricing Model (CAPM),” </w:t>
      </w:r>
      <w:r w:rsidRPr="00E40F26">
        <w:rPr>
          <w:rFonts w:eastAsia="Times New Roman" w:cs="Times New Roman"/>
          <w:i/>
          <w:iCs/>
          <w:kern w:val="0"/>
          <w:szCs w:val="24"/>
          <w:lang w:eastAsia="en-GB"/>
          <w14:ligatures w14:val="none"/>
        </w:rPr>
        <w:t>Journal of transnational management</w:t>
      </w:r>
      <w:r w:rsidRPr="00E40F26">
        <w:rPr>
          <w:rFonts w:eastAsia="Times New Roman" w:cs="Times New Roman"/>
          <w:kern w:val="0"/>
          <w:szCs w:val="24"/>
          <w:lang w:eastAsia="en-GB"/>
          <w14:ligatures w14:val="none"/>
        </w:rPr>
        <w:t>, 24(4), pp. 305–322. doi: 10.1080/15475778.2019.1641394.</w:t>
      </w:r>
    </w:p>
    <w:p w14:paraId="340F79DB"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Iles, P., Chuai, X. and Preece, D. (2010) “Talent Management and HRM in Multinational companies in Beijing: Definitions, differences and drivers,” </w:t>
      </w:r>
      <w:r w:rsidRPr="00E40F26">
        <w:rPr>
          <w:rFonts w:eastAsia="Times New Roman" w:cs="Times New Roman"/>
          <w:i/>
          <w:iCs/>
          <w:kern w:val="0"/>
          <w:szCs w:val="24"/>
          <w:lang w:eastAsia="en-GB"/>
          <w14:ligatures w14:val="none"/>
        </w:rPr>
        <w:t>Journal of world business</w:t>
      </w:r>
      <w:r w:rsidRPr="00E40F26">
        <w:rPr>
          <w:rFonts w:eastAsia="Times New Roman" w:cs="Times New Roman"/>
          <w:kern w:val="0"/>
          <w:szCs w:val="24"/>
          <w:lang w:eastAsia="en-GB"/>
          <w14:ligatures w14:val="none"/>
        </w:rPr>
        <w:t>, 45(2), pp. 179–189. doi: 10.1016/j.jwb.2009.09.014.</w:t>
      </w:r>
    </w:p>
    <w:p w14:paraId="50C2A2CC" w14:textId="24AA6254"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Karp, A. and Van Vuuren, G. (2017) “The Capital Asset Pricing Model and Fama-French Three Factor Model in an emerging market environment,” </w:t>
      </w:r>
      <w:r w:rsidRPr="00E40F26">
        <w:rPr>
          <w:rFonts w:eastAsia="Times New Roman" w:cs="Times New Roman"/>
          <w:i/>
          <w:iCs/>
          <w:kern w:val="0"/>
          <w:szCs w:val="24"/>
          <w:lang w:eastAsia="en-GB"/>
          <w14:ligatures w14:val="none"/>
        </w:rPr>
        <w:t>International Business &amp; Economics Research Journal (IBER)</w:t>
      </w:r>
      <w:r w:rsidRPr="00E40F26">
        <w:rPr>
          <w:rFonts w:eastAsia="Times New Roman" w:cs="Times New Roman"/>
          <w:kern w:val="0"/>
          <w:szCs w:val="24"/>
          <w:lang w:eastAsia="en-GB"/>
          <w14:ligatures w14:val="none"/>
        </w:rPr>
        <w:t>, 16(4), pp. 231–256. doi: 10.19030/</w:t>
      </w:r>
      <w:r w:rsidR="00070E54" w:rsidRPr="00E40F26">
        <w:rPr>
          <w:rFonts w:eastAsia="Times New Roman" w:cs="Times New Roman"/>
          <w:kern w:val="0"/>
          <w:szCs w:val="24"/>
          <w:lang w:eastAsia="en-GB"/>
          <w14:ligatures w14:val="none"/>
        </w:rPr>
        <w:t>iber.v</w:t>
      </w:r>
      <w:r w:rsidRPr="00E40F26">
        <w:rPr>
          <w:rFonts w:eastAsia="Times New Roman" w:cs="Times New Roman"/>
          <w:kern w:val="0"/>
          <w:szCs w:val="24"/>
          <w:lang w:eastAsia="en-GB"/>
          <w14:ligatures w14:val="none"/>
        </w:rPr>
        <w:t>16i4.10040.</w:t>
      </w:r>
    </w:p>
    <w:p w14:paraId="55EC4217"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Lukomnik, J. and Hawley, J. P. (2021) </w:t>
      </w:r>
      <w:r w:rsidRPr="00E40F26">
        <w:rPr>
          <w:rFonts w:eastAsia="Times New Roman" w:cs="Times New Roman"/>
          <w:i/>
          <w:iCs/>
          <w:kern w:val="0"/>
          <w:szCs w:val="24"/>
          <w:lang w:eastAsia="en-GB"/>
          <w14:ligatures w14:val="none"/>
        </w:rPr>
        <w:t>Moving beyond modern portfolio theory: Investing that matters</w:t>
      </w:r>
      <w:r w:rsidRPr="00E40F26">
        <w:rPr>
          <w:rFonts w:eastAsia="Times New Roman" w:cs="Times New Roman"/>
          <w:kern w:val="0"/>
          <w:szCs w:val="24"/>
          <w:lang w:eastAsia="en-GB"/>
          <w14:ligatures w14:val="none"/>
        </w:rPr>
        <w:t>. Routledge.</w:t>
      </w:r>
    </w:p>
    <w:p w14:paraId="63B04392"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Maggiori, M. (2017) “Financial intermediation, international risk sharing, and reserve currencies,” </w:t>
      </w:r>
      <w:r w:rsidRPr="00E40F26">
        <w:rPr>
          <w:rFonts w:eastAsia="Times New Roman" w:cs="Times New Roman"/>
          <w:i/>
          <w:iCs/>
          <w:kern w:val="0"/>
          <w:szCs w:val="24"/>
          <w:lang w:eastAsia="en-GB"/>
          <w14:ligatures w14:val="none"/>
        </w:rPr>
        <w:t>American Economic Review</w:t>
      </w:r>
      <w:r w:rsidRPr="00E40F26">
        <w:rPr>
          <w:rFonts w:eastAsia="Times New Roman" w:cs="Times New Roman"/>
          <w:kern w:val="0"/>
          <w:szCs w:val="24"/>
          <w:lang w:eastAsia="en-GB"/>
          <w14:ligatures w14:val="none"/>
        </w:rPr>
        <w:t>, 107(10), pp. 3038–3071. doi: 10.1257/aer.20130479.</w:t>
      </w:r>
    </w:p>
    <w:p w14:paraId="7C1D225C"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Mohammed, A. A. (2024) “Financial development and central bank bilateral currency swaps: Is there trade effect?,” </w:t>
      </w:r>
      <w:r w:rsidRPr="00E40F26">
        <w:rPr>
          <w:rFonts w:eastAsia="Times New Roman" w:cs="Times New Roman"/>
          <w:i/>
          <w:iCs/>
          <w:kern w:val="0"/>
          <w:szCs w:val="24"/>
          <w:lang w:eastAsia="en-GB"/>
          <w14:ligatures w14:val="none"/>
        </w:rPr>
        <w:t>Research Square</w:t>
      </w:r>
      <w:r w:rsidRPr="00E40F26">
        <w:rPr>
          <w:rFonts w:eastAsia="Times New Roman" w:cs="Times New Roman"/>
          <w:kern w:val="0"/>
          <w:szCs w:val="24"/>
          <w:lang w:eastAsia="en-GB"/>
          <w14:ligatures w14:val="none"/>
        </w:rPr>
        <w:t>. doi: 10.21203/rs.3.rs-3933637/v1.</w:t>
      </w:r>
    </w:p>
    <w:p w14:paraId="04BC19F6"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Niepmann, F. and Schmidt-Eisenlohr, T. (2017) “International trade, risk and the role of banks,” </w:t>
      </w:r>
      <w:r w:rsidRPr="00E40F26">
        <w:rPr>
          <w:rFonts w:eastAsia="Times New Roman" w:cs="Times New Roman"/>
          <w:i/>
          <w:iCs/>
          <w:kern w:val="0"/>
          <w:szCs w:val="24"/>
          <w:lang w:eastAsia="en-GB"/>
          <w14:ligatures w14:val="none"/>
        </w:rPr>
        <w:t>Journal of international economics</w:t>
      </w:r>
      <w:r w:rsidRPr="00E40F26">
        <w:rPr>
          <w:rFonts w:eastAsia="Times New Roman" w:cs="Times New Roman"/>
          <w:kern w:val="0"/>
          <w:szCs w:val="24"/>
          <w:lang w:eastAsia="en-GB"/>
          <w14:ligatures w14:val="none"/>
        </w:rPr>
        <w:t>, 107, pp. 111–126. doi: 10.1016/j.jinteco.2017.03.007.</w:t>
      </w:r>
    </w:p>
    <w:p w14:paraId="3F3CB3A1"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Opie, W. and Riddiough, S. J. (2020) “Global currency hedging with common risk factors,” </w:t>
      </w:r>
      <w:r w:rsidRPr="00E40F26">
        <w:rPr>
          <w:rFonts w:eastAsia="Times New Roman" w:cs="Times New Roman"/>
          <w:i/>
          <w:iCs/>
          <w:kern w:val="0"/>
          <w:szCs w:val="24"/>
          <w:lang w:eastAsia="en-GB"/>
          <w14:ligatures w14:val="none"/>
        </w:rPr>
        <w:t>Journal of financial economics</w:t>
      </w:r>
      <w:r w:rsidRPr="00E40F26">
        <w:rPr>
          <w:rFonts w:eastAsia="Times New Roman" w:cs="Times New Roman"/>
          <w:kern w:val="0"/>
          <w:szCs w:val="24"/>
          <w:lang w:eastAsia="en-GB"/>
          <w14:ligatures w14:val="none"/>
        </w:rPr>
        <w:t>, 136(3), pp. 780–805. doi: 10.1016/j.jfineco.2019.12.001.</w:t>
      </w:r>
    </w:p>
    <w:p w14:paraId="16C40959"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Polak, P. and Ulrych, U. (2024) “Dynamic currency hedging with non-Gaussianity and ambiguity,” </w:t>
      </w:r>
      <w:r w:rsidRPr="00E40F26">
        <w:rPr>
          <w:rFonts w:eastAsia="Times New Roman" w:cs="Times New Roman"/>
          <w:i/>
          <w:iCs/>
          <w:kern w:val="0"/>
          <w:szCs w:val="24"/>
          <w:lang w:eastAsia="en-GB"/>
          <w14:ligatures w14:val="none"/>
        </w:rPr>
        <w:t>Quantitative finance</w:t>
      </w:r>
      <w:r w:rsidRPr="00E40F26">
        <w:rPr>
          <w:rFonts w:eastAsia="Times New Roman" w:cs="Times New Roman"/>
          <w:kern w:val="0"/>
          <w:szCs w:val="24"/>
          <w:lang w:eastAsia="en-GB"/>
          <w14:ligatures w14:val="none"/>
        </w:rPr>
        <w:t>, 24(2), pp. 305–327. doi: 10.1080/14697688.2023.2301419.</w:t>
      </w:r>
    </w:p>
    <w:p w14:paraId="23CEDE21"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lastRenderedPageBreak/>
        <w:t>Rossi, M. (2016) “The capital asset pricing model: a critical literature review,” </w:t>
      </w:r>
      <w:r w:rsidRPr="00E40F26">
        <w:rPr>
          <w:rFonts w:eastAsia="Times New Roman" w:cs="Times New Roman"/>
          <w:i/>
          <w:iCs/>
          <w:kern w:val="0"/>
          <w:szCs w:val="24"/>
          <w:lang w:eastAsia="en-GB"/>
          <w14:ligatures w14:val="none"/>
        </w:rPr>
        <w:t>Global business &amp; economics review</w:t>
      </w:r>
      <w:r w:rsidRPr="00E40F26">
        <w:rPr>
          <w:rFonts w:eastAsia="Times New Roman" w:cs="Times New Roman"/>
          <w:kern w:val="0"/>
          <w:szCs w:val="24"/>
          <w:lang w:eastAsia="en-GB"/>
          <w14:ligatures w14:val="none"/>
        </w:rPr>
        <w:t>, 18(5), p. 604. doi: 10.1504/gber.2016.078682.</w:t>
      </w:r>
    </w:p>
    <w:p w14:paraId="522C67F0"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Shapiro, A. C. and Hanouna, P. (2023) </w:t>
      </w:r>
      <w:r w:rsidRPr="00E40F26">
        <w:rPr>
          <w:rFonts w:eastAsia="Times New Roman" w:cs="Times New Roman"/>
          <w:i/>
          <w:iCs/>
          <w:kern w:val="0"/>
          <w:szCs w:val="24"/>
          <w:lang w:eastAsia="en-GB"/>
          <w14:ligatures w14:val="none"/>
        </w:rPr>
        <w:t>Multinational financial management</w:t>
      </w:r>
      <w:r w:rsidRPr="00E40F26">
        <w:rPr>
          <w:rFonts w:eastAsia="Times New Roman" w:cs="Times New Roman"/>
          <w:kern w:val="0"/>
          <w:szCs w:val="24"/>
          <w:lang w:eastAsia="en-GB"/>
          <w14:ligatures w14:val="none"/>
        </w:rPr>
        <w:t>. 11th ed. Nashville, TN: John Wiley &amp; Sons.</w:t>
      </w:r>
    </w:p>
    <w:p w14:paraId="0C9C34C3" w14:textId="77777777" w:rsidR="00E40F26" w:rsidRPr="00E40F26" w:rsidRDefault="00E40F26" w:rsidP="00E40F26">
      <w:pPr>
        <w:spacing w:before="100" w:beforeAutospacing="1" w:after="100" w:afterAutospacing="1"/>
        <w:rPr>
          <w:rFonts w:eastAsia="Times New Roman" w:cs="Times New Roman"/>
          <w:kern w:val="0"/>
          <w:szCs w:val="24"/>
          <w:lang w:eastAsia="en-GB"/>
          <w14:ligatures w14:val="none"/>
        </w:rPr>
      </w:pPr>
      <w:r w:rsidRPr="00E40F26">
        <w:rPr>
          <w:rFonts w:eastAsia="Times New Roman" w:cs="Times New Roman"/>
          <w:kern w:val="0"/>
          <w:szCs w:val="24"/>
          <w:lang w:eastAsia="en-GB"/>
          <w14:ligatures w14:val="none"/>
        </w:rPr>
        <w:t>Surtee, T. G. H. and Alagidede, I. P. (2023) “A novel approach to using modern portfolio theory,” </w:t>
      </w:r>
      <w:r w:rsidRPr="00E40F26">
        <w:rPr>
          <w:rFonts w:eastAsia="Times New Roman" w:cs="Times New Roman"/>
          <w:i/>
          <w:iCs/>
          <w:kern w:val="0"/>
          <w:szCs w:val="24"/>
          <w:lang w:eastAsia="en-GB"/>
          <w14:ligatures w14:val="none"/>
        </w:rPr>
        <w:t>Borsa Istanbul review</w:t>
      </w:r>
      <w:r w:rsidRPr="00E40F26">
        <w:rPr>
          <w:rFonts w:eastAsia="Times New Roman" w:cs="Times New Roman"/>
          <w:kern w:val="0"/>
          <w:szCs w:val="24"/>
          <w:lang w:eastAsia="en-GB"/>
          <w14:ligatures w14:val="none"/>
        </w:rPr>
        <w:t>, 23(3), pp. 527–540. doi: 10.1016/j.bir.2022.12.005.</w:t>
      </w:r>
    </w:p>
    <w:p w14:paraId="78EEF86D" w14:textId="77777777" w:rsidR="006D2126" w:rsidRPr="00904695" w:rsidRDefault="006D2126" w:rsidP="007A4BD3">
      <w:pPr>
        <w:rPr>
          <w:rFonts w:cs="Times New Roman"/>
        </w:rPr>
      </w:pPr>
    </w:p>
    <w:sectPr w:rsidR="006D2126" w:rsidRPr="00904695" w:rsidSect="0001398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3D25C" w14:textId="77777777" w:rsidR="00013984" w:rsidRDefault="00013984" w:rsidP="00797580">
      <w:pPr>
        <w:spacing w:before="0" w:after="0" w:line="240" w:lineRule="auto"/>
      </w:pPr>
      <w:r>
        <w:separator/>
      </w:r>
    </w:p>
  </w:endnote>
  <w:endnote w:type="continuationSeparator" w:id="0">
    <w:p w14:paraId="246E4811" w14:textId="77777777" w:rsidR="00013984" w:rsidRDefault="00013984" w:rsidP="007975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97705"/>
      <w:docPartObj>
        <w:docPartGallery w:val="Page Numbers (Bottom of Page)"/>
        <w:docPartUnique/>
      </w:docPartObj>
    </w:sdtPr>
    <w:sdtEndPr>
      <w:rPr>
        <w:noProof/>
      </w:rPr>
    </w:sdtEndPr>
    <w:sdtContent>
      <w:p w14:paraId="233F4F6B" w14:textId="167438BC" w:rsidR="00FE0908" w:rsidRDefault="00FE09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8743BA" w14:textId="77777777" w:rsidR="00FE0908" w:rsidRDefault="00FE0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6BA09" w14:textId="77777777" w:rsidR="00013984" w:rsidRDefault="00013984" w:rsidP="00797580">
      <w:pPr>
        <w:spacing w:before="0" w:after="0" w:line="240" w:lineRule="auto"/>
      </w:pPr>
      <w:r>
        <w:separator/>
      </w:r>
    </w:p>
  </w:footnote>
  <w:footnote w:type="continuationSeparator" w:id="0">
    <w:p w14:paraId="61669801" w14:textId="77777777" w:rsidR="00013984" w:rsidRDefault="00013984" w:rsidP="0079758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1E73"/>
    <w:multiLevelType w:val="multilevel"/>
    <w:tmpl w:val="CE04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3A7E48"/>
    <w:multiLevelType w:val="hybridMultilevel"/>
    <w:tmpl w:val="FA227A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117149"/>
    <w:multiLevelType w:val="multilevel"/>
    <w:tmpl w:val="79123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9737C"/>
    <w:multiLevelType w:val="multilevel"/>
    <w:tmpl w:val="72D6E2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F46333"/>
    <w:multiLevelType w:val="multilevel"/>
    <w:tmpl w:val="DEFCEE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001038"/>
    <w:multiLevelType w:val="multilevel"/>
    <w:tmpl w:val="CAB2A2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E16D7"/>
    <w:multiLevelType w:val="multilevel"/>
    <w:tmpl w:val="D04C98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32716611"/>
    <w:multiLevelType w:val="multilevel"/>
    <w:tmpl w:val="E898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FE259B"/>
    <w:multiLevelType w:val="multilevel"/>
    <w:tmpl w:val="D9E4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702318"/>
    <w:multiLevelType w:val="multilevel"/>
    <w:tmpl w:val="0A76C4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9D000E"/>
    <w:multiLevelType w:val="hybridMultilevel"/>
    <w:tmpl w:val="59E63D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5432EF0"/>
    <w:multiLevelType w:val="multilevel"/>
    <w:tmpl w:val="F5D0E9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55F032B5"/>
    <w:multiLevelType w:val="multilevel"/>
    <w:tmpl w:val="11B82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AB6B79"/>
    <w:multiLevelType w:val="hybridMultilevel"/>
    <w:tmpl w:val="C65075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BC94772"/>
    <w:multiLevelType w:val="multilevel"/>
    <w:tmpl w:val="38C6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3281829">
    <w:abstractNumId w:val="11"/>
  </w:num>
  <w:num w:numId="2" w16cid:durableId="63767090">
    <w:abstractNumId w:val="5"/>
  </w:num>
  <w:num w:numId="3" w16cid:durableId="2144493248">
    <w:abstractNumId w:val="3"/>
  </w:num>
  <w:num w:numId="4" w16cid:durableId="565803886">
    <w:abstractNumId w:val="2"/>
  </w:num>
  <w:num w:numId="5" w16cid:durableId="1996253718">
    <w:abstractNumId w:val="9"/>
  </w:num>
  <w:num w:numId="6" w16cid:durableId="2055999924">
    <w:abstractNumId w:val="4"/>
  </w:num>
  <w:num w:numId="7" w16cid:durableId="398792003">
    <w:abstractNumId w:val="6"/>
  </w:num>
  <w:num w:numId="8" w16cid:durableId="1004935951">
    <w:abstractNumId w:val="8"/>
  </w:num>
  <w:num w:numId="9" w16cid:durableId="94373826">
    <w:abstractNumId w:val="7"/>
  </w:num>
  <w:num w:numId="10" w16cid:durableId="1872569036">
    <w:abstractNumId w:val="14"/>
  </w:num>
  <w:num w:numId="11" w16cid:durableId="1231966894">
    <w:abstractNumId w:val="12"/>
  </w:num>
  <w:num w:numId="12" w16cid:durableId="851262492">
    <w:abstractNumId w:val="0"/>
  </w:num>
  <w:num w:numId="13" w16cid:durableId="2028094155">
    <w:abstractNumId w:val="10"/>
  </w:num>
  <w:num w:numId="14" w16cid:durableId="1693385583">
    <w:abstractNumId w:val="1"/>
  </w:num>
  <w:num w:numId="15" w16cid:durableId="20363410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518"/>
    <w:rsid w:val="00012C3C"/>
    <w:rsid w:val="00013984"/>
    <w:rsid w:val="00017CAC"/>
    <w:rsid w:val="00020DD1"/>
    <w:rsid w:val="00025200"/>
    <w:rsid w:val="00031647"/>
    <w:rsid w:val="000419A0"/>
    <w:rsid w:val="00043925"/>
    <w:rsid w:val="00044349"/>
    <w:rsid w:val="000533B5"/>
    <w:rsid w:val="00054C21"/>
    <w:rsid w:val="0005726C"/>
    <w:rsid w:val="0006436B"/>
    <w:rsid w:val="00065217"/>
    <w:rsid w:val="00066294"/>
    <w:rsid w:val="00070E54"/>
    <w:rsid w:val="00072945"/>
    <w:rsid w:val="00080D8B"/>
    <w:rsid w:val="0009492C"/>
    <w:rsid w:val="000A40F7"/>
    <w:rsid w:val="000A4508"/>
    <w:rsid w:val="000C1039"/>
    <w:rsid w:val="000D1CD0"/>
    <w:rsid w:val="000F482F"/>
    <w:rsid w:val="00111780"/>
    <w:rsid w:val="0012111F"/>
    <w:rsid w:val="001305AF"/>
    <w:rsid w:val="00134BF4"/>
    <w:rsid w:val="00154F45"/>
    <w:rsid w:val="00171427"/>
    <w:rsid w:val="00171462"/>
    <w:rsid w:val="00175FDA"/>
    <w:rsid w:val="001774D5"/>
    <w:rsid w:val="001844BF"/>
    <w:rsid w:val="00193856"/>
    <w:rsid w:val="001964DA"/>
    <w:rsid w:val="001A135C"/>
    <w:rsid w:val="001B68AA"/>
    <w:rsid w:val="001D11D0"/>
    <w:rsid w:val="001D640D"/>
    <w:rsid w:val="001D75DB"/>
    <w:rsid w:val="001F09BD"/>
    <w:rsid w:val="001F45BA"/>
    <w:rsid w:val="001F6D97"/>
    <w:rsid w:val="00210B4D"/>
    <w:rsid w:val="00217BED"/>
    <w:rsid w:val="002201FA"/>
    <w:rsid w:val="0022255F"/>
    <w:rsid w:val="00222C20"/>
    <w:rsid w:val="00223AC0"/>
    <w:rsid w:val="00224023"/>
    <w:rsid w:val="00243146"/>
    <w:rsid w:val="00252DA6"/>
    <w:rsid w:val="00265504"/>
    <w:rsid w:val="0026557D"/>
    <w:rsid w:val="002919AB"/>
    <w:rsid w:val="002B494F"/>
    <w:rsid w:val="002F16C9"/>
    <w:rsid w:val="002F1A10"/>
    <w:rsid w:val="002F7C27"/>
    <w:rsid w:val="00307324"/>
    <w:rsid w:val="00313696"/>
    <w:rsid w:val="00324387"/>
    <w:rsid w:val="00326799"/>
    <w:rsid w:val="00331F79"/>
    <w:rsid w:val="00332030"/>
    <w:rsid w:val="00342A3A"/>
    <w:rsid w:val="003455D8"/>
    <w:rsid w:val="00353F82"/>
    <w:rsid w:val="00356B70"/>
    <w:rsid w:val="00364AF6"/>
    <w:rsid w:val="00380811"/>
    <w:rsid w:val="003A2984"/>
    <w:rsid w:val="003B1E92"/>
    <w:rsid w:val="003B4E6B"/>
    <w:rsid w:val="003D01BA"/>
    <w:rsid w:val="003F425D"/>
    <w:rsid w:val="00403F00"/>
    <w:rsid w:val="00411E24"/>
    <w:rsid w:val="00424E87"/>
    <w:rsid w:val="0043672F"/>
    <w:rsid w:val="00443116"/>
    <w:rsid w:val="00453769"/>
    <w:rsid w:val="004753B3"/>
    <w:rsid w:val="0047555A"/>
    <w:rsid w:val="00495732"/>
    <w:rsid w:val="004A02D9"/>
    <w:rsid w:val="004B391F"/>
    <w:rsid w:val="004B7868"/>
    <w:rsid w:val="004C443F"/>
    <w:rsid w:val="004C70C5"/>
    <w:rsid w:val="004D76E2"/>
    <w:rsid w:val="004E5BB8"/>
    <w:rsid w:val="00502250"/>
    <w:rsid w:val="00565A84"/>
    <w:rsid w:val="00582EE1"/>
    <w:rsid w:val="005840C2"/>
    <w:rsid w:val="00592EAE"/>
    <w:rsid w:val="005B1338"/>
    <w:rsid w:val="00605283"/>
    <w:rsid w:val="00621AC8"/>
    <w:rsid w:val="00623FBE"/>
    <w:rsid w:val="00644DB1"/>
    <w:rsid w:val="00664518"/>
    <w:rsid w:val="006731C8"/>
    <w:rsid w:val="00675523"/>
    <w:rsid w:val="00690E78"/>
    <w:rsid w:val="006920AA"/>
    <w:rsid w:val="00694A30"/>
    <w:rsid w:val="006D2126"/>
    <w:rsid w:val="006D39EA"/>
    <w:rsid w:val="006E5E98"/>
    <w:rsid w:val="006F6B61"/>
    <w:rsid w:val="00722313"/>
    <w:rsid w:val="00722603"/>
    <w:rsid w:val="00725AB4"/>
    <w:rsid w:val="00726FC9"/>
    <w:rsid w:val="00744043"/>
    <w:rsid w:val="00757E21"/>
    <w:rsid w:val="00764AF2"/>
    <w:rsid w:val="007823C1"/>
    <w:rsid w:val="00791B65"/>
    <w:rsid w:val="00793752"/>
    <w:rsid w:val="00797580"/>
    <w:rsid w:val="007A4BD3"/>
    <w:rsid w:val="007D7339"/>
    <w:rsid w:val="007D7F04"/>
    <w:rsid w:val="007E0282"/>
    <w:rsid w:val="007F2D1D"/>
    <w:rsid w:val="007F51F1"/>
    <w:rsid w:val="0080628A"/>
    <w:rsid w:val="0081655F"/>
    <w:rsid w:val="00823AEC"/>
    <w:rsid w:val="0083631B"/>
    <w:rsid w:val="0084701B"/>
    <w:rsid w:val="00847DE1"/>
    <w:rsid w:val="00862167"/>
    <w:rsid w:val="0086462D"/>
    <w:rsid w:val="0088137E"/>
    <w:rsid w:val="008818D1"/>
    <w:rsid w:val="00883243"/>
    <w:rsid w:val="008B30EA"/>
    <w:rsid w:val="008B65AB"/>
    <w:rsid w:val="008D1A3B"/>
    <w:rsid w:val="008F29F0"/>
    <w:rsid w:val="008F7AF6"/>
    <w:rsid w:val="00904695"/>
    <w:rsid w:val="00927384"/>
    <w:rsid w:val="00934169"/>
    <w:rsid w:val="00942387"/>
    <w:rsid w:val="00950A0C"/>
    <w:rsid w:val="009520B8"/>
    <w:rsid w:val="00957D47"/>
    <w:rsid w:val="00964B16"/>
    <w:rsid w:val="00980419"/>
    <w:rsid w:val="00985B09"/>
    <w:rsid w:val="009903A1"/>
    <w:rsid w:val="00990DEB"/>
    <w:rsid w:val="00993B91"/>
    <w:rsid w:val="00995E70"/>
    <w:rsid w:val="009A691B"/>
    <w:rsid w:val="009D1978"/>
    <w:rsid w:val="009D5330"/>
    <w:rsid w:val="009F6902"/>
    <w:rsid w:val="00A27FD4"/>
    <w:rsid w:val="00A63BAD"/>
    <w:rsid w:val="00A7112E"/>
    <w:rsid w:val="00A74EC5"/>
    <w:rsid w:val="00AE35D1"/>
    <w:rsid w:val="00AF1CFE"/>
    <w:rsid w:val="00B118EC"/>
    <w:rsid w:val="00B21C8E"/>
    <w:rsid w:val="00B33E62"/>
    <w:rsid w:val="00B468FD"/>
    <w:rsid w:val="00B62436"/>
    <w:rsid w:val="00B816E1"/>
    <w:rsid w:val="00B903B1"/>
    <w:rsid w:val="00B94CA7"/>
    <w:rsid w:val="00BE2EB4"/>
    <w:rsid w:val="00BF34BB"/>
    <w:rsid w:val="00BF5201"/>
    <w:rsid w:val="00C20250"/>
    <w:rsid w:val="00C27088"/>
    <w:rsid w:val="00C303CF"/>
    <w:rsid w:val="00C42070"/>
    <w:rsid w:val="00C613B9"/>
    <w:rsid w:val="00C63FD2"/>
    <w:rsid w:val="00C67161"/>
    <w:rsid w:val="00C733C1"/>
    <w:rsid w:val="00C85CC6"/>
    <w:rsid w:val="00CB00FB"/>
    <w:rsid w:val="00CB6A5B"/>
    <w:rsid w:val="00CD7913"/>
    <w:rsid w:val="00CF0EA8"/>
    <w:rsid w:val="00D2154F"/>
    <w:rsid w:val="00D21E87"/>
    <w:rsid w:val="00D3262E"/>
    <w:rsid w:val="00D3334F"/>
    <w:rsid w:val="00D40BC3"/>
    <w:rsid w:val="00D54C99"/>
    <w:rsid w:val="00D60B1D"/>
    <w:rsid w:val="00D74F45"/>
    <w:rsid w:val="00D92CC2"/>
    <w:rsid w:val="00D9483C"/>
    <w:rsid w:val="00DA0637"/>
    <w:rsid w:val="00DA09BB"/>
    <w:rsid w:val="00DA1DCF"/>
    <w:rsid w:val="00DA78DB"/>
    <w:rsid w:val="00DC207E"/>
    <w:rsid w:val="00DC276E"/>
    <w:rsid w:val="00DC2FFD"/>
    <w:rsid w:val="00DC3462"/>
    <w:rsid w:val="00DE7FEB"/>
    <w:rsid w:val="00DF0A99"/>
    <w:rsid w:val="00E369B3"/>
    <w:rsid w:val="00E40F26"/>
    <w:rsid w:val="00E46E54"/>
    <w:rsid w:val="00E540AB"/>
    <w:rsid w:val="00E61B2F"/>
    <w:rsid w:val="00E62A6C"/>
    <w:rsid w:val="00E72CE0"/>
    <w:rsid w:val="00E825DE"/>
    <w:rsid w:val="00E83475"/>
    <w:rsid w:val="00E92EA9"/>
    <w:rsid w:val="00E94945"/>
    <w:rsid w:val="00ED1ADE"/>
    <w:rsid w:val="00EE5166"/>
    <w:rsid w:val="00EE7C77"/>
    <w:rsid w:val="00EF0A45"/>
    <w:rsid w:val="00F12536"/>
    <w:rsid w:val="00F2292B"/>
    <w:rsid w:val="00F303DA"/>
    <w:rsid w:val="00F452A7"/>
    <w:rsid w:val="00F60E08"/>
    <w:rsid w:val="00F72414"/>
    <w:rsid w:val="00F74FC5"/>
    <w:rsid w:val="00F81F64"/>
    <w:rsid w:val="00F924A9"/>
    <w:rsid w:val="00FA6932"/>
    <w:rsid w:val="00FB104A"/>
    <w:rsid w:val="00FB188F"/>
    <w:rsid w:val="00FB1E41"/>
    <w:rsid w:val="00FB5864"/>
    <w:rsid w:val="00FB5A80"/>
    <w:rsid w:val="00FC7D0E"/>
    <w:rsid w:val="00FD54E3"/>
    <w:rsid w:val="00FD725F"/>
    <w:rsid w:val="00FE0908"/>
    <w:rsid w:val="00FE2BE9"/>
    <w:rsid w:val="00FF2D94"/>
    <w:rsid w:val="00FF7F9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2283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4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169"/>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175FDA"/>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E7C77"/>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D7339"/>
    <w:pPr>
      <w:keepNext/>
      <w:keepLines/>
      <w:spacing w:before="40" w:after="0"/>
      <w:outlineLvl w:val="2"/>
    </w:pPr>
    <w:rPr>
      <w:rFonts w:eastAsiaTheme="majorEastAsia" w:cstheme="majorBidi"/>
      <w:b/>
      <w:kern w:val="0"/>
      <w:szCs w:val="24"/>
      <w:lang w:val="en-US"/>
      <w14:ligatures w14:val="none"/>
    </w:rPr>
  </w:style>
  <w:style w:type="paragraph" w:styleId="Heading4">
    <w:name w:val="heading 4"/>
    <w:basedOn w:val="Normal"/>
    <w:next w:val="Normal"/>
    <w:link w:val="Heading4Char"/>
    <w:uiPriority w:val="9"/>
    <w:unhideWhenUsed/>
    <w:qFormat/>
    <w:rsid w:val="00927384"/>
    <w:pPr>
      <w:keepNext/>
      <w:keepLines/>
      <w:spacing w:before="40" w:after="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FD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E7C77"/>
    <w:rPr>
      <w:rFonts w:ascii="Times New Roman" w:eastAsiaTheme="majorEastAsia" w:hAnsi="Times New Roman" w:cstheme="majorBidi"/>
      <w:b/>
      <w:kern w:val="2"/>
      <w:sz w:val="28"/>
      <w:szCs w:val="26"/>
      <w:lang w:val="en-GB"/>
      <w14:ligatures w14:val="standardContextual"/>
    </w:rPr>
  </w:style>
  <w:style w:type="paragraph" w:styleId="Title">
    <w:name w:val="Title"/>
    <w:basedOn w:val="Normal"/>
    <w:next w:val="Normal"/>
    <w:link w:val="TitleChar"/>
    <w:uiPriority w:val="10"/>
    <w:qFormat/>
    <w:rsid w:val="00FF7F9D"/>
    <w:pPr>
      <w:spacing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F7F9D"/>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7D7339"/>
    <w:rPr>
      <w:rFonts w:ascii="Times New Roman" w:eastAsiaTheme="majorEastAsia" w:hAnsi="Times New Roman" w:cstheme="majorBidi"/>
      <w:b/>
      <w:sz w:val="24"/>
      <w:szCs w:val="24"/>
    </w:rPr>
  </w:style>
  <w:style w:type="paragraph" w:styleId="NoSpacing">
    <w:name w:val="No Spacing"/>
    <w:uiPriority w:val="1"/>
    <w:qFormat/>
    <w:rsid w:val="00957D47"/>
    <w:pPr>
      <w:spacing w:after="0" w:line="240" w:lineRule="auto"/>
    </w:pPr>
    <w:rPr>
      <w:rFonts w:ascii="Times New Roman" w:hAnsi="Times New Roman"/>
      <w:b/>
      <w:sz w:val="24"/>
    </w:rPr>
  </w:style>
  <w:style w:type="character" w:customStyle="1" w:styleId="Heading4Char">
    <w:name w:val="Heading 4 Char"/>
    <w:basedOn w:val="DefaultParagraphFont"/>
    <w:link w:val="Heading4"/>
    <w:uiPriority w:val="9"/>
    <w:rsid w:val="00927384"/>
    <w:rPr>
      <w:rFonts w:ascii="Times New Roman" w:eastAsiaTheme="majorEastAsia" w:hAnsi="Times New Roman" w:cstheme="majorBidi"/>
      <w:iCs/>
      <w:kern w:val="2"/>
      <w:sz w:val="24"/>
      <w:lang w:val="en-GB"/>
      <w14:ligatures w14:val="standardContextual"/>
    </w:rPr>
  </w:style>
  <w:style w:type="paragraph" w:styleId="Quote">
    <w:name w:val="Quote"/>
    <w:basedOn w:val="Normal"/>
    <w:next w:val="Normal"/>
    <w:link w:val="QuoteChar"/>
    <w:uiPriority w:val="29"/>
    <w:qFormat/>
    <w:rsid w:val="0066451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64518"/>
    <w:rPr>
      <w:rFonts w:ascii="Times New Roman" w:hAnsi="Times New Roman"/>
      <w:i/>
      <w:iCs/>
      <w:color w:val="404040" w:themeColor="text1" w:themeTint="BF"/>
      <w:kern w:val="2"/>
      <w:sz w:val="24"/>
      <w:lang w:val="en-GB"/>
      <w14:ligatures w14:val="standardContextual"/>
    </w:rPr>
  </w:style>
  <w:style w:type="paragraph" w:styleId="TOCHeading">
    <w:name w:val="TOC Heading"/>
    <w:basedOn w:val="Heading1"/>
    <w:next w:val="Normal"/>
    <w:uiPriority w:val="39"/>
    <w:unhideWhenUsed/>
    <w:qFormat/>
    <w:rsid w:val="00664518"/>
    <w:pPr>
      <w:spacing w:after="0"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3455D8"/>
    <w:pPr>
      <w:spacing w:after="100"/>
    </w:pPr>
  </w:style>
  <w:style w:type="character" w:styleId="Hyperlink">
    <w:name w:val="Hyperlink"/>
    <w:basedOn w:val="DefaultParagraphFont"/>
    <w:uiPriority w:val="99"/>
    <w:unhideWhenUsed/>
    <w:rsid w:val="003455D8"/>
    <w:rPr>
      <w:color w:val="0563C1" w:themeColor="hyperlink"/>
      <w:u w:val="single"/>
    </w:rPr>
  </w:style>
  <w:style w:type="paragraph" w:styleId="Bibliography">
    <w:name w:val="Bibliography"/>
    <w:basedOn w:val="Normal"/>
    <w:next w:val="Normal"/>
    <w:uiPriority w:val="37"/>
    <w:unhideWhenUsed/>
    <w:rsid w:val="00764AF2"/>
  </w:style>
  <w:style w:type="paragraph" w:styleId="TOC2">
    <w:name w:val="toc 2"/>
    <w:basedOn w:val="Normal"/>
    <w:next w:val="Normal"/>
    <w:autoRedefine/>
    <w:uiPriority w:val="39"/>
    <w:unhideWhenUsed/>
    <w:rsid w:val="0043672F"/>
    <w:pPr>
      <w:spacing w:after="100"/>
      <w:ind w:left="240"/>
    </w:pPr>
  </w:style>
  <w:style w:type="paragraph" w:styleId="Header">
    <w:name w:val="header"/>
    <w:basedOn w:val="Normal"/>
    <w:link w:val="HeaderChar"/>
    <w:uiPriority w:val="99"/>
    <w:unhideWhenUsed/>
    <w:rsid w:val="0079758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97580"/>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79758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97580"/>
    <w:rPr>
      <w:rFonts w:ascii="Times New Roman" w:hAnsi="Times New Roman"/>
      <w:kern w:val="2"/>
      <w:sz w:val="24"/>
      <w:lang w:val="en-GB"/>
      <w14:ligatures w14:val="standardContextual"/>
    </w:rPr>
  </w:style>
  <w:style w:type="paragraph" w:styleId="TOC3">
    <w:name w:val="toc 3"/>
    <w:basedOn w:val="Normal"/>
    <w:next w:val="Normal"/>
    <w:autoRedefine/>
    <w:uiPriority w:val="39"/>
    <w:unhideWhenUsed/>
    <w:rsid w:val="00BF34BB"/>
    <w:pPr>
      <w:spacing w:after="100"/>
      <w:ind w:left="480"/>
    </w:pPr>
  </w:style>
  <w:style w:type="paragraph" w:styleId="NormalWeb">
    <w:name w:val="Normal (Web)"/>
    <w:basedOn w:val="Normal"/>
    <w:uiPriority w:val="99"/>
    <w:semiHidden/>
    <w:unhideWhenUsed/>
    <w:rsid w:val="00E40F26"/>
    <w:pPr>
      <w:spacing w:before="100" w:beforeAutospacing="1" w:after="100" w:afterAutospacing="1" w:line="240" w:lineRule="auto"/>
      <w:jc w:val="left"/>
    </w:pPr>
    <w:rPr>
      <w:rFonts w:eastAsia="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8132">
      <w:bodyDiv w:val="1"/>
      <w:marLeft w:val="0"/>
      <w:marRight w:val="0"/>
      <w:marTop w:val="0"/>
      <w:marBottom w:val="0"/>
      <w:divBdr>
        <w:top w:val="none" w:sz="0" w:space="0" w:color="auto"/>
        <w:left w:val="none" w:sz="0" w:space="0" w:color="auto"/>
        <w:bottom w:val="none" w:sz="0" w:space="0" w:color="auto"/>
        <w:right w:val="none" w:sz="0" w:space="0" w:color="auto"/>
      </w:divBdr>
    </w:div>
    <w:div w:id="70584595">
      <w:bodyDiv w:val="1"/>
      <w:marLeft w:val="0"/>
      <w:marRight w:val="0"/>
      <w:marTop w:val="0"/>
      <w:marBottom w:val="0"/>
      <w:divBdr>
        <w:top w:val="none" w:sz="0" w:space="0" w:color="auto"/>
        <w:left w:val="none" w:sz="0" w:space="0" w:color="auto"/>
        <w:bottom w:val="none" w:sz="0" w:space="0" w:color="auto"/>
        <w:right w:val="none" w:sz="0" w:space="0" w:color="auto"/>
      </w:divBdr>
    </w:div>
    <w:div w:id="140079400">
      <w:bodyDiv w:val="1"/>
      <w:marLeft w:val="0"/>
      <w:marRight w:val="0"/>
      <w:marTop w:val="0"/>
      <w:marBottom w:val="0"/>
      <w:divBdr>
        <w:top w:val="none" w:sz="0" w:space="0" w:color="auto"/>
        <w:left w:val="none" w:sz="0" w:space="0" w:color="auto"/>
        <w:bottom w:val="none" w:sz="0" w:space="0" w:color="auto"/>
        <w:right w:val="none" w:sz="0" w:space="0" w:color="auto"/>
      </w:divBdr>
    </w:div>
    <w:div w:id="150143204">
      <w:bodyDiv w:val="1"/>
      <w:marLeft w:val="0"/>
      <w:marRight w:val="0"/>
      <w:marTop w:val="0"/>
      <w:marBottom w:val="0"/>
      <w:divBdr>
        <w:top w:val="none" w:sz="0" w:space="0" w:color="auto"/>
        <w:left w:val="none" w:sz="0" w:space="0" w:color="auto"/>
        <w:bottom w:val="none" w:sz="0" w:space="0" w:color="auto"/>
        <w:right w:val="none" w:sz="0" w:space="0" w:color="auto"/>
      </w:divBdr>
    </w:div>
    <w:div w:id="197359200">
      <w:bodyDiv w:val="1"/>
      <w:marLeft w:val="0"/>
      <w:marRight w:val="0"/>
      <w:marTop w:val="0"/>
      <w:marBottom w:val="0"/>
      <w:divBdr>
        <w:top w:val="none" w:sz="0" w:space="0" w:color="auto"/>
        <w:left w:val="none" w:sz="0" w:space="0" w:color="auto"/>
        <w:bottom w:val="none" w:sz="0" w:space="0" w:color="auto"/>
        <w:right w:val="none" w:sz="0" w:space="0" w:color="auto"/>
      </w:divBdr>
    </w:div>
    <w:div w:id="206064970">
      <w:bodyDiv w:val="1"/>
      <w:marLeft w:val="0"/>
      <w:marRight w:val="0"/>
      <w:marTop w:val="0"/>
      <w:marBottom w:val="0"/>
      <w:divBdr>
        <w:top w:val="none" w:sz="0" w:space="0" w:color="auto"/>
        <w:left w:val="none" w:sz="0" w:space="0" w:color="auto"/>
        <w:bottom w:val="none" w:sz="0" w:space="0" w:color="auto"/>
        <w:right w:val="none" w:sz="0" w:space="0" w:color="auto"/>
      </w:divBdr>
    </w:div>
    <w:div w:id="243538719">
      <w:bodyDiv w:val="1"/>
      <w:marLeft w:val="0"/>
      <w:marRight w:val="0"/>
      <w:marTop w:val="0"/>
      <w:marBottom w:val="0"/>
      <w:divBdr>
        <w:top w:val="none" w:sz="0" w:space="0" w:color="auto"/>
        <w:left w:val="none" w:sz="0" w:space="0" w:color="auto"/>
        <w:bottom w:val="none" w:sz="0" w:space="0" w:color="auto"/>
        <w:right w:val="none" w:sz="0" w:space="0" w:color="auto"/>
      </w:divBdr>
    </w:div>
    <w:div w:id="318775184">
      <w:bodyDiv w:val="1"/>
      <w:marLeft w:val="0"/>
      <w:marRight w:val="0"/>
      <w:marTop w:val="0"/>
      <w:marBottom w:val="0"/>
      <w:divBdr>
        <w:top w:val="none" w:sz="0" w:space="0" w:color="auto"/>
        <w:left w:val="none" w:sz="0" w:space="0" w:color="auto"/>
        <w:bottom w:val="none" w:sz="0" w:space="0" w:color="auto"/>
        <w:right w:val="none" w:sz="0" w:space="0" w:color="auto"/>
      </w:divBdr>
    </w:div>
    <w:div w:id="361134035">
      <w:bodyDiv w:val="1"/>
      <w:marLeft w:val="0"/>
      <w:marRight w:val="0"/>
      <w:marTop w:val="0"/>
      <w:marBottom w:val="0"/>
      <w:divBdr>
        <w:top w:val="none" w:sz="0" w:space="0" w:color="auto"/>
        <w:left w:val="none" w:sz="0" w:space="0" w:color="auto"/>
        <w:bottom w:val="none" w:sz="0" w:space="0" w:color="auto"/>
        <w:right w:val="none" w:sz="0" w:space="0" w:color="auto"/>
      </w:divBdr>
    </w:div>
    <w:div w:id="382874247">
      <w:bodyDiv w:val="1"/>
      <w:marLeft w:val="0"/>
      <w:marRight w:val="0"/>
      <w:marTop w:val="0"/>
      <w:marBottom w:val="0"/>
      <w:divBdr>
        <w:top w:val="none" w:sz="0" w:space="0" w:color="auto"/>
        <w:left w:val="none" w:sz="0" w:space="0" w:color="auto"/>
        <w:bottom w:val="none" w:sz="0" w:space="0" w:color="auto"/>
        <w:right w:val="none" w:sz="0" w:space="0" w:color="auto"/>
      </w:divBdr>
    </w:div>
    <w:div w:id="399449643">
      <w:bodyDiv w:val="1"/>
      <w:marLeft w:val="0"/>
      <w:marRight w:val="0"/>
      <w:marTop w:val="0"/>
      <w:marBottom w:val="0"/>
      <w:divBdr>
        <w:top w:val="none" w:sz="0" w:space="0" w:color="auto"/>
        <w:left w:val="none" w:sz="0" w:space="0" w:color="auto"/>
        <w:bottom w:val="none" w:sz="0" w:space="0" w:color="auto"/>
        <w:right w:val="none" w:sz="0" w:space="0" w:color="auto"/>
      </w:divBdr>
    </w:div>
    <w:div w:id="404644627">
      <w:bodyDiv w:val="1"/>
      <w:marLeft w:val="0"/>
      <w:marRight w:val="0"/>
      <w:marTop w:val="0"/>
      <w:marBottom w:val="0"/>
      <w:divBdr>
        <w:top w:val="none" w:sz="0" w:space="0" w:color="auto"/>
        <w:left w:val="none" w:sz="0" w:space="0" w:color="auto"/>
        <w:bottom w:val="none" w:sz="0" w:space="0" w:color="auto"/>
        <w:right w:val="none" w:sz="0" w:space="0" w:color="auto"/>
      </w:divBdr>
    </w:div>
    <w:div w:id="599799305">
      <w:bodyDiv w:val="1"/>
      <w:marLeft w:val="0"/>
      <w:marRight w:val="0"/>
      <w:marTop w:val="0"/>
      <w:marBottom w:val="0"/>
      <w:divBdr>
        <w:top w:val="none" w:sz="0" w:space="0" w:color="auto"/>
        <w:left w:val="none" w:sz="0" w:space="0" w:color="auto"/>
        <w:bottom w:val="none" w:sz="0" w:space="0" w:color="auto"/>
        <w:right w:val="none" w:sz="0" w:space="0" w:color="auto"/>
      </w:divBdr>
    </w:div>
    <w:div w:id="668600995">
      <w:bodyDiv w:val="1"/>
      <w:marLeft w:val="0"/>
      <w:marRight w:val="0"/>
      <w:marTop w:val="0"/>
      <w:marBottom w:val="0"/>
      <w:divBdr>
        <w:top w:val="none" w:sz="0" w:space="0" w:color="auto"/>
        <w:left w:val="none" w:sz="0" w:space="0" w:color="auto"/>
        <w:bottom w:val="none" w:sz="0" w:space="0" w:color="auto"/>
        <w:right w:val="none" w:sz="0" w:space="0" w:color="auto"/>
      </w:divBdr>
    </w:div>
    <w:div w:id="673218366">
      <w:bodyDiv w:val="1"/>
      <w:marLeft w:val="0"/>
      <w:marRight w:val="0"/>
      <w:marTop w:val="0"/>
      <w:marBottom w:val="0"/>
      <w:divBdr>
        <w:top w:val="none" w:sz="0" w:space="0" w:color="auto"/>
        <w:left w:val="none" w:sz="0" w:space="0" w:color="auto"/>
        <w:bottom w:val="none" w:sz="0" w:space="0" w:color="auto"/>
        <w:right w:val="none" w:sz="0" w:space="0" w:color="auto"/>
      </w:divBdr>
    </w:div>
    <w:div w:id="676035367">
      <w:bodyDiv w:val="1"/>
      <w:marLeft w:val="0"/>
      <w:marRight w:val="0"/>
      <w:marTop w:val="0"/>
      <w:marBottom w:val="0"/>
      <w:divBdr>
        <w:top w:val="none" w:sz="0" w:space="0" w:color="auto"/>
        <w:left w:val="none" w:sz="0" w:space="0" w:color="auto"/>
        <w:bottom w:val="none" w:sz="0" w:space="0" w:color="auto"/>
        <w:right w:val="none" w:sz="0" w:space="0" w:color="auto"/>
      </w:divBdr>
    </w:div>
    <w:div w:id="701518109">
      <w:bodyDiv w:val="1"/>
      <w:marLeft w:val="0"/>
      <w:marRight w:val="0"/>
      <w:marTop w:val="0"/>
      <w:marBottom w:val="0"/>
      <w:divBdr>
        <w:top w:val="none" w:sz="0" w:space="0" w:color="auto"/>
        <w:left w:val="none" w:sz="0" w:space="0" w:color="auto"/>
        <w:bottom w:val="none" w:sz="0" w:space="0" w:color="auto"/>
        <w:right w:val="none" w:sz="0" w:space="0" w:color="auto"/>
      </w:divBdr>
    </w:div>
    <w:div w:id="805704500">
      <w:bodyDiv w:val="1"/>
      <w:marLeft w:val="0"/>
      <w:marRight w:val="0"/>
      <w:marTop w:val="0"/>
      <w:marBottom w:val="0"/>
      <w:divBdr>
        <w:top w:val="none" w:sz="0" w:space="0" w:color="auto"/>
        <w:left w:val="none" w:sz="0" w:space="0" w:color="auto"/>
        <w:bottom w:val="none" w:sz="0" w:space="0" w:color="auto"/>
        <w:right w:val="none" w:sz="0" w:space="0" w:color="auto"/>
      </w:divBdr>
    </w:div>
    <w:div w:id="892230611">
      <w:bodyDiv w:val="1"/>
      <w:marLeft w:val="0"/>
      <w:marRight w:val="0"/>
      <w:marTop w:val="0"/>
      <w:marBottom w:val="0"/>
      <w:divBdr>
        <w:top w:val="none" w:sz="0" w:space="0" w:color="auto"/>
        <w:left w:val="none" w:sz="0" w:space="0" w:color="auto"/>
        <w:bottom w:val="none" w:sz="0" w:space="0" w:color="auto"/>
        <w:right w:val="none" w:sz="0" w:space="0" w:color="auto"/>
      </w:divBdr>
    </w:div>
    <w:div w:id="979305338">
      <w:bodyDiv w:val="1"/>
      <w:marLeft w:val="0"/>
      <w:marRight w:val="0"/>
      <w:marTop w:val="0"/>
      <w:marBottom w:val="0"/>
      <w:divBdr>
        <w:top w:val="none" w:sz="0" w:space="0" w:color="auto"/>
        <w:left w:val="none" w:sz="0" w:space="0" w:color="auto"/>
        <w:bottom w:val="none" w:sz="0" w:space="0" w:color="auto"/>
        <w:right w:val="none" w:sz="0" w:space="0" w:color="auto"/>
      </w:divBdr>
    </w:div>
    <w:div w:id="982192925">
      <w:bodyDiv w:val="1"/>
      <w:marLeft w:val="0"/>
      <w:marRight w:val="0"/>
      <w:marTop w:val="0"/>
      <w:marBottom w:val="0"/>
      <w:divBdr>
        <w:top w:val="none" w:sz="0" w:space="0" w:color="auto"/>
        <w:left w:val="none" w:sz="0" w:space="0" w:color="auto"/>
        <w:bottom w:val="none" w:sz="0" w:space="0" w:color="auto"/>
        <w:right w:val="none" w:sz="0" w:space="0" w:color="auto"/>
      </w:divBdr>
    </w:div>
    <w:div w:id="1020395671">
      <w:bodyDiv w:val="1"/>
      <w:marLeft w:val="0"/>
      <w:marRight w:val="0"/>
      <w:marTop w:val="0"/>
      <w:marBottom w:val="0"/>
      <w:divBdr>
        <w:top w:val="none" w:sz="0" w:space="0" w:color="auto"/>
        <w:left w:val="none" w:sz="0" w:space="0" w:color="auto"/>
        <w:bottom w:val="none" w:sz="0" w:space="0" w:color="auto"/>
        <w:right w:val="none" w:sz="0" w:space="0" w:color="auto"/>
      </w:divBdr>
    </w:div>
    <w:div w:id="1068041317">
      <w:bodyDiv w:val="1"/>
      <w:marLeft w:val="0"/>
      <w:marRight w:val="0"/>
      <w:marTop w:val="0"/>
      <w:marBottom w:val="0"/>
      <w:divBdr>
        <w:top w:val="none" w:sz="0" w:space="0" w:color="auto"/>
        <w:left w:val="none" w:sz="0" w:space="0" w:color="auto"/>
        <w:bottom w:val="none" w:sz="0" w:space="0" w:color="auto"/>
        <w:right w:val="none" w:sz="0" w:space="0" w:color="auto"/>
      </w:divBdr>
    </w:div>
    <w:div w:id="1081366298">
      <w:bodyDiv w:val="1"/>
      <w:marLeft w:val="0"/>
      <w:marRight w:val="0"/>
      <w:marTop w:val="0"/>
      <w:marBottom w:val="0"/>
      <w:divBdr>
        <w:top w:val="none" w:sz="0" w:space="0" w:color="auto"/>
        <w:left w:val="none" w:sz="0" w:space="0" w:color="auto"/>
        <w:bottom w:val="none" w:sz="0" w:space="0" w:color="auto"/>
        <w:right w:val="none" w:sz="0" w:space="0" w:color="auto"/>
      </w:divBdr>
    </w:div>
    <w:div w:id="1084645107">
      <w:bodyDiv w:val="1"/>
      <w:marLeft w:val="0"/>
      <w:marRight w:val="0"/>
      <w:marTop w:val="0"/>
      <w:marBottom w:val="0"/>
      <w:divBdr>
        <w:top w:val="none" w:sz="0" w:space="0" w:color="auto"/>
        <w:left w:val="none" w:sz="0" w:space="0" w:color="auto"/>
        <w:bottom w:val="none" w:sz="0" w:space="0" w:color="auto"/>
        <w:right w:val="none" w:sz="0" w:space="0" w:color="auto"/>
      </w:divBdr>
    </w:div>
    <w:div w:id="1149327723">
      <w:bodyDiv w:val="1"/>
      <w:marLeft w:val="0"/>
      <w:marRight w:val="0"/>
      <w:marTop w:val="0"/>
      <w:marBottom w:val="0"/>
      <w:divBdr>
        <w:top w:val="none" w:sz="0" w:space="0" w:color="auto"/>
        <w:left w:val="none" w:sz="0" w:space="0" w:color="auto"/>
        <w:bottom w:val="none" w:sz="0" w:space="0" w:color="auto"/>
        <w:right w:val="none" w:sz="0" w:space="0" w:color="auto"/>
      </w:divBdr>
    </w:div>
    <w:div w:id="1268854617">
      <w:bodyDiv w:val="1"/>
      <w:marLeft w:val="0"/>
      <w:marRight w:val="0"/>
      <w:marTop w:val="0"/>
      <w:marBottom w:val="0"/>
      <w:divBdr>
        <w:top w:val="none" w:sz="0" w:space="0" w:color="auto"/>
        <w:left w:val="none" w:sz="0" w:space="0" w:color="auto"/>
        <w:bottom w:val="none" w:sz="0" w:space="0" w:color="auto"/>
        <w:right w:val="none" w:sz="0" w:space="0" w:color="auto"/>
      </w:divBdr>
      <w:divsChild>
        <w:div w:id="1503230486">
          <w:marLeft w:val="0"/>
          <w:marRight w:val="0"/>
          <w:marTop w:val="0"/>
          <w:marBottom w:val="0"/>
          <w:divBdr>
            <w:top w:val="none" w:sz="0" w:space="0" w:color="auto"/>
            <w:left w:val="none" w:sz="0" w:space="0" w:color="auto"/>
            <w:bottom w:val="none" w:sz="0" w:space="0" w:color="auto"/>
            <w:right w:val="none" w:sz="0" w:space="0" w:color="auto"/>
          </w:divBdr>
          <w:divsChild>
            <w:div w:id="1425758738">
              <w:marLeft w:val="0"/>
              <w:marRight w:val="0"/>
              <w:marTop w:val="0"/>
              <w:marBottom w:val="0"/>
              <w:divBdr>
                <w:top w:val="none" w:sz="0" w:space="0" w:color="auto"/>
                <w:left w:val="none" w:sz="0" w:space="0" w:color="auto"/>
                <w:bottom w:val="none" w:sz="0" w:space="0" w:color="auto"/>
                <w:right w:val="none" w:sz="0" w:space="0" w:color="auto"/>
              </w:divBdr>
            </w:div>
            <w:div w:id="1992098977">
              <w:marLeft w:val="0"/>
              <w:marRight w:val="0"/>
              <w:marTop w:val="0"/>
              <w:marBottom w:val="0"/>
              <w:divBdr>
                <w:top w:val="none" w:sz="0" w:space="0" w:color="auto"/>
                <w:left w:val="none" w:sz="0" w:space="0" w:color="auto"/>
                <w:bottom w:val="none" w:sz="0" w:space="0" w:color="auto"/>
                <w:right w:val="none" w:sz="0" w:space="0" w:color="auto"/>
              </w:divBdr>
            </w:div>
            <w:div w:id="738016680">
              <w:marLeft w:val="0"/>
              <w:marRight w:val="0"/>
              <w:marTop w:val="0"/>
              <w:marBottom w:val="0"/>
              <w:divBdr>
                <w:top w:val="none" w:sz="0" w:space="0" w:color="auto"/>
                <w:left w:val="none" w:sz="0" w:space="0" w:color="auto"/>
                <w:bottom w:val="none" w:sz="0" w:space="0" w:color="auto"/>
                <w:right w:val="none" w:sz="0" w:space="0" w:color="auto"/>
              </w:divBdr>
            </w:div>
            <w:div w:id="1824156132">
              <w:marLeft w:val="0"/>
              <w:marRight w:val="0"/>
              <w:marTop w:val="0"/>
              <w:marBottom w:val="0"/>
              <w:divBdr>
                <w:top w:val="none" w:sz="0" w:space="0" w:color="auto"/>
                <w:left w:val="none" w:sz="0" w:space="0" w:color="auto"/>
                <w:bottom w:val="none" w:sz="0" w:space="0" w:color="auto"/>
                <w:right w:val="none" w:sz="0" w:space="0" w:color="auto"/>
              </w:divBdr>
            </w:div>
            <w:div w:id="1819422408">
              <w:marLeft w:val="0"/>
              <w:marRight w:val="0"/>
              <w:marTop w:val="0"/>
              <w:marBottom w:val="0"/>
              <w:divBdr>
                <w:top w:val="none" w:sz="0" w:space="0" w:color="auto"/>
                <w:left w:val="none" w:sz="0" w:space="0" w:color="auto"/>
                <w:bottom w:val="none" w:sz="0" w:space="0" w:color="auto"/>
                <w:right w:val="none" w:sz="0" w:space="0" w:color="auto"/>
              </w:divBdr>
            </w:div>
            <w:div w:id="918098850">
              <w:marLeft w:val="0"/>
              <w:marRight w:val="0"/>
              <w:marTop w:val="0"/>
              <w:marBottom w:val="0"/>
              <w:divBdr>
                <w:top w:val="none" w:sz="0" w:space="0" w:color="auto"/>
                <w:left w:val="none" w:sz="0" w:space="0" w:color="auto"/>
                <w:bottom w:val="none" w:sz="0" w:space="0" w:color="auto"/>
                <w:right w:val="none" w:sz="0" w:space="0" w:color="auto"/>
              </w:divBdr>
            </w:div>
            <w:div w:id="1189949580">
              <w:marLeft w:val="0"/>
              <w:marRight w:val="0"/>
              <w:marTop w:val="0"/>
              <w:marBottom w:val="0"/>
              <w:divBdr>
                <w:top w:val="none" w:sz="0" w:space="0" w:color="auto"/>
                <w:left w:val="none" w:sz="0" w:space="0" w:color="auto"/>
                <w:bottom w:val="none" w:sz="0" w:space="0" w:color="auto"/>
                <w:right w:val="none" w:sz="0" w:space="0" w:color="auto"/>
              </w:divBdr>
            </w:div>
            <w:div w:id="2004578692">
              <w:marLeft w:val="0"/>
              <w:marRight w:val="0"/>
              <w:marTop w:val="0"/>
              <w:marBottom w:val="0"/>
              <w:divBdr>
                <w:top w:val="none" w:sz="0" w:space="0" w:color="auto"/>
                <w:left w:val="none" w:sz="0" w:space="0" w:color="auto"/>
                <w:bottom w:val="none" w:sz="0" w:space="0" w:color="auto"/>
                <w:right w:val="none" w:sz="0" w:space="0" w:color="auto"/>
              </w:divBdr>
            </w:div>
            <w:div w:id="4987219">
              <w:marLeft w:val="0"/>
              <w:marRight w:val="0"/>
              <w:marTop w:val="0"/>
              <w:marBottom w:val="0"/>
              <w:divBdr>
                <w:top w:val="none" w:sz="0" w:space="0" w:color="auto"/>
                <w:left w:val="none" w:sz="0" w:space="0" w:color="auto"/>
                <w:bottom w:val="none" w:sz="0" w:space="0" w:color="auto"/>
                <w:right w:val="none" w:sz="0" w:space="0" w:color="auto"/>
              </w:divBdr>
            </w:div>
            <w:div w:id="403257657">
              <w:marLeft w:val="0"/>
              <w:marRight w:val="0"/>
              <w:marTop w:val="0"/>
              <w:marBottom w:val="0"/>
              <w:divBdr>
                <w:top w:val="none" w:sz="0" w:space="0" w:color="auto"/>
                <w:left w:val="none" w:sz="0" w:space="0" w:color="auto"/>
                <w:bottom w:val="none" w:sz="0" w:space="0" w:color="auto"/>
                <w:right w:val="none" w:sz="0" w:space="0" w:color="auto"/>
              </w:divBdr>
            </w:div>
            <w:div w:id="1374424878">
              <w:marLeft w:val="0"/>
              <w:marRight w:val="0"/>
              <w:marTop w:val="0"/>
              <w:marBottom w:val="0"/>
              <w:divBdr>
                <w:top w:val="none" w:sz="0" w:space="0" w:color="auto"/>
                <w:left w:val="none" w:sz="0" w:space="0" w:color="auto"/>
                <w:bottom w:val="none" w:sz="0" w:space="0" w:color="auto"/>
                <w:right w:val="none" w:sz="0" w:space="0" w:color="auto"/>
              </w:divBdr>
            </w:div>
            <w:div w:id="1592810006">
              <w:marLeft w:val="0"/>
              <w:marRight w:val="0"/>
              <w:marTop w:val="0"/>
              <w:marBottom w:val="0"/>
              <w:divBdr>
                <w:top w:val="none" w:sz="0" w:space="0" w:color="auto"/>
                <w:left w:val="none" w:sz="0" w:space="0" w:color="auto"/>
                <w:bottom w:val="none" w:sz="0" w:space="0" w:color="auto"/>
                <w:right w:val="none" w:sz="0" w:space="0" w:color="auto"/>
              </w:divBdr>
            </w:div>
            <w:div w:id="350183220">
              <w:marLeft w:val="0"/>
              <w:marRight w:val="0"/>
              <w:marTop w:val="0"/>
              <w:marBottom w:val="0"/>
              <w:divBdr>
                <w:top w:val="none" w:sz="0" w:space="0" w:color="auto"/>
                <w:left w:val="none" w:sz="0" w:space="0" w:color="auto"/>
                <w:bottom w:val="none" w:sz="0" w:space="0" w:color="auto"/>
                <w:right w:val="none" w:sz="0" w:space="0" w:color="auto"/>
              </w:divBdr>
            </w:div>
            <w:div w:id="1856921213">
              <w:marLeft w:val="0"/>
              <w:marRight w:val="0"/>
              <w:marTop w:val="0"/>
              <w:marBottom w:val="0"/>
              <w:divBdr>
                <w:top w:val="none" w:sz="0" w:space="0" w:color="auto"/>
                <w:left w:val="none" w:sz="0" w:space="0" w:color="auto"/>
                <w:bottom w:val="none" w:sz="0" w:space="0" w:color="auto"/>
                <w:right w:val="none" w:sz="0" w:space="0" w:color="auto"/>
              </w:divBdr>
            </w:div>
            <w:div w:id="185869222">
              <w:marLeft w:val="0"/>
              <w:marRight w:val="0"/>
              <w:marTop w:val="0"/>
              <w:marBottom w:val="0"/>
              <w:divBdr>
                <w:top w:val="none" w:sz="0" w:space="0" w:color="auto"/>
                <w:left w:val="none" w:sz="0" w:space="0" w:color="auto"/>
                <w:bottom w:val="none" w:sz="0" w:space="0" w:color="auto"/>
                <w:right w:val="none" w:sz="0" w:space="0" w:color="auto"/>
              </w:divBdr>
            </w:div>
            <w:div w:id="827786709">
              <w:marLeft w:val="0"/>
              <w:marRight w:val="0"/>
              <w:marTop w:val="0"/>
              <w:marBottom w:val="0"/>
              <w:divBdr>
                <w:top w:val="none" w:sz="0" w:space="0" w:color="auto"/>
                <w:left w:val="none" w:sz="0" w:space="0" w:color="auto"/>
                <w:bottom w:val="none" w:sz="0" w:space="0" w:color="auto"/>
                <w:right w:val="none" w:sz="0" w:space="0" w:color="auto"/>
              </w:divBdr>
            </w:div>
            <w:div w:id="1282688981">
              <w:marLeft w:val="0"/>
              <w:marRight w:val="0"/>
              <w:marTop w:val="0"/>
              <w:marBottom w:val="0"/>
              <w:divBdr>
                <w:top w:val="none" w:sz="0" w:space="0" w:color="auto"/>
                <w:left w:val="none" w:sz="0" w:space="0" w:color="auto"/>
                <w:bottom w:val="none" w:sz="0" w:space="0" w:color="auto"/>
                <w:right w:val="none" w:sz="0" w:space="0" w:color="auto"/>
              </w:divBdr>
            </w:div>
            <w:div w:id="1083836014">
              <w:marLeft w:val="0"/>
              <w:marRight w:val="0"/>
              <w:marTop w:val="0"/>
              <w:marBottom w:val="0"/>
              <w:divBdr>
                <w:top w:val="none" w:sz="0" w:space="0" w:color="auto"/>
                <w:left w:val="none" w:sz="0" w:space="0" w:color="auto"/>
                <w:bottom w:val="none" w:sz="0" w:space="0" w:color="auto"/>
                <w:right w:val="none" w:sz="0" w:space="0" w:color="auto"/>
              </w:divBdr>
            </w:div>
            <w:div w:id="1091122341">
              <w:marLeft w:val="0"/>
              <w:marRight w:val="0"/>
              <w:marTop w:val="0"/>
              <w:marBottom w:val="0"/>
              <w:divBdr>
                <w:top w:val="none" w:sz="0" w:space="0" w:color="auto"/>
                <w:left w:val="none" w:sz="0" w:space="0" w:color="auto"/>
                <w:bottom w:val="none" w:sz="0" w:space="0" w:color="auto"/>
                <w:right w:val="none" w:sz="0" w:space="0" w:color="auto"/>
              </w:divBdr>
            </w:div>
            <w:div w:id="690230797">
              <w:marLeft w:val="0"/>
              <w:marRight w:val="0"/>
              <w:marTop w:val="0"/>
              <w:marBottom w:val="0"/>
              <w:divBdr>
                <w:top w:val="none" w:sz="0" w:space="0" w:color="auto"/>
                <w:left w:val="none" w:sz="0" w:space="0" w:color="auto"/>
                <w:bottom w:val="none" w:sz="0" w:space="0" w:color="auto"/>
                <w:right w:val="none" w:sz="0" w:space="0" w:color="auto"/>
              </w:divBdr>
            </w:div>
            <w:div w:id="371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13095">
      <w:bodyDiv w:val="1"/>
      <w:marLeft w:val="0"/>
      <w:marRight w:val="0"/>
      <w:marTop w:val="0"/>
      <w:marBottom w:val="0"/>
      <w:divBdr>
        <w:top w:val="none" w:sz="0" w:space="0" w:color="auto"/>
        <w:left w:val="none" w:sz="0" w:space="0" w:color="auto"/>
        <w:bottom w:val="none" w:sz="0" w:space="0" w:color="auto"/>
        <w:right w:val="none" w:sz="0" w:space="0" w:color="auto"/>
      </w:divBdr>
    </w:div>
    <w:div w:id="1375350818">
      <w:bodyDiv w:val="1"/>
      <w:marLeft w:val="0"/>
      <w:marRight w:val="0"/>
      <w:marTop w:val="0"/>
      <w:marBottom w:val="0"/>
      <w:divBdr>
        <w:top w:val="none" w:sz="0" w:space="0" w:color="auto"/>
        <w:left w:val="none" w:sz="0" w:space="0" w:color="auto"/>
        <w:bottom w:val="none" w:sz="0" w:space="0" w:color="auto"/>
        <w:right w:val="none" w:sz="0" w:space="0" w:color="auto"/>
      </w:divBdr>
    </w:div>
    <w:div w:id="1378621797">
      <w:bodyDiv w:val="1"/>
      <w:marLeft w:val="0"/>
      <w:marRight w:val="0"/>
      <w:marTop w:val="0"/>
      <w:marBottom w:val="0"/>
      <w:divBdr>
        <w:top w:val="none" w:sz="0" w:space="0" w:color="auto"/>
        <w:left w:val="none" w:sz="0" w:space="0" w:color="auto"/>
        <w:bottom w:val="none" w:sz="0" w:space="0" w:color="auto"/>
        <w:right w:val="none" w:sz="0" w:space="0" w:color="auto"/>
      </w:divBdr>
    </w:div>
    <w:div w:id="1424378588">
      <w:bodyDiv w:val="1"/>
      <w:marLeft w:val="0"/>
      <w:marRight w:val="0"/>
      <w:marTop w:val="0"/>
      <w:marBottom w:val="0"/>
      <w:divBdr>
        <w:top w:val="none" w:sz="0" w:space="0" w:color="auto"/>
        <w:left w:val="none" w:sz="0" w:space="0" w:color="auto"/>
        <w:bottom w:val="none" w:sz="0" w:space="0" w:color="auto"/>
        <w:right w:val="none" w:sz="0" w:space="0" w:color="auto"/>
      </w:divBdr>
    </w:div>
    <w:div w:id="1438137568">
      <w:bodyDiv w:val="1"/>
      <w:marLeft w:val="0"/>
      <w:marRight w:val="0"/>
      <w:marTop w:val="0"/>
      <w:marBottom w:val="0"/>
      <w:divBdr>
        <w:top w:val="none" w:sz="0" w:space="0" w:color="auto"/>
        <w:left w:val="none" w:sz="0" w:space="0" w:color="auto"/>
        <w:bottom w:val="none" w:sz="0" w:space="0" w:color="auto"/>
        <w:right w:val="none" w:sz="0" w:space="0" w:color="auto"/>
      </w:divBdr>
    </w:div>
    <w:div w:id="1454132635">
      <w:bodyDiv w:val="1"/>
      <w:marLeft w:val="0"/>
      <w:marRight w:val="0"/>
      <w:marTop w:val="0"/>
      <w:marBottom w:val="0"/>
      <w:divBdr>
        <w:top w:val="none" w:sz="0" w:space="0" w:color="auto"/>
        <w:left w:val="none" w:sz="0" w:space="0" w:color="auto"/>
        <w:bottom w:val="none" w:sz="0" w:space="0" w:color="auto"/>
        <w:right w:val="none" w:sz="0" w:space="0" w:color="auto"/>
      </w:divBdr>
    </w:div>
    <w:div w:id="1481851797">
      <w:bodyDiv w:val="1"/>
      <w:marLeft w:val="0"/>
      <w:marRight w:val="0"/>
      <w:marTop w:val="0"/>
      <w:marBottom w:val="0"/>
      <w:divBdr>
        <w:top w:val="none" w:sz="0" w:space="0" w:color="auto"/>
        <w:left w:val="none" w:sz="0" w:space="0" w:color="auto"/>
        <w:bottom w:val="none" w:sz="0" w:space="0" w:color="auto"/>
        <w:right w:val="none" w:sz="0" w:space="0" w:color="auto"/>
      </w:divBdr>
      <w:divsChild>
        <w:div w:id="509418388">
          <w:marLeft w:val="0"/>
          <w:marRight w:val="0"/>
          <w:marTop w:val="0"/>
          <w:marBottom w:val="0"/>
          <w:divBdr>
            <w:top w:val="single" w:sz="6" w:space="0" w:color="auto"/>
            <w:left w:val="single" w:sz="6" w:space="0" w:color="auto"/>
            <w:bottom w:val="single" w:sz="6" w:space="0" w:color="auto"/>
            <w:right w:val="single" w:sz="6" w:space="0" w:color="auto"/>
          </w:divBdr>
        </w:div>
      </w:divsChild>
    </w:div>
    <w:div w:id="1490173168">
      <w:bodyDiv w:val="1"/>
      <w:marLeft w:val="0"/>
      <w:marRight w:val="0"/>
      <w:marTop w:val="0"/>
      <w:marBottom w:val="0"/>
      <w:divBdr>
        <w:top w:val="none" w:sz="0" w:space="0" w:color="auto"/>
        <w:left w:val="none" w:sz="0" w:space="0" w:color="auto"/>
        <w:bottom w:val="none" w:sz="0" w:space="0" w:color="auto"/>
        <w:right w:val="none" w:sz="0" w:space="0" w:color="auto"/>
      </w:divBdr>
      <w:divsChild>
        <w:div w:id="205721380">
          <w:marLeft w:val="0"/>
          <w:marRight w:val="0"/>
          <w:marTop w:val="0"/>
          <w:marBottom w:val="0"/>
          <w:divBdr>
            <w:top w:val="none" w:sz="0" w:space="0" w:color="auto"/>
            <w:left w:val="none" w:sz="0" w:space="0" w:color="auto"/>
            <w:bottom w:val="none" w:sz="0" w:space="0" w:color="auto"/>
            <w:right w:val="none" w:sz="0" w:space="0" w:color="auto"/>
          </w:divBdr>
          <w:divsChild>
            <w:div w:id="2129665249">
              <w:marLeft w:val="0"/>
              <w:marRight w:val="0"/>
              <w:marTop w:val="0"/>
              <w:marBottom w:val="0"/>
              <w:divBdr>
                <w:top w:val="none" w:sz="0" w:space="0" w:color="auto"/>
                <w:left w:val="none" w:sz="0" w:space="0" w:color="auto"/>
                <w:bottom w:val="none" w:sz="0" w:space="0" w:color="auto"/>
                <w:right w:val="none" w:sz="0" w:space="0" w:color="auto"/>
              </w:divBdr>
            </w:div>
            <w:div w:id="1949313795">
              <w:marLeft w:val="0"/>
              <w:marRight w:val="0"/>
              <w:marTop w:val="0"/>
              <w:marBottom w:val="0"/>
              <w:divBdr>
                <w:top w:val="none" w:sz="0" w:space="0" w:color="auto"/>
                <w:left w:val="none" w:sz="0" w:space="0" w:color="auto"/>
                <w:bottom w:val="none" w:sz="0" w:space="0" w:color="auto"/>
                <w:right w:val="none" w:sz="0" w:space="0" w:color="auto"/>
              </w:divBdr>
            </w:div>
            <w:div w:id="648636737">
              <w:marLeft w:val="0"/>
              <w:marRight w:val="0"/>
              <w:marTop w:val="0"/>
              <w:marBottom w:val="0"/>
              <w:divBdr>
                <w:top w:val="none" w:sz="0" w:space="0" w:color="auto"/>
                <w:left w:val="none" w:sz="0" w:space="0" w:color="auto"/>
                <w:bottom w:val="none" w:sz="0" w:space="0" w:color="auto"/>
                <w:right w:val="none" w:sz="0" w:space="0" w:color="auto"/>
              </w:divBdr>
            </w:div>
            <w:div w:id="2123107840">
              <w:marLeft w:val="0"/>
              <w:marRight w:val="0"/>
              <w:marTop w:val="0"/>
              <w:marBottom w:val="0"/>
              <w:divBdr>
                <w:top w:val="none" w:sz="0" w:space="0" w:color="auto"/>
                <w:left w:val="none" w:sz="0" w:space="0" w:color="auto"/>
                <w:bottom w:val="none" w:sz="0" w:space="0" w:color="auto"/>
                <w:right w:val="none" w:sz="0" w:space="0" w:color="auto"/>
              </w:divBdr>
            </w:div>
            <w:div w:id="845049349">
              <w:marLeft w:val="0"/>
              <w:marRight w:val="0"/>
              <w:marTop w:val="0"/>
              <w:marBottom w:val="0"/>
              <w:divBdr>
                <w:top w:val="none" w:sz="0" w:space="0" w:color="auto"/>
                <w:left w:val="none" w:sz="0" w:space="0" w:color="auto"/>
                <w:bottom w:val="none" w:sz="0" w:space="0" w:color="auto"/>
                <w:right w:val="none" w:sz="0" w:space="0" w:color="auto"/>
              </w:divBdr>
            </w:div>
            <w:div w:id="1746485922">
              <w:marLeft w:val="0"/>
              <w:marRight w:val="0"/>
              <w:marTop w:val="0"/>
              <w:marBottom w:val="0"/>
              <w:divBdr>
                <w:top w:val="none" w:sz="0" w:space="0" w:color="auto"/>
                <w:left w:val="none" w:sz="0" w:space="0" w:color="auto"/>
                <w:bottom w:val="none" w:sz="0" w:space="0" w:color="auto"/>
                <w:right w:val="none" w:sz="0" w:space="0" w:color="auto"/>
              </w:divBdr>
            </w:div>
            <w:div w:id="1481847520">
              <w:marLeft w:val="0"/>
              <w:marRight w:val="0"/>
              <w:marTop w:val="0"/>
              <w:marBottom w:val="0"/>
              <w:divBdr>
                <w:top w:val="none" w:sz="0" w:space="0" w:color="auto"/>
                <w:left w:val="none" w:sz="0" w:space="0" w:color="auto"/>
                <w:bottom w:val="none" w:sz="0" w:space="0" w:color="auto"/>
                <w:right w:val="none" w:sz="0" w:space="0" w:color="auto"/>
              </w:divBdr>
            </w:div>
            <w:div w:id="1356466370">
              <w:marLeft w:val="0"/>
              <w:marRight w:val="0"/>
              <w:marTop w:val="0"/>
              <w:marBottom w:val="0"/>
              <w:divBdr>
                <w:top w:val="none" w:sz="0" w:space="0" w:color="auto"/>
                <w:left w:val="none" w:sz="0" w:space="0" w:color="auto"/>
                <w:bottom w:val="none" w:sz="0" w:space="0" w:color="auto"/>
                <w:right w:val="none" w:sz="0" w:space="0" w:color="auto"/>
              </w:divBdr>
            </w:div>
            <w:div w:id="14045483">
              <w:marLeft w:val="0"/>
              <w:marRight w:val="0"/>
              <w:marTop w:val="0"/>
              <w:marBottom w:val="0"/>
              <w:divBdr>
                <w:top w:val="none" w:sz="0" w:space="0" w:color="auto"/>
                <w:left w:val="none" w:sz="0" w:space="0" w:color="auto"/>
                <w:bottom w:val="none" w:sz="0" w:space="0" w:color="auto"/>
                <w:right w:val="none" w:sz="0" w:space="0" w:color="auto"/>
              </w:divBdr>
            </w:div>
            <w:div w:id="182475939">
              <w:marLeft w:val="0"/>
              <w:marRight w:val="0"/>
              <w:marTop w:val="0"/>
              <w:marBottom w:val="0"/>
              <w:divBdr>
                <w:top w:val="none" w:sz="0" w:space="0" w:color="auto"/>
                <w:left w:val="none" w:sz="0" w:space="0" w:color="auto"/>
                <w:bottom w:val="none" w:sz="0" w:space="0" w:color="auto"/>
                <w:right w:val="none" w:sz="0" w:space="0" w:color="auto"/>
              </w:divBdr>
            </w:div>
            <w:div w:id="34740401">
              <w:marLeft w:val="0"/>
              <w:marRight w:val="0"/>
              <w:marTop w:val="0"/>
              <w:marBottom w:val="0"/>
              <w:divBdr>
                <w:top w:val="none" w:sz="0" w:space="0" w:color="auto"/>
                <w:left w:val="none" w:sz="0" w:space="0" w:color="auto"/>
                <w:bottom w:val="none" w:sz="0" w:space="0" w:color="auto"/>
                <w:right w:val="none" w:sz="0" w:space="0" w:color="auto"/>
              </w:divBdr>
            </w:div>
            <w:div w:id="1451431374">
              <w:marLeft w:val="0"/>
              <w:marRight w:val="0"/>
              <w:marTop w:val="0"/>
              <w:marBottom w:val="0"/>
              <w:divBdr>
                <w:top w:val="none" w:sz="0" w:space="0" w:color="auto"/>
                <w:left w:val="none" w:sz="0" w:space="0" w:color="auto"/>
                <w:bottom w:val="none" w:sz="0" w:space="0" w:color="auto"/>
                <w:right w:val="none" w:sz="0" w:space="0" w:color="auto"/>
              </w:divBdr>
            </w:div>
            <w:div w:id="30901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9667">
      <w:bodyDiv w:val="1"/>
      <w:marLeft w:val="0"/>
      <w:marRight w:val="0"/>
      <w:marTop w:val="0"/>
      <w:marBottom w:val="0"/>
      <w:divBdr>
        <w:top w:val="none" w:sz="0" w:space="0" w:color="auto"/>
        <w:left w:val="none" w:sz="0" w:space="0" w:color="auto"/>
        <w:bottom w:val="none" w:sz="0" w:space="0" w:color="auto"/>
        <w:right w:val="none" w:sz="0" w:space="0" w:color="auto"/>
      </w:divBdr>
    </w:div>
    <w:div w:id="1586719084">
      <w:bodyDiv w:val="1"/>
      <w:marLeft w:val="0"/>
      <w:marRight w:val="0"/>
      <w:marTop w:val="0"/>
      <w:marBottom w:val="0"/>
      <w:divBdr>
        <w:top w:val="none" w:sz="0" w:space="0" w:color="auto"/>
        <w:left w:val="none" w:sz="0" w:space="0" w:color="auto"/>
        <w:bottom w:val="none" w:sz="0" w:space="0" w:color="auto"/>
        <w:right w:val="none" w:sz="0" w:space="0" w:color="auto"/>
      </w:divBdr>
    </w:div>
    <w:div w:id="1587955564">
      <w:bodyDiv w:val="1"/>
      <w:marLeft w:val="0"/>
      <w:marRight w:val="0"/>
      <w:marTop w:val="0"/>
      <w:marBottom w:val="0"/>
      <w:divBdr>
        <w:top w:val="none" w:sz="0" w:space="0" w:color="auto"/>
        <w:left w:val="none" w:sz="0" w:space="0" w:color="auto"/>
        <w:bottom w:val="none" w:sz="0" w:space="0" w:color="auto"/>
        <w:right w:val="none" w:sz="0" w:space="0" w:color="auto"/>
      </w:divBdr>
      <w:divsChild>
        <w:div w:id="1883858677">
          <w:marLeft w:val="0"/>
          <w:marRight w:val="0"/>
          <w:marTop w:val="0"/>
          <w:marBottom w:val="0"/>
          <w:divBdr>
            <w:top w:val="single" w:sz="6" w:space="0" w:color="auto"/>
            <w:left w:val="single" w:sz="6" w:space="0" w:color="auto"/>
            <w:bottom w:val="single" w:sz="6" w:space="0" w:color="auto"/>
            <w:right w:val="single" w:sz="6" w:space="0" w:color="auto"/>
          </w:divBdr>
        </w:div>
      </w:divsChild>
    </w:div>
    <w:div w:id="1600328817">
      <w:bodyDiv w:val="1"/>
      <w:marLeft w:val="0"/>
      <w:marRight w:val="0"/>
      <w:marTop w:val="0"/>
      <w:marBottom w:val="0"/>
      <w:divBdr>
        <w:top w:val="none" w:sz="0" w:space="0" w:color="auto"/>
        <w:left w:val="none" w:sz="0" w:space="0" w:color="auto"/>
        <w:bottom w:val="none" w:sz="0" w:space="0" w:color="auto"/>
        <w:right w:val="none" w:sz="0" w:space="0" w:color="auto"/>
      </w:divBdr>
    </w:div>
    <w:div w:id="1634751357">
      <w:bodyDiv w:val="1"/>
      <w:marLeft w:val="0"/>
      <w:marRight w:val="0"/>
      <w:marTop w:val="0"/>
      <w:marBottom w:val="0"/>
      <w:divBdr>
        <w:top w:val="none" w:sz="0" w:space="0" w:color="auto"/>
        <w:left w:val="none" w:sz="0" w:space="0" w:color="auto"/>
        <w:bottom w:val="none" w:sz="0" w:space="0" w:color="auto"/>
        <w:right w:val="none" w:sz="0" w:space="0" w:color="auto"/>
      </w:divBdr>
      <w:divsChild>
        <w:div w:id="1131436681">
          <w:marLeft w:val="0"/>
          <w:marRight w:val="0"/>
          <w:marTop w:val="0"/>
          <w:marBottom w:val="0"/>
          <w:divBdr>
            <w:top w:val="single" w:sz="6" w:space="0" w:color="auto"/>
            <w:left w:val="single" w:sz="6" w:space="0" w:color="auto"/>
            <w:bottom w:val="single" w:sz="6" w:space="0" w:color="auto"/>
            <w:right w:val="single" w:sz="6" w:space="0" w:color="auto"/>
          </w:divBdr>
        </w:div>
      </w:divsChild>
    </w:div>
    <w:div w:id="1644506411">
      <w:bodyDiv w:val="1"/>
      <w:marLeft w:val="0"/>
      <w:marRight w:val="0"/>
      <w:marTop w:val="0"/>
      <w:marBottom w:val="0"/>
      <w:divBdr>
        <w:top w:val="none" w:sz="0" w:space="0" w:color="auto"/>
        <w:left w:val="none" w:sz="0" w:space="0" w:color="auto"/>
        <w:bottom w:val="none" w:sz="0" w:space="0" w:color="auto"/>
        <w:right w:val="none" w:sz="0" w:space="0" w:color="auto"/>
      </w:divBdr>
    </w:div>
    <w:div w:id="1710758766">
      <w:bodyDiv w:val="1"/>
      <w:marLeft w:val="0"/>
      <w:marRight w:val="0"/>
      <w:marTop w:val="0"/>
      <w:marBottom w:val="0"/>
      <w:divBdr>
        <w:top w:val="none" w:sz="0" w:space="0" w:color="auto"/>
        <w:left w:val="none" w:sz="0" w:space="0" w:color="auto"/>
        <w:bottom w:val="none" w:sz="0" w:space="0" w:color="auto"/>
        <w:right w:val="none" w:sz="0" w:space="0" w:color="auto"/>
      </w:divBdr>
    </w:div>
    <w:div w:id="1759641955">
      <w:bodyDiv w:val="1"/>
      <w:marLeft w:val="0"/>
      <w:marRight w:val="0"/>
      <w:marTop w:val="0"/>
      <w:marBottom w:val="0"/>
      <w:divBdr>
        <w:top w:val="none" w:sz="0" w:space="0" w:color="auto"/>
        <w:left w:val="none" w:sz="0" w:space="0" w:color="auto"/>
        <w:bottom w:val="none" w:sz="0" w:space="0" w:color="auto"/>
        <w:right w:val="none" w:sz="0" w:space="0" w:color="auto"/>
      </w:divBdr>
      <w:divsChild>
        <w:div w:id="799416954">
          <w:marLeft w:val="0"/>
          <w:marRight w:val="0"/>
          <w:marTop w:val="0"/>
          <w:marBottom w:val="0"/>
          <w:divBdr>
            <w:top w:val="single" w:sz="6" w:space="0" w:color="auto"/>
            <w:left w:val="single" w:sz="6" w:space="0" w:color="auto"/>
            <w:bottom w:val="single" w:sz="6" w:space="0" w:color="auto"/>
            <w:right w:val="single" w:sz="6" w:space="0" w:color="auto"/>
          </w:divBdr>
        </w:div>
      </w:divsChild>
    </w:div>
    <w:div w:id="1761946233">
      <w:bodyDiv w:val="1"/>
      <w:marLeft w:val="0"/>
      <w:marRight w:val="0"/>
      <w:marTop w:val="0"/>
      <w:marBottom w:val="0"/>
      <w:divBdr>
        <w:top w:val="none" w:sz="0" w:space="0" w:color="auto"/>
        <w:left w:val="none" w:sz="0" w:space="0" w:color="auto"/>
        <w:bottom w:val="none" w:sz="0" w:space="0" w:color="auto"/>
        <w:right w:val="none" w:sz="0" w:space="0" w:color="auto"/>
      </w:divBdr>
    </w:div>
    <w:div w:id="1810587049">
      <w:bodyDiv w:val="1"/>
      <w:marLeft w:val="0"/>
      <w:marRight w:val="0"/>
      <w:marTop w:val="0"/>
      <w:marBottom w:val="0"/>
      <w:divBdr>
        <w:top w:val="none" w:sz="0" w:space="0" w:color="auto"/>
        <w:left w:val="none" w:sz="0" w:space="0" w:color="auto"/>
        <w:bottom w:val="none" w:sz="0" w:space="0" w:color="auto"/>
        <w:right w:val="none" w:sz="0" w:space="0" w:color="auto"/>
      </w:divBdr>
      <w:divsChild>
        <w:div w:id="1244989970">
          <w:marLeft w:val="0"/>
          <w:marRight w:val="0"/>
          <w:marTop w:val="0"/>
          <w:marBottom w:val="0"/>
          <w:divBdr>
            <w:top w:val="none" w:sz="0" w:space="0" w:color="auto"/>
            <w:left w:val="none" w:sz="0" w:space="0" w:color="auto"/>
            <w:bottom w:val="none" w:sz="0" w:space="0" w:color="auto"/>
            <w:right w:val="none" w:sz="0" w:space="0" w:color="auto"/>
          </w:divBdr>
          <w:divsChild>
            <w:div w:id="1367632233">
              <w:marLeft w:val="0"/>
              <w:marRight w:val="0"/>
              <w:marTop w:val="0"/>
              <w:marBottom w:val="0"/>
              <w:divBdr>
                <w:top w:val="none" w:sz="0" w:space="0" w:color="auto"/>
                <w:left w:val="none" w:sz="0" w:space="0" w:color="auto"/>
                <w:bottom w:val="none" w:sz="0" w:space="0" w:color="auto"/>
                <w:right w:val="none" w:sz="0" w:space="0" w:color="auto"/>
              </w:divBdr>
            </w:div>
            <w:div w:id="309680189">
              <w:marLeft w:val="0"/>
              <w:marRight w:val="0"/>
              <w:marTop w:val="0"/>
              <w:marBottom w:val="0"/>
              <w:divBdr>
                <w:top w:val="none" w:sz="0" w:space="0" w:color="auto"/>
                <w:left w:val="none" w:sz="0" w:space="0" w:color="auto"/>
                <w:bottom w:val="none" w:sz="0" w:space="0" w:color="auto"/>
                <w:right w:val="none" w:sz="0" w:space="0" w:color="auto"/>
              </w:divBdr>
            </w:div>
            <w:div w:id="762266992">
              <w:marLeft w:val="0"/>
              <w:marRight w:val="0"/>
              <w:marTop w:val="0"/>
              <w:marBottom w:val="0"/>
              <w:divBdr>
                <w:top w:val="none" w:sz="0" w:space="0" w:color="auto"/>
                <w:left w:val="none" w:sz="0" w:space="0" w:color="auto"/>
                <w:bottom w:val="none" w:sz="0" w:space="0" w:color="auto"/>
                <w:right w:val="none" w:sz="0" w:space="0" w:color="auto"/>
              </w:divBdr>
            </w:div>
            <w:div w:id="1901675853">
              <w:marLeft w:val="0"/>
              <w:marRight w:val="0"/>
              <w:marTop w:val="0"/>
              <w:marBottom w:val="0"/>
              <w:divBdr>
                <w:top w:val="none" w:sz="0" w:space="0" w:color="auto"/>
                <w:left w:val="none" w:sz="0" w:space="0" w:color="auto"/>
                <w:bottom w:val="none" w:sz="0" w:space="0" w:color="auto"/>
                <w:right w:val="none" w:sz="0" w:space="0" w:color="auto"/>
              </w:divBdr>
            </w:div>
            <w:div w:id="640036437">
              <w:marLeft w:val="0"/>
              <w:marRight w:val="0"/>
              <w:marTop w:val="0"/>
              <w:marBottom w:val="0"/>
              <w:divBdr>
                <w:top w:val="none" w:sz="0" w:space="0" w:color="auto"/>
                <w:left w:val="none" w:sz="0" w:space="0" w:color="auto"/>
                <w:bottom w:val="none" w:sz="0" w:space="0" w:color="auto"/>
                <w:right w:val="none" w:sz="0" w:space="0" w:color="auto"/>
              </w:divBdr>
            </w:div>
            <w:div w:id="28800702">
              <w:marLeft w:val="0"/>
              <w:marRight w:val="0"/>
              <w:marTop w:val="0"/>
              <w:marBottom w:val="0"/>
              <w:divBdr>
                <w:top w:val="none" w:sz="0" w:space="0" w:color="auto"/>
                <w:left w:val="none" w:sz="0" w:space="0" w:color="auto"/>
                <w:bottom w:val="none" w:sz="0" w:space="0" w:color="auto"/>
                <w:right w:val="none" w:sz="0" w:space="0" w:color="auto"/>
              </w:divBdr>
            </w:div>
            <w:div w:id="2062363306">
              <w:marLeft w:val="0"/>
              <w:marRight w:val="0"/>
              <w:marTop w:val="0"/>
              <w:marBottom w:val="0"/>
              <w:divBdr>
                <w:top w:val="none" w:sz="0" w:space="0" w:color="auto"/>
                <w:left w:val="none" w:sz="0" w:space="0" w:color="auto"/>
                <w:bottom w:val="none" w:sz="0" w:space="0" w:color="auto"/>
                <w:right w:val="none" w:sz="0" w:space="0" w:color="auto"/>
              </w:divBdr>
            </w:div>
            <w:div w:id="1462576625">
              <w:marLeft w:val="0"/>
              <w:marRight w:val="0"/>
              <w:marTop w:val="0"/>
              <w:marBottom w:val="0"/>
              <w:divBdr>
                <w:top w:val="none" w:sz="0" w:space="0" w:color="auto"/>
                <w:left w:val="none" w:sz="0" w:space="0" w:color="auto"/>
                <w:bottom w:val="none" w:sz="0" w:space="0" w:color="auto"/>
                <w:right w:val="none" w:sz="0" w:space="0" w:color="auto"/>
              </w:divBdr>
            </w:div>
            <w:div w:id="627391811">
              <w:marLeft w:val="0"/>
              <w:marRight w:val="0"/>
              <w:marTop w:val="0"/>
              <w:marBottom w:val="0"/>
              <w:divBdr>
                <w:top w:val="none" w:sz="0" w:space="0" w:color="auto"/>
                <w:left w:val="none" w:sz="0" w:space="0" w:color="auto"/>
                <w:bottom w:val="none" w:sz="0" w:space="0" w:color="auto"/>
                <w:right w:val="none" w:sz="0" w:space="0" w:color="auto"/>
              </w:divBdr>
            </w:div>
            <w:div w:id="1544563242">
              <w:marLeft w:val="0"/>
              <w:marRight w:val="0"/>
              <w:marTop w:val="0"/>
              <w:marBottom w:val="0"/>
              <w:divBdr>
                <w:top w:val="none" w:sz="0" w:space="0" w:color="auto"/>
                <w:left w:val="none" w:sz="0" w:space="0" w:color="auto"/>
                <w:bottom w:val="none" w:sz="0" w:space="0" w:color="auto"/>
                <w:right w:val="none" w:sz="0" w:space="0" w:color="auto"/>
              </w:divBdr>
            </w:div>
            <w:div w:id="754285925">
              <w:marLeft w:val="0"/>
              <w:marRight w:val="0"/>
              <w:marTop w:val="0"/>
              <w:marBottom w:val="0"/>
              <w:divBdr>
                <w:top w:val="none" w:sz="0" w:space="0" w:color="auto"/>
                <w:left w:val="none" w:sz="0" w:space="0" w:color="auto"/>
                <w:bottom w:val="none" w:sz="0" w:space="0" w:color="auto"/>
                <w:right w:val="none" w:sz="0" w:space="0" w:color="auto"/>
              </w:divBdr>
            </w:div>
            <w:div w:id="1002973006">
              <w:marLeft w:val="0"/>
              <w:marRight w:val="0"/>
              <w:marTop w:val="0"/>
              <w:marBottom w:val="0"/>
              <w:divBdr>
                <w:top w:val="none" w:sz="0" w:space="0" w:color="auto"/>
                <w:left w:val="none" w:sz="0" w:space="0" w:color="auto"/>
                <w:bottom w:val="none" w:sz="0" w:space="0" w:color="auto"/>
                <w:right w:val="none" w:sz="0" w:space="0" w:color="auto"/>
              </w:divBdr>
            </w:div>
            <w:div w:id="16681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135335">
      <w:bodyDiv w:val="1"/>
      <w:marLeft w:val="0"/>
      <w:marRight w:val="0"/>
      <w:marTop w:val="0"/>
      <w:marBottom w:val="0"/>
      <w:divBdr>
        <w:top w:val="none" w:sz="0" w:space="0" w:color="auto"/>
        <w:left w:val="none" w:sz="0" w:space="0" w:color="auto"/>
        <w:bottom w:val="none" w:sz="0" w:space="0" w:color="auto"/>
        <w:right w:val="none" w:sz="0" w:space="0" w:color="auto"/>
      </w:divBdr>
      <w:divsChild>
        <w:div w:id="1100296081">
          <w:marLeft w:val="0"/>
          <w:marRight w:val="0"/>
          <w:marTop w:val="0"/>
          <w:marBottom w:val="0"/>
          <w:divBdr>
            <w:top w:val="single" w:sz="6" w:space="0" w:color="auto"/>
            <w:left w:val="single" w:sz="6" w:space="0" w:color="auto"/>
            <w:bottom w:val="single" w:sz="6" w:space="0" w:color="auto"/>
            <w:right w:val="single" w:sz="6" w:space="0" w:color="auto"/>
          </w:divBdr>
        </w:div>
      </w:divsChild>
    </w:div>
    <w:div w:id="1836140014">
      <w:bodyDiv w:val="1"/>
      <w:marLeft w:val="0"/>
      <w:marRight w:val="0"/>
      <w:marTop w:val="0"/>
      <w:marBottom w:val="0"/>
      <w:divBdr>
        <w:top w:val="none" w:sz="0" w:space="0" w:color="auto"/>
        <w:left w:val="none" w:sz="0" w:space="0" w:color="auto"/>
        <w:bottom w:val="none" w:sz="0" w:space="0" w:color="auto"/>
        <w:right w:val="none" w:sz="0" w:space="0" w:color="auto"/>
      </w:divBdr>
      <w:divsChild>
        <w:div w:id="1843348523">
          <w:marLeft w:val="0"/>
          <w:marRight w:val="0"/>
          <w:marTop w:val="0"/>
          <w:marBottom w:val="0"/>
          <w:divBdr>
            <w:top w:val="single" w:sz="6" w:space="0" w:color="auto"/>
            <w:left w:val="single" w:sz="6" w:space="0" w:color="auto"/>
            <w:bottom w:val="single" w:sz="6" w:space="0" w:color="auto"/>
            <w:right w:val="single" w:sz="6" w:space="0" w:color="auto"/>
          </w:divBdr>
        </w:div>
      </w:divsChild>
    </w:div>
    <w:div w:id="1986006290">
      <w:bodyDiv w:val="1"/>
      <w:marLeft w:val="0"/>
      <w:marRight w:val="0"/>
      <w:marTop w:val="0"/>
      <w:marBottom w:val="0"/>
      <w:divBdr>
        <w:top w:val="none" w:sz="0" w:space="0" w:color="auto"/>
        <w:left w:val="none" w:sz="0" w:space="0" w:color="auto"/>
        <w:bottom w:val="none" w:sz="0" w:space="0" w:color="auto"/>
        <w:right w:val="none" w:sz="0" w:space="0" w:color="auto"/>
      </w:divBdr>
    </w:div>
    <w:div w:id="2007396461">
      <w:bodyDiv w:val="1"/>
      <w:marLeft w:val="0"/>
      <w:marRight w:val="0"/>
      <w:marTop w:val="0"/>
      <w:marBottom w:val="0"/>
      <w:divBdr>
        <w:top w:val="none" w:sz="0" w:space="0" w:color="auto"/>
        <w:left w:val="none" w:sz="0" w:space="0" w:color="auto"/>
        <w:bottom w:val="none" w:sz="0" w:space="0" w:color="auto"/>
        <w:right w:val="none" w:sz="0" w:space="0" w:color="auto"/>
      </w:divBdr>
    </w:div>
    <w:div w:id="2015380367">
      <w:bodyDiv w:val="1"/>
      <w:marLeft w:val="0"/>
      <w:marRight w:val="0"/>
      <w:marTop w:val="0"/>
      <w:marBottom w:val="0"/>
      <w:divBdr>
        <w:top w:val="none" w:sz="0" w:space="0" w:color="auto"/>
        <w:left w:val="none" w:sz="0" w:space="0" w:color="auto"/>
        <w:bottom w:val="none" w:sz="0" w:space="0" w:color="auto"/>
        <w:right w:val="none" w:sz="0" w:space="0" w:color="auto"/>
      </w:divBdr>
      <w:divsChild>
        <w:div w:id="1515421228">
          <w:marLeft w:val="0"/>
          <w:marRight w:val="0"/>
          <w:marTop w:val="0"/>
          <w:marBottom w:val="0"/>
          <w:divBdr>
            <w:top w:val="single" w:sz="6" w:space="0" w:color="auto"/>
            <w:left w:val="single" w:sz="6" w:space="0" w:color="auto"/>
            <w:bottom w:val="single" w:sz="6" w:space="0" w:color="auto"/>
            <w:right w:val="single" w:sz="6" w:space="0" w:color="auto"/>
          </w:divBdr>
        </w:div>
      </w:divsChild>
    </w:div>
    <w:div w:id="2019497341">
      <w:bodyDiv w:val="1"/>
      <w:marLeft w:val="0"/>
      <w:marRight w:val="0"/>
      <w:marTop w:val="0"/>
      <w:marBottom w:val="0"/>
      <w:divBdr>
        <w:top w:val="none" w:sz="0" w:space="0" w:color="auto"/>
        <w:left w:val="none" w:sz="0" w:space="0" w:color="auto"/>
        <w:bottom w:val="none" w:sz="0" w:space="0" w:color="auto"/>
        <w:right w:val="none" w:sz="0" w:space="0" w:color="auto"/>
      </w:divBdr>
      <w:divsChild>
        <w:div w:id="2107263470">
          <w:marLeft w:val="0"/>
          <w:marRight w:val="0"/>
          <w:marTop w:val="0"/>
          <w:marBottom w:val="0"/>
          <w:divBdr>
            <w:top w:val="single" w:sz="6" w:space="0" w:color="auto"/>
            <w:left w:val="single" w:sz="6" w:space="0" w:color="auto"/>
            <w:bottom w:val="single" w:sz="6" w:space="0" w:color="auto"/>
            <w:right w:val="single" w:sz="6" w:space="0" w:color="auto"/>
          </w:divBdr>
        </w:div>
      </w:divsChild>
    </w:div>
    <w:div w:id="2044552023">
      <w:bodyDiv w:val="1"/>
      <w:marLeft w:val="0"/>
      <w:marRight w:val="0"/>
      <w:marTop w:val="0"/>
      <w:marBottom w:val="0"/>
      <w:divBdr>
        <w:top w:val="none" w:sz="0" w:space="0" w:color="auto"/>
        <w:left w:val="none" w:sz="0" w:space="0" w:color="auto"/>
        <w:bottom w:val="none" w:sz="0" w:space="0" w:color="auto"/>
        <w:right w:val="none" w:sz="0" w:space="0" w:color="auto"/>
      </w:divBdr>
    </w:div>
    <w:div w:id="2050063090">
      <w:bodyDiv w:val="1"/>
      <w:marLeft w:val="0"/>
      <w:marRight w:val="0"/>
      <w:marTop w:val="0"/>
      <w:marBottom w:val="0"/>
      <w:divBdr>
        <w:top w:val="none" w:sz="0" w:space="0" w:color="auto"/>
        <w:left w:val="none" w:sz="0" w:space="0" w:color="auto"/>
        <w:bottom w:val="none" w:sz="0" w:space="0" w:color="auto"/>
        <w:right w:val="none" w:sz="0" w:space="0" w:color="auto"/>
      </w:divBdr>
    </w:div>
    <w:div w:id="2050912415">
      <w:bodyDiv w:val="1"/>
      <w:marLeft w:val="0"/>
      <w:marRight w:val="0"/>
      <w:marTop w:val="0"/>
      <w:marBottom w:val="0"/>
      <w:divBdr>
        <w:top w:val="none" w:sz="0" w:space="0" w:color="auto"/>
        <w:left w:val="none" w:sz="0" w:space="0" w:color="auto"/>
        <w:bottom w:val="none" w:sz="0" w:space="0" w:color="auto"/>
        <w:right w:val="none" w:sz="0" w:space="0" w:color="auto"/>
      </w:divBdr>
      <w:divsChild>
        <w:div w:id="1381438457">
          <w:marLeft w:val="0"/>
          <w:marRight w:val="0"/>
          <w:marTop w:val="0"/>
          <w:marBottom w:val="0"/>
          <w:divBdr>
            <w:top w:val="single" w:sz="6" w:space="0" w:color="auto"/>
            <w:left w:val="single" w:sz="6" w:space="0" w:color="auto"/>
            <w:bottom w:val="single" w:sz="6" w:space="0" w:color="auto"/>
            <w:right w:val="single" w:sz="6" w:space="0" w:color="auto"/>
          </w:divBdr>
        </w:div>
      </w:divsChild>
    </w:div>
    <w:div w:id="2079672026">
      <w:bodyDiv w:val="1"/>
      <w:marLeft w:val="0"/>
      <w:marRight w:val="0"/>
      <w:marTop w:val="0"/>
      <w:marBottom w:val="0"/>
      <w:divBdr>
        <w:top w:val="none" w:sz="0" w:space="0" w:color="auto"/>
        <w:left w:val="none" w:sz="0" w:space="0" w:color="auto"/>
        <w:bottom w:val="none" w:sz="0" w:space="0" w:color="auto"/>
        <w:right w:val="none" w:sz="0" w:space="0" w:color="auto"/>
      </w:divBdr>
    </w:div>
    <w:div w:id="2089377817">
      <w:bodyDiv w:val="1"/>
      <w:marLeft w:val="0"/>
      <w:marRight w:val="0"/>
      <w:marTop w:val="0"/>
      <w:marBottom w:val="0"/>
      <w:divBdr>
        <w:top w:val="none" w:sz="0" w:space="0" w:color="auto"/>
        <w:left w:val="none" w:sz="0" w:space="0" w:color="auto"/>
        <w:bottom w:val="none" w:sz="0" w:space="0" w:color="auto"/>
        <w:right w:val="none" w:sz="0" w:space="0" w:color="auto"/>
      </w:divBdr>
    </w:div>
    <w:div w:id="2118673922">
      <w:bodyDiv w:val="1"/>
      <w:marLeft w:val="0"/>
      <w:marRight w:val="0"/>
      <w:marTop w:val="0"/>
      <w:marBottom w:val="0"/>
      <w:divBdr>
        <w:top w:val="none" w:sz="0" w:space="0" w:color="auto"/>
        <w:left w:val="none" w:sz="0" w:space="0" w:color="auto"/>
        <w:bottom w:val="none" w:sz="0" w:space="0" w:color="auto"/>
        <w:right w:val="none" w:sz="0" w:space="0" w:color="auto"/>
      </w:divBdr>
    </w:div>
    <w:div w:id="213510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Mad11</b:Tag>
    <b:SourceType>Book</b:SourceType>
    <b:Guid>{D61AF0AA-A405-45CD-9C13-7D3FDD0FE3EB}</b:Guid>
    <b:Author>
      <b:Author>
        <b:NameList>
          <b:Person>
            <b:Last>Madura</b:Last>
            <b:First>Jeff</b:First>
          </b:Person>
          <b:Person>
            <b:Last>Fox</b:Last>
            <b:First>Roland,</b:First>
          </b:Person>
        </b:NameList>
      </b:Author>
    </b:Author>
    <b:Title>International Financial Management</b:Title>
    <b:Year>2011</b:Year>
    <b:Publisher>Cengage Learning EMEA</b:Publisher>
    <b:Edition>2nd</b:Edition>
    <b:RefOrder>6</b:RefOrder>
  </b:Source>
  <b:Source>
    <b:Tag>Bek12</b:Tag>
    <b:SourceType>Book</b:SourceType>
    <b:Guid>{73DE7B2B-1319-4D77-9654-45C0585541BE}</b:Guid>
    <b:Author>
      <b:Author>
        <b:NameList>
          <b:Person>
            <b:Last>Bekaert</b:Last>
            <b:First>G</b:First>
          </b:Person>
          <b:Person>
            <b:Last>Hodrick</b:Last>
            <b:First>R,</b:First>
          </b:Person>
        </b:NameList>
      </b:Author>
    </b:Author>
    <b:Title>International Financial Management</b:Title>
    <b:Year>2012</b:Year>
    <b:Publisher>Pearson Education</b:Publisher>
    <b:Edition>2nd</b:Edition>
    <b:RefOrder>7</b:RefOrder>
  </b:Source>
  <b:Source>
    <b:Tag>Sha10</b:Tag>
    <b:SourceType>Book</b:SourceType>
    <b:Guid>{CF21A684-4893-4276-A156-02192C563805}</b:Guid>
    <b:Author>
      <b:Author>
        <b:NameList>
          <b:Person>
            <b:Last>Shapiro</b:Last>
            <b:First>Alan</b:First>
            <b:Middle>C.</b:Middle>
          </b:Person>
        </b:NameList>
      </b:Author>
    </b:Author>
    <b:Title>Multinational Financial Management</b:Title>
    <b:Year>2010</b:Year>
    <b:Publisher> John </b:Publisher>
    <b:Edition>9th</b:Edition>
    <b:RefOrder>8</b:RefOrder>
  </b:Source>
  <b:Source>
    <b:Tag>Eun12</b:Tag>
    <b:SourceType>Book</b:SourceType>
    <b:Guid>{E058ABDF-C886-4A64-A612-69B595058DE0}</b:Guid>
    <b:Author>
      <b:Author>
        <b:NameList>
          <b:Person>
            <b:Last>Eun</b:Last>
            <b:First>C.</b:First>
            <b:Middle>S.</b:Middle>
          </b:Person>
          <b:Person>
            <b:Last>Resnick</b:Last>
            <b:First>B.G.</b:First>
          </b:Person>
          <b:Person>
            <b:Last>Sabherwal</b:Last>
            <b:First>S.</b:First>
          </b:Person>
        </b:NameList>
      </b:Author>
    </b:Author>
    <b:Title>International Finance: Global edition</b:Title>
    <b:Year>2012</b:Year>
    <b:Publisher>McGraw-Hill</b:Publisher>
    <b:Edition>6th</b:Edition>
    <b:RefOrder>2</b:RefOrder>
  </b:Source>
  <b:Source>
    <b:Tag>Buc11</b:Tag>
    <b:SourceType>Book</b:SourceType>
    <b:Guid>{6596A75A-F966-418A-91C1-D4AD6ABC84C5}</b:Guid>
    <b:Author>
      <b:Author>
        <b:NameList>
          <b:Person>
            <b:Last>Buckley</b:Last>
            <b:First>A.</b:First>
          </b:Person>
        </b:NameList>
      </b:Author>
    </b:Author>
    <b:Title>Financial Crisis: Causes, Context and Consequences</b:Title>
    <b:Year>2011</b:Year>
    <b:Publisher> Pearson Education</b:Publisher>
    <b:Edition>1st</b:Edition>
    <b:RefOrder>9</b:RefOrder>
  </b:Source>
  <b:Source>
    <b:Tag>Sti021</b:Tag>
    <b:SourceType>Book</b:SourceType>
    <b:Guid>{6909C159-8C43-4CEA-8688-C332532F39CA}</b:Guid>
    <b:Author>
      <b:Author>
        <b:NameList>
          <b:Person>
            <b:Last>Stiglitz</b:Last>
            <b:First>Joseph</b:First>
            <b:Middle>E.</b:Middle>
          </b:Person>
        </b:NameList>
      </b:Author>
    </b:Author>
    <b:Title>Globalization and Its Discontents</b:Title>
    <b:Year>2002</b:Year>
    <b:City>New York</b:City>
    <b:Publisher>W.W. Norton and Company </b:Publisher>
    <b:RefOrder>3</b:RefOrder>
  </b:Source>
  <b:Source>
    <b:Tag>Blo23</b:Tag>
    <b:SourceType>InternetSite</b:SourceType>
    <b:Guid>{B1A6FE75-911B-40D5-BAB2-418F363FE31F}</b:Guid>
    <b:Author>
      <b:Author>
        <b:Corporate>Bloomberg</b:Corporate>
      </b:Author>
    </b:Author>
    <b:Title>International Management Group - company profile and news</b:Title>
    <b:Year>2023</b:Year>
    <b:YearAccessed>2024</b:YearAccessed>
    <b:MonthAccessed>March</b:MonthAccessed>
    <b:DayAccessed>10</b:DayAccessed>
    <b:URL>https://www.bloomberg.com/profile/company/7533004Z:AU</b:URL>
    <b:RefOrder>4</b:RefOrder>
  </b:Source>
  <b:Source>
    <b:Tag>Bel22</b:Tag>
    <b:SourceType>JournalArticle</b:SourceType>
    <b:Guid>{0EA1F421-910B-4AB9-A1AE-7CD15559AC5A}</b:Guid>
    <b:Author>
      <b:Author>
        <b:NameList>
          <b:Person>
            <b:Last>Belias</b:Last>
            <b:First>D.</b:First>
          </b:Person>
          <b:Person>
            <b:Last>Trihas</b:Last>
            <b:First>N.</b:First>
          </b:Person>
        </b:NameList>
      </b:Author>
    </b:Author>
    <b:Title>Human Resource Training of Front Office Employees and Change Management in Hospitality Sector during Crisis</b:Title>
    <b:Year>2022</b:Year>
    <b:JournalName>Proceedings of the 4th International Conference on Finance, Economics, Management and IT Business</b:JournalName>
    <b:RefOrder>10</b:RefOrder>
  </b:Source>
  <b:Source>
    <b:Tag>Fin21</b:Tag>
    <b:SourceType>Book</b:SourceType>
    <b:Guid>{5873E731-D0DF-4465-88A1-ED1F97D91425}</b:Guid>
    <b:Author>
      <b:Author>
        <b:Corporate>Financial Times</b:Corporate>
      </b:Author>
    </b:Author>
    <b:Title>UK economy in 2021: the impact of Covid-19</b:Title>
    <b:Year>2021</b:Year>
    <b:RefOrder>1</b:RefOrder>
  </b:Source>
  <b:Source>
    <b:Tag>Cas16</b:Tag>
    <b:SourceType>Book</b:SourceType>
    <b:Guid>{6F6EC6A8-3B9D-41DC-A7E4-D449B895414E}</b:Guid>
    <b:Author>
      <b:Author>
        <b:NameList>
          <b:Person>
            <b:Last>Cascio</b:Last>
            <b:First>W.</b:First>
            <b:Middle>F.</b:Middle>
          </b:Person>
          <b:Person>
            <b:Last>Boudreau</b:Last>
            <b:First>J.</b:First>
            <b:Middle>W.</b:Middle>
          </b:Person>
        </b:NameList>
      </b:Author>
    </b:Author>
    <b:Title>Investing in People: Financial Impact of Human Resource Initiatives</b:Title>
    <b:Year>2016</b:Year>
    <b:City>London</b:City>
    <b:Publisher>Pearson</b:Publisher>
    <b:Edition>3rd </b:Edition>
    <b:RefOrder>11</b:RefOrder>
  </b:Source>
  <b:Source>
    <b:Tag>Des22</b:Tag>
    <b:SourceType>JournalArticle</b:SourceType>
    <b:Guid>{9004315D-AC95-47D5-90B3-771C7FBB04B0}</b:Guid>
    <b:Author>
      <b:Author>
        <b:NameList>
          <b:Person>
            <b:Last>Desai</b:Last>
            <b:First>M.</b:First>
          </b:Person>
          <b:Person>
            <b:Last>Roberts</b:Last>
            <b:First>M.</b:First>
            <b:Middle>J.</b:Middle>
          </b:Person>
        </b:NameList>
      </b:Author>
    </b:Author>
    <b:Title>ESG Credit Ratings and the Pricing of Corporate Debt. </b:Title>
    <b:Year>2022</b:Year>
    <b:JournalName>The Review of Financial Studies</b:JournalName>
    <b:Pages>1377–1428</b:Pages>
    <b:Volume>3</b:Volume>
    <b:Issue>36</b:Issue>
    <b:RefOrder>5</b:RefOrder>
  </b:Source>
</b:Sources>
</file>

<file path=customXml/itemProps1.xml><?xml version="1.0" encoding="utf-8"?>
<ds:datastoreItem xmlns:ds="http://schemas.openxmlformats.org/officeDocument/2006/customXml" ds:itemID="{47E6965A-21A2-4E33-BA82-870837675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2316</Words>
  <Characters>13205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2024-03-16T17:39:00Z</dcterms:created>
  <dcterms:modified xsi:type="dcterms:W3CDTF">2024-03-31T13:42:00Z</dcterms:modified>
</cp:coreProperties>
</file>