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:lang w:val="en-GB"/>
          <w14:ligatures w14:val="standardContextual"/>
        </w:rPr>
        <w:id w:val="-1093941237"/>
        <w:docPartObj>
          <w:docPartGallery w:val="Cover Pages"/>
          <w:docPartUnique/>
        </w:docPartObj>
      </w:sdtPr>
      <w:sdtEndPr>
        <w:rPr>
          <w:rFonts w:ascii="Arial" w:hAnsi="Arial"/>
          <w:sz w:val="24"/>
        </w:rPr>
      </w:sdtEndPr>
      <w:sdtContent>
        <w:p w14:paraId="74D6EE75" w14:textId="18C1D71B" w:rsidR="003E3B1F" w:rsidRDefault="003E3B1F">
          <w:pPr>
            <w:pStyle w:val="NoSpacing"/>
            <w:rPr>
              <w:sz w:val="2"/>
            </w:rPr>
          </w:pPr>
        </w:p>
        <w:p w14:paraId="7486FA0F" w14:textId="77777777" w:rsidR="003E3B1F" w:rsidRDefault="003E3B1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933FF84" wp14:editId="5ADE64B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FEDA8BD" w14:textId="0AF22CFF" w:rsidR="003E3B1F" w:rsidRDefault="00A44BA1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A44BA1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Component 1: Presentation</w:t>
                                    </w:r>
                                  </w:p>
                                </w:sdtContent>
                              </w:sdt>
                              <w:p w14:paraId="4B6F3745" w14:textId="116375FF" w:rsidR="003E3B1F" w:rsidRPr="00A44BA1" w:rsidRDefault="00A44BA1" w:rsidP="00A44BA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A44BA1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Protecting and Supporting Families in Health and Care</w:t>
                                </w: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Pr="00A44BA1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Module Code: BMHP5021</w:t>
                                </w:r>
                              </w:p>
                              <w:p w14:paraId="04A83F64" w14:textId="77777777" w:rsidR="003E3B1F" w:rsidRDefault="003E3B1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933FF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FEDA8BD" w14:textId="0AF22CFF" w:rsidR="003E3B1F" w:rsidRDefault="00A44BA1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 w:rsidRPr="00A44BA1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Component 1: Presentation</w:t>
                              </w:r>
                            </w:p>
                          </w:sdtContent>
                        </w:sdt>
                        <w:p w14:paraId="4B6F3745" w14:textId="116375FF" w:rsidR="003E3B1F" w:rsidRPr="00A44BA1" w:rsidRDefault="00A44BA1" w:rsidP="00A44BA1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A44BA1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Protecting and Supporting Families in Health and Care</w:t>
                          </w:r>
                          <w: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r w:rsidRPr="00A44BA1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Module Code: BMHP5021</w:t>
                          </w:r>
                        </w:p>
                        <w:p w14:paraId="04A83F64" w14:textId="77777777" w:rsidR="003E3B1F" w:rsidRDefault="003E3B1F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0CA7A67" wp14:editId="12C6848F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1722D90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4D80BD5" wp14:editId="4F4AD8D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E4D99A" w14:textId="52E50256" w:rsidR="003E3B1F" w:rsidRDefault="00A44BA1" w:rsidP="00A44BA1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 w:rsidRPr="00A44BA1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Gazala Haroon</w:t>
                                </w:r>
                              </w:p>
                              <w:p w14:paraId="6C0AEEF0" w14:textId="2BEAE340" w:rsidR="00A44BA1" w:rsidRPr="00A44BA1" w:rsidRDefault="00A44BA1" w:rsidP="00A44BA1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color w:val="156082" w:themeColor="accent1"/>
                                    <w:sz w:val="30"/>
                                    <w:szCs w:val="30"/>
                                  </w:rPr>
                                </w:pPr>
                                <w:r w:rsidRPr="00A44BA1">
                                  <w:rPr>
                                    <w:color w:val="156082" w:themeColor="accent1"/>
                                    <w:sz w:val="30"/>
                                    <w:szCs w:val="30"/>
                                  </w:rPr>
                                  <w:t xml:space="preserve">Student Code: </w:t>
                                </w:r>
                                <w:r w:rsidRPr="00A44BA1">
                                  <w:rPr>
                                    <w:color w:val="156082" w:themeColor="accent1"/>
                                    <w:sz w:val="30"/>
                                    <w:szCs w:val="30"/>
                                    <w:lang w:val="en-GB"/>
                                  </w:rPr>
                                  <w:t>2411422</w:t>
                                </w:r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397CCBDA" w14:textId="40EF6928" w:rsidR="003E3B1F" w:rsidRPr="00A44BA1" w:rsidRDefault="00A44BA1" w:rsidP="00A44BA1">
                                    <w:pPr>
                                      <w:pStyle w:val="NoSpacing"/>
                                      <w:spacing w:line="360" w:lineRule="auto"/>
                                      <w:jc w:val="right"/>
                                      <w:rPr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A44BA1">
                                      <w:rPr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>Lecturer: Gillian Weaver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D80BD5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FE4D99A" w14:textId="52E50256" w:rsidR="003E3B1F" w:rsidRDefault="00A44BA1" w:rsidP="00A44BA1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r w:rsidRPr="00A44BA1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Gazala Haroon</w:t>
                          </w:r>
                        </w:p>
                        <w:p w14:paraId="6C0AEEF0" w14:textId="2BEAE340" w:rsidR="00A44BA1" w:rsidRPr="00A44BA1" w:rsidRDefault="00A44BA1" w:rsidP="00A44BA1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color w:val="156082" w:themeColor="accent1"/>
                              <w:sz w:val="30"/>
                              <w:szCs w:val="30"/>
                            </w:rPr>
                          </w:pPr>
                          <w:r w:rsidRPr="00A44BA1">
                            <w:rPr>
                              <w:color w:val="156082" w:themeColor="accent1"/>
                              <w:sz w:val="30"/>
                              <w:szCs w:val="30"/>
                            </w:rPr>
                            <w:t xml:space="preserve">Student Code: </w:t>
                          </w:r>
                          <w:r w:rsidRPr="00A44BA1">
                            <w:rPr>
                              <w:color w:val="156082" w:themeColor="accent1"/>
                              <w:sz w:val="30"/>
                              <w:szCs w:val="30"/>
                              <w:lang w:val="en-GB"/>
                            </w:rPr>
                            <w:t>2411422</w:t>
                          </w:r>
                        </w:p>
                        <w:sdt>
                          <w:sdtPr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397CCBDA" w14:textId="40EF6928" w:rsidR="003E3B1F" w:rsidRPr="00A44BA1" w:rsidRDefault="00A44BA1" w:rsidP="00A44BA1">
                              <w:pPr>
                                <w:pStyle w:val="NoSpacing"/>
                                <w:spacing w:line="360" w:lineRule="auto"/>
                                <w:jc w:val="right"/>
                                <w:rPr>
                                  <w:color w:val="156082" w:themeColor="accent1"/>
                                  <w:sz w:val="32"/>
                                  <w:szCs w:val="32"/>
                                </w:rPr>
                              </w:pPr>
                              <w:r w:rsidRPr="00A44BA1">
                                <w:rPr>
                                  <w:color w:val="156082" w:themeColor="accent1"/>
                                  <w:sz w:val="32"/>
                                  <w:szCs w:val="32"/>
                                </w:rPr>
                                <w:t>Lecturer: Gillian Weaver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5AA0023" w14:textId="3110F875" w:rsidR="003E3B1F" w:rsidRDefault="003E3B1F">
          <w:pPr>
            <w:rPr>
              <w:rFonts w:ascii="Arial" w:hAnsi="Arial"/>
            </w:rPr>
          </w:pPr>
          <w:r>
            <w:rPr>
              <w:rFonts w:ascii="Arial" w:hAnsi="Arial"/>
            </w:rPr>
            <w:br w:type="page"/>
          </w:r>
        </w:p>
      </w:sdtContent>
    </w:sdt>
    <w:p w14:paraId="501F2ED2" w14:textId="4A3F26DE" w:rsidR="00282EF9" w:rsidRDefault="00282EF9" w:rsidP="00282EF9">
      <w:pPr>
        <w:pStyle w:val="Heading1"/>
      </w:pPr>
      <w:proofErr w:type="spellStart"/>
      <w:r>
        <w:lastRenderedPageBreak/>
        <w:t>Refrences</w:t>
      </w:r>
      <w:proofErr w:type="spellEnd"/>
    </w:p>
    <w:p w14:paraId="168FDE3B" w14:textId="361B4B29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Baginsky, M. and Manthorpe, J. (2020) ‘The impact of Covid-19 on children’s social care in England’, </w:t>
      </w:r>
      <w:r w:rsidRPr="00D303FE">
        <w:rPr>
          <w:rFonts w:ascii="Arial" w:hAnsi="Arial"/>
          <w:i/>
          <w:iCs/>
        </w:rPr>
        <w:t>Child Abuse &amp; Neglect</w:t>
      </w:r>
      <w:r w:rsidRPr="00D303FE">
        <w:rPr>
          <w:rFonts w:ascii="Arial" w:hAnsi="Arial"/>
        </w:rPr>
        <w:t xml:space="preserve">, 116, p. 104739. Available at: </w:t>
      </w:r>
      <w:hyperlink r:id="rId6" w:tgtFrame="_new" w:history="1">
        <w:r w:rsidRPr="00D303FE">
          <w:rPr>
            <w:rStyle w:val="Hyperlink"/>
            <w:rFonts w:ascii="Arial" w:hAnsi="Arial"/>
          </w:rPr>
          <w:t>https://pmc.ncbi.nlm.nih.gov/articles/PMC7494292/</w:t>
        </w:r>
      </w:hyperlink>
      <w:r w:rsidRPr="00D303FE">
        <w:rPr>
          <w:rFonts w:ascii="Arial" w:hAnsi="Arial"/>
        </w:rPr>
        <w:t xml:space="preserve"> (Accessed: 19 February 2026).</w:t>
      </w:r>
    </w:p>
    <w:p w14:paraId="284D3ABA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Bernard, C. (2021) ‘Using an intersectional lens to examine the child sexual exploitation of Black adolescents’, in </w:t>
      </w:r>
      <w:r w:rsidRPr="00D303FE">
        <w:rPr>
          <w:rFonts w:ascii="Arial" w:hAnsi="Arial"/>
          <w:i/>
          <w:iCs/>
        </w:rPr>
        <w:t>Child sexual abuse and exploitation and the intersection with race and gender</w:t>
      </w:r>
      <w:r w:rsidRPr="00D303FE">
        <w:rPr>
          <w:rFonts w:ascii="Arial" w:hAnsi="Arial"/>
        </w:rPr>
        <w:t xml:space="preserve">. Oxford: Policy Press Scholarship Online. Available at: </w:t>
      </w:r>
      <w:hyperlink r:id="rId7" w:tgtFrame="_new" w:history="1">
        <w:r w:rsidRPr="00D303FE">
          <w:rPr>
            <w:rStyle w:val="Hyperlink"/>
            <w:rFonts w:ascii="Arial" w:hAnsi="Arial"/>
          </w:rPr>
          <w:t>https://academic.oup.com/policy-press-scholarship-online/book/31367/chapter-abstract/289569484</w:t>
        </w:r>
      </w:hyperlink>
      <w:r w:rsidRPr="00D303FE">
        <w:rPr>
          <w:rFonts w:ascii="Arial" w:hAnsi="Arial"/>
        </w:rPr>
        <w:t xml:space="preserve"> (Accessed: 21 February 2026).</w:t>
      </w:r>
    </w:p>
    <w:p w14:paraId="35D2BB60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Buckler, R. (2022) </w:t>
      </w:r>
      <w:r w:rsidRPr="00D303FE">
        <w:rPr>
          <w:rFonts w:ascii="Arial" w:hAnsi="Arial"/>
          <w:i/>
          <w:iCs/>
        </w:rPr>
        <w:t>Developing child-centred practice in safeguarding and child protection</w:t>
      </w:r>
      <w:r w:rsidRPr="00D303FE">
        <w:rPr>
          <w:rFonts w:ascii="Arial" w:hAnsi="Arial"/>
        </w:rPr>
        <w:t xml:space="preserve">. London: Routledge. Available at: </w:t>
      </w:r>
      <w:hyperlink r:id="rId8" w:tgtFrame="_new" w:history="1">
        <w:r w:rsidRPr="00D303FE">
          <w:rPr>
            <w:rStyle w:val="Hyperlink"/>
            <w:rFonts w:ascii="Arial" w:hAnsi="Arial"/>
          </w:rPr>
          <w:t>https://www.taylorfrancis.com/books/mono/10.4324/9781003137054/developing-child-centred-practice-safeguarding-child-protection-rachel-buckler</w:t>
        </w:r>
      </w:hyperlink>
      <w:r w:rsidRPr="00D303FE">
        <w:rPr>
          <w:rFonts w:ascii="Arial" w:hAnsi="Arial"/>
        </w:rPr>
        <w:t xml:space="preserve"> (Accessed: 20 February 2026).</w:t>
      </w:r>
    </w:p>
    <w:p w14:paraId="706B287D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Children Act 1989 (1989) London: HMSO. Available at: </w:t>
      </w:r>
      <w:hyperlink r:id="rId9" w:tgtFrame="_new" w:history="1">
        <w:r w:rsidRPr="00D303FE">
          <w:rPr>
            <w:rStyle w:val="Hyperlink"/>
            <w:rFonts w:ascii="Arial" w:hAnsi="Arial"/>
          </w:rPr>
          <w:t>https://www.legislation.gov.uk/ukpga/1989/41/contents</w:t>
        </w:r>
      </w:hyperlink>
      <w:r w:rsidRPr="00D303FE">
        <w:rPr>
          <w:rFonts w:ascii="Arial" w:hAnsi="Arial"/>
        </w:rPr>
        <w:t xml:space="preserve"> (Accessed: 22 February 2026).</w:t>
      </w:r>
    </w:p>
    <w:p w14:paraId="59FD42B6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Children Act 2004 (2004) London: HMSO. Available at: </w:t>
      </w:r>
      <w:hyperlink r:id="rId10" w:tgtFrame="_new" w:history="1">
        <w:r w:rsidRPr="00D303FE">
          <w:rPr>
            <w:rStyle w:val="Hyperlink"/>
            <w:rFonts w:ascii="Arial" w:hAnsi="Arial"/>
          </w:rPr>
          <w:t>https://www.legislation.gov.uk/ukpga/2004/31/contents</w:t>
        </w:r>
      </w:hyperlink>
      <w:r w:rsidRPr="00D303FE">
        <w:rPr>
          <w:rFonts w:ascii="Arial" w:hAnsi="Arial"/>
        </w:rPr>
        <w:t xml:space="preserve"> (Accessed: 19 February 2026).</w:t>
      </w:r>
    </w:p>
    <w:p w14:paraId="63F53155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Children and Social Work Act 2017 (2017) London: HMSO. Available at: </w:t>
      </w:r>
      <w:hyperlink r:id="rId11" w:tgtFrame="_new" w:history="1">
        <w:r w:rsidRPr="00D303FE">
          <w:rPr>
            <w:rStyle w:val="Hyperlink"/>
            <w:rFonts w:ascii="Arial" w:hAnsi="Arial"/>
          </w:rPr>
          <w:t>https://www.legislation.gov.uk/ukpga/2017/16/contents</w:t>
        </w:r>
      </w:hyperlink>
      <w:r w:rsidRPr="00D303FE">
        <w:rPr>
          <w:rFonts w:ascii="Arial" w:hAnsi="Arial"/>
        </w:rPr>
        <w:t xml:space="preserve"> (Accessed: 21 February 2026).</w:t>
      </w:r>
    </w:p>
    <w:p w14:paraId="50727553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Domestic Abuse Act 2021 (2021) London: HMSO. Available at: </w:t>
      </w:r>
      <w:hyperlink r:id="rId12" w:tgtFrame="_new" w:history="1">
        <w:r w:rsidRPr="00D303FE">
          <w:rPr>
            <w:rStyle w:val="Hyperlink"/>
            <w:rFonts w:ascii="Arial" w:hAnsi="Arial"/>
          </w:rPr>
          <w:t>https://www.legislation.gov.uk/ukpga/2021/17/contents</w:t>
        </w:r>
      </w:hyperlink>
      <w:r w:rsidRPr="00D303FE">
        <w:rPr>
          <w:rFonts w:ascii="Arial" w:hAnsi="Arial"/>
        </w:rPr>
        <w:t xml:space="preserve"> (Accessed: 20 February 2026).</w:t>
      </w:r>
    </w:p>
    <w:p w14:paraId="520BDD20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Equality Act 2010 (2010) London: HMSO. Available at: </w:t>
      </w:r>
      <w:hyperlink r:id="rId13" w:tgtFrame="_new" w:history="1">
        <w:r w:rsidRPr="00D303FE">
          <w:rPr>
            <w:rStyle w:val="Hyperlink"/>
            <w:rFonts w:ascii="Arial" w:hAnsi="Arial"/>
          </w:rPr>
          <w:t>https://www.legislation.gov.uk/ukpga/2010/15/contents</w:t>
        </w:r>
      </w:hyperlink>
      <w:r w:rsidRPr="00D303FE">
        <w:rPr>
          <w:rFonts w:ascii="Arial" w:hAnsi="Arial"/>
        </w:rPr>
        <w:t xml:space="preserve"> (Accessed: 22 February 2026).</w:t>
      </w:r>
    </w:p>
    <w:p w14:paraId="2C2EE4A6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lastRenderedPageBreak/>
        <w:t xml:space="preserve">Hughes, K., Bellis, M.A., Hardcastle, K.A., Sethi, D., Butchart, A., </w:t>
      </w:r>
      <w:proofErr w:type="spellStart"/>
      <w:r w:rsidRPr="00D303FE">
        <w:rPr>
          <w:rFonts w:ascii="Arial" w:hAnsi="Arial"/>
        </w:rPr>
        <w:t>Mikton</w:t>
      </w:r>
      <w:proofErr w:type="spellEnd"/>
      <w:r w:rsidRPr="00D303FE">
        <w:rPr>
          <w:rFonts w:ascii="Arial" w:hAnsi="Arial"/>
        </w:rPr>
        <w:t xml:space="preserve">, C., Jones, L. and Dunne, M.P. (2017) ‘The effect of multiple adverse childhood experiences on health: a systematic review and meta-analysis’, </w:t>
      </w:r>
      <w:r w:rsidRPr="00D303FE">
        <w:rPr>
          <w:rFonts w:ascii="Arial" w:hAnsi="Arial"/>
          <w:i/>
          <w:iCs/>
        </w:rPr>
        <w:t>The Lancet Public Health</w:t>
      </w:r>
      <w:r w:rsidRPr="00D303FE">
        <w:rPr>
          <w:rFonts w:ascii="Arial" w:hAnsi="Arial"/>
        </w:rPr>
        <w:t xml:space="preserve">, 2(8), pp. e356–e366. Available at: </w:t>
      </w:r>
      <w:hyperlink r:id="rId14" w:tgtFrame="_new" w:history="1">
        <w:r w:rsidRPr="00D303FE">
          <w:rPr>
            <w:rStyle w:val="Hyperlink"/>
            <w:rFonts w:ascii="Arial" w:hAnsi="Arial"/>
          </w:rPr>
          <w:t>https://www.thelancet.com/journals/lanpub/article/PIIS2468-2667(17)30118-4/fulltext</w:t>
        </w:r>
      </w:hyperlink>
      <w:r w:rsidRPr="00D303FE">
        <w:rPr>
          <w:rFonts w:ascii="Arial" w:hAnsi="Arial"/>
        </w:rPr>
        <w:t xml:space="preserve"> (Accessed: 19 February 2026).</w:t>
      </w:r>
    </w:p>
    <w:p w14:paraId="1E068DD9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Munro, E. (2020) ‘Effective child protection’, </w:t>
      </w:r>
      <w:r w:rsidRPr="00D303FE">
        <w:rPr>
          <w:rFonts w:ascii="Arial" w:hAnsi="Arial"/>
          <w:i/>
          <w:iCs/>
        </w:rPr>
        <w:t>Child Abuse Review</w:t>
      </w:r>
      <w:r w:rsidRPr="00D303FE">
        <w:rPr>
          <w:rFonts w:ascii="Arial" w:hAnsi="Arial"/>
        </w:rPr>
        <w:t xml:space="preserve">, 29(2), pp. 107–110. Available at: </w:t>
      </w:r>
      <w:hyperlink r:id="rId15" w:tgtFrame="_new" w:history="1">
        <w:r w:rsidRPr="00D303FE">
          <w:rPr>
            <w:rStyle w:val="Hyperlink"/>
            <w:rFonts w:ascii="Arial" w:hAnsi="Arial"/>
          </w:rPr>
          <w:t>https://onlinelibrary.wiley.com/journal/10990852</w:t>
        </w:r>
      </w:hyperlink>
      <w:r w:rsidRPr="00D303FE">
        <w:rPr>
          <w:rFonts w:ascii="Arial" w:hAnsi="Arial"/>
        </w:rPr>
        <w:t xml:space="preserve"> (Accessed: 21 February 2026).</w:t>
      </w:r>
    </w:p>
    <w:p w14:paraId="7C7C73A1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NSPCC (2023) </w:t>
      </w:r>
      <w:r w:rsidRPr="00D303FE">
        <w:rPr>
          <w:rFonts w:ascii="Arial" w:hAnsi="Arial"/>
          <w:i/>
          <w:iCs/>
        </w:rPr>
        <w:t>Early help and early intervention</w:t>
      </w:r>
      <w:r w:rsidRPr="00D303FE">
        <w:rPr>
          <w:rFonts w:ascii="Arial" w:hAnsi="Arial"/>
        </w:rPr>
        <w:t xml:space="preserve">. London: NSPCC. Available at: </w:t>
      </w:r>
      <w:hyperlink r:id="rId16" w:tgtFrame="_new" w:history="1">
        <w:r w:rsidRPr="00D303FE">
          <w:rPr>
            <w:rStyle w:val="Hyperlink"/>
            <w:rFonts w:ascii="Arial" w:hAnsi="Arial"/>
          </w:rPr>
          <w:t>https://learning.nspcc.org.uk/safeguarding-child-protection/early-help-and-early-intervention</w:t>
        </w:r>
      </w:hyperlink>
      <w:r w:rsidRPr="00D303FE">
        <w:rPr>
          <w:rFonts w:ascii="Arial" w:hAnsi="Arial"/>
        </w:rPr>
        <w:t xml:space="preserve"> (Accessed: 20 February 2026).</w:t>
      </w:r>
    </w:p>
    <w:p w14:paraId="4D6CD15D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The Fostering Network (2024) </w:t>
      </w:r>
      <w:r w:rsidRPr="00D303FE">
        <w:rPr>
          <w:rFonts w:ascii="Arial" w:hAnsi="Arial"/>
          <w:i/>
          <w:iCs/>
        </w:rPr>
        <w:t>State of the Nations’ Foster Care 2024</w:t>
      </w:r>
      <w:r w:rsidRPr="00D303FE">
        <w:rPr>
          <w:rFonts w:ascii="Arial" w:hAnsi="Arial"/>
        </w:rPr>
        <w:t xml:space="preserve">. Available at: </w:t>
      </w:r>
      <w:hyperlink r:id="rId17" w:tgtFrame="_new" w:history="1">
        <w:r w:rsidRPr="00D303FE">
          <w:rPr>
            <w:rStyle w:val="Hyperlink"/>
            <w:rFonts w:ascii="Arial" w:hAnsi="Arial"/>
          </w:rPr>
          <w:t>https://www.thefosteringnetwork.org.uk/media/fbldiwhh/sotn24-full-report.pdf</w:t>
        </w:r>
      </w:hyperlink>
      <w:r w:rsidRPr="00D303FE">
        <w:rPr>
          <w:rFonts w:ascii="Arial" w:hAnsi="Arial"/>
        </w:rPr>
        <w:t xml:space="preserve"> (Accessed: 22 February 2026).</w:t>
      </w:r>
    </w:p>
    <w:p w14:paraId="62A8A996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United Nations (1989) </w:t>
      </w:r>
      <w:r w:rsidRPr="00D303FE">
        <w:rPr>
          <w:rFonts w:ascii="Arial" w:hAnsi="Arial"/>
          <w:i/>
          <w:iCs/>
        </w:rPr>
        <w:t>Convention on the Rights of the Child</w:t>
      </w:r>
      <w:r w:rsidRPr="00D303FE">
        <w:rPr>
          <w:rFonts w:ascii="Arial" w:hAnsi="Arial"/>
        </w:rPr>
        <w:t xml:space="preserve">. New York: United Nations. Available at: </w:t>
      </w:r>
      <w:hyperlink r:id="rId18" w:tgtFrame="_new" w:history="1">
        <w:r w:rsidRPr="00D303FE">
          <w:rPr>
            <w:rStyle w:val="Hyperlink"/>
            <w:rFonts w:ascii="Arial" w:hAnsi="Arial"/>
          </w:rPr>
          <w:t>https://www.ohchr.org/en/instruments-mechanisms/instruments/convention-rights-child</w:t>
        </w:r>
      </w:hyperlink>
      <w:r w:rsidRPr="00D303FE">
        <w:rPr>
          <w:rFonts w:ascii="Arial" w:hAnsi="Arial"/>
        </w:rPr>
        <w:t xml:space="preserve"> (Accessed: 19 February 2026).</w:t>
      </w:r>
    </w:p>
    <w:p w14:paraId="7B7EC04C" w14:textId="77777777" w:rsidR="00D303FE" w:rsidRPr="00D303FE" w:rsidRDefault="00D303FE" w:rsidP="00D303FE">
      <w:pPr>
        <w:spacing w:line="360" w:lineRule="auto"/>
        <w:rPr>
          <w:rFonts w:ascii="Arial" w:hAnsi="Arial"/>
        </w:rPr>
      </w:pPr>
      <w:r w:rsidRPr="00D303FE">
        <w:rPr>
          <w:rFonts w:ascii="Arial" w:hAnsi="Arial"/>
        </w:rPr>
        <w:t xml:space="preserve">Working Together to Safeguard Children (2023) London: Department for Education. Available at: </w:t>
      </w:r>
      <w:hyperlink r:id="rId19" w:tgtFrame="_new" w:history="1">
        <w:r w:rsidRPr="00D303FE">
          <w:rPr>
            <w:rStyle w:val="Hyperlink"/>
            <w:rFonts w:ascii="Arial" w:hAnsi="Arial"/>
          </w:rPr>
          <w:t>https://www.gov.uk/government/publications/working-together-to-safeguard-children--2</w:t>
        </w:r>
      </w:hyperlink>
      <w:r w:rsidRPr="00D303FE">
        <w:rPr>
          <w:rFonts w:ascii="Arial" w:hAnsi="Arial"/>
        </w:rPr>
        <w:t xml:space="preserve"> (Accessed: 21 February 2026).</w:t>
      </w:r>
    </w:p>
    <w:p w14:paraId="0D7169BB" w14:textId="77777777" w:rsidR="00BA1F67" w:rsidRPr="00D303FE" w:rsidRDefault="00BA1F67" w:rsidP="00D303FE">
      <w:pPr>
        <w:spacing w:line="360" w:lineRule="auto"/>
        <w:rPr>
          <w:rFonts w:ascii="Arial" w:hAnsi="Arial"/>
        </w:rPr>
      </w:pPr>
    </w:p>
    <w:sectPr w:rsidR="00BA1F67" w:rsidRPr="00D303FE" w:rsidSect="003E3B1F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4326EC" w14:textId="77777777" w:rsidR="004F3D40" w:rsidRDefault="004F3D40" w:rsidP="00F02911">
      <w:pPr>
        <w:spacing w:after="0" w:line="240" w:lineRule="auto"/>
      </w:pPr>
      <w:r>
        <w:separator/>
      </w:r>
    </w:p>
  </w:endnote>
  <w:endnote w:type="continuationSeparator" w:id="0">
    <w:p w14:paraId="195241A7" w14:textId="77777777" w:rsidR="004F3D40" w:rsidRDefault="004F3D40" w:rsidP="00F029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973300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08AD5D" w14:textId="7762294D" w:rsidR="00F02911" w:rsidRDefault="00F029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4C0E35" w14:textId="77777777" w:rsidR="00F02911" w:rsidRDefault="00F029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A531C9" w14:textId="77777777" w:rsidR="004F3D40" w:rsidRDefault="004F3D40" w:rsidP="00F02911">
      <w:pPr>
        <w:spacing w:after="0" w:line="240" w:lineRule="auto"/>
      </w:pPr>
      <w:r>
        <w:separator/>
      </w:r>
    </w:p>
  </w:footnote>
  <w:footnote w:type="continuationSeparator" w:id="0">
    <w:p w14:paraId="6947CD7D" w14:textId="77777777" w:rsidR="004F3D40" w:rsidRDefault="004F3D40" w:rsidP="00F0291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57D"/>
    <w:rsid w:val="00111D14"/>
    <w:rsid w:val="0014612D"/>
    <w:rsid w:val="00282EF9"/>
    <w:rsid w:val="003076FD"/>
    <w:rsid w:val="00392D56"/>
    <w:rsid w:val="003E3B1F"/>
    <w:rsid w:val="004F3D40"/>
    <w:rsid w:val="00956BF2"/>
    <w:rsid w:val="00A44BA1"/>
    <w:rsid w:val="00BA1F67"/>
    <w:rsid w:val="00D303FE"/>
    <w:rsid w:val="00F02911"/>
    <w:rsid w:val="00F1257D"/>
    <w:rsid w:val="00FD6E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B0166"/>
  <w15:chartTrackingRefBased/>
  <w15:docId w15:val="{1BCA8D50-B3D2-4034-A941-3323E0C6B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6EF8"/>
  </w:style>
  <w:style w:type="paragraph" w:styleId="Heading1">
    <w:name w:val="heading 1"/>
    <w:basedOn w:val="Normal"/>
    <w:next w:val="Normal"/>
    <w:link w:val="Heading1Char"/>
    <w:uiPriority w:val="9"/>
    <w:qFormat/>
    <w:rsid w:val="00F125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25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25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25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25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25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25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25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25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5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25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25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25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25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25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25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25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25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25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25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25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25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25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25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25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25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25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25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257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D6E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2D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1D14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3E3B1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E3B1F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02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2911"/>
  </w:style>
  <w:style w:type="paragraph" w:styleId="Footer">
    <w:name w:val="footer"/>
    <w:basedOn w:val="Normal"/>
    <w:link w:val="FooterChar"/>
    <w:uiPriority w:val="99"/>
    <w:unhideWhenUsed/>
    <w:rsid w:val="00F02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29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ylorfrancis.com/books/mono/10.4324/9781003137054/developing-child-centred-practice-safeguarding-child-protection-rachel-buckler" TargetMode="External"/><Relationship Id="rId13" Type="http://schemas.openxmlformats.org/officeDocument/2006/relationships/hyperlink" Target="https://www.legislation.gov.uk/ukpga/2010/15/contents" TargetMode="External"/><Relationship Id="rId18" Type="http://schemas.openxmlformats.org/officeDocument/2006/relationships/hyperlink" Target="https://www.ohchr.org/en/instruments-mechanisms/instruments/convention-rights-child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academic.oup.com/policy-press-scholarship-online/book/31367/chapter-abstract/289569484" TargetMode="External"/><Relationship Id="rId12" Type="http://schemas.openxmlformats.org/officeDocument/2006/relationships/hyperlink" Target="https://www.legislation.gov.uk/ukpga/2021/17/contents" TargetMode="External"/><Relationship Id="rId17" Type="http://schemas.openxmlformats.org/officeDocument/2006/relationships/hyperlink" Target="https://www.thefosteringnetwork.org.uk/media/fbldiwhh/sotn24-full-report.pdf?utm_source=chatgpt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earning.nspcc.org.uk/safeguarding-child-protection/early-help-and-early-intervention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pmc.ncbi.nlm.nih.gov/articles/PMC7494292/" TargetMode="External"/><Relationship Id="rId11" Type="http://schemas.openxmlformats.org/officeDocument/2006/relationships/hyperlink" Target="https://www.legislation.gov.uk/ukpga/2017/16/content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onlinelibrary.wiley.com/journal/10990852" TargetMode="External"/><Relationship Id="rId10" Type="http://schemas.openxmlformats.org/officeDocument/2006/relationships/hyperlink" Target="https://www.legislation.gov.uk/ukpga/2004/31/contents" TargetMode="External"/><Relationship Id="rId19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1989/41/contents" TargetMode="External"/><Relationship Id="rId14" Type="http://schemas.openxmlformats.org/officeDocument/2006/relationships/hyperlink" Target="https://www.thelancet.com/journals/lanpub/article/PIIS2468-2667(17)30118-4/fulltext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660</Words>
  <Characters>3764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Gazala Haroon</Company>
  <LinksUpToDate>false</LinksUpToDate>
  <CharactersWithSpaces>4416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Presentation</dc:title>
  <dc:subject>Protecting and Supporting Families in Health and Care Module Code: BMHP5021</dc:subject>
  <dc:creator>Iftekhar Rashid</dc:creator>
  <cp:keywords/>
  <dc:description/>
  <cp:lastModifiedBy>Iftekhar Rashid</cp:lastModifiedBy>
  <cp:revision>7</cp:revision>
  <cp:lastPrinted>2026-02-21T22:54:00Z</cp:lastPrinted>
  <dcterms:created xsi:type="dcterms:W3CDTF">2026-02-21T20:24:00Z</dcterms:created>
  <dcterms:modified xsi:type="dcterms:W3CDTF">2026-02-21T22:55:00Z</dcterms:modified>
  <cp:category>Lecturer: Gillian Weaver</cp:category>
</cp:coreProperties>
</file>