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5C614" w14:textId="409DF715" w:rsidR="004100E3" w:rsidRDefault="004100E3" w:rsidP="00BF72A9">
      <w:pPr>
        <w:rPr>
          <w:b/>
          <w:bCs/>
        </w:rPr>
      </w:pPr>
      <w:r w:rsidRPr="004100E3">
        <w:rPr>
          <w:b/>
          <w:bCs/>
        </w:rPr>
        <w:t>“Neuroscience might help solve the early vs late selective attention debate”, critically discuss how neuroimaging studies have challenged traditional theories of attention.</w:t>
      </w:r>
    </w:p>
    <w:p w14:paraId="071CC87C" w14:textId="77777777" w:rsidR="00BF72A9" w:rsidRPr="004100E3" w:rsidRDefault="00BF72A9" w:rsidP="00BF72A9">
      <w:pPr>
        <w:rPr>
          <w:b/>
          <w:bCs/>
        </w:rPr>
      </w:pPr>
    </w:p>
    <w:p w14:paraId="54A487BF" w14:textId="2D11EB91" w:rsidR="004100E3" w:rsidRPr="00004527" w:rsidRDefault="008A1AB9">
      <w:r>
        <w:t xml:space="preserve">There are many ways attention can be defined and justified. </w:t>
      </w:r>
      <w:r w:rsidR="004100E3">
        <w:t xml:space="preserve">In 1890, James described attention as taking control over the mind </w:t>
      </w:r>
      <w:r w:rsidR="005E2B7E">
        <w:t xml:space="preserve">when there may be several thought processes and information to encode. This has paved the way into the way attention can be studied and how the brain can separate information through keeping their attention to one thing rather than letting it wander. </w:t>
      </w:r>
      <w:r w:rsidR="00AA501D">
        <w:t xml:space="preserve">There is a debate within attention between early and late selective attention and which allows the brain to work more effectively. </w:t>
      </w:r>
      <w:r w:rsidR="004100E3">
        <w:t>Early selective attention is where the stimulus we see or hear does not need to be completely encoded before we either reject or accept the information</w:t>
      </w:r>
      <w:r w:rsidR="00AA501D">
        <w:t xml:space="preserve"> </w:t>
      </w:r>
      <w:r w:rsidR="00AA501D" w:rsidRPr="00AA501D">
        <w:t>(American Psychological Association, 2022)</w:t>
      </w:r>
      <w:r w:rsidR="00AA501D">
        <w:t xml:space="preserve">. Late selective attention is different to </w:t>
      </w:r>
      <w:r w:rsidR="00C32AD7">
        <w:t xml:space="preserve">early as it suggests that we are consciously aware of the encoding from both stimulus and are able to decide which information is important and which is not, from both attended inputs and ignored inputs </w:t>
      </w:r>
      <w:r w:rsidR="00C32AD7" w:rsidRPr="00C32AD7">
        <w:t>(American Psychological Association, 2022)</w:t>
      </w:r>
      <w:r w:rsidR="00C32AD7">
        <w:t xml:space="preserve">. Under this, there are traditional theories for both early and late selective attention, which can be supported or challenged by neuroimaging techniques, such as a Functional MRI or a CT scan. </w:t>
      </w:r>
      <w:r>
        <w:t xml:space="preserve">This essay will be critically discussing how various neuroimaging studies have challenged these traditional theories of attention. </w:t>
      </w:r>
    </w:p>
    <w:p w14:paraId="5BFDF94E" w14:textId="280E8A2F" w:rsidR="006E49A2" w:rsidRDefault="00B64D0A">
      <w:r>
        <w:t>In 1953, Cherry found that when we are listening to more than one thing, we separate our attention to pick up words and sounds from both audios and conversations. Cherry named this the Cocktail Party Problem. This was found by playing different sounds into either ear of a participant to see whether they can pay attention to the contents of both audio</w:t>
      </w:r>
      <w:r w:rsidR="009879AA">
        <w:t xml:space="preserve">s voiced by the same person, when participants were concentrating. They were tested in this by being asked to recall </w:t>
      </w:r>
      <w:r w:rsidR="00D16C36">
        <w:t xml:space="preserve">information being sent into one ear and ignore the other. </w:t>
      </w:r>
      <w:r w:rsidR="004164EB">
        <w:t>In the ear they were not listening to input information, they could not recall any speech details</w:t>
      </w:r>
      <w:r w:rsidR="00273C5E">
        <w:t>, even while concentrating</w:t>
      </w:r>
      <w:r w:rsidR="004164EB">
        <w:t>.</w:t>
      </w:r>
      <w:r w:rsidR="00273C5E">
        <w:t xml:space="preserve"> This shows how their attention to one of the speeches leads to better encoding of information in that ear.</w:t>
      </w:r>
      <w:r w:rsidR="004164EB">
        <w:t xml:space="preserve"> </w:t>
      </w:r>
      <w:r w:rsidR="009879AA">
        <w:t xml:space="preserve">Over time, the participants could do this without vast amounts of concentration. </w:t>
      </w:r>
      <w:r w:rsidR="00A61653">
        <w:t>and could recall the information in the singular ear.</w:t>
      </w:r>
      <w:r w:rsidR="009E3771">
        <w:t xml:space="preserve"> This research supports the early selective attention debate </w:t>
      </w:r>
      <w:r w:rsidR="00B11881">
        <w:t>as it found that the unattended stimulus (the second ear speech) was not fully processed and therefore unable to recall that information.</w:t>
      </w:r>
    </w:p>
    <w:p w14:paraId="4E9FCCA9" w14:textId="779BCC4D" w:rsidR="00623615" w:rsidRDefault="00A03CD6">
      <w:r>
        <w:t>There are empirical studies that support and challenge the early selection attention mode</w:t>
      </w:r>
      <w:r w:rsidR="00A70312">
        <w:t xml:space="preserve">. Research by </w:t>
      </w:r>
      <w:proofErr w:type="spellStart"/>
      <w:r w:rsidR="00A70312" w:rsidRPr="00A70312">
        <w:t>Wikman</w:t>
      </w:r>
      <w:proofErr w:type="spellEnd"/>
      <w:r w:rsidR="00A70312" w:rsidRPr="00A70312">
        <w:t xml:space="preserve"> et al., </w:t>
      </w:r>
      <w:r w:rsidR="00A70312">
        <w:t>(</w:t>
      </w:r>
      <w:r w:rsidR="00A70312" w:rsidRPr="00A70312">
        <w:t>2021)</w:t>
      </w:r>
      <w:r w:rsidR="00A70312">
        <w:t xml:space="preserve"> has shown that the Cocktail Party effect by Cherry (1953) is supported by neuroimaging research. It was found that by using an fMRI or Functional Magnetic </w:t>
      </w:r>
      <w:r w:rsidR="00B7420C">
        <w:t>Resonance</w:t>
      </w:r>
      <w:r w:rsidR="00A70312">
        <w:t xml:space="preserve"> Imaging machine, while conducting a study similar to the original, has shown that participants do </w:t>
      </w:r>
      <w:r w:rsidR="00B7420C">
        <w:t>accept information before it has been completely encoded. They did this through giving audio visual stimulus task and a visual task, where they had to ignore one of the stimulants in the fMRI machine during testing and answer questions on t</w:t>
      </w:r>
      <w:r w:rsidR="001E4B31">
        <w:t>he ignored stimulus</w:t>
      </w:r>
      <w:r w:rsidR="00B7420C">
        <w:t xml:space="preserve"> once it was over. </w:t>
      </w:r>
      <w:r w:rsidR="001E4B31">
        <w:t xml:space="preserve">This was done in the fMRI to see if the participants brains were actually showing signs of encoding and rejecting the information </w:t>
      </w:r>
      <w:r w:rsidR="00623615">
        <w:t>they were told to reject for each task. Results of the neuroimaging showed that parts of the brain were defined for audio processing during this task, which supports early selective attention in Cherry’s (1953) study and that it does not challenge this traditional theory of attention.</w:t>
      </w:r>
      <w:r w:rsidR="004550B0">
        <w:t xml:space="preserve"> Although this study was done on adults aged 19-30, it leads to the notion that this could be different in older adults as </w:t>
      </w:r>
      <w:r w:rsidR="008D1F00">
        <w:t xml:space="preserve">it is common to experience slower processing speeds with attention encoding (Salthouse, 2000). </w:t>
      </w:r>
    </w:p>
    <w:p w14:paraId="2EF9A893" w14:textId="32C5D607" w:rsidR="008909CF" w:rsidRPr="008909CF" w:rsidRDefault="008909CF">
      <w:pPr>
        <w:rPr>
          <w:rFonts w:cstheme="minorHAnsi"/>
          <w:sz w:val="24"/>
          <w:szCs w:val="24"/>
        </w:rPr>
      </w:pPr>
      <w:r>
        <w:t xml:space="preserve">Challenging the original research by Cherry (1953), research by </w:t>
      </w:r>
      <w:r w:rsidRPr="008909CF">
        <w:rPr>
          <w:rFonts w:cstheme="minorHAnsi"/>
          <w:color w:val="000000"/>
          <w:shd w:val="clear" w:color="auto" w:fill="FFFFFF"/>
        </w:rPr>
        <w:t xml:space="preserve">Golden et al., </w:t>
      </w:r>
      <w:r w:rsidRPr="008909CF">
        <w:rPr>
          <w:rFonts w:cstheme="minorHAnsi"/>
          <w:color w:val="000000"/>
          <w:shd w:val="clear" w:color="auto" w:fill="FFFFFF"/>
        </w:rPr>
        <w:t>(</w:t>
      </w:r>
      <w:r w:rsidRPr="008909CF">
        <w:rPr>
          <w:rFonts w:cstheme="minorHAnsi"/>
          <w:color w:val="000000"/>
          <w:shd w:val="clear" w:color="auto" w:fill="FFFFFF"/>
        </w:rPr>
        <w:t>2015)</w:t>
      </w:r>
      <w:r w:rsidRPr="008909CF">
        <w:rPr>
          <w:rFonts w:cstheme="minorHAnsi"/>
          <w:color w:val="000000"/>
          <w:shd w:val="clear" w:color="auto" w:fill="FFFFFF"/>
        </w:rPr>
        <w:t xml:space="preserve"> that looked into the </w:t>
      </w:r>
      <w:r>
        <w:rPr>
          <w:rFonts w:cstheme="minorHAnsi"/>
          <w:color w:val="000000"/>
          <w:shd w:val="clear" w:color="auto" w:fill="FFFFFF"/>
        </w:rPr>
        <w:t xml:space="preserve">differences between older adults with Alzheimer’s disease and those who did not, has on the way they process information in an fMRI based on the Cocktail Party Effect (Cherry, 1953). </w:t>
      </w:r>
      <w:r w:rsidR="00587280">
        <w:rPr>
          <w:rFonts w:cstheme="minorHAnsi"/>
          <w:color w:val="000000"/>
          <w:shd w:val="clear" w:color="auto" w:fill="FFFFFF"/>
        </w:rPr>
        <w:lastRenderedPageBreak/>
        <w:t>Conducting similar tasks to the original study, where participants were given two separate audios and told to focus on one, rather than both it was found that there are physiological differences when conducting the task between the two groups. In the older adult group, there were participants with physiological issues such as partial loss of hearing, which needed to be accounted for during this by raising</w:t>
      </w:r>
      <w:r w:rsidR="00511C8F">
        <w:rPr>
          <w:rFonts w:cstheme="minorHAnsi"/>
          <w:color w:val="000000"/>
          <w:shd w:val="clear" w:color="auto" w:fill="FFFFFF"/>
        </w:rPr>
        <w:t xml:space="preserve"> the volume for example. As they also had participants with Alzheimer’s disease, they wanted to see if there was a difference between the encoding and sorting of information being given to both groups. It was found from the results and the fMRI scan that there were differences in the groups processing and encoding of information. The older adult group could sort the information from important to unimportant, but with added time; but the Alzheimer’s group were unable to sort and encode the information properly to get the correct answers. The fMRI allowed them to compare the results directly to see how both age and cognitive disease was affecting the way they could sort and ignore information. This challenged the early selective attention model as it did not account for age and cognitive decline or disease, which was shown in the neuroimaging techniques used by the researchers.</w:t>
      </w:r>
    </w:p>
    <w:p w14:paraId="76E47579" w14:textId="17E92F65" w:rsidR="00623615" w:rsidRDefault="004550B0">
      <w:r>
        <w:t xml:space="preserve">Contrary to early selective attention research, Deutsch, and Deutsch in 1963, proposed that all information whether it be in the unattended ear or not, is being processed, rather than just the selected information. </w:t>
      </w:r>
      <w:r w:rsidR="00BD5892">
        <w:t xml:space="preserve">This information that has been processed is then analysed to work out what is important and what is not. Once this has been distinguished the important information is then stored in short term memory ready for recall and the unimportant information is dissuaded from memory. </w:t>
      </w:r>
      <w:r w:rsidR="00A56F92">
        <w:t xml:space="preserve">The information is therefore weighted in terms of its importance to the situation. This is known as the Pertinence Model of Attention and is classed as a late selection model of attention as the information is being consciously processed rather than being done without us realising what is important and what is not. </w:t>
      </w:r>
      <w:r w:rsidR="0034631C">
        <w:t xml:space="preserve">This was then developed and refined by Norman in 1969, as the unattended information was lost quickly, and short-term memory does not last long. He found that if the participants were asked something about the unattended information seconds after the audio clip, they could state the information rather than letting it go. </w:t>
      </w:r>
    </w:p>
    <w:p w14:paraId="67CBF694" w14:textId="27F918C6" w:rsidR="00677188" w:rsidRDefault="00677188">
      <w:r>
        <w:t>Research by Jacoby et al., in 2012 has found that using a late selection model with neuroimaging techniques has shown to be challenging the original research. They conducted a study where adults were asked to participate in two conditions as with previous attention tasks. The conditions were uneven to establish whether the length of conditions had an effect on the information processing from research by Deutsch and Deutsch (1963) and Norman (1969). They found that</w:t>
      </w:r>
      <w:r w:rsidR="00D54774">
        <w:t xml:space="preserve"> participants were exhausted from one condition, as this progressed, they were unable to provide,</w:t>
      </w:r>
      <w:r w:rsidR="0066609D">
        <w:t xml:space="preserve"> </w:t>
      </w:r>
      <w:r w:rsidR="00D54774">
        <w:t>many correct answers from the clips they heard. While doing this task, they had an EEG (</w:t>
      </w:r>
      <w:r w:rsidR="00D54774" w:rsidRPr="00D54774">
        <w:t>Electroencephalography</w:t>
      </w:r>
      <w:r w:rsidR="00D54774">
        <w:t>) done to establish whether their activity in the brain was different before they were exhausted from the tasks or after. They found on the EEG that as the participants were more exhausted from the tasks, there was less</w:t>
      </w:r>
      <w:r w:rsidR="0066609D">
        <w:t xml:space="preserve"> visual response from the EEG. This challenges research done previously by Deutsch and Deutsch (1963) and Norman (1969), as they were unable to produce results straight after the task when the brain was faced with exhaustion from tasks.</w:t>
      </w:r>
    </w:p>
    <w:p w14:paraId="25B84E80" w14:textId="110FA44F" w:rsidR="005E2B7E" w:rsidRDefault="0052345D">
      <w:r>
        <w:t xml:space="preserve">In conclusion, there are both strengths and weaknesses to both the early selection and late selection of attention models and the way they are represented. Although the early selection does not </w:t>
      </w:r>
      <w:r w:rsidR="00677188">
        <w:t>consider</w:t>
      </w:r>
      <w:r>
        <w:t xml:space="preserve"> age and processing speed, it is still supported and challenged by various empirical studies. </w:t>
      </w:r>
      <w:r w:rsidR="00BF72A9">
        <w:t xml:space="preserve">Late selection is also having its challenges as speed has to be at the forefront of research for this, to test whether information is being completely ignored or not. </w:t>
      </w:r>
      <w:r w:rsidR="00677188">
        <w:t>There are little amounts of research that challenges the early and late selection models, which demonstrates there is not enough evidence to state the traditional theories are not being challenged by neuroimaging techniques. Especially as they are far more developed than they were when the theories began.</w:t>
      </w:r>
    </w:p>
    <w:p w14:paraId="2BC3F3D8" w14:textId="50CA4509" w:rsidR="00C236D2" w:rsidRDefault="00C236D2"/>
    <w:p w14:paraId="347187CB" w14:textId="68F68327" w:rsidR="005E2B7E" w:rsidRDefault="005E2B7E">
      <w:r>
        <w:t>References</w:t>
      </w:r>
    </w:p>
    <w:p w14:paraId="541258AB" w14:textId="2EF2FD8C" w:rsidR="00D93531" w:rsidRDefault="00D93531" w:rsidP="00D93531">
      <w:pPr>
        <w:ind w:firstLine="720"/>
      </w:pPr>
      <w:r w:rsidRPr="00D93531">
        <w:t xml:space="preserve">American Psychological Association. (2022). APA Dictionary of Psychology. Dictionary.apa.org. Retrieved 4 May 2022, from </w:t>
      </w:r>
      <w:hyperlink r:id="rId5" w:history="1">
        <w:r w:rsidRPr="00CE2707">
          <w:rPr>
            <w:rStyle w:val="Hyperlink"/>
          </w:rPr>
          <w:t>https://dictionary.apa.org/early-selection-theory</w:t>
        </w:r>
      </w:hyperlink>
      <w:r w:rsidRPr="00D93531">
        <w:t>.</w:t>
      </w:r>
    </w:p>
    <w:p w14:paraId="523C16DF" w14:textId="38957303" w:rsidR="00D93531" w:rsidRDefault="00D93531" w:rsidP="00D93531">
      <w:pPr>
        <w:ind w:firstLine="720"/>
      </w:pPr>
      <w:r w:rsidRPr="00D93531">
        <w:t xml:space="preserve">American Psychological Association. (2022). APA Dictionary of Psychology. Dictionary.apa.org. Retrieved 4 May 2022, from </w:t>
      </w:r>
      <w:hyperlink r:id="rId6" w:history="1">
        <w:r w:rsidRPr="00CE2707">
          <w:rPr>
            <w:rStyle w:val="Hyperlink"/>
          </w:rPr>
          <w:t>https://dictionary.apa.org/late-selection-theory</w:t>
        </w:r>
      </w:hyperlink>
      <w:r w:rsidRPr="00D93531">
        <w:t>.</w:t>
      </w:r>
      <w:r>
        <w:t xml:space="preserve"> </w:t>
      </w:r>
    </w:p>
    <w:p w14:paraId="2CAED1A3" w14:textId="077BF281" w:rsidR="005E2B7E" w:rsidRDefault="005E2B7E" w:rsidP="005E2B7E">
      <w:pPr>
        <w:ind w:firstLine="720"/>
      </w:pPr>
      <w:r w:rsidRPr="00AE33C9">
        <w:t>Cherry, E. C. (1953). Some experiments on the recognition of speech with one and with two ears. Journal of the Acoustical Society of America, 25, 975–979.</w:t>
      </w:r>
      <w:r w:rsidR="00D93531">
        <w:t xml:space="preserve"> </w:t>
      </w:r>
    </w:p>
    <w:p w14:paraId="391300BA" w14:textId="75C7AD3E" w:rsidR="0034631C" w:rsidRDefault="0034631C" w:rsidP="005E2B7E">
      <w:pPr>
        <w:ind w:firstLine="720"/>
      </w:pPr>
      <w:r w:rsidRPr="0034631C">
        <w:t>Deutsch, J. A., &amp; Deutsch, D. (1963). Attention: Some theoretical considerations. Psychological review, 70(1), 80.</w:t>
      </w:r>
      <w:r>
        <w:t xml:space="preserve"> </w:t>
      </w:r>
    </w:p>
    <w:p w14:paraId="6CDC5E8B" w14:textId="7AC73D23" w:rsidR="00D93531" w:rsidRDefault="00D93531" w:rsidP="005E2B7E">
      <w:pPr>
        <w:ind w:firstLine="720"/>
      </w:pPr>
      <w:r w:rsidRPr="00D93531">
        <w:t xml:space="preserve">Golden, H., </w:t>
      </w:r>
      <w:proofErr w:type="spellStart"/>
      <w:r w:rsidRPr="00D93531">
        <w:t>Agustus</w:t>
      </w:r>
      <w:proofErr w:type="spellEnd"/>
      <w:r w:rsidRPr="00D93531">
        <w:t xml:space="preserve">, J., </w:t>
      </w:r>
      <w:proofErr w:type="spellStart"/>
      <w:r w:rsidRPr="00D93531">
        <w:t>Goll</w:t>
      </w:r>
      <w:proofErr w:type="spellEnd"/>
      <w:r w:rsidRPr="00D93531">
        <w:t xml:space="preserve">, J., Downey, L., Mummery, C., &amp; Schott, J. et al. (2015). Functional neuroanatomy of auditory scene analysis in Alzheimer's disease. Neuroimage: Clinical, 7, 699-708. </w:t>
      </w:r>
      <w:hyperlink r:id="rId7" w:history="1">
        <w:r w:rsidRPr="00CE2707">
          <w:rPr>
            <w:rStyle w:val="Hyperlink"/>
          </w:rPr>
          <w:t>https://doi.org/10.1016/j.nicl.2015.02.019</w:t>
        </w:r>
      </w:hyperlink>
      <w:r>
        <w:t xml:space="preserve"> </w:t>
      </w:r>
    </w:p>
    <w:p w14:paraId="488163DF" w14:textId="5385E30B" w:rsidR="00051362" w:rsidRDefault="00051362" w:rsidP="005E2B7E">
      <w:pPr>
        <w:ind w:firstLine="720"/>
      </w:pPr>
      <w:r w:rsidRPr="00051362">
        <w:t xml:space="preserve">Jacoby, O., Hall, S., &amp; </w:t>
      </w:r>
      <w:proofErr w:type="spellStart"/>
      <w:r w:rsidRPr="00051362">
        <w:t>Mattingley</w:t>
      </w:r>
      <w:proofErr w:type="spellEnd"/>
      <w:r w:rsidRPr="00051362">
        <w:t xml:space="preserve">, J. (2012). A </w:t>
      </w:r>
      <w:proofErr w:type="spellStart"/>
      <w:r w:rsidRPr="00051362">
        <w:t>crossmodal</w:t>
      </w:r>
      <w:proofErr w:type="spellEnd"/>
      <w:r w:rsidRPr="00051362">
        <w:t xml:space="preserve"> crossover: Opposite effects of visual and auditory perceptual load on steady-state evoked potentials to irrelevant visual stimuli. Neuroimage, 61(4), 1050-1058. </w:t>
      </w:r>
      <w:hyperlink r:id="rId8" w:history="1">
        <w:r w:rsidRPr="00CE2707">
          <w:rPr>
            <w:rStyle w:val="Hyperlink"/>
          </w:rPr>
          <w:t>https://doi.org/10.1016/j.neuroimage.2012.03.040</w:t>
        </w:r>
      </w:hyperlink>
      <w:r>
        <w:t xml:space="preserve"> </w:t>
      </w:r>
    </w:p>
    <w:p w14:paraId="699F772D" w14:textId="1C4897A1" w:rsidR="0034631C" w:rsidRPr="00AE33C9" w:rsidRDefault="0034631C" w:rsidP="005E2B7E">
      <w:pPr>
        <w:ind w:firstLine="720"/>
      </w:pPr>
      <w:r w:rsidRPr="0034631C">
        <w:t xml:space="preserve">Norman, D. A. (1968). Toward a theory of memory and attention. Psychological Review, 75(6), 522–536. </w:t>
      </w:r>
      <w:hyperlink r:id="rId9" w:history="1">
        <w:r w:rsidRPr="00CE2707">
          <w:rPr>
            <w:rStyle w:val="Hyperlink"/>
          </w:rPr>
          <w:t>https://doi.org/10.1037/h0026699</w:t>
        </w:r>
      </w:hyperlink>
      <w:r>
        <w:t xml:space="preserve"> </w:t>
      </w:r>
    </w:p>
    <w:p w14:paraId="0722FF4A" w14:textId="62EE66A6" w:rsidR="005E2B7E" w:rsidRDefault="008D1F00" w:rsidP="008D1F00">
      <w:pPr>
        <w:ind w:firstLine="720"/>
      </w:pPr>
      <w:r w:rsidRPr="008D1F00">
        <w:t>Salthouse, T. A. (2000). Aging and measures of processing speed. Biological psychology, 54(1-3), 35-54.</w:t>
      </w:r>
    </w:p>
    <w:p w14:paraId="5860073C" w14:textId="45CEC564" w:rsidR="00BF72A9" w:rsidRDefault="00D93531" w:rsidP="00BF72A9">
      <w:pPr>
        <w:ind w:firstLine="720"/>
      </w:pPr>
      <w:proofErr w:type="spellStart"/>
      <w:r w:rsidRPr="00D93531">
        <w:t>Wikman</w:t>
      </w:r>
      <w:proofErr w:type="spellEnd"/>
      <w:r w:rsidRPr="00D93531">
        <w:t xml:space="preserve">, P., </w:t>
      </w:r>
      <w:proofErr w:type="spellStart"/>
      <w:r w:rsidRPr="00D93531">
        <w:t>Sahari</w:t>
      </w:r>
      <w:proofErr w:type="spellEnd"/>
      <w:r w:rsidRPr="00D93531">
        <w:t xml:space="preserve">, E., </w:t>
      </w:r>
      <w:proofErr w:type="spellStart"/>
      <w:r w:rsidRPr="00D93531">
        <w:t>Salmela</w:t>
      </w:r>
      <w:proofErr w:type="spellEnd"/>
      <w:r w:rsidRPr="00D93531">
        <w:t xml:space="preserve">, V., </w:t>
      </w:r>
      <w:proofErr w:type="spellStart"/>
      <w:r w:rsidRPr="00D93531">
        <w:t>Leminen</w:t>
      </w:r>
      <w:proofErr w:type="spellEnd"/>
      <w:r w:rsidRPr="00D93531">
        <w:t xml:space="preserve">, A., </w:t>
      </w:r>
      <w:proofErr w:type="spellStart"/>
      <w:r w:rsidRPr="00D93531">
        <w:t>Leminen</w:t>
      </w:r>
      <w:proofErr w:type="spellEnd"/>
      <w:r w:rsidRPr="00D93531">
        <w:t xml:space="preserve">, M., Laine, M., &amp; </w:t>
      </w:r>
      <w:proofErr w:type="spellStart"/>
      <w:r w:rsidRPr="00D93531">
        <w:t>Alho</w:t>
      </w:r>
      <w:proofErr w:type="spellEnd"/>
      <w:r w:rsidRPr="00D93531">
        <w:t xml:space="preserve">, K. (2021). Breaking down the cocktail party: Attentional modulation of cerebral </w:t>
      </w:r>
      <w:proofErr w:type="spellStart"/>
      <w:r w:rsidRPr="00D93531">
        <w:t>audiovisual</w:t>
      </w:r>
      <w:proofErr w:type="spellEnd"/>
      <w:r w:rsidRPr="00D93531">
        <w:t xml:space="preserve"> speech processing. Neuroimage, 224, 117365. </w:t>
      </w:r>
      <w:hyperlink r:id="rId10" w:history="1">
        <w:r w:rsidRPr="00CE2707">
          <w:rPr>
            <w:rStyle w:val="Hyperlink"/>
          </w:rPr>
          <w:t>https://doi.org/10.1016/j.neuroimage.2020.117365</w:t>
        </w:r>
      </w:hyperlink>
      <w:r>
        <w:t xml:space="preserve">  </w:t>
      </w:r>
    </w:p>
    <w:p w14:paraId="78E41604" w14:textId="77777777" w:rsidR="006B544B" w:rsidRDefault="006B544B">
      <w:r>
        <w:br w:type="page"/>
      </w:r>
    </w:p>
    <w:p w14:paraId="31B97207" w14:textId="77777777" w:rsidR="00464EE4" w:rsidRDefault="00BF72A9" w:rsidP="00464EE4">
      <w:r w:rsidRPr="00BF72A9">
        <w:rPr>
          <w:b/>
        </w:rPr>
        <w:lastRenderedPageBreak/>
        <w:t>Critically discuss how neuroimaging techniques have enhanced our understanding of social cognition</w:t>
      </w:r>
    </w:p>
    <w:p w14:paraId="00C014E6" w14:textId="77777777" w:rsidR="00464EE4" w:rsidRDefault="00464EE4" w:rsidP="00464EE4"/>
    <w:p w14:paraId="6BFEC4B3" w14:textId="65F1E116" w:rsidR="00BF72A9" w:rsidRPr="00464EE4" w:rsidRDefault="00464EE4" w:rsidP="00464EE4">
      <w:r>
        <w:rPr>
          <w:bCs/>
        </w:rPr>
        <w:t xml:space="preserve">Social cognition is the umbrella term </w:t>
      </w:r>
      <w:r w:rsidR="00CB5B6D">
        <w:rPr>
          <w:bCs/>
        </w:rPr>
        <w:t>used to help understand an individual’s mental state, how they respond to social situations and social queues</w:t>
      </w:r>
      <w:r>
        <w:rPr>
          <w:bCs/>
        </w:rPr>
        <w:t xml:space="preserve">. </w:t>
      </w:r>
      <w:r w:rsidR="007E39C9">
        <w:rPr>
          <w:bCs/>
        </w:rPr>
        <w:t xml:space="preserve">It also covers information processing and the way that is done in the brain. </w:t>
      </w:r>
      <w:r w:rsidR="00583E2F">
        <w:rPr>
          <w:bCs/>
        </w:rPr>
        <w:t>Neuroimaging techniques have been developing to help show how the brain works during social</w:t>
      </w:r>
      <w:r w:rsidR="007E39C9">
        <w:rPr>
          <w:bCs/>
        </w:rPr>
        <w:t xml:space="preserve"> and information</w:t>
      </w:r>
      <w:r w:rsidR="00583E2F">
        <w:rPr>
          <w:bCs/>
        </w:rPr>
        <w:t xml:space="preserve"> processes, </w:t>
      </w:r>
      <w:r w:rsidR="007E39C9">
        <w:rPr>
          <w:bCs/>
        </w:rPr>
        <w:t xml:space="preserve">showing </w:t>
      </w:r>
      <w:r w:rsidR="00583E2F">
        <w:rPr>
          <w:bCs/>
        </w:rPr>
        <w:t>how it is developing</w:t>
      </w:r>
      <w:r w:rsidR="007E39C9">
        <w:rPr>
          <w:bCs/>
        </w:rPr>
        <w:t xml:space="preserve"> or </w:t>
      </w:r>
      <w:r w:rsidR="00583E2F">
        <w:rPr>
          <w:bCs/>
        </w:rPr>
        <w:t xml:space="preserve">changed and even what has happened to it. </w:t>
      </w:r>
      <w:r w:rsidR="00730DB7">
        <w:rPr>
          <w:bCs/>
        </w:rPr>
        <w:t xml:space="preserve">There are many forms of neuroimaging that can be used to help develop an understanding of social cognition. </w:t>
      </w:r>
      <w:r w:rsidR="00583E2F">
        <w:rPr>
          <w:bCs/>
        </w:rPr>
        <w:t xml:space="preserve">This essay will be critically discussing the neuroimaging methods and techniques that have helped neuroscientists, doctors and psychologists understand social cognition and its processes. </w:t>
      </w:r>
    </w:p>
    <w:p w14:paraId="06C86D48" w14:textId="77777777" w:rsidR="00E1049F" w:rsidRDefault="00597EDD" w:rsidP="000322C6">
      <w:pPr>
        <w:rPr>
          <w:bCs/>
        </w:rPr>
      </w:pPr>
      <w:r>
        <w:rPr>
          <w:bCs/>
        </w:rPr>
        <w:t xml:space="preserve">A Functional Magnetic Resonance Image or fMRI </w:t>
      </w:r>
      <w:r w:rsidR="000E427C">
        <w:rPr>
          <w:bCs/>
        </w:rPr>
        <w:t xml:space="preserve">is </w:t>
      </w:r>
      <w:r w:rsidR="00583E2F">
        <w:rPr>
          <w:bCs/>
        </w:rPr>
        <w:t xml:space="preserve">possibly </w:t>
      </w:r>
      <w:r w:rsidR="000E427C">
        <w:rPr>
          <w:bCs/>
        </w:rPr>
        <w:t>the most widely used</w:t>
      </w:r>
      <w:r w:rsidR="00583E2F">
        <w:rPr>
          <w:bCs/>
        </w:rPr>
        <w:t xml:space="preserve"> non-invasive</w:t>
      </w:r>
      <w:r w:rsidR="000E427C">
        <w:rPr>
          <w:bCs/>
        </w:rPr>
        <w:t xml:space="preserve"> neuroimaging technique in neuroscience</w:t>
      </w:r>
      <w:r w:rsidR="00583E2F">
        <w:rPr>
          <w:bCs/>
        </w:rPr>
        <w:t xml:space="preserve"> and psychology</w:t>
      </w:r>
      <w:r w:rsidR="000E427C">
        <w:rPr>
          <w:bCs/>
        </w:rPr>
        <w:t xml:space="preserve"> to understand social cognition</w:t>
      </w:r>
      <w:r w:rsidR="00583E2F">
        <w:rPr>
          <w:bCs/>
        </w:rPr>
        <w:t xml:space="preserve"> and how it affects the brain</w:t>
      </w:r>
      <w:r w:rsidR="000E427C">
        <w:rPr>
          <w:bCs/>
        </w:rPr>
        <w:t xml:space="preserve">. </w:t>
      </w:r>
      <w:r w:rsidR="00F26CA8">
        <w:rPr>
          <w:bCs/>
        </w:rPr>
        <w:t xml:space="preserve">It is used to show processes in the brain and how they are handling cognitive functions </w:t>
      </w:r>
      <w:r w:rsidR="00F26CA8" w:rsidRPr="00F26CA8">
        <w:rPr>
          <w:bCs/>
        </w:rPr>
        <w:t>(Tung, 2022)</w:t>
      </w:r>
      <w:r w:rsidR="00F26CA8">
        <w:rPr>
          <w:bCs/>
        </w:rPr>
        <w:t>.</w:t>
      </w:r>
      <w:r w:rsidR="000322C6">
        <w:rPr>
          <w:bCs/>
        </w:rPr>
        <w:t xml:space="preserve"> It works by looking at the oxygen changes in the blood and </w:t>
      </w:r>
      <w:r w:rsidR="00583E2F">
        <w:rPr>
          <w:bCs/>
        </w:rPr>
        <w:t>how it is caused by different neural activities. This is seen as the brain is using more oxygen when it is more active to different areas, to accommodate for the increased activity. It is mainly used during a social task experiment, when the brain is processing information, this will be seen on the fMRI and will help to establish w</w:t>
      </w:r>
      <w:r w:rsidR="00853529">
        <w:rPr>
          <w:bCs/>
        </w:rPr>
        <w:t xml:space="preserve">hat it is doing and where the processes are happening. The functional magnetic resonance scan image will also show all areas of the brain, so it is easier to see what is happening and provides a clear image. </w:t>
      </w:r>
    </w:p>
    <w:p w14:paraId="2D8E4B4A" w14:textId="68D9B7EE" w:rsidR="000322C6" w:rsidRDefault="000322C6" w:rsidP="000322C6">
      <w:pPr>
        <w:rPr>
          <w:bCs/>
        </w:rPr>
      </w:pPr>
      <w:r>
        <w:rPr>
          <w:bCs/>
        </w:rPr>
        <w:t>While performing a social based task, an fMRI is the best to be used as it is able to show how the brain is able to process information inputs</w:t>
      </w:r>
      <w:r w:rsidR="00853529">
        <w:rPr>
          <w:bCs/>
        </w:rPr>
        <w:t xml:space="preserve"> </w:t>
      </w:r>
      <w:r w:rsidR="00853529" w:rsidRPr="00853529">
        <w:rPr>
          <w:bCs/>
        </w:rPr>
        <w:t>(</w:t>
      </w:r>
      <w:proofErr w:type="spellStart"/>
      <w:r w:rsidR="00853529" w:rsidRPr="00853529">
        <w:rPr>
          <w:bCs/>
        </w:rPr>
        <w:t>Doruyter</w:t>
      </w:r>
      <w:proofErr w:type="spellEnd"/>
      <w:r w:rsidR="00853529" w:rsidRPr="00853529">
        <w:rPr>
          <w:bCs/>
        </w:rPr>
        <w:t xml:space="preserve"> et al., 2017)</w:t>
      </w:r>
      <w:r w:rsidR="00853529">
        <w:rPr>
          <w:bCs/>
        </w:rPr>
        <w:t xml:space="preserve">. </w:t>
      </w:r>
      <w:r w:rsidR="006A6E8E">
        <w:rPr>
          <w:bCs/>
        </w:rPr>
        <w:t xml:space="preserve">As discussed previously, the </w:t>
      </w:r>
      <w:r w:rsidR="00703888">
        <w:rPr>
          <w:bCs/>
        </w:rPr>
        <w:t xml:space="preserve">image will be able to show where the brain is active and how it is being affected by the processes. </w:t>
      </w:r>
      <w:r w:rsidR="00E1049F">
        <w:rPr>
          <w:bCs/>
        </w:rPr>
        <w:t xml:space="preserve">It also does not use radiation like many imaging technologies do, such as X-Ray and Computed tomography (CT) scans do, which can be harmful in large doses, especially if there is something wrong in the brain causing social cognition to be impacted, such as a tumour </w:t>
      </w:r>
      <w:r w:rsidR="00E1049F" w:rsidRPr="00E1049F">
        <w:rPr>
          <w:bCs/>
        </w:rPr>
        <w:t>(Watson, 2022)</w:t>
      </w:r>
      <w:r w:rsidR="00E1049F">
        <w:rPr>
          <w:bCs/>
        </w:rPr>
        <w:t xml:space="preserve">. </w:t>
      </w:r>
      <w:r w:rsidR="00E10D52">
        <w:rPr>
          <w:bCs/>
        </w:rPr>
        <w:t xml:space="preserve">This helps to understand social cognition more as many people are concerned about radiation exposure, especially if they have had to have many </w:t>
      </w:r>
      <w:r w:rsidR="00346162">
        <w:rPr>
          <w:bCs/>
        </w:rPr>
        <w:t xml:space="preserve">other scans with radiation, and therefore will be more likely to participate in studies relating to cognition. </w:t>
      </w:r>
      <w:r w:rsidR="002E62FD">
        <w:rPr>
          <w:bCs/>
        </w:rPr>
        <w:t xml:space="preserve">Although it shows an in-depth analysis of the participants social cognitive functions, they must also remain completely still, which can prove difficult with certain people, especially if they have motor function issues or neurological issues, such as severe Autism or Parkinson’s disease. Due to the </w:t>
      </w:r>
      <w:r w:rsidR="00E1049F">
        <w:rPr>
          <w:bCs/>
        </w:rPr>
        <w:t>higher quality</w:t>
      </w:r>
      <w:r w:rsidR="002E62FD">
        <w:rPr>
          <w:bCs/>
        </w:rPr>
        <w:t xml:space="preserve"> </w:t>
      </w:r>
      <w:r w:rsidR="00E1049F">
        <w:rPr>
          <w:bCs/>
        </w:rPr>
        <w:t>images,</w:t>
      </w:r>
      <w:r w:rsidR="002E62FD">
        <w:rPr>
          <w:bCs/>
        </w:rPr>
        <w:t xml:space="preserve"> it </w:t>
      </w:r>
      <w:r w:rsidR="00E1049F">
        <w:rPr>
          <w:bCs/>
        </w:rPr>
        <w:t>captures,</w:t>
      </w:r>
      <w:r w:rsidR="002E62FD">
        <w:rPr>
          <w:bCs/>
        </w:rPr>
        <w:t xml:space="preserve"> and the time taken to use and set it up, it is an extremely expensive machine to be using, especially if the participant moves and causes the image to blur or distort, which can make it look like there are issues but there are not. </w:t>
      </w:r>
      <w:r w:rsidR="00E1049F">
        <w:rPr>
          <w:bCs/>
        </w:rPr>
        <w:t xml:space="preserve">The use of an </w:t>
      </w:r>
      <w:r w:rsidR="00E1049F">
        <w:rPr>
          <w:bCs/>
        </w:rPr>
        <w:t>fMRI</w:t>
      </w:r>
      <w:r w:rsidR="00E1049F">
        <w:rPr>
          <w:bCs/>
        </w:rPr>
        <w:t xml:space="preserve"> can show superficial results, which will require other neuroimaging techniques to be used, which can prove to be quite costly </w:t>
      </w:r>
      <w:r w:rsidR="00E1049F">
        <w:rPr>
          <w:bCs/>
        </w:rPr>
        <w:t xml:space="preserve">in </w:t>
      </w:r>
      <w:r w:rsidR="006B3FF2">
        <w:rPr>
          <w:bCs/>
        </w:rPr>
        <w:t>experimental settings and medical uses (</w:t>
      </w:r>
      <w:r w:rsidR="00E1049F" w:rsidRPr="00807F30">
        <w:rPr>
          <w:bCs/>
        </w:rPr>
        <w:t>Watson, 2022)</w:t>
      </w:r>
      <w:r w:rsidR="006B3FF2">
        <w:rPr>
          <w:bCs/>
        </w:rPr>
        <w:t xml:space="preserve">. Unlike some other neuroimaging devices, the fMRI can only look at the blood flow in the brain rather than the neuronal activities, it can also be difficult to interpret </w:t>
      </w:r>
      <w:r w:rsidR="006B3FF2" w:rsidRPr="006B3FF2">
        <w:rPr>
          <w:bCs/>
        </w:rPr>
        <w:t>(</w:t>
      </w:r>
      <w:proofErr w:type="spellStart"/>
      <w:r w:rsidR="006B3FF2" w:rsidRPr="006B3FF2">
        <w:rPr>
          <w:bCs/>
        </w:rPr>
        <w:t>Iacoboni</w:t>
      </w:r>
      <w:proofErr w:type="spellEnd"/>
      <w:r w:rsidR="006B3FF2" w:rsidRPr="006B3FF2">
        <w:rPr>
          <w:bCs/>
        </w:rPr>
        <w:t xml:space="preserve"> et al., 2004)</w:t>
      </w:r>
      <w:r w:rsidR="006B3FF2">
        <w:rPr>
          <w:bCs/>
        </w:rPr>
        <w:t>.</w:t>
      </w:r>
    </w:p>
    <w:p w14:paraId="4B368438" w14:textId="77777777" w:rsidR="00167AC1" w:rsidRDefault="00B27A55" w:rsidP="000322C6">
      <w:pPr>
        <w:rPr>
          <w:bCs/>
        </w:rPr>
      </w:pPr>
      <w:r>
        <w:rPr>
          <w:bCs/>
        </w:rPr>
        <w:t xml:space="preserve">An </w:t>
      </w:r>
      <w:r w:rsidRPr="00B27A55">
        <w:rPr>
          <w:bCs/>
        </w:rPr>
        <w:t>Electroencephalography</w:t>
      </w:r>
      <w:r>
        <w:rPr>
          <w:bCs/>
        </w:rPr>
        <w:t xml:space="preserve"> or EEG is a machine that is used to measure brain activity though its electrical impulses in a non-invasive manor. When there is lots of activity in the neurons of the brain, there are electrical impulses going through the brain which is the processes</w:t>
      </w:r>
      <w:r w:rsidR="001F657C">
        <w:rPr>
          <w:bCs/>
        </w:rPr>
        <w:t xml:space="preserve"> </w:t>
      </w:r>
      <w:r w:rsidR="001F657C" w:rsidRPr="001F657C">
        <w:rPr>
          <w:bCs/>
        </w:rPr>
        <w:t>(</w:t>
      </w:r>
      <w:proofErr w:type="spellStart"/>
      <w:r w:rsidR="001F657C" w:rsidRPr="001F657C">
        <w:rPr>
          <w:bCs/>
        </w:rPr>
        <w:t>Bhavnani</w:t>
      </w:r>
      <w:proofErr w:type="spellEnd"/>
      <w:r w:rsidR="001F657C" w:rsidRPr="001F657C">
        <w:rPr>
          <w:bCs/>
        </w:rPr>
        <w:t xml:space="preserve"> et al., 2021)</w:t>
      </w:r>
      <w:r>
        <w:rPr>
          <w:bCs/>
        </w:rPr>
        <w:t xml:space="preserve">. It is a scalp cap that is done in a non-invasive way with electrodes being placed on the scalp that measures the voltage and records the signals picked up during a continuous recording. </w:t>
      </w:r>
    </w:p>
    <w:p w14:paraId="6CA30CE1" w14:textId="096CBE97" w:rsidR="00CB6AFB" w:rsidRDefault="00B27A55" w:rsidP="000322C6">
      <w:pPr>
        <w:rPr>
          <w:bCs/>
        </w:rPr>
      </w:pPr>
      <w:r>
        <w:rPr>
          <w:bCs/>
        </w:rPr>
        <w:lastRenderedPageBreak/>
        <w:t>Although it is a limited technique, it has been used to help in the assessment and treatment of neurological issues, such as Epilepsy, as it can help see the focal point of the seizures through the current passing through</w:t>
      </w:r>
      <w:r w:rsidR="001F657C">
        <w:rPr>
          <w:bCs/>
        </w:rPr>
        <w:t xml:space="preserve"> and establish </w:t>
      </w:r>
      <w:r w:rsidR="00E2196F">
        <w:rPr>
          <w:bCs/>
        </w:rPr>
        <w:t>where</w:t>
      </w:r>
      <w:r w:rsidR="001F657C">
        <w:rPr>
          <w:bCs/>
        </w:rPr>
        <w:t xml:space="preserve"> </w:t>
      </w:r>
      <w:r w:rsidR="00E2196F">
        <w:rPr>
          <w:bCs/>
        </w:rPr>
        <w:t xml:space="preserve">in the </w:t>
      </w:r>
      <w:r w:rsidR="00E845A0">
        <w:rPr>
          <w:bCs/>
        </w:rPr>
        <w:t>brain needs</w:t>
      </w:r>
      <w:r w:rsidR="001F657C">
        <w:rPr>
          <w:bCs/>
        </w:rPr>
        <w:t xml:space="preserve"> treatment. </w:t>
      </w:r>
      <w:r w:rsidR="00597EDD">
        <w:rPr>
          <w:bCs/>
        </w:rPr>
        <w:t xml:space="preserve">This method is also not as specific to be used to demonstrate cognitive functions as other imaging techniques. </w:t>
      </w:r>
      <w:r w:rsidR="00CB6AFB">
        <w:rPr>
          <w:bCs/>
        </w:rPr>
        <w:t xml:space="preserve">Bhavani et al., (2021) have used </w:t>
      </w:r>
      <w:r w:rsidR="002E5B02">
        <w:rPr>
          <w:bCs/>
        </w:rPr>
        <w:t>EEGs</w:t>
      </w:r>
      <w:r w:rsidR="00CB6AFB">
        <w:rPr>
          <w:bCs/>
        </w:rPr>
        <w:t xml:space="preserve"> to see how children are developing cognitively. They have found that children are at the peak for development and change due to the plasticity and nature of their brains during adolescents. </w:t>
      </w:r>
      <w:r w:rsidR="00861E42">
        <w:rPr>
          <w:bCs/>
        </w:rPr>
        <w:t xml:space="preserve">During their social tasks, the EEG showed that they had activity that corresponded to social and cognitive development. As a cross-sectional approach, with older children, the EEG was able to show that they are developing and the way this is changing the results to show how they are learning different social cognitive skills. </w:t>
      </w:r>
      <w:r w:rsidR="00730DB7">
        <w:rPr>
          <w:bCs/>
        </w:rPr>
        <w:t xml:space="preserve">It is a very useful way to see how the neuronal activity is working in the brain, and could possibly be used in conjunction with other aspects of neuroimaging to show a more detailed analysis of the way the neuronal pathways are working within different scans and </w:t>
      </w:r>
    </w:p>
    <w:p w14:paraId="26BEEE27" w14:textId="1777C9D3" w:rsidR="00371A2A" w:rsidRDefault="00371A2A" w:rsidP="000322C6">
      <w:pPr>
        <w:rPr>
          <w:bCs/>
        </w:rPr>
      </w:pPr>
      <w:r>
        <w:rPr>
          <w:bCs/>
        </w:rPr>
        <w:t xml:space="preserve">In conclusion, the use of a Functional Magnetic Resonance imaging machine is expanding the way neuroscientists and psychologists are understanding the way social cognition is working. Although it has its limitations and risks to use, it is the </w:t>
      </w:r>
      <w:r w:rsidR="008A57C8">
        <w:rPr>
          <w:bCs/>
        </w:rPr>
        <w:t>clearest</w:t>
      </w:r>
      <w:r>
        <w:rPr>
          <w:bCs/>
        </w:rPr>
        <w:t xml:space="preserve"> image</w:t>
      </w:r>
      <w:r w:rsidR="008A57C8">
        <w:rPr>
          <w:bCs/>
        </w:rPr>
        <w:t xml:space="preserve"> currently used with the least amount of risk</w:t>
      </w:r>
      <w:r>
        <w:rPr>
          <w:bCs/>
        </w:rPr>
        <w:t xml:space="preserve"> and can show the way things are changing during each </w:t>
      </w:r>
      <w:r w:rsidR="0061676E">
        <w:rPr>
          <w:bCs/>
        </w:rPr>
        <w:t>social task.</w:t>
      </w:r>
      <w:r w:rsidR="00730DB7">
        <w:rPr>
          <w:bCs/>
        </w:rPr>
        <w:t xml:space="preserve"> As discussed, EEG’s also have their strengths and limitations, but have allowed the way for diagnosis and social cognition understanding. Although it is a useful tool, it can also be paired with others which can enhance findings from researchers. </w:t>
      </w:r>
      <w:r w:rsidR="0061676E">
        <w:rPr>
          <w:bCs/>
        </w:rPr>
        <w:t xml:space="preserve">There is still plenty left unknown about how each neuroimaging technique works and how it can affect the participants in the long term, leaving plenty of room for further research into the risks and benefits of each. Each technique has also enhanced the way social cognition is being understood as there are more opportunities for it to be used in treatment, medicinal </w:t>
      </w:r>
      <w:r w:rsidR="00730DB7">
        <w:rPr>
          <w:bCs/>
        </w:rPr>
        <w:t xml:space="preserve">diagnosis, and empirical research studies that help expand knowledge on how the brain’s cognition works. There is little research to say how it can aid understanding but there is room for cross-sectional research between various scans. </w:t>
      </w:r>
    </w:p>
    <w:p w14:paraId="58415561" w14:textId="5D755F93" w:rsidR="00730DB7" w:rsidRDefault="00730DB7">
      <w:pPr>
        <w:rPr>
          <w:bCs/>
        </w:rPr>
      </w:pPr>
      <w:r>
        <w:rPr>
          <w:bCs/>
        </w:rPr>
        <w:br w:type="page"/>
      </w:r>
    </w:p>
    <w:p w14:paraId="7AE07579" w14:textId="3942995C" w:rsidR="00730DB7" w:rsidRDefault="00730DB7" w:rsidP="000322C6">
      <w:pPr>
        <w:rPr>
          <w:bCs/>
        </w:rPr>
      </w:pPr>
      <w:r>
        <w:rPr>
          <w:bCs/>
        </w:rPr>
        <w:lastRenderedPageBreak/>
        <w:t>References</w:t>
      </w:r>
    </w:p>
    <w:p w14:paraId="4B022D65" w14:textId="60F6060F" w:rsidR="00730DB7" w:rsidRDefault="00F165A0" w:rsidP="00F165A0">
      <w:pPr>
        <w:ind w:firstLine="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Bhavnani</w:t>
      </w:r>
      <w:proofErr w:type="spellEnd"/>
      <w:r>
        <w:rPr>
          <w:rFonts w:ascii="Open Sans" w:hAnsi="Open Sans" w:cs="Open Sans"/>
          <w:color w:val="000000"/>
          <w:sz w:val="20"/>
          <w:szCs w:val="20"/>
          <w:shd w:val="clear" w:color="auto" w:fill="FFFFFF"/>
        </w:rPr>
        <w:t xml:space="preserve">, S., Lockwood </w:t>
      </w:r>
      <w:proofErr w:type="spellStart"/>
      <w:r>
        <w:rPr>
          <w:rFonts w:ascii="Open Sans" w:hAnsi="Open Sans" w:cs="Open Sans"/>
          <w:color w:val="000000"/>
          <w:sz w:val="20"/>
          <w:szCs w:val="20"/>
          <w:shd w:val="clear" w:color="auto" w:fill="FFFFFF"/>
        </w:rPr>
        <w:t>Estrin</w:t>
      </w:r>
      <w:proofErr w:type="spellEnd"/>
      <w:r>
        <w:rPr>
          <w:rFonts w:ascii="Open Sans" w:hAnsi="Open Sans" w:cs="Open Sans"/>
          <w:color w:val="000000"/>
          <w:sz w:val="20"/>
          <w:szCs w:val="20"/>
          <w:shd w:val="clear" w:color="auto" w:fill="FFFFFF"/>
        </w:rPr>
        <w:t xml:space="preserve">, G., </w:t>
      </w:r>
      <w:proofErr w:type="spellStart"/>
      <w:r>
        <w:rPr>
          <w:rFonts w:ascii="Open Sans" w:hAnsi="Open Sans" w:cs="Open Sans"/>
          <w:color w:val="000000"/>
          <w:sz w:val="20"/>
          <w:szCs w:val="20"/>
          <w:shd w:val="clear" w:color="auto" w:fill="FFFFFF"/>
        </w:rPr>
        <w:t>Haartsen</w:t>
      </w:r>
      <w:proofErr w:type="spellEnd"/>
      <w:r>
        <w:rPr>
          <w:rFonts w:ascii="Open Sans" w:hAnsi="Open Sans" w:cs="Open Sans"/>
          <w:color w:val="000000"/>
          <w:sz w:val="20"/>
          <w:szCs w:val="20"/>
          <w:shd w:val="clear" w:color="auto" w:fill="FFFFFF"/>
        </w:rPr>
        <w:t xml:space="preserve">, R., Jensen, S., </w:t>
      </w:r>
      <w:proofErr w:type="spellStart"/>
      <w:r>
        <w:rPr>
          <w:rFonts w:ascii="Open Sans" w:hAnsi="Open Sans" w:cs="Open Sans"/>
          <w:color w:val="000000"/>
          <w:sz w:val="20"/>
          <w:szCs w:val="20"/>
          <w:shd w:val="clear" w:color="auto" w:fill="FFFFFF"/>
        </w:rPr>
        <w:t>Gliga</w:t>
      </w:r>
      <w:proofErr w:type="spellEnd"/>
      <w:r>
        <w:rPr>
          <w:rFonts w:ascii="Open Sans" w:hAnsi="Open Sans" w:cs="Open Sans"/>
          <w:color w:val="000000"/>
          <w:sz w:val="20"/>
          <w:szCs w:val="20"/>
          <w:shd w:val="clear" w:color="auto" w:fill="FFFFFF"/>
        </w:rPr>
        <w:t>, T., Patel, V., &amp; Johnson, M. (2021). EEG signatures of cognitive and social development of preschool children–a systematic review. </w:t>
      </w:r>
      <w:r>
        <w:rPr>
          <w:rFonts w:ascii="Open Sans" w:hAnsi="Open Sans" w:cs="Open Sans"/>
          <w:i/>
          <w:iCs/>
          <w:color w:val="000000"/>
          <w:sz w:val="20"/>
          <w:szCs w:val="20"/>
          <w:shd w:val="clear" w:color="auto" w:fill="FFFFFF"/>
        </w:rPr>
        <w:t>PLOS ONE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16</w:t>
      </w:r>
      <w:r>
        <w:rPr>
          <w:rFonts w:ascii="Open Sans" w:hAnsi="Open Sans" w:cs="Open Sans"/>
          <w:color w:val="000000"/>
          <w:sz w:val="20"/>
          <w:szCs w:val="20"/>
          <w:shd w:val="clear" w:color="auto" w:fill="FFFFFF"/>
        </w:rPr>
        <w:t xml:space="preserve">(2), e0247223. </w:t>
      </w:r>
      <w:hyperlink r:id="rId11" w:history="1">
        <w:r w:rsidRPr="00CE2707">
          <w:rPr>
            <w:rStyle w:val="Hyperlink"/>
            <w:rFonts w:ascii="Open Sans" w:hAnsi="Open Sans" w:cs="Open Sans"/>
            <w:sz w:val="20"/>
            <w:szCs w:val="20"/>
            <w:shd w:val="clear" w:color="auto" w:fill="FFFFFF"/>
          </w:rPr>
          <w:t>https://doi.org/10.1371/journal.pone.0247223</w:t>
        </w:r>
      </w:hyperlink>
    </w:p>
    <w:p w14:paraId="36F06756" w14:textId="42DCA782" w:rsidR="00F165A0" w:rsidRDefault="00F165A0" w:rsidP="00F165A0">
      <w:pPr>
        <w:ind w:firstLine="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Doruyter</w:t>
      </w:r>
      <w:proofErr w:type="spellEnd"/>
      <w:r>
        <w:rPr>
          <w:rFonts w:ascii="Open Sans" w:hAnsi="Open Sans" w:cs="Open Sans"/>
          <w:color w:val="000000"/>
          <w:sz w:val="20"/>
          <w:szCs w:val="20"/>
          <w:shd w:val="clear" w:color="auto" w:fill="FFFFFF"/>
        </w:rPr>
        <w:t xml:space="preserve">, A., </w:t>
      </w:r>
      <w:proofErr w:type="spellStart"/>
      <w:r>
        <w:rPr>
          <w:rFonts w:ascii="Open Sans" w:hAnsi="Open Sans" w:cs="Open Sans"/>
          <w:color w:val="000000"/>
          <w:sz w:val="20"/>
          <w:szCs w:val="20"/>
          <w:shd w:val="clear" w:color="auto" w:fill="FFFFFF"/>
        </w:rPr>
        <w:t>Groenewold</w:t>
      </w:r>
      <w:proofErr w:type="spellEnd"/>
      <w:r>
        <w:rPr>
          <w:rFonts w:ascii="Open Sans" w:hAnsi="Open Sans" w:cs="Open Sans"/>
          <w:color w:val="000000"/>
          <w:sz w:val="20"/>
          <w:szCs w:val="20"/>
          <w:shd w:val="clear" w:color="auto" w:fill="FFFFFF"/>
        </w:rPr>
        <w:t>, N., Dupont, P., Stein, D., &amp; Warwick, J. (2017). Resting-state fMRI and social cognition: An opportunity to connect. </w:t>
      </w:r>
      <w:r>
        <w:rPr>
          <w:rFonts w:ascii="Open Sans" w:hAnsi="Open Sans" w:cs="Open Sans"/>
          <w:i/>
          <w:iCs/>
          <w:color w:val="000000"/>
          <w:sz w:val="20"/>
          <w:szCs w:val="20"/>
          <w:shd w:val="clear" w:color="auto" w:fill="FFFFFF"/>
        </w:rPr>
        <w:t>Human Psychopharmacology: Clinical And Experimental</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32</w:t>
      </w:r>
      <w:r>
        <w:rPr>
          <w:rFonts w:ascii="Open Sans" w:hAnsi="Open Sans" w:cs="Open Sans"/>
          <w:color w:val="000000"/>
          <w:sz w:val="20"/>
          <w:szCs w:val="20"/>
          <w:shd w:val="clear" w:color="auto" w:fill="FFFFFF"/>
        </w:rPr>
        <w:t xml:space="preserve">(5), e2627. </w:t>
      </w:r>
      <w:hyperlink r:id="rId12" w:history="1">
        <w:r w:rsidRPr="00CE2707">
          <w:rPr>
            <w:rStyle w:val="Hyperlink"/>
            <w:rFonts w:ascii="Open Sans" w:hAnsi="Open Sans" w:cs="Open Sans"/>
            <w:sz w:val="20"/>
            <w:szCs w:val="20"/>
            <w:shd w:val="clear" w:color="auto" w:fill="FFFFFF"/>
          </w:rPr>
          <w:t>https://doi.org/10.1002/hup.2627</w:t>
        </w:r>
      </w:hyperlink>
    </w:p>
    <w:p w14:paraId="30303910" w14:textId="092853D5" w:rsidR="00F165A0" w:rsidRDefault="00F165A0" w:rsidP="00F165A0">
      <w:pPr>
        <w:ind w:firstLine="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Iacoboni</w:t>
      </w:r>
      <w:proofErr w:type="spellEnd"/>
      <w:r>
        <w:rPr>
          <w:rFonts w:ascii="Open Sans" w:hAnsi="Open Sans" w:cs="Open Sans"/>
          <w:color w:val="000000"/>
          <w:sz w:val="20"/>
          <w:szCs w:val="20"/>
          <w:shd w:val="clear" w:color="auto" w:fill="FFFFFF"/>
        </w:rPr>
        <w:t>, M., Lieberman, M., Knowlton, B., Molnar-</w:t>
      </w:r>
      <w:proofErr w:type="spellStart"/>
      <w:r>
        <w:rPr>
          <w:rFonts w:ascii="Open Sans" w:hAnsi="Open Sans" w:cs="Open Sans"/>
          <w:color w:val="000000"/>
          <w:sz w:val="20"/>
          <w:szCs w:val="20"/>
          <w:shd w:val="clear" w:color="auto" w:fill="FFFFFF"/>
        </w:rPr>
        <w:t>Szakacs</w:t>
      </w:r>
      <w:proofErr w:type="spellEnd"/>
      <w:r>
        <w:rPr>
          <w:rFonts w:ascii="Open Sans" w:hAnsi="Open Sans" w:cs="Open Sans"/>
          <w:color w:val="000000"/>
          <w:sz w:val="20"/>
          <w:szCs w:val="20"/>
          <w:shd w:val="clear" w:color="auto" w:fill="FFFFFF"/>
        </w:rPr>
        <w:t>, I., Moritz, M., Throop, C., &amp; Fiske, A. (2004). Watching social interactions produces dorsomedial prefrontal and medial parietal BOLD fMRI signal increases compared to a resting baseline. </w:t>
      </w:r>
      <w:r>
        <w:rPr>
          <w:rFonts w:ascii="Open Sans" w:hAnsi="Open Sans" w:cs="Open Sans"/>
          <w:i/>
          <w:iCs/>
          <w:color w:val="000000"/>
          <w:sz w:val="20"/>
          <w:szCs w:val="20"/>
          <w:shd w:val="clear" w:color="auto" w:fill="FFFFFF"/>
        </w:rPr>
        <w:t>Neuroimage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21</w:t>
      </w:r>
      <w:r>
        <w:rPr>
          <w:rFonts w:ascii="Open Sans" w:hAnsi="Open Sans" w:cs="Open Sans"/>
          <w:color w:val="000000"/>
          <w:sz w:val="20"/>
          <w:szCs w:val="20"/>
          <w:shd w:val="clear" w:color="auto" w:fill="FFFFFF"/>
        </w:rPr>
        <w:t xml:space="preserve">(3), 1167-1173. </w:t>
      </w:r>
      <w:hyperlink r:id="rId13" w:history="1">
        <w:r w:rsidRPr="00CE2707">
          <w:rPr>
            <w:rStyle w:val="Hyperlink"/>
            <w:rFonts w:ascii="Open Sans" w:hAnsi="Open Sans" w:cs="Open Sans"/>
            <w:sz w:val="20"/>
            <w:szCs w:val="20"/>
            <w:shd w:val="clear" w:color="auto" w:fill="FFFFFF"/>
          </w:rPr>
          <w:t>https://doi.org/10.1016/j.neuroimage.2003.11.013</w:t>
        </w:r>
      </w:hyperlink>
    </w:p>
    <w:p w14:paraId="611AA26C" w14:textId="5E0762EF" w:rsidR="00F165A0" w:rsidRDefault="00F165A0" w:rsidP="00F165A0">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Tung, M. (2022). </w:t>
      </w:r>
      <w:r>
        <w:rPr>
          <w:rFonts w:ascii="Open Sans" w:hAnsi="Open Sans" w:cs="Open Sans"/>
          <w:i/>
          <w:iCs/>
          <w:color w:val="000000"/>
          <w:sz w:val="20"/>
          <w:szCs w:val="20"/>
          <w:shd w:val="clear" w:color="auto" w:fill="FFFFFF"/>
        </w:rPr>
        <w:t>What is an fMRI scan and how does it work?</w:t>
      </w:r>
      <w:r>
        <w:rPr>
          <w:rFonts w:ascii="Open Sans" w:hAnsi="Open Sans" w:cs="Open Sans"/>
          <w:color w:val="000000"/>
          <w:sz w:val="20"/>
          <w:szCs w:val="20"/>
          <w:shd w:val="clear" w:color="auto" w:fill="FFFFFF"/>
        </w:rPr>
        <w:t xml:space="preserve">. Jameco.com. Retrieved 4 May 2022, from </w:t>
      </w:r>
      <w:hyperlink r:id="rId14" w:history="1">
        <w:r w:rsidRPr="00CE2707">
          <w:rPr>
            <w:rStyle w:val="Hyperlink"/>
            <w:rFonts w:ascii="Open Sans" w:hAnsi="Open Sans" w:cs="Open Sans"/>
            <w:sz w:val="20"/>
            <w:szCs w:val="20"/>
            <w:shd w:val="clear" w:color="auto" w:fill="FFFFFF"/>
          </w:rPr>
          <w:t>https://www.jameco.com/Jameco/workshop/HowItWorks/what-is-an-fmri-scan-and-how-does-it-work.html</w:t>
        </w:r>
      </w:hyperlink>
      <w:r>
        <w:rPr>
          <w:rFonts w:ascii="Open Sans" w:hAnsi="Open Sans" w:cs="Open Sans"/>
          <w:color w:val="000000"/>
          <w:sz w:val="20"/>
          <w:szCs w:val="20"/>
          <w:shd w:val="clear" w:color="auto" w:fill="FFFFFF"/>
        </w:rPr>
        <w:t>.</w:t>
      </w:r>
    </w:p>
    <w:p w14:paraId="60E583ED" w14:textId="15D601CD" w:rsidR="00F165A0" w:rsidRPr="000322C6" w:rsidRDefault="00F165A0" w:rsidP="00F165A0">
      <w:pPr>
        <w:ind w:firstLine="720"/>
        <w:rPr>
          <w:bCs/>
        </w:rPr>
      </w:pPr>
      <w:r>
        <w:rPr>
          <w:rFonts w:ascii="Open Sans" w:hAnsi="Open Sans" w:cs="Open Sans"/>
          <w:color w:val="000000"/>
          <w:sz w:val="20"/>
          <w:szCs w:val="20"/>
          <w:shd w:val="clear" w:color="auto" w:fill="FFFFFF"/>
        </w:rPr>
        <w:t>Watson, S. (2022). </w:t>
      </w:r>
      <w:r>
        <w:rPr>
          <w:rFonts w:ascii="Open Sans" w:hAnsi="Open Sans" w:cs="Open Sans"/>
          <w:i/>
          <w:iCs/>
          <w:color w:val="000000"/>
          <w:sz w:val="20"/>
          <w:szCs w:val="20"/>
          <w:shd w:val="clear" w:color="auto" w:fill="FFFFFF"/>
        </w:rPr>
        <w:t>How fMRI Works</w:t>
      </w:r>
      <w:r>
        <w:rPr>
          <w:rFonts w:ascii="Open Sans" w:hAnsi="Open Sans" w:cs="Open Sans"/>
          <w:color w:val="000000"/>
          <w:sz w:val="20"/>
          <w:szCs w:val="20"/>
          <w:shd w:val="clear" w:color="auto" w:fill="FFFFFF"/>
        </w:rPr>
        <w:t xml:space="preserve">. HowStuffWorks. Retrieved 4 May 2022, from </w:t>
      </w:r>
      <w:hyperlink r:id="rId15" w:history="1">
        <w:r w:rsidRPr="00CE2707">
          <w:rPr>
            <w:rStyle w:val="Hyperlink"/>
            <w:rFonts w:ascii="Open Sans" w:hAnsi="Open Sans" w:cs="Open Sans"/>
            <w:sz w:val="20"/>
            <w:szCs w:val="20"/>
            <w:shd w:val="clear" w:color="auto" w:fill="FFFFFF"/>
          </w:rPr>
          <w:t>https://science.howstuffworks.com/fmri4.htm#:~:text=Yet%20fMRI%20also%20has%20its,completely%20understand%20how%20it%20works</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sectPr w:rsidR="00F165A0" w:rsidRPr="000322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12C8E"/>
    <w:multiLevelType w:val="hybridMultilevel"/>
    <w:tmpl w:val="4E2C72D6"/>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03484455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43748875">
    <w:abstractNumId w:val="1"/>
  </w:num>
  <w:num w:numId="3" w16cid:durableId="2055277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6B1"/>
    <w:rsid w:val="00004527"/>
    <w:rsid w:val="000322C6"/>
    <w:rsid w:val="00051362"/>
    <w:rsid w:val="000C7604"/>
    <w:rsid w:val="000E427C"/>
    <w:rsid w:val="001659C4"/>
    <w:rsid w:val="00167AC1"/>
    <w:rsid w:val="001E4B31"/>
    <w:rsid w:val="001F657C"/>
    <w:rsid w:val="00206A21"/>
    <w:rsid w:val="00273C5E"/>
    <w:rsid w:val="002E5B02"/>
    <w:rsid w:val="002E62FD"/>
    <w:rsid w:val="00346162"/>
    <w:rsid w:val="0034631C"/>
    <w:rsid w:val="003476B1"/>
    <w:rsid w:val="00371A2A"/>
    <w:rsid w:val="00395828"/>
    <w:rsid w:val="004100E3"/>
    <w:rsid w:val="004164EB"/>
    <w:rsid w:val="004550B0"/>
    <w:rsid w:val="00464EE4"/>
    <w:rsid w:val="00511C8F"/>
    <w:rsid w:val="0052345D"/>
    <w:rsid w:val="00583E2F"/>
    <w:rsid w:val="00587280"/>
    <w:rsid w:val="00597EDD"/>
    <w:rsid w:val="005E2B7E"/>
    <w:rsid w:val="0061676E"/>
    <w:rsid w:val="00623615"/>
    <w:rsid w:val="0066609D"/>
    <w:rsid w:val="00677188"/>
    <w:rsid w:val="006A6E8E"/>
    <w:rsid w:val="006B3FF2"/>
    <w:rsid w:val="006B544B"/>
    <w:rsid w:val="006E49A2"/>
    <w:rsid w:val="00703888"/>
    <w:rsid w:val="00730DB7"/>
    <w:rsid w:val="007E39C9"/>
    <w:rsid w:val="00807F30"/>
    <w:rsid w:val="00853529"/>
    <w:rsid w:val="00861E42"/>
    <w:rsid w:val="008909CF"/>
    <w:rsid w:val="008A1AB9"/>
    <w:rsid w:val="008A57C8"/>
    <w:rsid w:val="008D1F00"/>
    <w:rsid w:val="009879AA"/>
    <w:rsid w:val="009E3771"/>
    <w:rsid w:val="00A03CD6"/>
    <w:rsid w:val="00A56F92"/>
    <w:rsid w:val="00A61653"/>
    <w:rsid w:val="00A70312"/>
    <w:rsid w:val="00AA501D"/>
    <w:rsid w:val="00AE33C9"/>
    <w:rsid w:val="00B11881"/>
    <w:rsid w:val="00B27A55"/>
    <w:rsid w:val="00B64D0A"/>
    <w:rsid w:val="00B7420C"/>
    <w:rsid w:val="00BC32BB"/>
    <w:rsid w:val="00BC57DB"/>
    <w:rsid w:val="00BD5892"/>
    <w:rsid w:val="00BF72A9"/>
    <w:rsid w:val="00C236D2"/>
    <w:rsid w:val="00C32AD7"/>
    <w:rsid w:val="00CB5B6D"/>
    <w:rsid w:val="00CB6AFB"/>
    <w:rsid w:val="00CC3A1C"/>
    <w:rsid w:val="00D16C36"/>
    <w:rsid w:val="00D47078"/>
    <w:rsid w:val="00D54774"/>
    <w:rsid w:val="00D93531"/>
    <w:rsid w:val="00E1049F"/>
    <w:rsid w:val="00E10D52"/>
    <w:rsid w:val="00E2196F"/>
    <w:rsid w:val="00E845A0"/>
    <w:rsid w:val="00F165A0"/>
    <w:rsid w:val="00F26CA8"/>
    <w:rsid w:val="00F61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1F4DF"/>
  <w15:chartTrackingRefBased/>
  <w15:docId w15:val="{0EA6D425-B4D6-4075-BA9B-B84DF0765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3531"/>
    <w:rPr>
      <w:color w:val="0563C1" w:themeColor="hyperlink"/>
      <w:u w:val="single"/>
    </w:rPr>
  </w:style>
  <w:style w:type="character" w:styleId="UnresolvedMention">
    <w:name w:val="Unresolved Mention"/>
    <w:basedOn w:val="DefaultParagraphFont"/>
    <w:uiPriority w:val="99"/>
    <w:semiHidden/>
    <w:unhideWhenUsed/>
    <w:rsid w:val="00D935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04175">
      <w:bodyDiv w:val="1"/>
      <w:marLeft w:val="0"/>
      <w:marRight w:val="0"/>
      <w:marTop w:val="0"/>
      <w:marBottom w:val="0"/>
      <w:divBdr>
        <w:top w:val="none" w:sz="0" w:space="0" w:color="auto"/>
        <w:left w:val="none" w:sz="0" w:space="0" w:color="auto"/>
        <w:bottom w:val="none" w:sz="0" w:space="0" w:color="auto"/>
        <w:right w:val="none" w:sz="0" w:space="0" w:color="auto"/>
      </w:divBdr>
    </w:div>
    <w:div w:id="226187767">
      <w:bodyDiv w:val="1"/>
      <w:marLeft w:val="0"/>
      <w:marRight w:val="0"/>
      <w:marTop w:val="0"/>
      <w:marBottom w:val="0"/>
      <w:divBdr>
        <w:top w:val="none" w:sz="0" w:space="0" w:color="auto"/>
        <w:left w:val="none" w:sz="0" w:space="0" w:color="auto"/>
        <w:bottom w:val="none" w:sz="0" w:space="0" w:color="auto"/>
        <w:right w:val="none" w:sz="0" w:space="0" w:color="auto"/>
      </w:divBdr>
    </w:div>
    <w:div w:id="231281519">
      <w:bodyDiv w:val="1"/>
      <w:marLeft w:val="0"/>
      <w:marRight w:val="0"/>
      <w:marTop w:val="0"/>
      <w:marBottom w:val="0"/>
      <w:divBdr>
        <w:top w:val="none" w:sz="0" w:space="0" w:color="auto"/>
        <w:left w:val="none" w:sz="0" w:space="0" w:color="auto"/>
        <w:bottom w:val="none" w:sz="0" w:space="0" w:color="auto"/>
        <w:right w:val="none" w:sz="0" w:space="0" w:color="auto"/>
      </w:divBdr>
    </w:div>
    <w:div w:id="549271777">
      <w:bodyDiv w:val="1"/>
      <w:marLeft w:val="0"/>
      <w:marRight w:val="0"/>
      <w:marTop w:val="0"/>
      <w:marBottom w:val="0"/>
      <w:divBdr>
        <w:top w:val="none" w:sz="0" w:space="0" w:color="auto"/>
        <w:left w:val="none" w:sz="0" w:space="0" w:color="auto"/>
        <w:bottom w:val="none" w:sz="0" w:space="0" w:color="auto"/>
        <w:right w:val="none" w:sz="0" w:space="0" w:color="auto"/>
      </w:divBdr>
    </w:div>
    <w:div w:id="967858974">
      <w:bodyDiv w:val="1"/>
      <w:marLeft w:val="0"/>
      <w:marRight w:val="0"/>
      <w:marTop w:val="0"/>
      <w:marBottom w:val="0"/>
      <w:divBdr>
        <w:top w:val="none" w:sz="0" w:space="0" w:color="auto"/>
        <w:left w:val="none" w:sz="0" w:space="0" w:color="auto"/>
        <w:bottom w:val="none" w:sz="0" w:space="0" w:color="auto"/>
        <w:right w:val="none" w:sz="0" w:space="0" w:color="auto"/>
      </w:divBdr>
    </w:div>
    <w:div w:id="112010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image.2012.03.040" TargetMode="External"/><Relationship Id="rId13" Type="http://schemas.openxmlformats.org/officeDocument/2006/relationships/hyperlink" Target="https://doi.org/10.1016/j.neuroimage.2003.11.013" TargetMode="External"/><Relationship Id="rId3" Type="http://schemas.openxmlformats.org/officeDocument/2006/relationships/settings" Target="settings.xml"/><Relationship Id="rId7" Type="http://schemas.openxmlformats.org/officeDocument/2006/relationships/hyperlink" Target="https://doi.org/10.1016/j.nicl.2015.02.019" TargetMode="External"/><Relationship Id="rId12" Type="http://schemas.openxmlformats.org/officeDocument/2006/relationships/hyperlink" Target="https://doi.org/10.1002/hup.262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apa.org/late-selection-theory" TargetMode="External"/><Relationship Id="rId11" Type="http://schemas.openxmlformats.org/officeDocument/2006/relationships/hyperlink" Target="https://doi.org/10.1371/journal.pone.0247223" TargetMode="External"/><Relationship Id="rId5" Type="http://schemas.openxmlformats.org/officeDocument/2006/relationships/hyperlink" Target="https://dictionary.apa.org/early-selection-theory" TargetMode="External"/><Relationship Id="rId15" Type="http://schemas.openxmlformats.org/officeDocument/2006/relationships/hyperlink" Target="https://science.howstuffworks.com/fmri4.htm#:~:text=Yet%20fMRI%20also%20has%20its,completely%20understand%20how%20it%20works" TargetMode="External"/><Relationship Id="rId10" Type="http://schemas.openxmlformats.org/officeDocument/2006/relationships/hyperlink" Target="https://doi.org/10.1016/j.neuroimage.2020.117365" TargetMode="External"/><Relationship Id="rId4" Type="http://schemas.openxmlformats.org/officeDocument/2006/relationships/webSettings" Target="webSettings.xml"/><Relationship Id="rId9" Type="http://schemas.openxmlformats.org/officeDocument/2006/relationships/hyperlink" Target="https://doi.org/10.1037/h0026699" TargetMode="External"/><Relationship Id="rId14" Type="http://schemas.openxmlformats.org/officeDocument/2006/relationships/hyperlink" Target="https://www.jameco.com/Jameco/workshop/HowItWorks/what-is-an-fmri-scan-and-how-does-it-wor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1334</TotalTime>
  <Pages>6</Pages>
  <Words>2783</Words>
  <Characters>15865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Mosey</dc:creator>
  <cp:keywords/>
  <dc:description/>
  <cp:lastModifiedBy>Bronwyn Mosey</cp:lastModifiedBy>
  <cp:revision>21</cp:revision>
  <dcterms:created xsi:type="dcterms:W3CDTF">2022-05-02T11:29:00Z</dcterms:created>
  <dcterms:modified xsi:type="dcterms:W3CDTF">2022-05-04T16:03:00Z</dcterms:modified>
</cp:coreProperties>
</file>