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9F754" w14:textId="324BA1C6" w:rsidR="00DB1F31" w:rsidRDefault="00DB1F31" w:rsidP="00BA14A1"/>
    <w:p w14:paraId="501324A2" w14:textId="77777777" w:rsidR="00504674" w:rsidRPr="003B2207" w:rsidRDefault="00504674" w:rsidP="00BA14A1">
      <w:pPr>
        <w:rPr>
          <w:rFonts w:ascii="Arial" w:hAnsi="Arial" w:cs="Arial"/>
        </w:rPr>
      </w:pPr>
    </w:p>
    <w:p w14:paraId="11EEF234" w14:textId="0008DF52" w:rsidR="00372B65" w:rsidRPr="003B2207" w:rsidRDefault="008B5E6F" w:rsidP="00926BD2">
      <w:pPr>
        <w:pStyle w:val="Title"/>
        <w:rPr>
          <w:rFonts w:ascii="Arial" w:hAnsi="Arial" w:cs="Arial"/>
        </w:rPr>
      </w:pPr>
      <w:r w:rsidRPr="003B2207">
        <w:rPr>
          <w:rFonts w:ascii="Arial" w:hAnsi="Arial" w:cs="Arial"/>
        </w:rPr>
        <w:t>Data Handling and Business Intelligence</w:t>
      </w:r>
    </w:p>
    <w:p w14:paraId="4F0A44A5" w14:textId="0188AF17" w:rsidR="00112CB1" w:rsidRPr="003B2207" w:rsidRDefault="003B2207" w:rsidP="003B2207">
      <w:pPr>
        <w:jc w:val="center"/>
        <w:rPr>
          <w:rFonts w:ascii="Arial" w:hAnsi="Arial" w:cs="Arial"/>
        </w:rPr>
      </w:pPr>
      <w:r w:rsidRPr="003B2207">
        <w:rPr>
          <w:rFonts w:ascii="Arial" w:hAnsi="Arial" w:cs="Arial"/>
        </w:rPr>
        <w:t>Student name: Daniela Nadia Stochita</w:t>
      </w:r>
    </w:p>
    <w:p w14:paraId="05CD00E2" w14:textId="1A69217B" w:rsidR="003B2207" w:rsidRPr="003B2207" w:rsidRDefault="003B2207" w:rsidP="003B2207">
      <w:pPr>
        <w:jc w:val="center"/>
        <w:rPr>
          <w:rFonts w:ascii="Arial" w:hAnsi="Arial" w:cs="Arial"/>
        </w:rPr>
      </w:pPr>
      <w:r w:rsidRPr="003B2207">
        <w:rPr>
          <w:rFonts w:ascii="Arial" w:hAnsi="Arial" w:cs="Arial"/>
        </w:rPr>
        <w:t>Student number: 2113969</w:t>
      </w:r>
    </w:p>
    <w:p w14:paraId="0F27E49E" w14:textId="2C74F212" w:rsidR="003B2207" w:rsidRPr="003B2207" w:rsidRDefault="003B2207" w:rsidP="003B2207">
      <w:pPr>
        <w:jc w:val="center"/>
        <w:rPr>
          <w:rFonts w:ascii="Arial" w:hAnsi="Arial" w:cs="Arial"/>
        </w:rPr>
      </w:pPr>
      <w:r w:rsidRPr="003B2207">
        <w:rPr>
          <w:rFonts w:ascii="Arial" w:hAnsi="Arial" w:cs="Arial"/>
        </w:rPr>
        <w:t>Module code: LCBB5000</w:t>
      </w:r>
    </w:p>
    <w:p w14:paraId="0C51FB9E" w14:textId="77777777" w:rsidR="00372B65" w:rsidRDefault="00372B65">
      <w:pPr>
        <w:spacing w:before="0" w:after="160" w:line="259" w:lineRule="auto"/>
        <w:jc w:val="left"/>
      </w:pPr>
      <w:r>
        <w:br w:type="page"/>
      </w:r>
    </w:p>
    <w:sdt>
      <w:sdtPr>
        <w:rPr>
          <w:rFonts w:ascii="Times New Roman" w:eastAsiaTheme="minorHAnsi" w:hAnsi="Times New Roman" w:cs="Times New Roman"/>
          <w:color w:val="auto"/>
          <w:sz w:val="24"/>
          <w:szCs w:val="22"/>
        </w:rPr>
        <w:id w:val="-1631775594"/>
        <w:docPartObj>
          <w:docPartGallery w:val="Table of Contents"/>
          <w:docPartUnique/>
        </w:docPartObj>
      </w:sdtPr>
      <w:sdtEndPr>
        <w:rPr>
          <w:b/>
          <w:bCs/>
          <w:noProof/>
        </w:rPr>
      </w:sdtEndPr>
      <w:sdtContent>
        <w:p w14:paraId="37A7F613" w14:textId="27A3BB8E" w:rsidR="00926BD2" w:rsidRPr="003B2207" w:rsidRDefault="00926BD2">
          <w:pPr>
            <w:pStyle w:val="TOCHeading"/>
            <w:rPr>
              <w:rFonts w:ascii="Arial" w:hAnsi="Arial" w:cs="Arial"/>
            </w:rPr>
          </w:pPr>
          <w:r w:rsidRPr="003B2207">
            <w:rPr>
              <w:rFonts w:ascii="Arial" w:hAnsi="Arial" w:cs="Arial"/>
            </w:rPr>
            <w:t>Table of Contents</w:t>
          </w:r>
        </w:p>
        <w:p w14:paraId="619690C2" w14:textId="0660558C" w:rsidR="00B90AD2" w:rsidRPr="003B2207" w:rsidRDefault="00D70B22">
          <w:pPr>
            <w:pStyle w:val="TOC1"/>
            <w:tabs>
              <w:tab w:val="right" w:leader="dot" w:pos="9016"/>
            </w:tabs>
            <w:rPr>
              <w:rFonts w:ascii="Arial" w:eastAsiaTheme="minorEastAsia" w:hAnsi="Arial" w:cs="Arial"/>
              <w:b w:val="0"/>
              <w:bCs w:val="0"/>
              <w:caps w:val="0"/>
              <w:noProof/>
              <w:kern w:val="2"/>
              <w:sz w:val="22"/>
              <w:szCs w:val="22"/>
              <w14:ligatures w14:val="standardContextual"/>
            </w:rPr>
          </w:pPr>
          <w:r w:rsidRPr="003B2207">
            <w:rPr>
              <w:rFonts w:ascii="Arial" w:hAnsi="Arial" w:cs="Arial"/>
              <w:b w:val="0"/>
              <w:bCs w:val="0"/>
              <w:caps w:val="0"/>
              <w:szCs w:val="24"/>
            </w:rPr>
            <w:fldChar w:fldCharType="begin"/>
          </w:r>
          <w:r w:rsidRPr="003B2207">
            <w:rPr>
              <w:rFonts w:ascii="Arial" w:hAnsi="Arial" w:cs="Arial"/>
              <w:b w:val="0"/>
              <w:bCs w:val="0"/>
              <w:caps w:val="0"/>
              <w:szCs w:val="24"/>
            </w:rPr>
            <w:instrText xml:space="preserve"> TOC \o "1-3" \h \z \u </w:instrText>
          </w:r>
          <w:r w:rsidRPr="003B2207">
            <w:rPr>
              <w:rFonts w:ascii="Arial" w:hAnsi="Arial" w:cs="Arial"/>
              <w:b w:val="0"/>
              <w:bCs w:val="0"/>
              <w:caps w:val="0"/>
              <w:szCs w:val="24"/>
            </w:rPr>
            <w:fldChar w:fldCharType="separate"/>
          </w:r>
          <w:hyperlink w:anchor="_Toc139674764" w:history="1">
            <w:r w:rsidR="00B90AD2" w:rsidRPr="003B2207">
              <w:rPr>
                <w:rStyle w:val="Hyperlink"/>
                <w:rFonts w:ascii="Arial" w:hAnsi="Arial" w:cs="Arial"/>
                <w:noProof/>
              </w:rPr>
              <w:t>Introduction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_Toc139674764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3</w:t>
            </w:r>
            <w:r w:rsidR="00B90AD2" w:rsidRPr="003B2207">
              <w:rPr>
                <w:rFonts w:ascii="Arial" w:hAnsi="Arial" w:cs="Arial"/>
                <w:noProof/>
                <w:webHidden/>
              </w:rPr>
              <w:fldChar w:fldCharType="end"/>
            </w:r>
          </w:hyperlink>
        </w:p>
        <w:p w14:paraId="683C4EBF" w14:textId="1140A491" w:rsidR="00B90AD2" w:rsidRPr="003B2207" w:rsidRDefault="00000000">
          <w:pPr>
            <w:pStyle w:val="TOC1"/>
            <w:tabs>
              <w:tab w:val="right" w:leader="dot" w:pos="9016"/>
            </w:tabs>
            <w:rPr>
              <w:rFonts w:ascii="Arial" w:eastAsiaTheme="minorEastAsia" w:hAnsi="Arial" w:cs="Arial"/>
              <w:b w:val="0"/>
              <w:bCs w:val="0"/>
              <w:caps w:val="0"/>
              <w:noProof/>
              <w:kern w:val="2"/>
              <w:sz w:val="22"/>
              <w:szCs w:val="22"/>
              <w14:ligatures w14:val="standardContextual"/>
            </w:rPr>
          </w:pPr>
          <w:hyperlink w:anchor="_Toc139674765" w:history="1">
            <w:r w:rsidR="00B90AD2" w:rsidRPr="003B2207">
              <w:rPr>
                <w:rStyle w:val="Hyperlink"/>
                <w:rFonts w:ascii="Arial" w:hAnsi="Arial" w:cs="Arial"/>
                <w:noProof/>
              </w:rPr>
              <w:t>Part 1</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_Toc139674765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4</w:t>
            </w:r>
            <w:r w:rsidR="00B90AD2" w:rsidRPr="003B2207">
              <w:rPr>
                <w:rFonts w:ascii="Arial" w:hAnsi="Arial" w:cs="Arial"/>
                <w:noProof/>
                <w:webHidden/>
              </w:rPr>
              <w:fldChar w:fldCharType="end"/>
            </w:r>
          </w:hyperlink>
        </w:p>
        <w:p w14:paraId="6CA5E148" w14:textId="32C6C776"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66" w:history="1">
            <w:r w:rsidR="00B90AD2" w:rsidRPr="003B2207">
              <w:rPr>
                <w:rStyle w:val="Hyperlink"/>
                <w:rFonts w:ascii="Arial" w:hAnsi="Arial" w:cs="Arial"/>
                <w:noProof/>
              </w:rPr>
              <w:t>1. a. Analysis of the Dataset</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_Toc139674766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4</w:t>
            </w:r>
            <w:r w:rsidR="00B90AD2" w:rsidRPr="003B2207">
              <w:rPr>
                <w:rFonts w:ascii="Arial" w:hAnsi="Arial" w:cs="Arial"/>
                <w:noProof/>
                <w:webHidden/>
              </w:rPr>
              <w:fldChar w:fldCharType="end"/>
            </w:r>
          </w:hyperlink>
        </w:p>
        <w:p w14:paraId="32C07693" w14:textId="3B592BA8"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67" w:history="1">
            <w:r w:rsidR="00B90AD2" w:rsidRPr="003B2207">
              <w:rPr>
                <w:rStyle w:val="Hyperlink"/>
                <w:rFonts w:ascii="Arial" w:hAnsi="Arial" w:cs="Arial"/>
                <w:noProof/>
              </w:rPr>
              <w:t>1. Mean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_Toc139674767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4</w:t>
            </w:r>
            <w:r w:rsidR="00B90AD2" w:rsidRPr="003B2207">
              <w:rPr>
                <w:rFonts w:ascii="Arial" w:hAnsi="Arial" w:cs="Arial"/>
                <w:noProof/>
                <w:webHidden/>
              </w:rPr>
              <w:fldChar w:fldCharType="end"/>
            </w:r>
          </w:hyperlink>
        </w:p>
        <w:p w14:paraId="1C91C324" w14:textId="5EC6EE47"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68" w:history="1">
            <w:r w:rsidR="00B90AD2" w:rsidRPr="003B2207">
              <w:rPr>
                <w:rStyle w:val="Hyperlink"/>
                <w:rFonts w:ascii="Arial" w:hAnsi="Arial" w:cs="Arial"/>
                <w:noProof/>
              </w:rPr>
              <w:t>2. Median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_Toc139674768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4</w:t>
            </w:r>
            <w:r w:rsidR="00B90AD2" w:rsidRPr="003B2207">
              <w:rPr>
                <w:rFonts w:ascii="Arial" w:hAnsi="Arial" w:cs="Arial"/>
                <w:noProof/>
                <w:webHidden/>
              </w:rPr>
              <w:fldChar w:fldCharType="end"/>
            </w:r>
          </w:hyperlink>
        </w:p>
        <w:p w14:paraId="1EF7F879" w14:textId="0198DF98"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69" w:history="1">
            <w:r w:rsidR="00B90AD2" w:rsidRPr="003B2207">
              <w:rPr>
                <w:rStyle w:val="Hyperlink"/>
                <w:rFonts w:ascii="Arial" w:hAnsi="Arial" w:cs="Arial"/>
                <w:noProof/>
              </w:rPr>
              <w:t>3. Mode</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_Toc139674769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5</w:t>
            </w:r>
            <w:r w:rsidR="00B90AD2" w:rsidRPr="003B2207">
              <w:rPr>
                <w:rFonts w:ascii="Arial" w:hAnsi="Arial" w:cs="Arial"/>
                <w:noProof/>
                <w:webHidden/>
              </w:rPr>
              <w:fldChar w:fldCharType="end"/>
            </w:r>
          </w:hyperlink>
        </w:p>
        <w:p w14:paraId="2A03FCDF" w14:textId="7338F69E"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70" w:history="1">
            <w:r w:rsidR="00B90AD2" w:rsidRPr="003B2207">
              <w:rPr>
                <w:rStyle w:val="Hyperlink"/>
                <w:rFonts w:ascii="Arial" w:hAnsi="Arial" w:cs="Arial"/>
                <w:noProof/>
              </w:rPr>
              <w:t>4. Standard Deviation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_Toc139674770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5</w:t>
            </w:r>
            <w:r w:rsidR="00B90AD2" w:rsidRPr="003B2207">
              <w:rPr>
                <w:rFonts w:ascii="Arial" w:hAnsi="Arial" w:cs="Arial"/>
                <w:noProof/>
                <w:webHidden/>
              </w:rPr>
              <w:fldChar w:fldCharType="end"/>
            </w:r>
          </w:hyperlink>
        </w:p>
        <w:p w14:paraId="7608B25A" w14:textId="2A4EBD0D"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71" w:history="1">
            <w:r w:rsidR="00B90AD2" w:rsidRPr="003B2207">
              <w:rPr>
                <w:rStyle w:val="Hyperlink"/>
                <w:rFonts w:ascii="Arial" w:hAnsi="Arial" w:cs="Arial"/>
                <w:noProof/>
              </w:rPr>
              <w:t>5. Higher Variance</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_Toc139674771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6</w:t>
            </w:r>
            <w:r w:rsidR="00B90AD2" w:rsidRPr="003B2207">
              <w:rPr>
                <w:rFonts w:ascii="Arial" w:hAnsi="Arial" w:cs="Arial"/>
                <w:noProof/>
                <w:webHidden/>
              </w:rPr>
              <w:fldChar w:fldCharType="end"/>
            </w:r>
          </w:hyperlink>
        </w:p>
        <w:p w14:paraId="46AF2181" w14:textId="09E2F32D"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72" w:history="1">
            <w:r w:rsidR="00B90AD2" w:rsidRPr="003B2207">
              <w:rPr>
                <w:rStyle w:val="Hyperlink"/>
                <w:rFonts w:ascii="Arial" w:hAnsi="Arial" w:cs="Arial"/>
                <w:noProof/>
              </w:rPr>
              <w:t>6. Higher Standard Deviation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_Toc139674772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7</w:t>
            </w:r>
            <w:r w:rsidR="00B90AD2" w:rsidRPr="003B2207">
              <w:rPr>
                <w:rFonts w:ascii="Arial" w:hAnsi="Arial" w:cs="Arial"/>
                <w:noProof/>
                <w:webHidden/>
              </w:rPr>
              <w:fldChar w:fldCharType="end"/>
            </w:r>
          </w:hyperlink>
        </w:p>
        <w:p w14:paraId="47A5209D" w14:textId="09AFC7A4"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73" w:history="1">
            <w:r w:rsidR="00B90AD2" w:rsidRPr="003B2207">
              <w:rPr>
                <w:rStyle w:val="Hyperlink"/>
                <w:rFonts w:ascii="Arial" w:hAnsi="Arial" w:cs="Arial"/>
                <w:noProof/>
              </w:rPr>
              <w:t>7. Interpretations</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_Toc139674773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8</w:t>
            </w:r>
            <w:r w:rsidR="00B90AD2" w:rsidRPr="003B2207">
              <w:rPr>
                <w:rFonts w:ascii="Arial" w:hAnsi="Arial" w:cs="Arial"/>
                <w:noProof/>
                <w:webHidden/>
              </w:rPr>
              <w:fldChar w:fldCharType="end"/>
            </w:r>
          </w:hyperlink>
        </w:p>
        <w:p w14:paraId="24E0FD34" w14:textId="75CF8B2E"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74" w:history="1">
            <w:r w:rsidR="00B90AD2" w:rsidRPr="003B2207">
              <w:rPr>
                <w:rStyle w:val="Hyperlink"/>
                <w:rFonts w:ascii="Arial" w:hAnsi="Arial" w:cs="Arial"/>
                <w:noProof/>
              </w:rPr>
              <w:t>1. b. Using MS Excel to Present Data</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_Toc139674774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9</w:t>
            </w:r>
            <w:r w:rsidR="00B90AD2" w:rsidRPr="003B2207">
              <w:rPr>
                <w:rFonts w:ascii="Arial" w:hAnsi="Arial" w:cs="Arial"/>
                <w:noProof/>
                <w:webHidden/>
              </w:rPr>
              <w:fldChar w:fldCharType="end"/>
            </w:r>
          </w:hyperlink>
        </w:p>
        <w:p w14:paraId="665E8962" w14:textId="2DC1C51D"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75" w:history="1">
            <w:r w:rsidR="00B90AD2" w:rsidRPr="003B2207">
              <w:rPr>
                <w:rStyle w:val="Hyperlink"/>
                <w:rFonts w:ascii="Arial" w:hAnsi="Arial" w:cs="Arial"/>
                <w:noProof/>
              </w:rPr>
              <w:t>1.c. Using SPSS</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_Toc139674775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11</w:t>
            </w:r>
            <w:r w:rsidR="00B90AD2" w:rsidRPr="003B2207">
              <w:rPr>
                <w:rFonts w:ascii="Arial" w:hAnsi="Arial" w:cs="Arial"/>
                <w:noProof/>
                <w:webHidden/>
              </w:rPr>
              <w:fldChar w:fldCharType="end"/>
            </w:r>
          </w:hyperlink>
        </w:p>
        <w:p w14:paraId="53C9581B" w14:textId="4A628FC7"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76" w:history="1">
            <w:r w:rsidR="00B90AD2" w:rsidRPr="003B2207">
              <w:rPr>
                <w:rStyle w:val="Hyperlink"/>
                <w:rFonts w:ascii="Arial" w:hAnsi="Arial" w:cs="Arial"/>
                <w:noProof/>
              </w:rPr>
              <w:t>1. Correlation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_Toc139674776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11</w:t>
            </w:r>
            <w:r w:rsidR="00B90AD2" w:rsidRPr="003B2207">
              <w:rPr>
                <w:rFonts w:ascii="Arial" w:hAnsi="Arial" w:cs="Arial"/>
                <w:noProof/>
                <w:webHidden/>
              </w:rPr>
              <w:fldChar w:fldCharType="end"/>
            </w:r>
          </w:hyperlink>
        </w:p>
        <w:p w14:paraId="6E45E609" w14:textId="4AA05C11"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77" w:history="1">
            <w:r w:rsidR="00B90AD2" w:rsidRPr="003B2207">
              <w:rPr>
                <w:rStyle w:val="Hyperlink"/>
                <w:rFonts w:ascii="Arial" w:hAnsi="Arial" w:cs="Arial"/>
                <w:noProof/>
              </w:rPr>
              <w:t>2. Scatterplot Graph</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_Toc139674777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13</w:t>
            </w:r>
            <w:r w:rsidR="00B90AD2" w:rsidRPr="003B2207">
              <w:rPr>
                <w:rFonts w:ascii="Arial" w:hAnsi="Arial" w:cs="Arial"/>
                <w:noProof/>
                <w:webHidden/>
              </w:rPr>
              <w:fldChar w:fldCharType="end"/>
            </w:r>
          </w:hyperlink>
        </w:p>
        <w:p w14:paraId="0A96EC7F" w14:textId="1169E27A" w:rsidR="00B90AD2" w:rsidRPr="003B2207" w:rsidRDefault="00000000">
          <w:pPr>
            <w:pStyle w:val="TOC1"/>
            <w:tabs>
              <w:tab w:val="right" w:leader="dot" w:pos="9016"/>
            </w:tabs>
            <w:rPr>
              <w:rFonts w:ascii="Arial" w:eastAsiaTheme="minorEastAsia" w:hAnsi="Arial" w:cs="Arial"/>
              <w:b w:val="0"/>
              <w:bCs w:val="0"/>
              <w:caps w:val="0"/>
              <w:noProof/>
              <w:kern w:val="2"/>
              <w:sz w:val="22"/>
              <w:szCs w:val="22"/>
              <w14:ligatures w14:val="standardContextual"/>
            </w:rPr>
          </w:pPr>
          <w:hyperlink w:anchor="_Toc139674778" w:history="1">
            <w:r w:rsidR="00B90AD2" w:rsidRPr="003B2207">
              <w:rPr>
                <w:rStyle w:val="Hyperlink"/>
                <w:rFonts w:ascii="Arial" w:hAnsi="Arial" w:cs="Arial"/>
                <w:noProof/>
              </w:rPr>
              <w:t>Part 2: SPSS and Data Mining</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_Toc139674778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15</w:t>
            </w:r>
            <w:r w:rsidR="00B90AD2" w:rsidRPr="003B2207">
              <w:rPr>
                <w:rFonts w:ascii="Arial" w:hAnsi="Arial" w:cs="Arial"/>
                <w:noProof/>
                <w:webHidden/>
              </w:rPr>
              <w:fldChar w:fldCharType="end"/>
            </w:r>
          </w:hyperlink>
        </w:p>
        <w:p w14:paraId="5AFB761D" w14:textId="2B5ACF47"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79" w:history="1">
            <w:r w:rsidR="00B90AD2" w:rsidRPr="003B2207">
              <w:rPr>
                <w:rStyle w:val="Hyperlink"/>
                <w:rFonts w:ascii="Arial" w:hAnsi="Arial" w:cs="Arial"/>
                <w:noProof/>
              </w:rPr>
              <w:t>2.a. Advantage and Disadvantage of SPSS, Excel or Tableau</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_Toc139674779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15</w:t>
            </w:r>
            <w:r w:rsidR="00B90AD2" w:rsidRPr="003B2207">
              <w:rPr>
                <w:rFonts w:ascii="Arial" w:hAnsi="Arial" w:cs="Arial"/>
                <w:noProof/>
                <w:webHidden/>
              </w:rPr>
              <w:fldChar w:fldCharType="end"/>
            </w:r>
          </w:hyperlink>
        </w:p>
        <w:p w14:paraId="7BEF164A" w14:textId="3E9B0F1D" w:rsidR="00B90AD2" w:rsidRPr="003B2207" w:rsidRDefault="00000000">
          <w:pPr>
            <w:pStyle w:val="TOC3"/>
            <w:tabs>
              <w:tab w:val="right" w:leader="dot" w:pos="9016"/>
            </w:tabs>
            <w:rPr>
              <w:rFonts w:ascii="Arial" w:eastAsiaTheme="minorEastAsia" w:hAnsi="Arial" w:cs="Arial"/>
              <w:i w:val="0"/>
              <w:iCs w:val="0"/>
              <w:noProof/>
              <w:kern w:val="2"/>
              <w:sz w:val="22"/>
              <w:szCs w:val="22"/>
              <w14:ligatures w14:val="standardContextual"/>
            </w:rPr>
          </w:pPr>
          <w:hyperlink w:anchor="_Toc139674780" w:history="1">
            <w:r w:rsidR="00B90AD2" w:rsidRPr="003B2207">
              <w:rPr>
                <w:rStyle w:val="Hyperlink"/>
                <w:rFonts w:ascii="Arial" w:hAnsi="Arial" w:cs="Arial"/>
                <w:noProof/>
              </w:rPr>
              <w:t>Advantage and Disadvantage of SPSS</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_Toc139674780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15</w:t>
            </w:r>
            <w:r w:rsidR="00B90AD2" w:rsidRPr="003B2207">
              <w:rPr>
                <w:rFonts w:ascii="Arial" w:hAnsi="Arial" w:cs="Arial"/>
                <w:noProof/>
                <w:webHidden/>
              </w:rPr>
              <w:fldChar w:fldCharType="end"/>
            </w:r>
          </w:hyperlink>
        </w:p>
        <w:p w14:paraId="1E371A55" w14:textId="37300D6E"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81" w:history="1">
            <w:r w:rsidR="00B90AD2" w:rsidRPr="003B2207">
              <w:rPr>
                <w:rStyle w:val="Hyperlink"/>
                <w:rFonts w:ascii="Arial" w:hAnsi="Arial" w:cs="Arial"/>
                <w:noProof/>
              </w:rPr>
              <w:t>Advantage and Disadvantage of Excel</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_Toc139674781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15</w:t>
            </w:r>
            <w:r w:rsidR="00B90AD2" w:rsidRPr="003B2207">
              <w:rPr>
                <w:rFonts w:ascii="Arial" w:hAnsi="Arial" w:cs="Arial"/>
                <w:noProof/>
                <w:webHidden/>
              </w:rPr>
              <w:fldChar w:fldCharType="end"/>
            </w:r>
          </w:hyperlink>
        </w:p>
        <w:p w14:paraId="42F9F5B0" w14:textId="33BBE0BA"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82" w:history="1">
            <w:r w:rsidR="00B90AD2" w:rsidRPr="003B2207">
              <w:rPr>
                <w:rStyle w:val="Hyperlink"/>
                <w:rFonts w:ascii="Arial" w:hAnsi="Arial" w:cs="Arial"/>
                <w:noProof/>
              </w:rPr>
              <w:t>Advantage and Disadvantage of Tableau</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_Toc139674782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16</w:t>
            </w:r>
            <w:r w:rsidR="00B90AD2" w:rsidRPr="003B2207">
              <w:rPr>
                <w:rFonts w:ascii="Arial" w:hAnsi="Arial" w:cs="Arial"/>
                <w:noProof/>
                <w:webHidden/>
              </w:rPr>
              <w:fldChar w:fldCharType="end"/>
            </w:r>
          </w:hyperlink>
        </w:p>
        <w:p w14:paraId="0A532D5E" w14:textId="0BA5EBB9" w:rsidR="00B90AD2" w:rsidRPr="003B2207" w:rsidRDefault="00000000">
          <w:pPr>
            <w:pStyle w:val="TOC2"/>
            <w:tabs>
              <w:tab w:val="right" w:leader="dot" w:pos="9016"/>
            </w:tabs>
            <w:rPr>
              <w:rFonts w:ascii="Arial" w:eastAsiaTheme="minorEastAsia" w:hAnsi="Arial" w:cs="Arial"/>
              <w:smallCaps w:val="0"/>
              <w:noProof/>
              <w:kern w:val="2"/>
              <w:sz w:val="22"/>
              <w:szCs w:val="22"/>
              <w14:ligatures w14:val="standardContextual"/>
            </w:rPr>
          </w:pPr>
          <w:hyperlink w:anchor="_Toc139674783" w:history="1">
            <w:r w:rsidR="00B90AD2" w:rsidRPr="003B2207">
              <w:rPr>
                <w:rStyle w:val="Hyperlink"/>
                <w:rFonts w:ascii="Arial" w:hAnsi="Arial" w:cs="Arial"/>
                <w:noProof/>
              </w:rPr>
              <w:t>2.b. Data Mining Cycle</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_Toc139674783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17</w:t>
            </w:r>
            <w:r w:rsidR="00B90AD2" w:rsidRPr="003B2207">
              <w:rPr>
                <w:rFonts w:ascii="Arial" w:hAnsi="Arial" w:cs="Arial"/>
                <w:noProof/>
                <w:webHidden/>
              </w:rPr>
              <w:fldChar w:fldCharType="end"/>
            </w:r>
          </w:hyperlink>
        </w:p>
        <w:p w14:paraId="34002D1D" w14:textId="616C414F" w:rsidR="00B90AD2" w:rsidRPr="003B2207" w:rsidRDefault="00000000">
          <w:pPr>
            <w:pStyle w:val="TOC1"/>
            <w:tabs>
              <w:tab w:val="right" w:leader="dot" w:pos="9016"/>
            </w:tabs>
            <w:rPr>
              <w:rFonts w:ascii="Arial" w:eastAsiaTheme="minorEastAsia" w:hAnsi="Arial" w:cs="Arial"/>
              <w:b w:val="0"/>
              <w:bCs w:val="0"/>
              <w:caps w:val="0"/>
              <w:noProof/>
              <w:kern w:val="2"/>
              <w:sz w:val="22"/>
              <w:szCs w:val="22"/>
              <w14:ligatures w14:val="standardContextual"/>
            </w:rPr>
          </w:pPr>
          <w:hyperlink w:anchor="_Toc139674784" w:history="1">
            <w:r w:rsidR="00B90AD2" w:rsidRPr="003B2207">
              <w:rPr>
                <w:rStyle w:val="Hyperlink"/>
                <w:rFonts w:ascii="Arial" w:hAnsi="Arial" w:cs="Arial"/>
                <w:noProof/>
              </w:rPr>
              <w:t>Conclusion</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_Toc139674784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18</w:t>
            </w:r>
            <w:r w:rsidR="00B90AD2" w:rsidRPr="003B2207">
              <w:rPr>
                <w:rFonts w:ascii="Arial" w:hAnsi="Arial" w:cs="Arial"/>
                <w:noProof/>
                <w:webHidden/>
              </w:rPr>
              <w:fldChar w:fldCharType="end"/>
            </w:r>
          </w:hyperlink>
        </w:p>
        <w:p w14:paraId="05CF93B2" w14:textId="209EE51D" w:rsidR="00B90AD2" w:rsidRPr="003B2207" w:rsidRDefault="00000000">
          <w:pPr>
            <w:pStyle w:val="TOC1"/>
            <w:tabs>
              <w:tab w:val="right" w:leader="dot" w:pos="9016"/>
            </w:tabs>
            <w:rPr>
              <w:rFonts w:ascii="Arial" w:eastAsiaTheme="minorEastAsia" w:hAnsi="Arial" w:cs="Arial"/>
              <w:b w:val="0"/>
              <w:bCs w:val="0"/>
              <w:caps w:val="0"/>
              <w:noProof/>
              <w:kern w:val="2"/>
              <w:sz w:val="22"/>
              <w:szCs w:val="22"/>
              <w14:ligatures w14:val="standardContextual"/>
            </w:rPr>
          </w:pPr>
          <w:hyperlink w:anchor="_Toc139674785" w:history="1">
            <w:r w:rsidR="00B90AD2" w:rsidRPr="003B2207">
              <w:rPr>
                <w:rStyle w:val="Hyperlink"/>
                <w:rFonts w:ascii="Arial" w:hAnsi="Arial" w:cs="Arial"/>
                <w:noProof/>
              </w:rPr>
              <w:t>References</w:t>
            </w:r>
            <w:r w:rsidR="00B90AD2" w:rsidRPr="003B2207">
              <w:rPr>
                <w:rFonts w:ascii="Arial" w:hAnsi="Arial" w:cs="Arial"/>
                <w:noProof/>
                <w:webHidden/>
              </w:rPr>
              <w:tab/>
            </w:r>
            <w:r w:rsidR="00B90AD2" w:rsidRPr="003B2207">
              <w:rPr>
                <w:rFonts w:ascii="Arial" w:hAnsi="Arial" w:cs="Arial"/>
                <w:noProof/>
                <w:webHidden/>
              </w:rPr>
              <w:fldChar w:fldCharType="begin"/>
            </w:r>
            <w:r w:rsidR="00B90AD2" w:rsidRPr="003B2207">
              <w:rPr>
                <w:rFonts w:ascii="Arial" w:hAnsi="Arial" w:cs="Arial"/>
                <w:noProof/>
                <w:webHidden/>
              </w:rPr>
              <w:instrText xml:space="preserve"> PAGEREF _Toc139674785 \h </w:instrText>
            </w:r>
            <w:r w:rsidR="00B90AD2" w:rsidRPr="003B2207">
              <w:rPr>
                <w:rFonts w:ascii="Arial" w:hAnsi="Arial" w:cs="Arial"/>
                <w:noProof/>
                <w:webHidden/>
              </w:rPr>
            </w:r>
            <w:r w:rsidR="00B90AD2" w:rsidRPr="003B2207">
              <w:rPr>
                <w:rFonts w:ascii="Arial" w:hAnsi="Arial" w:cs="Arial"/>
                <w:noProof/>
                <w:webHidden/>
              </w:rPr>
              <w:fldChar w:fldCharType="separate"/>
            </w:r>
            <w:r w:rsidR="00B90AD2" w:rsidRPr="003B2207">
              <w:rPr>
                <w:rFonts w:ascii="Arial" w:hAnsi="Arial" w:cs="Arial"/>
                <w:noProof/>
                <w:webHidden/>
              </w:rPr>
              <w:t>19</w:t>
            </w:r>
            <w:r w:rsidR="00B90AD2" w:rsidRPr="003B2207">
              <w:rPr>
                <w:rFonts w:ascii="Arial" w:hAnsi="Arial" w:cs="Arial"/>
                <w:noProof/>
                <w:webHidden/>
              </w:rPr>
              <w:fldChar w:fldCharType="end"/>
            </w:r>
          </w:hyperlink>
        </w:p>
        <w:p w14:paraId="41980B59" w14:textId="0761C532" w:rsidR="00926BD2" w:rsidRDefault="00D70B22">
          <w:r w:rsidRPr="003B2207">
            <w:rPr>
              <w:rFonts w:ascii="Arial" w:hAnsi="Arial" w:cs="Arial"/>
              <w:b/>
              <w:bCs/>
              <w:caps/>
              <w:sz w:val="20"/>
              <w:szCs w:val="24"/>
            </w:rPr>
            <w:fldChar w:fldCharType="end"/>
          </w:r>
        </w:p>
      </w:sdtContent>
    </w:sdt>
    <w:p w14:paraId="30F87984" w14:textId="475A8C4D" w:rsidR="00372B65" w:rsidRDefault="00372B65">
      <w:pPr>
        <w:spacing w:before="0" w:after="160" w:line="259" w:lineRule="auto"/>
        <w:jc w:val="left"/>
        <w:rPr>
          <w:i/>
          <w:iCs/>
        </w:rPr>
      </w:pPr>
      <w:r>
        <w:rPr>
          <w:i/>
          <w:iCs/>
        </w:rPr>
        <w:br w:type="page"/>
      </w:r>
    </w:p>
    <w:p w14:paraId="4E710927" w14:textId="125B7388" w:rsidR="008375D6" w:rsidRPr="003B2207" w:rsidRDefault="006D43AF" w:rsidP="008375D6">
      <w:pPr>
        <w:pStyle w:val="Heading1"/>
        <w:rPr>
          <w:rFonts w:ascii="Arial" w:hAnsi="Arial" w:cs="Arial"/>
          <w:sz w:val="22"/>
          <w:szCs w:val="22"/>
        </w:rPr>
      </w:pPr>
      <w:bookmarkStart w:id="0" w:name="_Toc139674764"/>
      <w:r w:rsidRPr="003B2207">
        <w:rPr>
          <w:rFonts w:ascii="Arial" w:hAnsi="Arial" w:cs="Arial"/>
          <w:sz w:val="22"/>
          <w:szCs w:val="22"/>
        </w:rPr>
        <w:lastRenderedPageBreak/>
        <w:t>Introduction</w:t>
      </w:r>
      <w:bookmarkEnd w:id="0"/>
    </w:p>
    <w:p w14:paraId="1CCEC854" w14:textId="6D1960CE" w:rsidR="008B5E6F" w:rsidRPr="003B2207" w:rsidRDefault="004B7A80" w:rsidP="008B5E6F">
      <w:pPr>
        <w:rPr>
          <w:rFonts w:ascii="Arial" w:hAnsi="Arial" w:cs="Arial"/>
          <w:sz w:val="22"/>
        </w:rPr>
      </w:pPr>
      <w:r w:rsidRPr="003B2207">
        <w:rPr>
          <w:rFonts w:ascii="Arial" w:hAnsi="Arial" w:cs="Arial"/>
          <w:sz w:val="22"/>
        </w:rPr>
        <w:t xml:space="preserve">Data handling is an integral part </w:t>
      </w:r>
      <w:proofErr w:type="gramStart"/>
      <w:r w:rsidRPr="003B2207">
        <w:rPr>
          <w:rFonts w:ascii="Arial" w:hAnsi="Arial" w:cs="Arial"/>
          <w:sz w:val="22"/>
        </w:rPr>
        <w:t>for</w:t>
      </w:r>
      <w:proofErr w:type="gramEnd"/>
      <w:r w:rsidRPr="003B2207">
        <w:rPr>
          <w:rFonts w:ascii="Arial" w:hAnsi="Arial" w:cs="Arial"/>
          <w:sz w:val="22"/>
        </w:rPr>
        <w:t xml:space="preserve"> today’s intelligence of businesses. Using Excel and SPSS, this report explores data handling and business intelligence. It does this by examining a data set on coffee intake and health index scores. Excel, SPSS, and Tableau are </w:t>
      </w:r>
      <w:proofErr w:type="gramStart"/>
      <w:r w:rsidRPr="003B2207">
        <w:rPr>
          <w:rFonts w:ascii="Arial" w:hAnsi="Arial" w:cs="Arial"/>
          <w:sz w:val="22"/>
        </w:rPr>
        <w:t>compared and contrasted</w:t>
      </w:r>
      <w:proofErr w:type="gramEnd"/>
      <w:r w:rsidRPr="003B2207">
        <w:rPr>
          <w:rFonts w:ascii="Arial" w:hAnsi="Arial" w:cs="Arial"/>
          <w:sz w:val="22"/>
        </w:rPr>
        <w:t xml:space="preserve">, as well as their respective strengths and weaknesses, and the significance of the data mining cycle is discussed. </w:t>
      </w:r>
    </w:p>
    <w:p w14:paraId="35E4DBCE" w14:textId="27D14B20" w:rsidR="008B5E6F" w:rsidRDefault="008B5E6F">
      <w:pPr>
        <w:spacing w:before="0" w:after="160" w:line="259" w:lineRule="auto"/>
        <w:jc w:val="left"/>
      </w:pPr>
      <w:r>
        <w:br w:type="page"/>
      </w:r>
    </w:p>
    <w:p w14:paraId="233BC393" w14:textId="3B8A8410" w:rsidR="008B5E6F" w:rsidRPr="003B2207" w:rsidRDefault="008B5E6F" w:rsidP="008B5E6F">
      <w:pPr>
        <w:pStyle w:val="Heading1"/>
        <w:rPr>
          <w:rFonts w:ascii="Arial" w:hAnsi="Arial" w:cs="Arial"/>
        </w:rPr>
      </w:pPr>
      <w:bookmarkStart w:id="1" w:name="_Toc139674765"/>
      <w:r w:rsidRPr="003B2207">
        <w:rPr>
          <w:rFonts w:ascii="Arial" w:hAnsi="Arial" w:cs="Arial"/>
        </w:rPr>
        <w:lastRenderedPageBreak/>
        <w:t>Part 1</w:t>
      </w:r>
      <w:bookmarkEnd w:id="1"/>
    </w:p>
    <w:p w14:paraId="4E278C53" w14:textId="1B95CB1F" w:rsidR="008B5E6F" w:rsidRPr="003B2207" w:rsidRDefault="008B5E6F" w:rsidP="008B5E6F">
      <w:pPr>
        <w:pStyle w:val="Heading2"/>
        <w:rPr>
          <w:rFonts w:ascii="Arial" w:hAnsi="Arial" w:cs="Arial"/>
        </w:rPr>
      </w:pPr>
      <w:bookmarkStart w:id="2" w:name="_Toc139674766"/>
      <w:r w:rsidRPr="003B2207">
        <w:rPr>
          <w:rFonts w:ascii="Arial" w:hAnsi="Arial" w:cs="Arial"/>
        </w:rPr>
        <w:t>1. a. Analysis of the Dataset</w:t>
      </w:r>
      <w:bookmarkEnd w:id="2"/>
    </w:p>
    <w:p w14:paraId="39071390" w14:textId="2DAAD53E" w:rsidR="008B5E6F" w:rsidRPr="003B2207" w:rsidRDefault="005A47B7" w:rsidP="005A47B7">
      <w:pPr>
        <w:pStyle w:val="Heading3"/>
        <w:rPr>
          <w:rFonts w:ascii="Arial" w:hAnsi="Arial" w:cs="Arial"/>
        </w:rPr>
      </w:pPr>
      <w:bookmarkStart w:id="3" w:name="_Toc139674767"/>
      <w:r w:rsidRPr="003B2207">
        <w:rPr>
          <w:rFonts w:ascii="Arial" w:hAnsi="Arial" w:cs="Arial"/>
        </w:rPr>
        <w:t>1. Mean</w:t>
      </w:r>
      <w:bookmarkEnd w:id="3"/>
    </w:p>
    <w:p w14:paraId="41A2A25C" w14:textId="3793E491" w:rsidR="005A47B7" w:rsidRPr="003B2207" w:rsidRDefault="005A47B7" w:rsidP="005A47B7">
      <w:pPr>
        <w:rPr>
          <w:rFonts w:ascii="Arial" w:hAnsi="Arial" w:cs="Arial"/>
          <w:sz w:val="22"/>
          <w:szCs w:val="20"/>
        </w:rPr>
      </w:pPr>
      <w:r w:rsidRPr="003B2207">
        <w:rPr>
          <w:rFonts w:ascii="Arial" w:hAnsi="Arial" w:cs="Arial"/>
          <w:sz w:val="22"/>
          <w:szCs w:val="20"/>
        </w:rPr>
        <w:t>Mean is the value of average for any given dataset</w:t>
      </w:r>
      <w:r w:rsidR="009D6EFB" w:rsidRPr="003B2207">
        <w:rPr>
          <w:rFonts w:ascii="Arial" w:hAnsi="Arial" w:cs="Arial"/>
          <w:sz w:val="22"/>
          <w:szCs w:val="20"/>
        </w:rPr>
        <w:t xml:space="preserve"> (Jones &amp; Green, 2021)</w:t>
      </w:r>
      <w:r w:rsidRPr="003B2207">
        <w:rPr>
          <w:rFonts w:ascii="Arial" w:hAnsi="Arial" w:cs="Arial"/>
          <w:sz w:val="22"/>
          <w:szCs w:val="20"/>
        </w:rPr>
        <w:t xml:space="preserve">. </w:t>
      </w:r>
      <w:r w:rsidR="00DB2FC1" w:rsidRPr="003B2207">
        <w:rPr>
          <w:rFonts w:ascii="Arial" w:hAnsi="Arial" w:cs="Arial"/>
          <w:sz w:val="22"/>
          <w:szCs w:val="20"/>
        </w:rPr>
        <w:t>Here, the function AVERAGE has been used for calculating the mean value.</w:t>
      </w:r>
      <w:r w:rsidR="008174CF" w:rsidRPr="003B2207">
        <w:rPr>
          <w:rFonts w:ascii="Arial" w:hAnsi="Arial" w:cs="Arial"/>
          <w:sz w:val="22"/>
          <w:szCs w:val="20"/>
        </w:rPr>
        <w:t xml:space="preserve"> The given formula is "=AVERAGE(B2:B41)"</w:t>
      </w:r>
      <w:r w:rsidR="00DB2FC1" w:rsidRPr="003B2207">
        <w:rPr>
          <w:rFonts w:ascii="Arial" w:hAnsi="Arial" w:cs="Arial"/>
          <w:sz w:val="22"/>
          <w:szCs w:val="20"/>
        </w:rPr>
        <w:t xml:space="preserve"> </w:t>
      </w:r>
      <w:r w:rsidRPr="003B2207">
        <w:rPr>
          <w:rFonts w:ascii="Arial" w:hAnsi="Arial" w:cs="Arial"/>
          <w:sz w:val="22"/>
          <w:szCs w:val="20"/>
        </w:rPr>
        <w:t xml:space="preserve">Following is the calculated mean value for the data: </w:t>
      </w:r>
    </w:p>
    <w:p w14:paraId="13A5C86C" w14:textId="721B2C76" w:rsidR="005A47B7" w:rsidRDefault="005A47B7" w:rsidP="005A47B7">
      <w:pPr>
        <w:jc w:val="center"/>
      </w:pPr>
      <w:r w:rsidRPr="005A47B7">
        <w:rPr>
          <w:noProof/>
        </w:rPr>
        <w:drawing>
          <wp:inline distT="0" distB="0" distL="0" distR="0" wp14:anchorId="60169E7B" wp14:editId="5ECAC1A1">
            <wp:extent cx="4048690" cy="1895740"/>
            <wp:effectExtent l="0" t="0" r="0" b="9525"/>
            <wp:docPr id="607005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05606" name=""/>
                    <pic:cNvPicPr/>
                  </pic:nvPicPr>
                  <pic:blipFill>
                    <a:blip r:embed="rId8"/>
                    <a:stretch>
                      <a:fillRect/>
                    </a:stretch>
                  </pic:blipFill>
                  <pic:spPr>
                    <a:xfrm>
                      <a:off x="0" y="0"/>
                      <a:ext cx="4048690" cy="1895740"/>
                    </a:xfrm>
                    <a:prstGeom prst="rect">
                      <a:avLst/>
                    </a:prstGeom>
                  </pic:spPr>
                </pic:pic>
              </a:graphicData>
            </a:graphic>
          </wp:inline>
        </w:drawing>
      </w:r>
    </w:p>
    <w:p w14:paraId="62AB4934" w14:textId="1785A647" w:rsidR="005A47B7" w:rsidRPr="003B2207" w:rsidRDefault="005A47B7" w:rsidP="005A47B7">
      <w:pPr>
        <w:rPr>
          <w:rFonts w:ascii="Arial" w:hAnsi="Arial" w:cs="Arial"/>
          <w:sz w:val="22"/>
          <w:szCs w:val="20"/>
        </w:rPr>
      </w:pPr>
      <w:r w:rsidRPr="003B2207">
        <w:rPr>
          <w:rFonts w:ascii="Arial" w:hAnsi="Arial" w:cs="Arial"/>
          <w:sz w:val="22"/>
          <w:szCs w:val="20"/>
        </w:rPr>
        <w:t xml:space="preserve">From this data, we may infer that the average daily coffee intake is 3.63 cups. That works up to about 3.63 cups of coffee per day for the typical study participant. The mean value is a useful statistic for illustrating the common daily consumption of coffee among the sampled population. </w:t>
      </w:r>
    </w:p>
    <w:p w14:paraId="7B806594" w14:textId="25E6B23B" w:rsidR="00176BA8" w:rsidRPr="003B2207" w:rsidRDefault="004E2CE2" w:rsidP="004E2CE2">
      <w:pPr>
        <w:pStyle w:val="Heading3"/>
        <w:rPr>
          <w:rFonts w:ascii="Arial" w:hAnsi="Arial" w:cs="Arial"/>
          <w:sz w:val="22"/>
          <w:szCs w:val="22"/>
        </w:rPr>
      </w:pPr>
      <w:bookmarkStart w:id="4" w:name="_Toc139674768"/>
      <w:r w:rsidRPr="003B2207">
        <w:rPr>
          <w:rFonts w:ascii="Arial" w:hAnsi="Arial" w:cs="Arial"/>
          <w:sz w:val="22"/>
          <w:szCs w:val="22"/>
        </w:rPr>
        <w:t>2. Median</w:t>
      </w:r>
      <w:bookmarkEnd w:id="4"/>
    </w:p>
    <w:p w14:paraId="4EF1EABB" w14:textId="2AEE22F4" w:rsidR="00EB0972" w:rsidRPr="003B2207" w:rsidRDefault="00EB0972" w:rsidP="00EB0972">
      <w:pPr>
        <w:rPr>
          <w:rFonts w:ascii="Arial" w:hAnsi="Arial" w:cs="Arial"/>
          <w:sz w:val="22"/>
          <w:szCs w:val="20"/>
        </w:rPr>
      </w:pPr>
      <w:r w:rsidRPr="003B2207">
        <w:rPr>
          <w:rFonts w:ascii="Arial" w:hAnsi="Arial" w:cs="Arial"/>
          <w:sz w:val="22"/>
          <w:szCs w:val="20"/>
        </w:rPr>
        <w:t>The mean is a term in statistics used to express the average of a numerical sequence</w:t>
      </w:r>
      <w:r w:rsidR="009D6EFB" w:rsidRPr="003B2207">
        <w:rPr>
          <w:rFonts w:ascii="Arial" w:hAnsi="Arial" w:cs="Arial"/>
          <w:sz w:val="22"/>
          <w:szCs w:val="20"/>
        </w:rPr>
        <w:t xml:space="preserve"> (Kim &amp; Cho, 2018)</w:t>
      </w:r>
      <w:r w:rsidRPr="003B2207">
        <w:rPr>
          <w:rFonts w:ascii="Arial" w:hAnsi="Arial" w:cs="Arial"/>
          <w:sz w:val="22"/>
          <w:szCs w:val="20"/>
        </w:rPr>
        <w:t xml:space="preserve">. The mean have been calculated by using the formula ‘=MEDIAN(B2:B41)’ as follows: </w:t>
      </w:r>
    </w:p>
    <w:p w14:paraId="31C6D8B5" w14:textId="458625FF" w:rsidR="00EB0972" w:rsidRDefault="00EB0972" w:rsidP="00EB0972">
      <w:pPr>
        <w:jc w:val="center"/>
      </w:pPr>
      <w:r w:rsidRPr="00EB0972">
        <w:rPr>
          <w:noProof/>
        </w:rPr>
        <w:drawing>
          <wp:inline distT="0" distB="0" distL="0" distR="0" wp14:anchorId="7E797A55" wp14:editId="1556FF20">
            <wp:extent cx="3905795" cy="1857634"/>
            <wp:effectExtent l="0" t="0" r="0" b="9525"/>
            <wp:docPr id="106536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65204" name=""/>
                    <pic:cNvPicPr/>
                  </pic:nvPicPr>
                  <pic:blipFill>
                    <a:blip r:embed="rId9"/>
                    <a:stretch>
                      <a:fillRect/>
                    </a:stretch>
                  </pic:blipFill>
                  <pic:spPr>
                    <a:xfrm>
                      <a:off x="0" y="0"/>
                      <a:ext cx="3905795" cy="1857634"/>
                    </a:xfrm>
                    <a:prstGeom prst="rect">
                      <a:avLst/>
                    </a:prstGeom>
                  </pic:spPr>
                </pic:pic>
              </a:graphicData>
            </a:graphic>
          </wp:inline>
        </w:drawing>
      </w:r>
    </w:p>
    <w:p w14:paraId="15FAFFB4" w14:textId="1ED90A64" w:rsidR="004E2CE2" w:rsidRPr="003B2207" w:rsidRDefault="00EB0972" w:rsidP="00EB0972">
      <w:pPr>
        <w:rPr>
          <w:rFonts w:ascii="Arial" w:hAnsi="Arial" w:cs="Arial"/>
          <w:sz w:val="22"/>
          <w:szCs w:val="20"/>
        </w:rPr>
      </w:pPr>
      <w:r w:rsidRPr="003B2207">
        <w:rPr>
          <w:rFonts w:ascii="Arial" w:hAnsi="Arial" w:cs="Arial"/>
          <w:sz w:val="22"/>
          <w:szCs w:val="20"/>
        </w:rPr>
        <w:lastRenderedPageBreak/>
        <w:t>Simply add up each of the numbers and divide by the total number of observations to get the value. The mean of 3.50 indicates that, on average, the people who took part in the study drank 3.50 cups of coffee every day. On the other hand. when numbers are listed in either descending or ascending order, the value that falls exactly in the middle is the median</w:t>
      </w:r>
      <w:r w:rsidR="009D6EFB" w:rsidRPr="003B2207">
        <w:rPr>
          <w:rFonts w:ascii="Arial" w:hAnsi="Arial" w:cs="Arial"/>
          <w:sz w:val="22"/>
          <w:szCs w:val="20"/>
        </w:rPr>
        <w:t xml:space="preserve"> (Murray &amp; Fortinberry, 2022)</w:t>
      </w:r>
      <w:r w:rsidRPr="003B2207">
        <w:rPr>
          <w:rFonts w:ascii="Arial" w:hAnsi="Arial" w:cs="Arial"/>
          <w:sz w:val="22"/>
          <w:szCs w:val="20"/>
        </w:rPr>
        <w:t>. It gives an indication of central tendency that is indicative of the distribution's middle and is unaffected by outliers or extreme values. If there are outliers or if the distribution of coffee consumption is not normal, the median value may be different from the mean.</w:t>
      </w:r>
    </w:p>
    <w:p w14:paraId="61CC866F" w14:textId="07D642E6" w:rsidR="00D779BA" w:rsidRPr="003B2207" w:rsidRDefault="00C80B95" w:rsidP="00C80B95">
      <w:pPr>
        <w:pStyle w:val="Heading3"/>
        <w:rPr>
          <w:rFonts w:ascii="Arial" w:hAnsi="Arial" w:cs="Arial"/>
          <w:sz w:val="22"/>
          <w:szCs w:val="22"/>
        </w:rPr>
      </w:pPr>
      <w:bookmarkStart w:id="5" w:name="_Toc139674769"/>
      <w:r w:rsidRPr="003B2207">
        <w:rPr>
          <w:rFonts w:ascii="Arial" w:hAnsi="Arial" w:cs="Arial"/>
          <w:sz w:val="22"/>
          <w:szCs w:val="22"/>
        </w:rPr>
        <w:t>3. Mode</w:t>
      </w:r>
      <w:bookmarkEnd w:id="5"/>
    </w:p>
    <w:p w14:paraId="160CCEED" w14:textId="70163D6A" w:rsidR="00CB0EC8" w:rsidRPr="003B2207" w:rsidRDefault="00CB0EC8" w:rsidP="00CB0EC8">
      <w:pPr>
        <w:rPr>
          <w:rFonts w:ascii="Arial" w:hAnsi="Arial" w:cs="Arial"/>
          <w:sz w:val="22"/>
          <w:szCs w:val="20"/>
        </w:rPr>
      </w:pPr>
      <w:r w:rsidRPr="003B2207">
        <w:rPr>
          <w:rFonts w:ascii="Arial" w:hAnsi="Arial" w:cs="Arial"/>
          <w:sz w:val="22"/>
          <w:szCs w:val="20"/>
        </w:rPr>
        <w:t>The mode of a data set indicates the value that appears most frequently</w:t>
      </w:r>
      <w:r w:rsidR="009D6EFB" w:rsidRPr="003B2207">
        <w:rPr>
          <w:rFonts w:ascii="Arial" w:hAnsi="Arial" w:cs="Arial"/>
          <w:sz w:val="22"/>
          <w:szCs w:val="20"/>
        </w:rPr>
        <w:t xml:space="preserve"> (Williams, 2019)</w:t>
      </w:r>
      <w:r w:rsidRPr="003B2207">
        <w:rPr>
          <w:rFonts w:ascii="Arial" w:hAnsi="Arial" w:cs="Arial"/>
          <w:sz w:val="22"/>
          <w:szCs w:val="20"/>
        </w:rPr>
        <w:t xml:space="preserve">. It represents the most common numerical value. The mode have been calculated here based on the formula ‘=MODE(B2:B41)’. Following is the calculation: </w:t>
      </w:r>
    </w:p>
    <w:p w14:paraId="1A36AF1A" w14:textId="5CA1D2EC" w:rsidR="00CB0EC8" w:rsidRDefault="00CB0EC8" w:rsidP="00CB0EC8">
      <w:pPr>
        <w:jc w:val="center"/>
      </w:pPr>
      <w:r w:rsidRPr="00CB0EC8">
        <w:rPr>
          <w:noProof/>
        </w:rPr>
        <w:drawing>
          <wp:inline distT="0" distB="0" distL="0" distR="0" wp14:anchorId="47258266" wp14:editId="050854A8">
            <wp:extent cx="3667637" cy="2619741"/>
            <wp:effectExtent l="0" t="0" r="9525" b="9525"/>
            <wp:docPr id="128227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7905" name=""/>
                    <pic:cNvPicPr/>
                  </pic:nvPicPr>
                  <pic:blipFill>
                    <a:blip r:embed="rId10"/>
                    <a:stretch>
                      <a:fillRect/>
                    </a:stretch>
                  </pic:blipFill>
                  <pic:spPr>
                    <a:xfrm>
                      <a:off x="0" y="0"/>
                      <a:ext cx="3667637" cy="2619741"/>
                    </a:xfrm>
                    <a:prstGeom prst="rect">
                      <a:avLst/>
                    </a:prstGeom>
                  </pic:spPr>
                </pic:pic>
              </a:graphicData>
            </a:graphic>
          </wp:inline>
        </w:drawing>
      </w:r>
    </w:p>
    <w:p w14:paraId="3C31C846" w14:textId="23EDC87B" w:rsidR="00CB0EC8" w:rsidRPr="003B2207" w:rsidRDefault="00CB0EC8" w:rsidP="00CB0EC8">
      <w:pPr>
        <w:rPr>
          <w:rFonts w:ascii="Arial" w:hAnsi="Arial" w:cs="Arial"/>
          <w:sz w:val="22"/>
          <w:szCs w:val="20"/>
        </w:rPr>
      </w:pPr>
      <w:r w:rsidRPr="003B2207">
        <w:rPr>
          <w:rFonts w:ascii="Arial" w:hAnsi="Arial" w:cs="Arial"/>
          <w:sz w:val="22"/>
          <w:szCs w:val="20"/>
        </w:rPr>
        <w:t>The mode value indicates that 2 cups of coffee per day was the most common amount consumed by study participants. Unlike the mean and median, which focus on the central tendency of a dataset, the mode isolates the value that occurs most frequently</w:t>
      </w:r>
      <w:r w:rsidR="009D6EFB" w:rsidRPr="003B2207">
        <w:rPr>
          <w:rFonts w:ascii="Arial" w:hAnsi="Arial" w:cs="Arial"/>
          <w:sz w:val="22"/>
          <w:szCs w:val="20"/>
        </w:rPr>
        <w:t xml:space="preserve"> (Chen &amp; Zhang, 2020)</w:t>
      </w:r>
      <w:r w:rsidRPr="003B2207">
        <w:rPr>
          <w:rFonts w:ascii="Arial" w:hAnsi="Arial" w:cs="Arial"/>
          <w:sz w:val="22"/>
          <w:szCs w:val="20"/>
        </w:rPr>
        <w:t xml:space="preserve">. The median is the middle number while the mean is the most common number.  </w:t>
      </w:r>
    </w:p>
    <w:p w14:paraId="5713D535" w14:textId="2386C3ED" w:rsidR="0098761C" w:rsidRPr="003B2207" w:rsidRDefault="0098761C" w:rsidP="0098761C">
      <w:pPr>
        <w:pStyle w:val="Heading3"/>
        <w:rPr>
          <w:rFonts w:ascii="Arial" w:hAnsi="Arial" w:cs="Arial"/>
          <w:sz w:val="22"/>
          <w:szCs w:val="22"/>
        </w:rPr>
      </w:pPr>
      <w:bookmarkStart w:id="6" w:name="_Toc139674770"/>
      <w:r w:rsidRPr="003B2207">
        <w:rPr>
          <w:rFonts w:ascii="Arial" w:hAnsi="Arial" w:cs="Arial"/>
          <w:sz w:val="22"/>
          <w:szCs w:val="22"/>
        </w:rPr>
        <w:t>4. Standard Deviation</w:t>
      </w:r>
      <w:bookmarkEnd w:id="6"/>
    </w:p>
    <w:p w14:paraId="6518DBBA" w14:textId="09CB3935" w:rsidR="006E0B1D" w:rsidRPr="003B2207" w:rsidRDefault="006E0B1D" w:rsidP="0098761C">
      <w:pPr>
        <w:rPr>
          <w:rFonts w:ascii="Arial" w:hAnsi="Arial" w:cs="Arial"/>
          <w:sz w:val="22"/>
          <w:szCs w:val="20"/>
        </w:rPr>
      </w:pPr>
      <w:r w:rsidRPr="003B2207">
        <w:rPr>
          <w:rFonts w:ascii="Arial" w:hAnsi="Arial" w:cs="Arial"/>
          <w:sz w:val="22"/>
          <w:szCs w:val="20"/>
        </w:rPr>
        <w:t>One way to quantify the spread of information within a dataset is with the help of a statistical metric called the standard deviation. It is a statistical measure of how far individual data points are from the mean</w:t>
      </w:r>
      <w:r w:rsidR="009D6EFB" w:rsidRPr="003B2207">
        <w:rPr>
          <w:rFonts w:ascii="Arial" w:hAnsi="Arial" w:cs="Arial"/>
          <w:sz w:val="22"/>
          <w:szCs w:val="20"/>
        </w:rPr>
        <w:t xml:space="preserve"> (Brown &amp; Wilson, 2020)</w:t>
      </w:r>
      <w:r w:rsidRPr="003B2207">
        <w:rPr>
          <w:rFonts w:ascii="Arial" w:hAnsi="Arial" w:cs="Arial"/>
          <w:sz w:val="22"/>
          <w:szCs w:val="20"/>
        </w:rPr>
        <w:t xml:space="preserve">. To calculate the standard deviation, the formula used is ‘=STDEV.P(C2:C41)’. Now the calculation is given as follows: </w:t>
      </w:r>
    </w:p>
    <w:p w14:paraId="7BACD465" w14:textId="27AB5AAC" w:rsidR="006E0B1D" w:rsidRDefault="00E91051" w:rsidP="00E91051">
      <w:pPr>
        <w:jc w:val="center"/>
      </w:pPr>
      <w:r w:rsidRPr="00E91051">
        <w:rPr>
          <w:noProof/>
        </w:rPr>
        <w:lastRenderedPageBreak/>
        <w:drawing>
          <wp:inline distT="0" distB="0" distL="0" distR="0" wp14:anchorId="73C22ECE" wp14:editId="7B8A891F">
            <wp:extent cx="3924848" cy="2638793"/>
            <wp:effectExtent l="0" t="0" r="0" b="9525"/>
            <wp:docPr id="194746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63600" name=""/>
                    <pic:cNvPicPr/>
                  </pic:nvPicPr>
                  <pic:blipFill>
                    <a:blip r:embed="rId11"/>
                    <a:stretch>
                      <a:fillRect/>
                    </a:stretch>
                  </pic:blipFill>
                  <pic:spPr>
                    <a:xfrm>
                      <a:off x="0" y="0"/>
                      <a:ext cx="3924848" cy="2638793"/>
                    </a:xfrm>
                    <a:prstGeom prst="rect">
                      <a:avLst/>
                    </a:prstGeom>
                  </pic:spPr>
                </pic:pic>
              </a:graphicData>
            </a:graphic>
          </wp:inline>
        </w:drawing>
      </w:r>
    </w:p>
    <w:p w14:paraId="5CDCFA52" w14:textId="0CBB66DF" w:rsidR="00CB0EC8" w:rsidRPr="003B2207" w:rsidRDefault="006E0B1D" w:rsidP="00CB0EC8">
      <w:pPr>
        <w:rPr>
          <w:rFonts w:ascii="Arial" w:hAnsi="Arial" w:cs="Arial"/>
          <w:sz w:val="22"/>
          <w:szCs w:val="20"/>
        </w:rPr>
      </w:pPr>
      <w:r w:rsidRPr="003B2207">
        <w:rPr>
          <w:rFonts w:ascii="Arial" w:hAnsi="Arial" w:cs="Arial"/>
          <w:sz w:val="22"/>
          <w:szCs w:val="20"/>
        </w:rPr>
        <w:t>The participants in this study had a significant degree of variation in their health index scores, as indicated by the standard deviation value of 13.24, which can be found in the context of the Health Index Score for this particular study. The bigger the spread of values, which indicates a wider variety of health consequences found among the people who participated in the study, is indicated by a higher standard deviation.</w:t>
      </w:r>
      <w:r w:rsidR="00E91051" w:rsidRPr="003B2207">
        <w:rPr>
          <w:rFonts w:ascii="Arial" w:hAnsi="Arial" w:cs="Arial"/>
          <w:sz w:val="22"/>
          <w:szCs w:val="20"/>
        </w:rPr>
        <w:t xml:space="preserve"> </w:t>
      </w:r>
    </w:p>
    <w:p w14:paraId="0D8536B2" w14:textId="1E94AF75" w:rsidR="008B5E6F" w:rsidRPr="003B2207" w:rsidRDefault="00851427" w:rsidP="00E102F4">
      <w:pPr>
        <w:pStyle w:val="Heading3"/>
        <w:rPr>
          <w:rFonts w:ascii="Arial" w:hAnsi="Arial" w:cs="Arial"/>
          <w:sz w:val="22"/>
          <w:szCs w:val="22"/>
        </w:rPr>
      </w:pPr>
      <w:bookmarkStart w:id="7" w:name="_Toc139674771"/>
      <w:r w:rsidRPr="003B2207">
        <w:rPr>
          <w:rFonts w:ascii="Arial" w:hAnsi="Arial" w:cs="Arial"/>
          <w:sz w:val="22"/>
          <w:szCs w:val="22"/>
        </w:rPr>
        <w:t xml:space="preserve">5. </w:t>
      </w:r>
      <w:r w:rsidR="00DB688A" w:rsidRPr="003B2207">
        <w:rPr>
          <w:rFonts w:ascii="Arial" w:hAnsi="Arial" w:cs="Arial"/>
          <w:sz w:val="22"/>
          <w:szCs w:val="22"/>
        </w:rPr>
        <w:t xml:space="preserve">Higher </w:t>
      </w:r>
      <w:r w:rsidRPr="003B2207">
        <w:rPr>
          <w:rFonts w:ascii="Arial" w:hAnsi="Arial" w:cs="Arial"/>
          <w:sz w:val="22"/>
          <w:szCs w:val="22"/>
        </w:rPr>
        <w:t>Variance</w:t>
      </w:r>
      <w:bookmarkEnd w:id="7"/>
    </w:p>
    <w:p w14:paraId="14A00FE9" w14:textId="45417D84" w:rsidR="00DB688A" w:rsidRPr="003B2207" w:rsidRDefault="00DB688A" w:rsidP="00DB688A">
      <w:pPr>
        <w:rPr>
          <w:rFonts w:ascii="Arial" w:hAnsi="Arial" w:cs="Arial"/>
          <w:sz w:val="22"/>
          <w:szCs w:val="20"/>
        </w:rPr>
      </w:pPr>
      <w:r w:rsidRPr="003B2207">
        <w:rPr>
          <w:rFonts w:ascii="Arial" w:hAnsi="Arial" w:cs="Arial"/>
          <w:sz w:val="22"/>
          <w:szCs w:val="20"/>
        </w:rPr>
        <w:t>The variance of a set of data is the average squared deviation of the data points from the set's mean</w:t>
      </w:r>
      <w:r w:rsidR="009D6EFB" w:rsidRPr="003B2207">
        <w:rPr>
          <w:rFonts w:ascii="Arial" w:hAnsi="Arial" w:cs="Arial"/>
          <w:sz w:val="22"/>
          <w:szCs w:val="20"/>
        </w:rPr>
        <w:t xml:space="preserve"> (Hair, Black, Babin, &amp; Anderson, 2019)</w:t>
      </w:r>
      <w:r w:rsidRPr="003B2207">
        <w:rPr>
          <w:rFonts w:ascii="Arial" w:hAnsi="Arial" w:cs="Arial"/>
          <w:sz w:val="22"/>
          <w:szCs w:val="20"/>
        </w:rPr>
        <w:t>. It gives you a numerical representation of the values' dispersion</w:t>
      </w:r>
      <w:r w:rsidR="009D6EFB" w:rsidRPr="003B2207">
        <w:rPr>
          <w:rFonts w:ascii="Arial" w:hAnsi="Arial" w:cs="Arial"/>
          <w:sz w:val="22"/>
          <w:szCs w:val="20"/>
        </w:rPr>
        <w:t xml:space="preserve"> (Kim &amp; Cho, 2018)</w:t>
      </w:r>
      <w:r w:rsidRPr="003B2207">
        <w:rPr>
          <w:rFonts w:ascii="Arial" w:hAnsi="Arial" w:cs="Arial"/>
          <w:sz w:val="22"/>
          <w:szCs w:val="20"/>
        </w:rPr>
        <w:t xml:space="preserve">. According to the numbers provided, the standard deviation for daily coffee intake is 4.234375 cups, while the standard deviation for the health index score is 175.394375. The formula and the calculation for the variance of the two factors is given below: </w:t>
      </w:r>
    </w:p>
    <w:p w14:paraId="4CF6ECCD" w14:textId="6CF08E8B" w:rsidR="00DB688A" w:rsidRDefault="00DB688A" w:rsidP="009A6A82">
      <w:pPr>
        <w:jc w:val="center"/>
      </w:pPr>
      <w:r w:rsidRPr="00DB688A">
        <w:rPr>
          <w:noProof/>
        </w:rPr>
        <w:drawing>
          <wp:inline distT="0" distB="0" distL="0" distR="0" wp14:anchorId="6399678D" wp14:editId="0F266C36">
            <wp:extent cx="4953691" cy="2457793"/>
            <wp:effectExtent l="0" t="0" r="0" b="0"/>
            <wp:docPr id="103377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7020" name=""/>
                    <pic:cNvPicPr/>
                  </pic:nvPicPr>
                  <pic:blipFill>
                    <a:blip r:embed="rId12"/>
                    <a:stretch>
                      <a:fillRect/>
                    </a:stretch>
                  </pic:blipFill>
                  <pic:spPr>
                    <a:xfrm>
                      <a:off x="0" y="0"/>
                      <a:ext cx="4953691" cy="2457793"/>
                    </a:xfrm>
                    <a:prstGeom prst="rect">
                      <a:avLst/>
                    </a:prstGeom>
                  </pic:spPr>
                </pic:pic>
              </a:graphicData>
            </a:graphic>
          </wp:inline>
        </w:drawing>
      </w:r>
    </w:p>
    <w:p w14:paraId="27035DBB" w14:textId="61CCBB45" w:rsidR="00DB688A" w:rsidRPr="003B2207" w:rsidRDefault="00DB688A" w:rsidP="00DB688A">
      <w:pPr>
        <w:rPr>
          <w:rFonts w:ascii="Arial" w:hAnsi="Arial" w:cs="Arial"/>
          <w:sz w:val="22"/>
          <w:szCs w:val="20"/>
        </w:rPr>
      </w:pPr>
      <w:r w:rsidRPr="003B2207">
        <w:rPr>
          <w:rFonts w:ascii="Arial" w:hAnsi="Arial" w:cs="Arial"/>
          <w:sz w:val="22"/>
          <w:szCs w:val="20"/>
        </w:rPr>
        <w:lastRenderedPageBreak/>
        <w:t xml:space="preserve">The Health Index Score variable clearly has a bigger variance when compared to the other </w:t>
      </w:r>
      <w:r w:rsidR="000D77AA" w:rsidRPr="003B2207">
        <w:rPr>
          <w:rFonts w:ascii="Arial" w:hAnsi="Arial" w:cs="Arial"/>
          <w:sz w:val="22"/>
          <w:szCs w:val="20"/>
        </w:rPr>
        <w:t>one</w:t>
      </w:r>
      <w:r w:rsidRPr="003B2207">
        <w:rPr>
          <w:rFonts w:ascii="Arial" w:hAnsi="Arial" w:cs="Arial"/>
          <w:sz w:val="22"/>
          <w:szCs w:val="20"/>
        </w:rPr>
        <w:t>. This suggests that there is a wider variation in the participants' health index scores than there was in the coffee intake data. The greater dispersion indicates a broader variety of health impacts reported across people, as opposed to the narrower dispersion observed with coffee intake.</w:t>
      </w:r>
      <w:r w:rsidR="00E53CB4" w:rsidRPr="003B2207">
        <w:rPr>
          <w:rFonts w:ascii="Arial" w:hAnsi="Arial" w:cs="Arial"/>
          <w:sz w:val="22"/>
          <w:szCs w:val="20"/>
        </w:rPr>
        <w:t xml:space="preserve"> </w:t>
      </w:r>
    </w:p>
    <w:p w14:paraId="7A560BC4" w14:textId="520E594F" w:rsidR="00D72C22" w:rsidRPr="003B2207" w:rsidRDefault="00D72C22" w:rsidP="00D72C22">
      <w:pPr>
        <w:pStyle w:val="Heading3"/>
        <w:rPr>
          <w:rFonts w:ascii="Arial" w:hAnsi="Arial" w:cs="Arial"/>
          <w:sz w:val="22"/>
          <w:szCs w:val="22"/>
        </w:rPr>
      </w:pPr>
      <w:bookmarkStart w:id="8" w:name="_Toc139674772"/>
      <w:r w:rsidRPr="003B2207">
        <w:rPr>
          <w:rFonts w:ascii="Arial" w:hAnsi="Arial" w:cs="Arial"/>
          <w:sz w:val="22"/>
          <w:szCs w:val="22"/>
        </w:rPr>
        <w:t>6. Higher Standard Deviation</w:t>
      </w:r>
      <w:bookmarkEnd w:id="8"/>
    </w:p>
    <w:p w14:paraId="4DE1199E" w14:textId="273587AC" w:rsidR="00D72C22" w:rsidRPr="003B2207" w:rsidRDefault="00D72C22" w:rsidP="00E102F4">
      <w:pPr>
        <w:rPr>
          <w:rFonts w:ascii="Arial" w:hAnsi="Arial" w:cs="Arial"/>
          <w:sz w:val="22"/>
          <w:szCs w:val="20"/>
        </w:rPr>
      </w:pPr>
      <w:r w:rsidRPr="003B2207">
        <w:rPr>
          <w:rFonts w:ascii="Arial" w:hAnsi="Arial" w:cs="Arial"/>
          <w:sz w:val="22"/>
          <w:szCs w:val="20"/>
        </w:rPr>
        <w:t>By quantifying the range of possible values within a given variable, standard deviation provides a useful tool for making comparisons between them. It quantifies the extent to which outliers differ from the average for a given variable. We can tell which variable is more unpredictable by comparing their standard deviations.</w:t>
      </w:r>
    </w:p>
    <w:p w14:paraId="4BA28E67" w14:textId="384F3585" w:rsidR="00D72C22" w:rsidRDefault="00D72C22" w:rsidP="00D72C22">
      <w:pPr>
        <w:jc w:val="center"/>
      </w:pPr>
      <w:r w:rsidRPr="00D72C22">
        <w:rPr>
          <w:noProof/>
        </w:rPr>
        <w:drawing>
          <wp:inline distT="0" distB="0" distL="0" distR="0" wp14:anchorId="4CC126E7" wp14:editId="28FE3CC4">
            <wp:extent cx="4877481" cy="2438740"/>
            <wp:effectExtent l="0" t="0" r="0" b="0"/>
            <wp:docPr id="144499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999478" name=""/>
                    <pic:cNvPicPr/>
                  </pic:nvPicPr>
                  <pic:blipFill>
                    <a:blip r:embed="rId13"/>
                    <a:stretch>
                      <a:fillRect/>
                    </a:stretch>
                  </pic:blipFill>
                  <pic:spPr>
                    <a:xfrm>
                      <a:off x="0" y="0"/>
                      <a:ext cx="4877481" cy="2438740"/>
                    </a:xfrm>
                    <a:prstGeom prst="rect">
                      <a:avLst/>
                    </a:prstGeom>
                  </pic:spPr>
                </pic:pic>
              </a:graphicData>
            </a:graphic>
          </wp:inline>
        </w:drawing>
      </w:r>
    </w:p>
    <w:p w14:paraId="363DD2BF" w14:textId="65B596BE" w:rsidR="00D72C22" w:rsidRPr="003B2207" w:rsidRDefault="00D72C22" w:rsidP="00D72C22">
      <w:pPr>
        <w:rPr>
          <w:rFonts w:ascii="Arial" w:hAnsi="Arial" w:cs="Arial"/>
          <w:sz w:val="22"/>
          <w:szCs w:val="20"/>
        </w:rPr>
      </w:pPr>
      <w:r w:rsidRPr="003B2207">
        <w:rPr>
          <w:rFonts w:ascii="Arial" w:hAnsi="Arial" w:cs="Arial"/>
          <w:sz w:val="22"/>
          <w:szCs w:val="20"/>
        </w:rPr>
        <w:t xml:space="preserve">According to the data provided, the standard deviations of the Health Index Score and the Coffee Consumption (cups/day) is 13.24365414 and 2.057759704, respectively. The Health Index Score variable has a bigger standard deviation than the other variables, suggesting greater variation in health outcomes. Compared to coffee intake, this indicates a broader variety of health outcomes, indicating the diversity and possible impact of numerous variables on the health index score. </w:t>
      </w:r>
    </w:p>
    <w:p w14:paraId="3D1B0762" w14:textId="6DEE74E9" w:rsidR="00A97F72" w:rsidRPr="003B2207" w:rsidRDefault="00BB214F" w:rsidP="00750C2B">
      <w:pPr>
        <w:pStyle w:val="Heading3"/>
        <w:rPr>
          <w:rFonts w:ascii="Arial" w:hAnsi="Arial" w:cs="Arial"/>
          <w:sz w:val="22"/>
          <w:szCs w:val="22"/>
        </w:rPr>
      </w:pPr>
      <w:bookmarkStart w:id="9" w:name="_Toc139674773"/>
      <w:r w:rsidRPr="003B2207">
        <w:rPr>
          <w:rFonts w:ascii="Arial" w:hAnsi="Arial" w:cs="Arial"/>
          <w:sz w:val="22"/>
          <w:szCs w:val="22"/>
        </w:rPr>
        <w:t>7. Interpretations</w:t>
      </w:r>
      <w:bookmarkEnd w:id="9"/>
    </w:p>
    <w:p w14:paraId="42CD8904" w14:textId="11894F35" w:rsidR="00BA79C9" w:rsidRPr="003B2207" w:rsidRDefault="00BA79C9" w:rsidP="00BA79C9">
      <w:pPr>
        <w:rPr>
          <w:rFonts w:ascii="Arial" w:hAnsi="Arial" w:cs="Arial"/>
          <w:sz w:val="22"/>
          <w:szCs w:val="20"/>
        </w:rPr>
      </w:pPr>
      <w:r w:rsidRPr="003B2207">
        <w:rPr>
          <w:rFonts w:ascii="Arial" w:hAnsi="Arial" w:cs="Arial"/>
          <w:sz w:val="22"/>
          <w:szCs w:val="20"/>
        </w:rPr>
        <w:t>Two metrics of dispersion that are useful for making such comparisons are the standard deviation and the variance</w:t>
      </w:r>
      <w:r w:rsidR="009D6EFB" w:rsidRPr="003B2207">
        <w:rPr>
          <w:rFonts w:ascii="Arial" w:hAnsi="Arial" w:cs="Arial"/>
          <w:sz w:val="22"/>
          <w:szCs w:val="20"/>
        </w:rPr>
        <w:t xml:space="preserve"> (Jones &amp; Green, 2021)</w:t>
      </w:r>
      <w:r w:rsidRPr="003B2207">
        <w:rPr>
          <w:rFonts w:ascii="Arial" w:hAnsi="Arial" w:cs="Arial"/>
          <w:sz w:val="22"/>
          <w:szCs w:val="20"/>
        </w:rPr>
        <w:t>. They show the extent to which individual data points depart from the mean of a given variable, shedding light on the range or dispersion of values within that variable.</w:t>
      </w:r>
    </w:p>
    <w:tbl>
      <w:tblPr>
        <w:tblW w:w="7453" w:type="dxa"/>
        <w:jc w:val="center"/>
        <w:tblLook w:val="04A0" w:firstRow="1" w:lastRow="0" w:firstColumn="1" w:lastColumn="0" w:noHBand="0" w:noVBand="1"/>
      </w:tblPr>
      <w:tblGrid>
        <w:gridCol w:w="2267"/>
        <w:gridCol w:w="2988"/>
        <w:gridCol w:w="2198"/>
      </w:tblGrid>
      <w:tr w:rsidR="00BA79C9" w:rsidRPr="00BA79C9" w14:paraId="7E416665" w14:textId="77777777" w:rsidTr="008C744B">
        <w:trPr>
          <w:trHeight w:val="443"/>
          <w:jc w:val="center"/>
        </w:trPr>
        <w:tc>
          <w:tcPr>
            <w:tcW w:w="22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DDFFFF9" w14:textId="77777777" w:rsidR="00BA79C9" w:rsidRPr="00BA79C9" w:rsidRDefault="00BA79C9" w:rsidP="00BA79C9">
            <w:pPr>
              <w:spacing w:before="0" w:after="0" w:line="240" w:lineRule="auto"/>
              <w:jc w:val="left"/>
              <w:rPr>
                <w:rFonts w:eastAsia="Times New Roman" w:cs="Times New Roman"/>
                <w:color w:val="000000"/>
                <w:sz w:val="20"/>
                <w:szCs w:val="20"/>
              </w:rPr>
            </w:pPr>
            <w:r w:rsidRPr="00BA79C9">
              <w:rPr>
                <w:rFonts w:eastAsia="Times New Roman" w:cs="Times New Roman"/>
                <w:color w:val="000000"/>
                <w:sz w:val="20"/>
                <w:szCs w:val="20"/>
              </w:rPr>
              <w:lastRenderedPageBreak/>
              <w:t> </w:t>
            </w:r>
          </w:p>
        </w:tc>
        <w:tc>
          <w:tcPr>
            <w:tcW w:w="2988" w:type="dxa"/>
            <w:tcBorders>
              <w:top w:val="single" w:sz="4" w:space="0" w:color="auto"/>
              <w:left w:val="nil"/>
              <w:bottom w:val="single" w:sz="4" w:space="0" w:color="auto"/>
              <w:right w:val="single" w:sz="4" w:space="0" w:color="auto"/>
            </w:tcBorders>
            <w:shd w:val="clear" w:color="000000" w:fill="A5A5A5"/>
            <w:noWrap/>
            <w:vAlign w:val="center"/>
            <w:hideMark/>
          </w:tcPr>
          <w:p w14:paraId="356BBDA3" w14:textId="77777777" w:rsidR="00BA79C9" w:rsidRPr="00BA79C9" w:rsidRDefault="00BA79C9" w:rsidP="00BA79C9">
            <w:pPr>
              <w:spacing w:before="0" w:after="0" w:line="240" w:lineRule="auto"/>
              <w:jc w:val="left"/>
              <w:rPr>
                <w:rFonts w:eastAsia="Times New Roman" w:cs="Times New Roman"/>
                <w:b/>
                <w:bCs/>
                <w:color w:val="FFFFFF"/>
                <w:sz w:val="20"/>
                <w:szCs w:val="20"/>
              </w:rPr>
            </w:pPr>
            <w:r w:rsidRPr="00BA79C9">
              <w:rPr>
                <w:rFonts w:eastAsia="Times New Roman" w:cs="Times New Roman"/>
                <w:b/>
                <w:bCs/>
                <w:color w:val="FFFFFF"/>
                <w:sz w:val="20"/>
                <w:szCs w:val="20"/>
              </w:rPr>
              <w:t>Coffee Consumption (cups/day)</w:t>
            </w:r>
          </w:p>
        </w:tc>
        <w:tc>
          <w:tcPr>
            <w:tcW w:w="2198" w:type="dxa"/>
            <w:tcBorders>
              <w:top w:val="single" w:sz="4" w:space="0" w:color="auto"/>
              <w:left w:val="nil"/>
              <w:bottom w:val="single" w:sz="4" w:space="0" w:color="auto"/>
              <w:right w:val="single" w:sz="4" w:space="0" w:color="auto"/>
            </w:tcBorders>
            <w:shd w:val="clear" w:color="000000" w:fill="A5A5A5"/>
            <w:noWrap/>
            <w:vAlign w:val="center"/>
            <w:hideMark/>
          </w:tcPr>
          <w:p w14:paraId="0156E951" w14:textId="77777777" w:rsidR="00BA79C9" w:rsidRPr="00BA79C9" w:rsidRDefault="00BA79C9" w:rsidP="00BA79C9">
            <w:pPr>
              <w:spacing w:before="0" w:after="0" w:line="240" w:lineRule="auto"/>
              <w:jc w:val="left"/>
              <w:rPr>
                <w:rFonts w:eastAsia="Times New Roman" w:cs="Times New Roman"/>
                <w:b/>
                <w:bCs/>
                <w:color w:val="FFFFFF"/>
                <w:sz w:val="20"/>
                <w:szCs w:val="20"/>
              </w:rPr>
            </w:pPr>
            <w:r w:rsidRPr="00BA79C9">
              <w:rPr>
                <w:rFonts w:eastAsia="Times New Roman" w:cs="Times New Roman"/>
                <w:b/>
                <w:bCs/>
                <w:color w:val="FFFFFF"/>
                <w:sz w:val="20"/>
                <w:szCs w:val="20"/>
              </w:rPr>
              <w:t>Health Index Score</w:t>
            </w:r>
          </w:p>
        </w:tc>
      </w:tr>
      <w:tr w:rsidR="00BA79C9" w:rsidRPr="00BA79C9" w14:paraId="7B55116F" w14:textId="77777777" w:rsidTr="008C744B">
        <w:trPr>
          <w:trHeight w:val="443"/>
          <w:jc w:val="center"/>
        </w:trPr>
        <w:tc>
          <w:tcPr>
            <w:tcW w:w="2267" w:type="dxa"/>
            <w:tcBorders>
              <w:top w:val="nil"/>
              <w:left w:val="single" w:sz="4" w:space="0" w:color="auto"/>
              <w:bottom w:val="single" w:sz="4" w:space="0" w:color="auto"/>
              <w:right w:val="single" w:sz="4" w:space="0" w:color="auto"/>
            </w:tcBorders>
            <w:shd w:val="clear" w:color="auto" w:fill="auto"/>
            <w:noWrap/>
            <w:vAlign w:val="center"/>
            <w:hideMark/>
          </w:tcPr>
          <w:p w14:paraId="2E0223B5" w14:textId="77777777" w:rsidR="00BA79C9" w:rsidRPr="00BA79C9" w:rsidRDefault="00BA79C9" w:rsidP="00BA79C9">
            <w:pPr>
              <w:spacing w:before="0" w:after="0" w:line="240" w:lineRule="auto"/>
              <w:jc w:val="left"/>
              <w:rPr>
                <w:rFonts w:eastAsia="Times New Roman" w:cs="Times New Roman"/>
                <w:color w:val="000000"/>
                <w:sz w:val="20"/>
                <w:szCs w:val="20"/>
              </w:rPr>
            </w:pPr>
            <w:r w:rsidRPr="00BA79C9">
              <w:rPr>
                <w:rFonts w:eastAsia="Times New Roman" w:cs="Times New Roman"/>
                <w:color w:val="000000"/>
                <w:sz w:val="20"/>
                <w:szCs w:val="20"/>
              </w:rPr>
              <w:t>Standard Deviation</w:t>
            </w:r>
          </w:p>
        </w:tc>
        <w:tc>
          <w:tcPr>
            <w:tcW w:w="2988" w:type="dxa"/>
            <w:tcBorders>
              <w:top w:val="nil"/>
              <w:left w:val="nil"/>
              <w:bottom w:val="single" w:sz="4" w:space="0" w:color="auto"/>
              <w:right w:val="single" w:sz="4" w:space="0" w:color="auto"/>
            </w:tcBorders>
            <w:shd w:val="clear" w:color="auto" w:fill="auto"/>
            <w:noWrap/>
            <w:vAlign w:val="center"/>
            <w:hideMark/>
          </w:tcPr>
          <w:p w14:paraId="2320B53E" w14:textId="77777777" w:rsidR="00BA79C9" w:rsidRPr="00BA79C9" w:rsidRDefault="00BA79C9" w:rsidP="00BA79C9">
            <w:pPr>
              <w:spacing w:before="0" w:after="0" w:line="240" w:lineRule="auto"/>
              <w:jc w:val="right"/>
              <w:rPr>
                <w:rFonts w:eastAsia="Times New Roman" w:cs="Times New Roman"/>
                <w:color w:val="000000"/>
                <w:sz w:val="20"/>
                <w:szCs w:val="20"/>
              </w:rPr>
            </w:pPr>
            <w:r w:rsidRPr="00BA79C9">
              <w:rPr>
                <w:rFonts w:eastAsia="Times New Roman" w:cs="Times New Roman"/>
                <w:color w:val="000000"/>
                <w:sz w:val="20"/>
                <w:szCs w:val="20"/>
              </w:rPr>
              <w:t>2.06</w:t>
            </w:r>
          </w:p>
        </w:tc>
        <w:tc>
          <w:tcPr>
            <w:tcW w:w="2198" w:type="dxa"/>
            <w:tcBorders>
              <w:top w:val="nil"/>
              <w:left w:val="nil"/>
              <w:bottom w:val="single" w:sz="4" w:space="0" w:color="auto"/>
              <w:right w:val="single" w:sz="4" w:space="0" w:color="auto"/>
            </w:tcBorders>
            <w:shd w:val="clear" w:color="auto" w:fill="auto"/>
            <w:noWrap/>
            <w:vAlign w:val="center"/>
            <w:hideMark/>
          </w:tcPr>
          <w:p w14:paraId="38D5C0E0" w14:textId="77777777" w:rsidR="00BA79C9" w:rsidRPr="00BA79C9" w:rsidRDefault="00BA79C9" w:rsidP="00BA79C9">
            <w:pPr>
              <w:spacing w:before="0" w:after="0" w:line="240" w:lineRule="auto"/>
              <w:jc w:val="right"/>
              <w:rPr>
                <w:rFonts w:eastAsia="Times New Roman" w:cs="Times New Roman"/>
                <w:color w:val="000000"/>
                <w:sz w:val="20"/>
                <w:szCs w:val="20"/>
              </w:rPr>
            </w:pPr>
            <w:r w:rsidRPr="00BA79C9">
              <w:rPr>
                <w:rFonts w:eastAsia="Times New Roman" w:cs="Times New Roman"/>
                <w:color w:val="000000"/>
                <w:sz w:val="20"/>
                <w:szCs w:val="20"/>
              </w:rPr>
              <w:t>13.24</w:t>
            </w:r>
          </w:p>
        </w:tc>
      </w:tr>
      <w:tr w:rsidR="00BA79C9" w:rsidRPr="00BA79C9" w14:paraId="340B2473" w14:textId="77777777" w:rsidTr="008C744B">
        <w:trPr>
          <w:trHeight w:val="443"/>
          <w:jc w:val="center"/>
        </w:trPr>
        <w:tc>
          <w:tcPr>
            <w:tcW w:w="2267" w:type="dxa"/>
            <w:tcBorders>
              <w:top w:val="nil"/>
              <w:left w:val="single" w:sz="4" w:space="0" w:color="auto"/>
              <w:bottom w:val="single" w:sz="4" w:space="0" w:color="auto"/>
              <w:right w:val="single" w:sz="4" w:space="0" w:color="auto"/>
            </w:tcBorders>
            <w:shd w:val="clear" w:color="auto" w:fill="auto"/>
            <w:noWrap/>
            <w:vAlign w:val="center"/>
            <w:hideMark/>
          </w:tcPr>
          <w:p w14:paraId="098ADB25" w14:textId="77777777" w:rsidR="00BA79C9" w:rsidRPr="00BA79C9" w:rsidRDefault="00BA79C9" w:rsidP="00BA79C9">
            <w:pPr>
              <w:spacing w:before="0" w:after="0" w:line="240" w:lineRule="auto"/>
              <w:jc w:val="left"/>
              <w:rPr>
                <w:rFonts w:eastAsia="Times New Roman" w:cs="Times New Roman"/>
                <w:color w:val="000000"/>
                <w:sz w:val="20"/>
                <w:szCs w:val="20"/>
              </w:rPr>
            </w:pPr>
            <w:r w:rsidRPr="00BA79C9">
              <w:rPr>
                <w:rFonts w:eastAsia="Times New Roman" w:cs="Times New Roman"/>
                <w:color w:val="000000"/>
                <w:sz w:val="20"/>
                <w:szCs w:val="20"/>
              </w:rPr>
              <w:t>Variance</w:t>
            </w:r>
          </w:p>
        </w:tc>
        <w:tc>
          <w:tcPr>
            <w:tcW w:w="2988" w:type="dxa"/>
            <w:tcBorders>
              <w:top w:val="nil"/>
              <w:left w:val="nil"/>
              <w:bottom w:val="single" w:sz="4" w:space="0" w:color="auto"/>
              <w:right w:val="single" w:sz="4" w:space="0" w:color="auto"/>
            </w:tcBorders>
            <w:shd w:val="clear" w:color="auto" w:fill="auto"/>
            <w:noWrap/>
            <w:vAlign w:val="center"/>
            <w:hideMark/>
          </w:tcPr>
          <w:p w14:paraId="2F05CBD2" w14:textId="77777777" w:rsidR="00BA79C9" w:rsidRPr="00BA79C9" w:rsidRDefault="00BA79C9" w:rsidP="00BA79C9">
            <w:pPr>
              <w:spacing w:before="0" w:after="0" w:line="240" w:lineRule="auto"/>
              <w:jc w:val="right"/>
              <w:rPr>
                <w:rFonts w:eastAsia="Times New Roman" w:cs="Times New Roman"/>
                <w:color w:val="000000"/>
                <w:sz w:val="20"/>
                <w:szCs w:val="20"/>
              </w:rPr>
            </w:pPr>
            <w:r w:rsidRPr="00BA79C9">
              <w:rPr>
                <w:rFonts w:eastAsia="Times New Roman" w:cs="Times New Roman"/>
                <w:color w:val="000000"/>
                <w:sz w:val="20"/>
                <w:szCs w:val="20"/>
              </w:rPr>
              <w:t>4.23</w:t>
            </w:r>
          </w:p>
        </w:tc>
        <w:tc>
          <w:tcPr>
            <w:tcW w:w="2198" w:type="dxa"/>
            <w:tcBorders>
              <w:top w:val="nil"/>
              <w:left w:val="nil"/>
              <w:bottom w:val="single" w:sz="4" w:space="0" w:color="auto"/>
              <w:right w:val="single" w:sz="4" w:space="0" w:color="auto"/>
            </w:tcBorders>
            <w:shd w:val="clear" w:color="auto" w:fill="auto"/>
            <w:noWrap/>
            <w:vAlign w:val="center"/>
            <w:hideMark/>
          </w:tcPr>
          <w:p w14:paraId="0C6905AB" w14:textId="77777777" w:rsidR="00BA79C9" w:rsidRPr="00BA79C9" w:rsidRDefault="00BA79C9" w:rsidP="00BA79C9">
            <w:pPr>
              <w:spacing w:before="0" w:after="0" w:line="240" w:lineRule="auto"/>
              <w:jc w:val="right"/>
              <w:rPr>
                <w:rFonts w:eastAsia="Times New Roman" w:cs="Times New Roman"/>
                <w:color w:val="000000"/>
                <w:sz w:val="20"/>
                <w:szCs w:val="20"/>
              </w:rPr>
            </w:pPr>
            <w:r w:rsidRPr="00BA79C9">
              <w:rPr>
                <w:rFonts w:eastAsia="Times New Roman" w:cs="Times New Roman"/>
                <w:color w:val="000000"/>
                <w:sz w:val="20"/>
                <w:szCs w:val="20"/>
              </w:rPr>
              <w:t>175.39</w:t>
            </w:r>
          </w:p>
        </w:tc>
      </w:tr>
    </w:tbl>
    <w:p w14:paraId="1FAEDD4E" w14:textId="38DB525E" w:rsidR="00BA79C9" w:rsidRPr="003B2207" w:rsidRDefault="00BA79C9" w:rsidP="00BA79C9">
      <w:pPr>
        <w:rPr>
          <w:rFonts w:ascii="Arial" w:hAnsi="Arial" w:cs="Arial"/>
          <w:sz w:val="22"/>
        </w:rPr>
      </w:pPr>
      <w:r w:rsidRPr="003B2207">
        <w:rPr>
          <w:rFonts w:ascii="Arial" w:hAnsi="Arial" w:cs="Arial"/>
          <w:sz w:val="22"/>
        </w:rPr>
        <w:t>The standard deviation is a statistical measure of the typical dispersion of data around the mean of a variable</w:t>
      </w:r>
      <w:r w:rsidR="009D6EFB" w:rsidRPr="003B2207">
        <w:rPr>
          <w:rFonts w:ascii="Arial" w:hAnsi="Arial" w:cs="Arial"/>
          <w:sz w:val="22"/>
        </w:rPr>
        <w:t xml:space="preserve"> (Brown &amp; Wilson, 2020)</w:t>
      </w:r>
      <w:r w:rsidRPr="003B2207">
        <w:rPr>
          <w:rFonts w:ascii="Arial" w:hAnsi="Arial" w:cs="Arial"/>
          <w:sz w:val="22"/>
        </w:rPr>
        <w:t>. The variance's square root is that number. Greater dispersion of values, and thus greater variability within the variable, is indicated by a higher standard deviation</w:t>
      </w:r>
      <w:r w:rsidR="009D6EFB" w:rsidRPr="003B2207">
        <w:rPr>
          <w:rFonts w:ascii="Arial" w:hAnsi="Arial" w:cs="Arial"/>
          <w:sz w:val="22"/>
        </w:rPr>
        <w:t xml:space="preserve"> (Williams, 2019)</w:t>
      </w:r>
      <w:r w:rsidRPr="003B2207">
        <w:rPr>
          <w:rFonts w:ascii="Arial" w:hAnsi="Arial" w:cs="Arial"/>
          <w:sz w:val="22"/>
        </w:rPr>
        <w:t>. While standard deviation measures how far each data point is from the average, variance measures how much each data point varies around the mean. It gives you a numerical representation of the values' dispersion. When the variance of a variable is high, it means that its values span a broader range.</w:t>
      </w:r>
    </w:p>
    <w:p w14:paraId="03E62E65" w14:textId="790FFF7C" w:rsidR="00BB214F" w:rsidRPr="003B2207" w:rsidRDefault="00BA79C9" w:rsidP="00BA79C9">
      <w:pPr>
        <w:rPr>
          <w:rFonts w:ascii="Arial" w:hAnsi="Arial" w:cs="Arial"/>
          <w:sz w:val="22"/>
        </w:rPr>
      </w:pPr>
      <w:r w:rsidRPr="003B2207">
        <w:rPr>
          <w:rFonts w:ascii="Arial" w:hAnsi="Arial" w:cs="Arial"/>
          <w:sz w:val="22"/>
        </w:rPr>
        <w:t>According to the data provided, the variance between individuals' Health Index Scores is 13.24, whereas the variance between individuals' Coffee Consumption (cups/day) is just 2.06. This indicates that the Health Index Score values are more likely to be significantly different from the mean value than the Coffee Consumption data are. In a similar vein, the Health Index Score variance is 175.39 and the Coffee Consumption variance is 4.23. Health Index Score Variance is bigger than Coffee Consumption Variance, indicating a greater spread of data and greater variability. So, we may learn more about the spread and variability of each variable by examining its standard deviation as well as variance values. When compared to Coffee Consumption, the Health Index Score has a larger standard deviation and variance, indicating a broader diversity of health consequences and a wider range of values.</w:t>
      </w:r>
    </w:p>
    <w:p w14:paraId="0BB633D7" w14:textId="17CA6327" w:rsidR="00D72C22" w:rsidRPr="003B2207" w:rsidRDefault="00C63471" w:rsidP="00854D69">
      <w:pPr>
        <w:pStyle w:val="Heading2"/>
        <w:rPr>
          <w:rFonts w:ascii="Arial" w:hAnsi="Arial" w:cs="Arial"/>
          <w:sz w:val="22"/>
          <w:szCs w:val="22"/>
        </w:rPr>
      </w:pPr>
      <w:bookmarkStart w:id="10" w:name="_Toc139674774"/>
      <w:r w:rsidRPr="003B2207">
        <w:rPr>
          <w:rFonts w:ascii="Arial" w:hAnsi="Arial" w:cs="Arial"/>
          <w:sz w:val="22"/>
          <w:szCs w:val="22"/>
        </w:rPr>
        <w:t xml:space="preserve">1. </w:t>
      </w:r>
      <w:r w:rsidR="00854D69" w:rsidRPr="003B2207">
        <w:rPr>
          <w:rFonts w:ascii="Arial" w:hAnsi="Arial" w:cs="Arial"/>
          <w:sz w:val="22"/>
          <w:szCs w:val="22"/>
        </w:rPr>
        <w:t xml:space="preserve">b. </w:t>
      </w:r>
      <w:r w:rsidRPr="003B2207">
        <w:rPr>
          <w:rFonts w:ascii="Arial" w:hAnsi="Arial" w:cs="Arial"/>
          <w:sz w:val="22"/>
          <w:szCs w:val="22"/>
        </w:rPr>
        <w:t>Using MS Excel to Present Data</w:t>
      </w:r>
      <w:bookmarkEnd w:id="10"/>
    </w:p>
    <w:p w14:paraId="610606EC" w14:textId="7B2EDF02" w:rsidR="00C63471" w:rsidRPr="003B2207" w:rsidRDefault="00EE6B47" w:rsidP="00C63471">
      <w:pPr>
        <w:rPr>
          <w:rFonts w:ascii="Arial" w:hAnsi="Arial" w:cs="Arial"/>
          <w:sz w:val="22"/>
        </w:rPr>
      </w:pPr>
      <w:r w:rsidRPr="003B2207">
        <w:rPr>
          <w:rFonts w:ascii="Arial" w:hAnsi="Arial" w:cs="Arial"/>
          <w:sz w:val="22"/>
        </w:rPr>
        <w:t>To present the data, we will use the Pivot table option of MS Excel here.</w:t>
      </w:r>
      <w:r w:rsidR="009D6EFB" w:rsidRPr="003B2207">
        <w:rPr>
          <w:rFonts w:ascii="Arial" w:hAnsi="Arial" w:cs="Arial"/>
          <w:sz w:val="22"/>
        </w:rPr>
        <w:t xml:space="preserve"> Pivot table is one of the most efficient excel tools that is widely used (Kim &amp; Cho, 2018).</w:t>
      </w:r>
      <w:r w:rsidRPr="003B2207">
        <w:rPr>
          <w:rFonts w:ascii="Arial" w:hAnsi="Arial" w:cs="Arial"/>
          <w:sz w:val="22"/>
        </w:rPr>
        <w:t xml:space="preserve"> </w:t>
      </w:r>
      <w:r w:rsidR="00C63471" w:rsidRPr="003B2207">
        <w:rPr>
          <w:rFonts w:ascii="Arial" w:hAnsi="Arial" w:cs="Arial"/>
          <w:sz w:val="22"/>
        </w:rPr>
        <w:t xml:space="preserve">The following procedures must be carried out in Excel </w:t>
      </w:r>
      <w:proofErr w:type="gramStart"/>
      <w:r w:rsidR="00C63471" w:rsidRPr="003B2207">
        <w:rPr>
          <w:rFonts w:ascii="Arial" w:hAnsi="Arial" w:cs="Arial"/>
          <w:sz w:val="22"/>
        </w:rPr>
        <w:t>in order to</w:t>
      </w:r>
      <w:proofErr w:type="gramEnd"/>
      <w:r w:rsidR="00C63471" w:rsidRPr="003B2207">
        <w:rPr>
          <w:rFonts w:ascii="Arial" w:hAnsi="Arial" w:cs="Arial"/>
          <w:sz w:val="22"/>
        </w:rPr>
        <w:t xml:space="preserve"> produce the required pivot table:</w:t>
      </w:r>
    </w:p>
    <w:p w14:paraId="3F446D4B" w14:textId="7DEB9240" w:rsidR="00C63471" w:rsidRPr="003B2207" w:rsidRDefault="00EE6B47" w:rsidP="00C63471">
      <w:pPr>
        <w:rPr>
          <w:rFonts w:ascii="Arial" w:hAnsi="Arial" w:cs="Arial"/>
          <w:sz w:val="22"/>
        </w:rPr>
      </w:pPr>
      <w:r w:rsidRPr="003B2207">
        <w:rPr>
          <w:rFonts w:ascii="Arial" w:hAnsi="Arial" w:cs="Arial"/>
          <w:sz w:val="22"/>
        </w:rPr>
        <w:t xml:space="preserve">First, we select the </w:t>
      </w:r>
      <w:r w:rsidR="00C63471" w:rsidRPr="003B2207">
        <w:rPr>
          <w:rFonts w:ascii="Arial" w:hAnsi="Arial" w:cs="Arial"/>
          <w:sz w:val="22"/>
        </w:rPr>
        <w:t>full dataset, including the row and column headers. The "Create PivotTable" dialogue box can be accessed by going to the "Insert" tab within the Excel ribbon and clicking on the "PivotTable" button.</w:t>
      </w:r>
      <w:r w:rsidRPr="003B2207">
        <w:rPr>
          <w:rFonts w:ascii="Arial" w:hAnsi="Arial" w:cs="Arial"/>
          <w:sz w:val="22"/>
        </w:rPr>
        <w:t xml:space="preserve"> </w:t>
      </w:r>
    </w:p>
    <w:p w14:paraId="3F219CC1" w14:textId="050FB6DE" w:rsidR="00C63471" w:rsidRDefault="00EE6B47" w:rsidP="00C63471">
      <w:r w:rsidRPr="00854D69">
        <w:rPr>
          <w:noProof/>
        </w:rPr>
        <w:lastRenderedPageBreak/>
        <w:drawing>
          <wp:inline distT="0" distB="0" distL="0" distR="0" wp14:anchorId="36F485A3" wp14:editId="6A56F092">
            <wp:extent cx="5731510" cy="2941955"/>
            <wp:effectExtent l="0" t="0" r="2540" b="0"/>
            <wp:docPr id="3728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85310" name=""/>
                    <pic:cNvPicPr/>
                  </pic:nvPicPr>
                  <pic:blipFill rotWithShape="1">
                    <a:blip r:embed="rId14"/>
                    <a:srcRect t="4729"/>
                    <a:stretch/>
                  </pic:blipFill>
                  <pic:spPr bwMode="auto">
                    <a:xfrm>
                      <a:off x="0" y="0"/>
                      <a:ext cx="5731510" cy="2941955"/>
                    </a:xfrm>
                    <a:prstGeom prst="rect">
                      <a:avLst/>
                    </a:prstGeom>
                    <a:ln>
                      <a:noFill/>
                    </a:ln>
                    <a:extLst>
                      <a:ext uri="{53640926-AAD7-44D8-BBD7-CCE9431645EC}">
                        <a14:shadowObscured xmlns:a14="http://schemas.microsoft.com/office/drawing/2010/main"/>
                      </a:ext>
                    </a:extLst>
                  </pic:spPr>
                </pic:pic>
              </a:graphicData>
            </a:graphic>
          </wp:inline>
        </w:drawing>
      </w:r>
    </w:p>
    <w:p w14:paraId="07876F09" w14:textId="3D01B8CB" w:rsidR="00C63471" w:rsidRPr="003B2207" w:rsidRDefault="00EE6B47" w:rsidP="00C63471">
      <w:pPr>
        <w:rPr>
          <w:rFonts w:ascii="Arial" w:hAnsi="Arial" w:cs="Arial"/>
          <w:sz w:val="22"/>
          <w:szCs w:val="20"/>
        </w:rPr>
      </w:pPr>
      <w:r w:rsidRPr="003B2207">
        <w:rPr>
          <w:rFonts w:ascii="Arial" w:hAnsi="Arial" w:cs="Arial"/>
          <w:sz w:val="22"/>
          <w:szCs w:val="20"/>
        </w:rPr>
        <w:t>Next</w:t>
      </w:r>
      <w:r w:rsidR="00C63471" w:rsidRPr="003B2207">
        <w:rPr>
          <w:rFonts w:ascii="Arial" w:hAnsi="Arial" w:cs="Arial"/>
          <w:sz w:val="22"/>
          <w:szCs w:val="20"/>
        </w:rPr>
        <w:t>, we use the "Select a table or range" item in the "Create PivotTable" dialogue box and specify a table or range reference that contains the dataset. We verify the worksheet (new or existing) or workbook (new) where the pivot table will be placed. The "PivotTable Fields" pane appears on the right side of the Excel window after you click "OK" to create a blank pivot table.</w:t>
      </w:r>
    </w:p>
    <w:p w14:paraId="71BB545A" w14:textId="1C4CB602" w:rsidR="00C63471" w:rsidRDefault="00EE6B47" w:rsidP="00C63471">
      <w:r w:rsidRPr="00854D69">
        <w:rPr>
          <w:noProof/>
        </w:rPr>
        <w:drawing>
          <wp:inline distT="0" distB="0" distL="0" distR="0" wp14:anchorId="45EF1F1A" wp14:editId="403AD11C">
            <wp:extent cx="5731510" cy="2948305"/>
            <wp:effectExtent l="0" t="0" r="2540" b="4445"/>
            <wp:docPr id="1918438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438263" name=""/>
                    <pic:cNvPicPr/>
                  </pic:nvPicPr>
                  <pic:blipFill rotWithShape="1">
                    <a:blip r:embed="rId15"/>
                    <a:srcRect t="4524"/>
                    <a:stretch/>
                  </pic:blipFill>
                  <pic:spPr bwMode="auto">
                    <a:xfrm>
                      <a:off x="0" y="0"/>
                      <a:ext cx="5731510" cy="2948305"/>
                    </a:xfrm>
                    <a:prstGeom prst="rect">
                      <a:avLst/>
                    </a:prstGeom>
                    <a:ln>
                      <a:noFill/>
                    </a:ln>
                    <a:extLst>
                      <a:ext uri="{53640926-AAD7-44D8-BBD7-CCE9431645EC}">
                        <a14:shadowObscured xmlns:a14="http://schemas.microsoft.com/office/drawing/2010/main"/>
                      </a:ext>
                    </a:extLst>
                  </pic:spPr>
                </pic:pic>
              </a:graphicData>
            </a:graphic>
          </wp:inline>
        </w:drawing>
      </w:r>
    </w:p>
    <w:p w14:paraId="5ED6C374" w14:textId="175D1DEB" w:rsidR="00C63471" w:rsidRPr="003B2207" w:rsidRDefault="00C63471" w:rsidP="00C63471">
      <w:pPr>
        <w:rPr>
          <w:rFonts w:ascii="Arial" w:hAnsi="Arial" w:cs="Arial"/>
          <w:sz w:val="22"/>
        </w:rPr>
      </w:pPr>
      <w:r w:rsidRPr="003B2207">
        <w:rPr>
          <w:rFonts w:ascii="Arial" w:hAnsi="Arial" w:cs="Arial"/>
          <w:sz w:val="22"/>
        </w:rPr>
        <w:t xml:space="preserve">The titles of the fields in the dataset, such as "ID," "Coffee Consumption," and "Health Index Score," </w:t>
      </w:r>
      <w:proofErr w:type="gramStart"/>
      <w:r w:rsidRPr="003B2207">
        <w:rPr>
          <w:rFonts w:ascii="Arial" w:hAnsi="Arial" w:cs="Arial"/>
          <w:sz w:val="22"/>
        </w:rPr>
        <w:t>are located in</w:t>
      </w:r>
      <w:proofErr w:type="gramEnd"/>
      <w:r w:rsidRPr="003B2207">
        <w:rPr>
          <w:rFonts w:ascii="Arial" w:hAnsi="Arial" w:cs="Arial"/>
          <w:sz w:val="22"/>
        </w:rPr>
        <w:t xml:space="preserve"> the "PivotTable Fields" pane. The "Health Index Score" field is moved to the "Values" section of the pivot table, while the "Coffee Consumption" field is moved to the "Rows" section. Excel will automatically total the data in the "Values" section.</w:t>
      </w:r>
      <w:r w:rsidR="00EE6B47" w:rsidRPr="003B2207">
        <w:rPr>
          <w:rFonts w:ascii="Arial" w:hAnsi="Arial" w:cs="Arial"/>
          <w:sz w:val="22"/>
        </w:rPr>
        <w:t xml:space="preserve"> </w:t>
      </w:r>
      <w:r w:rsidRPr="003B2207">
        <w:rPr>
          <w:rFonts w:ascii="Arial" w:hAnsi="Arial" w:cs="Arial"/>
          <w:sz w:val="22"/>
        </w:rPr>
        <w:t xml:space="preserve">The next step is to add support for ID-based filtering by dragging the "ID" field into the "Filters" section. This </w:t>
      </w:r>
      <w:r w:rsidRPr="003B2207">
        <w:rPr>
          <w:rFonts w:ascii="Arial" w:hAnsi="Arial" w:cs="Arial"/>
          <w:sz w:val="22"/>
        </w:rPr>
        <w:lastRenderedPageBreak/>
        <w:t>enables us to narrow the pivot table's view depending on specific IDs.</w:t>
      </w:r>
      <w:r w:rsidR="00EE6B47" w:rsidRPr="003B2207">
        <w:rPr>
          <w:rFonts w:ascii="Arial" w:hAnsi="Arial" w:cs="Arial"/>
          <w:sz w:val="22"/>
        </w:rPr>
        <w:t xml:space="preserve">  </w:t>
      </w:r>
      <w:r w:rsidRPr="003B2207">
        <w:rPr>
          <w:rFonts w:ascii="Arial" w:hAnsi="Arial" w:cs="Arial"/>
          <w:sz w:val="22"/>
        </w:rPr>
        <w:t>The fields can be reordered by dragging them within the "PivotTable Fields" pane's "Rows," "Columns," and "Values" sections.</w:t>
      </w:r>
    </w:p>
    <w:p w14:paraId="70152928" w14:textId="4FB2DF0A" w:rsidR="00C63471" w:rsidRDefault="00EE6B47" w:rsidP="00C63471">
      <w:r w:rsidRPr="00854D69">
        <w:rPr>
          <w:noProof/>
        </w:rPr>
        <w:drawing>
          <wp:inline distT="0" distB="0" distL="0" distR="0" wp14:anchorId="1C2370C8" wp14:editId="5F95B368">
            <wp:extent cx="5731510" cy="2948305"/>
            <wp:effectExtent l="0" t="0" r="2540" b="4445"/>
            <wp:docPr id="1282155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155179" name=""/>
                    <pic:cNvPicPr/>
                  </pic:nvPicPr>
                  <pic:blipFill rotWithShape="1">
                    <a:blip r:embed="rId16"/>
                    <a:srcRect t="4524"/>
                    <a:stretch/>
                  </pic:blipFill>
                  <pic:spPr bwMode="auto">
                    <a:xfrm>
                      <a:off x="0" y="0"/>
                      <a:ext cx="5731510" cy="2948305"/>
                    </a:xfrm>
                    <a:prstGeom prst="rect">
                      <a:avLst/>
                    </a:prstGeom>
                    <a:ln>
                      <a:noFill/>
                    </a:ln>
                    <a:extLst>
                      <a:ext uri="{53640926-AAD7-44D8-BBD7-CCE9431645EC}">
                        <a14:shadowObscured xmlns:a14="http://schemas.microsoft.com/office/drawing/2010/main"/>
                      </a:ext>
                    </a:extLst>
                  </pic:spPr>
                </pic:pic>
              </a:graphicData>
            </a:graphic>
          </wp:inline>
        </w:drawing>
      </w:r>
    </w:p>
    <w:p w14:paraId="17DED3EF" w14:textId="068FD607" w:rsidR="00854D69" w:rsidRPr="003B2207" w:rsidRDefault="00EE6B47" w:rsidP="00C63471">
      <w:pPr>
        <w:rPr>
          <w:rFonts w:ascii="Arial" w:hAnsi="Arial" w:cs="Arial"/>
          <w:sz w:val="22"/>
        </w:rPr>
      </w:pPr>
      <w:r w:rsidRPr="003B2207">
        <w:rPr>
          <w:rFonts w:ascii="Arial" w:hAnsi="Arial" w:cs="Arial"/>
          <w:sz w:val="22"/>
        </w:rPr>
        <w:t>Finally</w:t>
      </w:r>
      <w:r w:rsidR="00C63471" w:rsidRPr="003B2207">
        <w:rPr>
          <w:rFonts w:ascii="Arial" w:hAnsi="Arial" w:cs="Arial"/>
          <w:sz w:val="22"/>
        </w:rPr>
        <w:t>, we have the freedom to alter the look and feel of the pivot table to better suit our needs. To improve the look of the pivot table, we can change the width of the columns, format the numbers, and apply styles.</w:t>
      </w:r>
      <w:r w:rsidRPr="003B2207">
        <w:rPr>
          <w:rFonts w:ascii="Arial" w:hAnsi="Arial" w:cs="Arial"/>
          <w:sz w:val="22"/>
        </w:rPr>
        <w:t xml:space="preserve"> </w:t>
      </w:r>
      <w:r w:rsidR="00C63471" w:rsidRPr="003B2207">
        <w:rPr>
          <w:rFonts w:ascii="Arial" w:hAnsi="Arial" w:cs="Arial"/>
          <w:sz w:val="22"/>
        </w:rPr>
        <w:t>Following these steps, an Excel pivot table can be created that shows the total Health Index Score for each Coffee Consumption value and allows for ID-based filtering.</w:t>
      </w:r>
      <w:r w:rsidR="00153F06" w:rsidRPr="003B2207">
        <w:rPr>
          <w:rFonts w:ascii="Arial" w:hAnsi="Arial" w:cs="Arial"/>
          <w:sz w:val="22"/>
        </w:rPr>
        <w:t xml:space="preserve"> </w:t>
      </w:r>
    </w:p>
    <w:p w14:paraId="5D697FF1" w14:textId="288102BD" w:rsidR="000A19B2" w:rsidRPr="003B2207" w:rsidRDefault="004D2817" w:rsidP="004D2817">
      <w:pPr>
        <w:pStyle w:val="Heading2"/>
        <w:rPr>
          <w:rFonts w:ascii="Arial" w:hAnsi="Arial" w:cs="Arial"/>
          <w:sz w:val="22"/>
          <w:szCs w:val="22"/>
        </w:rPr>
      </w:pPr>
      <w:bookmarkStart w:id="11" w:name="_Toc139674775"/>
      <w:r w:rsidRPr="003B2207">
        <w:rPr>
          <w:rFonts w:ascii="Arial" w:hAnsi="Arial" w:cs="Arial"/>
          <w:sz w:val="22"/>
          <w:szCs w:val="22"/>
        </w:rPr>
        <w:t>1.c. Using SPSS</w:t>
      </w:r>
      <w:bookmarkEnd w:id="11"/>
    </w:p>
    <w:p w14:paraId="697744A0" w14:textId="419429F4" w:rsidR="004D2817" w:rsidRPr="003B2207" w:rsidRDefault="008D6540" w:rsidP="008D6540">
      <w:pPr>
        <w:pStyle w:val="Heading3"/>
        <w:rPr>
          <w:rFonts w:ascii="Arial" w:hAnsi="Arial" w:cs="Arial"/>
          <w:sz w:val="22"/>
          <w:szCs w:val="22"/>
        </w:rPr>
      </w:pPr>
      <w:bookmarkStart w:id="12" w:name="_Toc139674776"/>
      <w:r w:rsidRPr="003B2207">
        <w:rPr>
          <w:rFonts w:ascii="Arial" w:hAnsi="Arial" w:cs="Arial"/>
          <w:sz w:val="22"/>
          <w:szCs w:val="22"/>
        </w:rPr>
        <w:t>1. Correlation</w:t>
      </w:r>
      <w:bookmarkEnd w:id="12"/>
    </w:p>
    <w:p w14:paraId="7BC23807" w14:textId="0E8E0649" w:rsidR="007C0763" w:rsidRPr="003B2207" w:rsidRDefault="007C0763" w:rsidP="008D6540">
      <w:pPr>
        <w:rPr>
          <w:rFonts w:ascii="Arial" w:hAnsi="Arial" w:cs="Arial"/>
          <w:sz w:val="22"/>
        </w:rPr>
      </w:pPr>
      <w:r w:rsidRPr="003B2207">
        <w:rPr>
          <w:rFonts w:ascii="Arial" w:hAnsi="Arial" w:cs="Arial"/>
          <w:sz w:val="22"/>
        </w:rPr>
        <w:t>The first step in using SPSS to discover the correlation is to import the provided data</w:t>
      </w:r>
      <w:r w:rsidR="009D6EFB" w:rsidRPr="003B2207">
        <w:rPr>
          <w:rFonts w:ascii="Arial" w:hAnsi="Arial" w:cs="Arial"/>
          <w:sz w:val="22"/>
        </w:rPr>
        <w:t xml:space="preserve"> (Hair, Black, Babin, &amp; Anderson, 2019)</w:t>
      </w:r>
      <w:r w:rsidRPr="003B2207">
        <w:rPr>
          <w:rFonts w:ascii="Arial" w:hAnsi="Arial" w:cs="Arial"/>
          <w:sz w:val="22"/>
        </w:rPr>
        <w:t xml:space="preserve">. With SPSS launched, the dataset is loaded by selecting "File" &gt; "Open" &gt; "Data" from the main menu. </w:t>
      </w:r>
    </w:p>
    <w:p w14:paraId="596681CA" w14:textId="4B030981" w:rsidR="007C0763" w:rsidRPr="003B2207" w:rsidRDefault="007C0763" w:rsidP="007C0763">
      <w:pPr>
        <w:jc w:val="center"/>
        <w:rPr>
          <w:rFonts w:ascii="Arial" w:hAnsi="Arial" w:cs="Arial"/>
          <w:sz w:val="22"/>
        </w:rPr>
      </w:pPr>
      <w:r w:rsidRPr="003B2207">
        <w:rPr>
          <w:rFonts w:ascii="Arial" w:hAnsi="Arial" w:cs="Arial"/>
          <w:noProof/>
          <w:sz w:val="22"/>
        </w:rPr>
        <w:lastRenderedPageBreak/>
        <w:drawing>
          <wp:inline distT="0" distB="0" distL="0" distR="0" wp14:anchorId="5FD13D08" wp14:editId="1F5EF239">
            <wp:extent cx="4162486" cy="4467226"/>
            <wp:effectExtent l="0" t="0" r="9525" b="0"/>
            <wp:docPr id="2400809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63176" cy="4467967"/>
                    </a:xfrm>
                    <a:prstGeom prst="rect">
                      <a:avLst/>
                    </a:prstGeom>
                    <a:noFill/>
                    <a:ln>
                      <a:noFill/>
                    </a:ln>
                  </pic:spPr>
                </pic:pic>
              </a:graphicData>
            </a:graphic>
          </wp:inline>
        </w:drawing>
      </w:r>
    </w:p>
    <w:p w14:paraId="19CA0E80" w14:textId="77777777" w:rsidR="007C0763" w:rsidRPr="003B2207" w:rsidRDefault="007C0763" w:rsidP="008D6540">
      <w:pPr>
        <w:rPr>
          <w:rFonts w:ascii="Arial" w:hAnsi="Arial" w:cs="Arial"/>
          <w:sz w:val="22"/>
        </w:rPr>
      </w:pPr>
      <w:r w:rsidRPr="003B2207">
        <w:rPr>
          <w:rFonts w:ascii="Arial" w:hAnsi="Arial" w:cs="Arial"/>
          <w:sz w:val="22"/>
        </w:rPr>
        <w:t xml:space="preserve">The "Bivariate Correlations" dialogue box can be accessed by selecting "Analyse" &gt; "Correlate" &gt; "Bivariate" once the data has been loaded. After making our selections in the dialogue window, we click "OK" to begin the correlation analysis. </w:t>
      </w:r>
    </w:p>
    <w:p w14:paraId="11BA45E1" w14:textId="7CE0863A" w:rsidR="007C0763" w:rsidRDefault="007C0763" w:rsidP="007C0763">
      <w:pPr>
        <w:jc w:val="center"/>
      </w:pPr>
      <w:r>
        <w:rPr>
          <w:noProof/>
        </w:rPr>
        <w:drawing>
          <wp:inline distT="0" distB="0" distL="0" distR="0" wp14:anchorId="32A1493B" wp14:editId="3E369B15">
            <wp:extent cx="2819400" cy="2497890"/>
            <wp:effectExtent l="0" t="0" r="0" b="0"/>
            <wp:docPr id="1338877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20505" cy="2498869"/>
                    </a:xfrm>
                    <a:prstGeom prst="rect">
                      <a:avLst/>
                    </a:prstGeom>
                    <a:noFill/>
                    <a:ln>
                      <a:noFill/>
                    </a:ln>
                  </pic:spPr>
                </pic:pic>
              </a:graphicData>
            </a:graphic>
          </wp:inline>
        </w:drawing>
      </w:r>
    </w:p>
    <w:p w14:paraId="763902F6" w14:textId="13AB7468" w:rsidR="008D6540" w:rsidRPr="003B2207" w:rsidRDefault="007C0763" w:rsidP="008D6540">
      <w:pPr>
        <w:rPr>
          <w:rFonts w:ascii="Arial" w:hAnsi="Arial" w:cs="Arial"/>
          <w:sz w:val="22"/>
          <w:szCs w:val="20"/>
        </w:rPr>
      </w:pPr>
      <w:r w:rsidRPr="003B2207">
        <w:rPr>
          <w:rFonts w:ascii="Arial" w:hAnsi="Arial" w:cs="Arial"/>
          <w:sz w:val="22"/>
          <w:szCs w:val="20"/>
        </w:rPr>
        <w:t xml:space="preserve">After </w:t>
      </w:r>
      <w:r w:rsidR="00E67F5C" w:rsidRPr="003B2207">
        <w:rPr>
          <w:rFonts w:ascii="Arial" w:hAnsi="Arial" w:cs="Arial"/>
          <w:sz w:val="22"/>
          <w:szCs w:val="20"/>
        </w:rPr>
        <w:t>we</w:t>
      </w:r>
      <w:r w:rsidRPr="003B2207">
        <w:rPr>
          <w:rFonts w:ascii="Arial" w:hAnsi="Arial" w:cs="Arial"/>
          <w:sz w:val="22"/>
          <w:szCs w:val="20"/>
        </w:rPr>
        <w:t xml:space="preserve"> choose whatever variables to analyze, SPSS will produce a correlation matrix that shows the respective correlation coefficients. </w:t>
      </w:r>
      <w:r w:rsidR="00E67F5C" w:rsidRPr="003B2207">
        <w:rPr>
          <w:rFonts w:ascii="Arial" w:hAnsi="Arial" w:cs="Arial"/>
          <w:sz w:val="22"/>
          <w:szCs w:val="20"/>
        </w:rPr>
        <w:t xml:space="preserve">This way, the calculated correlation is as follows: </w:t>
      </w:r>
    </w:p>
    <w:p w14:paraId="3D356374" w14:textId="7A1F6F1B" w:rsidR="00E67F5C" w:rsidRPr="008D6540" w:rsidRDefault="00012C1A" w:rsidP="00A56053">
      <w:pPr>
        <w:jc w:val="center"/>
      </w:pPr>
      <w:r>
        <w:rPr>
          <w:noProof/>
        </w:rPr>
        <w:lastRenderedPageBreak/>
        <w:drawing>
          <wp:inline distT="0" distB="0" distL="0" distR="0" wp14:anchorId="076F66E1" wp14:editId="3B4A9499">
            <wp:extent cx="3488186" cy="3743562"/>
            <wp:effectExtent l="0" t="0" r="0" b="9525"/>
            <wp:docPr id="8858466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92378" cy="3748061"/>
                    </a:xfrm>
                    <a:prstGeom prst="rect">
                      <a:avLst/>
                    </a:prstGeom>
                    <a:noFill/>
                    <a:ln>
                      <a:noFill/>
                    </a:ln>
                  </pic:spPr>
                </pic:pic>
              </a:graphicData>
            </a:graphic>
          </wp:inline>
        </w:drawing>
      </w:r>
    </w:p>
    <w:p w14:paraId="50AD191F" w14:textId="0C09AF5C" w:rsidR="00854D69" w:rsidRPr="003B2207" w:rsidRDefault="00D36CD5" w:rsidP="00D36CD5">
      <w:pPr>
        <w:rPr>
          <w:rFonts w:ascii="Arial" w:hAnsi="Arial" w:cs="Arial"/>
          <w:sz w:val="22"/>
          <w:szCs w:val="20"/>
        </w:rPr>
      </w:pPr>
      <w:r w:rsidRPr="003B2207">
        <w:rPr>
          <w:rFonts w:ascii="Arial" w:hAnsi="Arial" w:cs="Arial"/>
          <w:sz w:val="22"/>
          <w:szCs w:val="20"/>
        </w:rPr>
        <w:t>The strength of a connection between two variables can be measured statistically using a technique called correlation</w:t>
      </w:r>
      <w:r w:rsidR="009D6EFB" w:rsidRPr="003B2207">
        <w:rPr>
          <w:rFonts w:ascii="Arial" w:hAnsi="Arial" w:cs="Arial"/>
          <w:sz w:val="22"/>
          <w:szCs w:val="20"/>
        </w:rPr>
        <w:t xml:space="preserve"> (Chen &amp; Zhang, 2020)</w:t>
      </w:r>
      <w:r w:rsidRPr="003B2207">
        <w:rPr>
          <w:rFonts w:ascii="Arial" w:hAnsi="Arial" w:cs="Arial"/>
          <w:sz w:val="22"/>
          <w:szCs w:val="20"/>
        </w:rPr>
        <w:t>. It determines the way shifts in one variable are related to changes in another, as well as the strength and direction of the relationship between the two</w:t>
      </w:r>
      <w:r w:rsidR="009D6EFB" w:rsidRPr="003B2207">
        <w:rPr>
          <w:rFonts w:ascii="Arial" w:hAnsi="Arial" w:cs="Arial"/>
          <w:sz w:val="22"/>
          <w:szCs w:val="20"/>
        </w:rPr>
        <w:t xml:space="preserve"> (Williams, 2019)</w:t>
      </w:r>
      <w:r w:rsidRPr="003B2207">
        <w:rPr>
          <w:rFonts w:ascii="Arial" w:hAnsi="Arial" w:cs="Arial"/>
          <w:sz w:val="22"/>
          <w:szCs w:val="20"/>
        </w:rPr>
        <w:t xml:space="preserve">. Given these facts, there is a 0.905 association between how much coffee you drink on a daily basis and your overall health index score. This establishes a robust positive association between the two variables, demonstrating that the health index tends to rise in tandem with coffee consumption. Statistical significance at the 0.01 level is shown by a p-value of 0.000, indicating that the observed link is not coincidental. Overall, these results suggest a strong and substantial association between coffee consumption and the health index score, lending credence to the idea that one's coffee consumption may have an effect on their health. </w:t>
      </w:r>
    </w:p>
    <w:p w14:paraId="49116B8A" w14:textId="17529175" w:rsidR="001273DC" w:rsidRPr="003B2207" w:rsidRDefault="001273DC" w:rsidP="001273DC">
      <w:pPr>
        <w:pStyle w:val="Heading3"/>
        <w:rPr>
          <w:rFonts w:ascii="Arial" w:hAnsi="Arial" w:cs="Arial"/>
          <w:sz w:val="22"/>
          <w:szCs w:val="22"/>
        </w:rPr>
      </w:pPr>
      <w:bookmarkStart w:id="13" w:name="_Toc139674777"/>
      <w:r w:rsidRPr="003B2207">
        <w:rPr>
          <w:rFonts w:ascii="Arial" w:hAnsi="Arial" w:cs="Arial"/>
          <w:sz w:val="22"/>
          <w:szCs w:val="22"/>
        </w:rPr>
        <w:t>2. Scatterplot Graph</w:t>
      </w:r>
      <w:bookmarkEnd w:id="13"/>
    </w:p>
    <w:p w14:paraId="421B4A7C" w14:textId="367CB7E3" w:rsidR="00BD0941" w:rsidRPr="003B2207" w:rsidRDefault="00BD0941" w:rsidP="00BD0941">
      <w:pPr>
        <w:rPr>
          <w:rFonts w:ascii="Arial" w:hAnsi="Arial" w:cs="Arial"/>
          <w:sz w:val="22"/>
          <w:szCs w:val="20"/>
        </w:rPr>
      </w:pPr>
      <w:r w:rsidRPr="003B2207">
        <w:rPr>
          <w:rFonts w:ascii="Arial" w:hAnsi="Arial" w:cs="Arial"/>
          <w:sz w:val="22"/>
          <w:szCs w:val="20"/>
        </w:rPr>
        <w:t>The relationship between two variables can be graphically represented on a two-dimensional plane using a scatterplot graph</w:t>
      </w:r>
      <w:r w:rsidR="009D6EFB" w:rsidRPr="003B2207">
        <w:rPr>
          <w:rFonts w:ascii="Arial" w:hAnsi="Arial" w:cs="Arial"/>
          <w:sz w:val="22"/>
          <w:szCs w:val="20"/>
        </w:rPr>
        <w:t xml:space="preserve"> (Murray &amp; Fortinberry, 2022)</w:t>
      </w:r>
      <w:r w:rsidRPr="003B2207">
        <w:rPr>
          <w:rFonts w:ascii="Arial" w:hAnsi="Arial" w:cs="Arial"/>
          <w:sz w:val="22"/>
          <w:szCs w:val="20"/>
        </w:rPr>
        <w:t>. Once the data set is open in SPSS, select "Graphs" &gt; "Legacy Dialogues" &gt; "Scatter/Dot." Then we choose "Simple Scatter," specify the x- and y-axis variables (such as coffee intake and health index score, for example), and adjust the graph's appearance as needed.</w:t>
      </w:r>
    </w:p>
    <w:p w14:paraId="2C054CEB" w14:textId="7390C193" w:rsidR="00BD0941" w:rsidRDefault="00BD0941" w:rsidP="00BD0941">
      <w:pPr>
        <w:jc w:val="center"/>
      </w:pPr>
      <w:r>
        <w:rPr>
          <w:noProof/>
        </w:rPr>
        <w:lastRenderedPageBreak/>
        <w:drawing>
          <wp:inline distT="0" distB="0" distL="0" distR="0" wp14:anchorId="25CCB144" wp14:editId="4370723D">
            <wp:extent cx="3896496" cy="4181762"/>
            <wp:effectExtent l="0" t="0" r="8890" b="9525"/>
            <wp:docPr id="11189379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04037" cy="4189855"/>
                    </a:xfrm>
                    <a:prstGeom prst="rect">
                      <a:avLst/>
                    </a:prstGeom>
                    <a:noFill/>
                    <a:ln>
                      <a:noFill/>
                    </a:ln>
                  </pic:spPr>
                </pic:pic>
              </a:graphicData>
            </a:graphic>
          </wp:inline>
        </w:drawing>
      </w:r>
    </w:p>
    <w:p w14:paraId="095E09D8" w14:textId="3A048070" w:rsidR="00BD0941" w:rsidRPr="003B2207" w:rsidRDefault="00BD0941" w:rsidP="00BD0941">
      <w:pPr>
        <w:rPr>
          <w:rFonts w:ascii="Arial" w:hAnsi="Arial" w:cs="Arial"/>
          <w:sz w:val="22"/>
          <w:szCs w:val="20"/>
        </w:rPr>
      </w:pPr>
      <w:r w:rsidRPr="003B2207">
        <w:rPr>
          <w:rFonts w:ascii="Arial" w:hAnsi="Arial" w:cs="Arial"/>
          <w:sz w:val="22"/>
          <w:szCs w:val="20"/>
        </w:rPr>
        <w:t xml:space="preserve">A substantial positive linear link between coffee consumption and the health index score is displayed by the SPSS scatterplot graph generated using the provided data and correlation. The scatterplot graph is given as follows: </w:t>
      </w:r>
    </w:p>
    <w:p w14:paraId="38952243" w14:textId="4C19A4B1" w:rsidR="00BD0941" w:rsidRDefault="00BD0941" w:rsidP="00BD0941">
      <w:pPr>
        <w:jc w:val="center"/>
      </w:pPr>
      <w:r>
        <w:rPr>
          <w:noProof/>
        </w:rPr>
        <w:drawing>
          <wp:inline distT="0" distB="0" distL="0" distR="0" wp14:anchorId="0F4364EB" wp14:editId="585C2387">
            <wp:extent cx="5019676" cy="2731172"/>
            <wp:effectExtent l="0" t="0" r="0" b="0"/>
            <wp:docPr id="21356056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24076" cy="2733566"/>
                    </a:xfrm>
                    <a:prstGeom prst="rect">
                      <a:avLst/>
                    </a:prstGeom>
                    <a:noFill/>
                    <a:ln>
                      <a:noFill/>
                    </a:ln>
                  </pic:spPr>
                </pic:pic>
              </a:graphicData>
            </a:graphic>
          </wp:inline>
        </w:drawing>
      </w:r>
    </w:p>
    <w:p w14:paraId="4CF46510" w14:textId="06B14DA3" w:rsidR="001273DC" w:rsidRPr="003B2207" w:rsidRDefault="00BD0941" w:rsidP="00BD0941">
      <w:pPr>
        <w:rPr>
          <w:rFonts w:ascii="Arial" w:hAnsi="Arial" w:cs="Arial"/>
          <w:sz w:val="22"/>
        </w:rPr>
      </w:pPr>
      <w:r w:rsidRPr="003B2207">
        <w:rPr>
          <w:rFonts w:ascii="Arial" w:hAnsi="Arial" w:cs="Arial"/>
          <w:sz w:val="22"/>
        </w:rPr>
        <w:t xml:space="preserve">There is a clear upward trend in health index scores in correlation with rising rates of coffee drinking. There is a strong positive connection, as the data points form a tight cluster above a </w:t>
      </w:r>
      <w:r w:rsidRPr="003B2207">
        <w:rPr>
          <w:rFonts w:ascii="Arial" w:hAnsi="Arial" w:cs="Arial"/>
          <w:sz w:val="22"/>
        </w:rPr>
        <w:lastRenderedPageBreak/>
        <w:t>linear trend. This finding is supported by the statistically significant correlation coefficient of 0.905 between coffee consumption and health index scores.</w:t>
      </w:r>
      <w:r w:rsidR="003C0CE3" w:rsidRPr="003B2207">
        <w:rPr>
          <w:rFonts w:ascii="Arial" w:hAnsi="Arial" w:cs="Arial"/>
          <w:sz w:val="22"/>
        </w:rPr>
        <w:t xml:space="preserve"> </w:t>
      </w:r>
    </w:p>
    <w:p w14:paraId="3F116887" w14:textId="19E3D41E" w:rsidR="00F173D3" w:rsidRPr="003B2207" w:rsidRDefault="00F173D3">
      <w:pPr>
        <w:spacing w:before="0" w:after="160" w:line="259" w:lineRule="auto"/>
        <w:jc w:val="left"/>
        <w:rPr>
          <w:rFonts w:ascii="Arial" w:hAnsi="Arial" w:cs="Arial"/>
          <w:sz w:val="22"/>
        </w:rPr>
      </w:pPr>
      <w:r w:rsidRPr="003B2207">
        <w:rPr>
          <w:rFonts w:ascii="Arial" w:hAnsi="Arial" w:cs="Arial"/>
          <w:sz w:val="22"/>
        </w:rPr>
        <w:br w:type="page"/>
      </w:r>
    </w:p>
    <w:p w14:paraId="544D4AE7" w14:textId="30565927" w:rsidR="00F173D3" w:rsidRPr="003B2207" w:rsidRDefault="00F173D3" w:rsidP="00F173D3">
      <w:pPr>
        <w:pStyle w:val="Heading1"/>
        <w:rPr>
          <w:rFonts w:ascii="Arial" w:hAnsi="Arial" w:cs="Arial"/>
          <w:sz w:val="22"/>
          <w:szCs w:val="22"/>
        </w:rPr>
      </w:pPr>
      <w:bookmarkStart w:id="14" w:name="_Toc139674778"/>
      <w:r w:rsidRPr="003B2207">
        <w:rPr>
          <w:rFonts w:ascii="Arial" w:hAnsi="Arial" w:cs="Arial"/>
          <w:sz w:val="22"/>
          <w:szCs w:val="22"/>
        </w:rPr>
        <w:lastRenderedPageBreak/>
        <w:t>Part 2: SPSS and Data Mining</w:t>
      </w:r>
      <w:bookmarkEnd w:id="14"/>
    </w:p>
    <w:p w14:paraId="2FC2F061" w14:textId="1A98D88D" w:rsidR="00F173D3" w:rsidRPr="003B2207" w:rsidRDefault="00CE2823" w:rsidP="00CE2823">
      <w:pPr>
        <w:pStyle w:val="Heading2"/>
        <w:rPr>
          <w:rFonts w:ascii="Arial" w:hAnsi="Arial" w:cs="Arial"/>
          <w:sz w:val="22"/>
          <w:szCs w:val="22"/>
        </w:rPr>
      </w:pPr>
      <w:bookmarkStart w:id="15" w:name="_Toc139674779"/>
      <w:r w:rsidRPr="003B2207">
        <w:rPr>
          <w:rFonts w:ascii="Arial" w:hAnsi="Arial" w:cs="Arial"/>
          <w:sz w:val="22"/>
          <w:szCs w:val="22"/>
        </w:rPr>
        <w:t xml:space="preserve">2.a. Advantage and Disadvantage of SPSS, </w:t>
      </w:r>
      <w:proofErr w:type="gramStart"/>
      <w:r w:rsidRPr="003B2207">
        <w:rPr>
          <w:rFonts w:ascii="Arial" w:hAnsi="Arial" w:cs="Arial"/>
          <w:sz w:val="22"/>
          <w:szCs w:val="22"/>
        </w:rPr>
        <w:t>Excel</w:t>
      </w:r>
      <w:proofErr w:type="gramEnd"/>
      <w:r w:rsidRPr="003B2207">
        <w:rPr>
          <w:rFonts w:ascii="Arial" w:hAnsi="Arial" w:cs="Arial"/>
          <w:sz w:val="22"/>
          <w:szCs w:val="22"/>
        </w:rPr>
        <w:t xml:space="preserve"> or Tableau</w:t>
      </w:r>
      <w:bookmarkEnd w:id="15"/>
      <w:r w:rsidRPr="003B2207">
        <w:rPr>
          <w:rFonts w:ascii="Arial" w:hAnsi="Arial" w:cs="Arial"/>
          <w:sz w:val="22"/>
          <w:szCs w:val="22"/>
        </w:rPr>
        <w:t xml:space="preserve"> </w:t>
      </w:r>
    </w:p>
    <w:p w14:paraId="662C8D32" w14:textId="5B77739F" w:rsidR="00CE2823" w:rsidRPr="003B2207" w:rsidRDefault="00485C6A" w:rsidP="00FA0479">
      <w:pPr>
        <w:pStyle w:val="Heading3"/>
        <w:rPr>
          <w:rFonts w:ascii="Arial" w:hAnsi="Arial" w:cs="Arial"/>
          <w:sz w:val="22"/>
          <w:szCs w:val="22"/>
        </w:rPr>
      </w:pPr>
      <w:bookmarkStart w:id="16" w:name="_Toc139674780"/>
      <w:r w:rsidRPr="003B2207">
        <w:rPr>
          <w:rFonts w:ascii="Arial" w:hAnsi="Arial" w:cs="Arial"/>
          <w:sz w:val="22"/>
          <w:szCs w:val="22"/>
        </w:rPr>
        <w:t>Advantage and Disadvantage of SPSS</w:t>
      </w:r>
      <w:bookmarkEnd w:id="16"/>
    </w:p>
    <w:p w14:paraId="29E1595E" w14:textId="0268640C" w:rsidR="003E260A" w:rsidRPr="003B2207" w:rsidRDefault="003E260A" w:rsidP="003E260A">
      <w:pPr>
        <w:rPr>
          <w:rFonts w:ascii="Arial" w:hAnsi="Arial" w:cs="Arial"/>
          <w:sz w:val="22"/>
        </w:rPr>
      </w:pPr>
      <w:r w:rsidRPr="003B2207">
        <w:rPr>
          <w:rFonts w:ascii="Arial" w:hAnsi="Arial" w:cs="Arial"/>
          <w:sz w:val="22"/>
        </w:rPr>
        <w:t>The statistical analysis and data management capabilities of SPSS (Statistical Package for the Social Sciences) are well-known and widely utilized</w:t>
      </w:r>
      <w:r w:rsidR="009D6EFB" w:rsidRPr="003B2207">
        <w:rPr>
          <w:rFonts w:ascii="Arial" w:hAnsi="Arial" w:cs="Arial"/>
          <w:sz w:val="22"/>
        </w:rPr>
        <w:t xml:space="preserve"> (Kim &amp; Cho, 2018)</w:t>
      </w:r>
      <w:r w:rsidRPr="003B2207">
        <w:rPr>
          <w:rFonts w:ascii="Arial" w:hAnsi="Arial" w:cs="Arial"/>
          <w:sz w:val="22"/>
        </w:rPr>
        <w:t xml:space="preserve">. It has an intuitive interface and numerous statistical methods for exploring large datasets, making it useful for both academics and analysts. Data visualization is another area where SPSS shines, enabling users to </w:t>
      </w:r>
      <w:proofErr w:type="gramStart"/>
      <w:r w:rsidRPr="003B2207">
        <w:rPr>
          <w:rFonts w:ascii="Arial" w:hAnsi="Arial" w:cs="Arial"/>
          <w:sz w:val="22"/>
        </w:rPr>
        <w:t>quickly and easily make eye-catching graphs and charts</w:t>
      </w:r>
      <w:proofErr w:type="gramEnd"/>
      <w:r w:rsidRPr="003B2207">
        <w:rPr>
          <w:rFonts w:ascii="Arial" w:hAnsi="Arial" w:cs="Arial"/>
          <w:sz w:val="22"/>
        </w:rPr>
        <w:t xml:space="preserve"> to better present their findings.</w:t>
      </w:r>
    </w:p>
    <w:p w14:paraId="452E2704" w14:textId="510612B2" w:rsidR="003E260A" w:rsidRPr="003B2207" w:rsidRDefault="003E260A" w:rsidP="00FA0479">
      <w:pPr>
        <w:pStyle w:val="Heading4"/>
        <w:rPr>
          <w:rFonts w:ascii="Arial" w:hAnsi="Arial" w:cs="Arial"/>
          <w:sz w:val="22"/>
        </w:rPr>
      </w:pPr>
      <w:r w:rsidRPr="003B2207">
        <w:rPr>
          <w:rFonts w:ascii="Arial" w:hAnsi="Arial" w:cs="Arial"/>
          <w:sz w:val="22"/>
        </w:rPr>
        <w:t>Advantage of SPSS</w:t>
      </w:r>
    </w:p>
    <w:p w14:paraId="169BA351" w14:textId="68E942D9" w:rsidR="003E260A" w:rsidRPr="003B2207" w:rsidRDefault="003E260A" w:rsidP="003E260A">
      <w:pPr>
        <w:rPr>
          <w:rFonts w:ascii="Arial" w:hAnsi="Arial" w:cs="Arial"/>
          <w:sz w:val="22"/>
        </w:rPr>
      </w:pPr>
      <w:r w:rsidRPr="003B2207">
        <w:rPr>
          <w:rFonts w:ascii="Arial" w:hAnsi="Arial" w:cs="Arial"/>
          <w:sz w:val="22"/>
        </w:rPr>
        <w:t>SPSS's strength is in its rich collection of statistical methods. Researchers in the social sciences, for instance, can use regression analysis to probe causal connections between variables, or component analysis to tease out hidden factors</w:t>
      </w:r>
      <w:r w:rsidR="009D6EFB" w:rsidRPr="003B2207">
        <w:rPr>
          <w:rFonts w:ascii="Arial" w:hAnsi="Arial" w:cs="Arial"/>
          <w:sz w:val="22"/>
        </w:rPr>
        <w:t xml:space="preserve"> (Murray &amp; Fortinberry, 2022)</w:t>
      </w:r>
      <w:r w:rsidRPr="003B2207">
        <w:rPr>
          <w:rFonts w:ascii="Arial" w:hAnsi="Arial" w:cs="Arial"/>
          <w:sz w:val="22"/>
        </w:rPr>
        <w:t>. SPSS's data visualization features, which let users make eye-catching charts and graphs, are another perk. This is very helpful when reporting statistical findings to clients or other interested parties.</w:t>
      </w:r>
    </w:p>
    <w:p w14:paraId="6BD50C40" w14:textId="460A9FAD" w:rsidR="003E260A" w:rsidRPr="003B2207" w:rsidRDefault="003E260A" w:rsidP="00FA0479">
      <w:pPr>
        <w:pStyle w:val="Heading4"/>
        <w:rPr>
          <w:rFonts w:ascii="Arial" w:hAnsi="Arial" w:cs="Arial"/>
          <w:sz w:val="22"/>
        </w:rPr>
      </w:pPr>
      <w:r w:rsidRPr="003B2207">
        <w:rPr>
          <w:rFonts w:ascii="Arial" w:hAnsi="Arial" w:cs="Arial"/>
          <w:sz w:val="22"/>
        </w:rPr>
        <w:t>Disadvantage of SPSS</w:t>
      </w:r>
    </w:p>
    <w:p w14:paraId="48B6724A" w14:textId="41D36741" w:rsidR="00485C6A" w:rsidRPr="003B2207" w:rsidRDefault="003E260A" w:rsidP="003E260A">
      <w:pPr>
        <w:rPr>
          <w:rFonts w:ascii="Arial" w:hAnsi="Arial" w:cs="Arial"/>
          <w:sz w:val="22"/>
        </w:rPr>
      </w:pPr>
      <w:r w:rsidRPr="003B2207">
        <w:rPr>
          <w:rFonts w:ascii="Arial" w:hAnsi="Arial" w:cs="Arial"/>
          <w:sz w:val="22"/>
        </w:rPr>
        <w:t>There are, however, certain disadvantages to utilizing SPSS. The first is that it may have trouble processing large datasets due to performance difficulties. Second, learning the syntax of SPSS may be necessary for mastering more complex statistical methods within the Programme</w:t>
      </w:r>
      <w:r w:rsidR="009D6EFB" w:rsidRPr="003B2207">
        <w:rPr>
          <w:rFonts w:ascii="Arial" w:hAnsi="Arial" w:cs="Arial"/>
          <w:sz w:val="22"/>
        </w:rPr>
        <w:t xml:space="preserve"> (Kim &amp; Cho, 2018)</w:t>
      </w:r>
      <w:r w:rsidRPr="003B2207">
        <w:rPr>
          <w:rFonts w:ascii="Arial" w:hAnsi="Arial" w:cs="Arial"/>
          <w:sz w:val="22"/>
        </w:rPr>
        <w:t>. In addition, licensing fees can be prohibitive for businesses and individuals with limited resources. A healthcare researcher, for instance, can determine the efficacy of a medication by analyzing patient data using SPSS. The data can be analyzed using t-tests and chi-square tests, and the results can be visualized using histograms and scatter plots.</w:t>
      </w:r>
      <w:r w:rsidR="00FA0479" w:rsidRPr="003B2207">
        <w:rPr>
          <w:rFonts w:ascii="Arial" w:hAnsi="Arial" w:cs="Arial"/>
          <w:sz w:val="22"/>
        </w:rPr>
        <w:t xml:space="preserve"> </w:t>
      </w:r>
    </w:p>
    <w:p w14:paraId="2683FEBA" w14:textId="6D71EAB3" w:rsidR="00FA0479" w:rsidRPr="003B2207" w:rsidRDefault="00FA0479" w:rsidP="00FA0479">
      <w:pPr>
        <w:pStyle w:val="Heading2"/>
        <w:rPr>
          <w:rFonts w:ascii="Arial" w:hAnsi="Arial" w:cs="Arial"/>
          <w:sz w:val="22"/>
          <w:szCs w:val="22"/>
        </w:rPr>
      </w:pPr>
      <w:bookmarkStart w:id="17" w:name="_Toc139674781"/>
      <w:r w:rsidRPr="003B2207">
        <w:rPr>
          <w:rFonts w:ascii="Arial" w:hAnsi="Arial" w:cs="Arial"/>
          <w:sz w:val="22"/>
          <w:szCs w:val="22"/>
        </w:rPr>
        <w:t xml:space="preserve">Advantage and Disadvantage of </w:t>
      </w:r>
      <w:r w:rsidR="002E343C" w:rsidRPr="003B2207">
        <w:rPr>
          <w:rFonts w:ascii="Arial" w:hAnsi="Arial" w:cs="Arial"/>
          <w:sz w:val="22"/>
          <w:szCs w:val="22"/>
        </w:rPr>
        <w:t>Excel</w:t>
      </w:r>
      <w:bookmarkEnd w:id="17"/>
    </w:p>
    <w:p w14:paraId="0016A533" w14:textId="263471DA" w:rsidR="00A273F1" w:rsidRPr="003B2207" w:rsidRDefault="00A273F1" w:rsidP="00A273F1">
      <w:pPr>
        <w:rPr>
          <w:rFonts w:ascii="Arial" w:hAnsi="Arial" w:cs="Arial"/>
          <w:sz w:val="22"/>
        </w:rPr>
      </w:pPr>
      <w:r w:rsidRPr="003B2207">
        <w:rPr>
          <w:rFonts w:ascii="Arial" w:hAnsi="Arial" w:cs="Arial"/>
          <w:sz w:val="22"/>
        </w:rPr>
        <w:t xml:space="preserve">Microsoft Excel, a popular and easily available spreadsheet program, includes </w:t>
      </w:r>
      <w:proofErr w:type="gramStart"/>
      <w:r w:rsidRPr="003B2207">
        <w:rPr>
          <w:rFonts w:ascii="Arial" w:hAnsi="Arial" w:cs="Arial"/>
          <w:sz w:val="22"/>
        </w:rPr>
        <w:t>a number of</w:t>
      </w:r>
      <w:proofErr w:type="gramEnd"/>
      <w:r w:rsidRPr="003B2207">
        <w:rPr>
          <w:rFonts w:ascii="Arial" w:hAnsi="Arial" w:cs="Arial"/>
          <w:sz w:val="22"/>
        </w:rPr>
        <w:t xml:space="preserve"> tools for calculating, graphing, and analyzing data. Its mathematics and interface are so straightforward that it has a large user base. With Excel, users can simply do calculations, build tables, and make charts, and the program can scale to accommodate datasets of varying sizes</w:t>
      </w:r>
      <w:r w:rsidR="009D6EFB" w:rsidRPr="003B2207">
        <w:rPr>
          <w:rFonts w:ascii="Arial" w:hAnsi="Arial" w:cs="Arial"/>
          <w:sz w:val="22"/>
        </w:rPr>
        <w:t xml:space="preserve"> (Jones &amp; Green, 2021)</w:t>
      </w:r>
      <w:r w:rsidRPr="003B2207">
        <w:rPr>
          <w:rFonts w:ascii="Arial" w:hAnsi="Arial" w:cs="Arial"/>
          <w:sz w:val="22"/>
        </w:rPr>
        <w:t>.</w:t>
      </w:r>
    </w:p>
    <w:p w14:paraId="7FCC4E65" w14:textId="77777777" w:rsidR="00A273F1" w:rsidRPr="003B2207" w:rsidRDefault="00A273F1" w:rsidP="00A273F1">
      <w:pPr>
        <w:rPr>
          <w:rFonts w:ascii="Arial" w:hAnsi="Arial" w:cs="Arial"/>
          <w:sz w:val="22"/>
        </w:rPr>
      </w:pPr>
    </w:p>
    <w:p w14:paraId="2FA7F27B" w14:textId="62E3355F" w:rsidR="00A273F1" w:rsidRPr="003B2207" w:rsidRDefault="00A273F1" w:rsidP="00A273F1">
      <w:pPr>
        <w:pStyle w:val="Heading4"/>
        <w:rPr>
          <w:rFonts w:ascii="Arial" w:hAnsi="Arial" w:cs="Arial"/>
          <w:sz w:val="22"/>
        </w:rPr>
      </w:pPr>
      <w:r w:rsidRPr="003B2207">
        <w:rPr>
          <w:rFonts w:ascii="Arial" w:hAnsi="Arial" w:cs="Arial"/>
          <w:sz w:val="22"/>
        </w:rPr>
        <w:lastRenderedPageBreak/>
        <w:t>Advantages of Excel</w:t>
      </w:r>
    </w:p>
    <w:p w14:paraId="5BE873B9" w14:textId="3D0CD082" w:rsidR="00A273F1" w:rsidRPr="003B2207" w:rsidRDefault="00A273F1" w:rsidP="00A273F1">
      <w:pPr>
        <w:rPr>
          <w:rFonts w:ascii="Arial" w:hAnsi="Arial" w:cs="Arial"/>
          <w:sz w:val="22"/>
        </w:rPr>
      </w:pPr>
      <w:r w:rsidRPr="003B2207">
        <w:rPr>
          <w:rFonts w:ascii="Arial" w:hAnsi="Arial" w:cs="Arial"/>
          <w:sz w:val="22"/>
        </w:rPr>
        <w:t xml:space="preserve">Excel's familiarity and general availability make it appealing to a large audience. It </w:t>
      </w:r>
      <w:proofErr w:type="gramStart"/>
      <w:r w:rsidRPr="003B2207">
        <w:rPr>
          <w:rFonts w:ascii="Arial" w:hAnsi="Arial" w:cs="Arial"/>
          <w:sz w:val="22"/>
        </w:rPr>
        <w:t>has the ability to</w:t>
      </w:r>
      <w:proofErr w:type="gramEnd"/>
      <w:r w:rsidRPr="003B2207">
        <w:rPr>
          <w:rFonts w:ascii="Arial" w:hAnsi="Arial" w:cs="Arial"/>
          <w:sz w:val="22"/>
        </w:rPr>
        <w:t xml:space="preserve"> quickly calculate and summarize data with built-in functions like SUM, AVERAGE, and COUNT. Excel's chart and graph options are very adaptable, making data visualization a breeze.</w:t>
      </w:r>
    </w:p>
    <w:p w14:paraId="7FAC7192" w14:textId="426F8F98" w:rsidR="00A273F1" w:rsidRPr="003B2207" w:rsidRDefault="00A273F1" w:rsidP="00A273F1">
      <w:pPr>
        <w:pStyle w:val="Heading4"/>
        <w:rPr>
          <w:rFonts w:ascii="Arial" w:hAnsi="Arial" w:cs="Arial"/>
          <w:sz w:val="22"/>
        </w:rPr>
      </w:pPr>
      <w:r w:rsidRPr="003B2207">
        <w:rPr>
          <w:rFonts w:ascii="Arial" w:hAnsi="Arial" w:cs="Arial"/>
          <w:sz w:val="22"/>
        </w:rPr>
        <w:t>Disadvantages of Excel</w:t>
      </w:r>
    </w:p>
    <w:p w14:paraId="15C7CB2F" w14:textId="4BE0F315" w:rsidR="00FA0479" w:rsidRPr="003B2207" w:rsidRDefault="00A273F1" w:rsidP="00A273F1">
      <w:pPr>
        <w:rPr>
          <w:rFonts w:ascii="Arial" w:hAnsi="Arial" w:cs="Arial"/>
          <w:sz w:val="22"/>
        </w:rPr>
      </w:pPr>
      <w:r w:rsidRPr="003B2207">
        <w:rPr>
          <w:rFonts w:ascii="Arial" w:hAnsi="Arial" w:cs="Arial"/>
          <w:sz w:val="22"/>
        </w:rPr>
        <w:t>However, when compared to dedicated statistical programs like SPSS or R, Excel falls short. It might not be up to snuff for in-depth modeling or statistical analysis. Calculations in Excel and elementary statistical processing are its primary focus. It can be difficult to work with enormous datasets or execute complex statistical methods</w:t>
      </w:r>
      <w:r w:rsidR="009D6EFB" w:rsidRPr="003B2207">
        <w:rPr>
          <w:rFonts w:ascii="Arial" w:hAnsi="Arial" w:cs="Arial"/>
          <w:sz w:val="22"/>
        </w:rPr>
        <w:t xml:space="preserve"> (Hair, Black, Babin, &amp; Anderson, 2019)</w:t>
      </w:r>
      <w:r w:rsidRPr="003B2207">
        <w:rPr>
          <w:rFonts w:ascii="Arial" w:hAnsi="Arial" w:cs="Arial"/>
          <w:sz w:val="22"/>
        </w:rPr>
        <w:t>. A marketing analyst, for instance, may utilize Excel for data analysis, key performance metric calculation, and visualization. However, specialized statistical tools may be needed for more sophisticated tasks like regression analysis or market segmentation.</w:t>
      </w:r>
    </w:p>
    <w:p w14:paraId="09DB2AF3" w14:textId="255EF710" w:rsidR="00387647" w:rsidRPr="003B2207" w:rsidRDefault="00387647" w:rsidP="00387647">
      <w:pPr>
        <w:pStyle w:val="Heading2"/>
        <w:rPr>
          <w:rFonts w:ascii="Arial" w:hAnsi="Arial" w:cs="Arial"/>
          <w:sz w:val="22"/>
          <w:szCs w:val="22"/>
        </w:rPr>
      </w:pPr>
      <w:bookmarkStart w:id="18" w:name="_Toc139674782"/>
      <w:r w:rsidRPr="003B2207">
        <w:rPr>
          <w:rFonts w:ascii="Arial" w:hAnsi="Arial" w:cs="Arial"/>
          <w:sz w:val="22"/>
          <w:szCs w:val="22"/>
        </w:rPr>
        <w:t>Advantage and Disadvantage of Tableau</w:t>
      </w:r>
      <w:bookmarkEnd w:id="18"/>
    </w:p>
    <w:p w14:paraId="26456B1C" w14:textId="77777777" w:rsidR="00387647" w:rsidRPr="003B2207" w:rsidRDefault="00387647" w:rsidP="00A273F1">
      <w:pPr>
        <w:rPr>
          <w:rFonts w:ascii="Arial" w:hAnsi="Arial" w:cs="Arial"/>
          <w:sz w:val="22"/>
        </w:rPr>
      </w:pPr>
      <w:r w:rsidRPr="003B2207">
        <w:rPr>
          <w:rFonts w:ascii="Arial" w:hAnsi="Arial" w:cs="Arial"/>
          <w:sz w:val="22"/>
        </w:rPr>
        <w:t xml:space="preserve">Tableau is a popular choice for interactive data visualization as well as business intelligence due to its user-friendly interface. </w:t>
      </w:r>
      <w:proofErr w:type="gramStart"/>
      <w:r w:rsidRPr="003B2207">
        <w:rPr>
          <w:rFonts w:ascii="Arial" w:hAnsi="Arial" w:cs="Arial"/>
          <w:sz w:val="22"/>
        </w:rPr>
        <w:t>Following</w:t>
      </w:r>
      <w:proofErr w:type="gramEnd"/>
      <w:r w:rsidRPr="003B2207">
        <w:rPr>
          <w:rFonts w:ascii="Arial" w:hAnsi="Arial" w:cs="Arial"/>
          <w:sz w:val="22"/>
        </w:rPr>
        <w:t xml:space="preserve"> are the advantages and disadvantages.  </w:t>
      </w:r>
    </w:p>
    <w:p w14:paraId="159B70E6" w14:textId="6B78B6AD" w:rsidR="00387647" w:rsidRPr="003B2207" w:rsidRDefault="00387647" w:rsidP="00387647">
      <w:pPr>
        <w:pStyle w:val="Heading4"/>
        <w:rPr>
          <w:rFonts w:ascii="Arial" w:hAnsi="Arial" w:cs="Arial"/>
          <w:sz w:val="22"/>
        </w:rPr>
      </w:pPr>
      <w:r w:rsidRPr="003B2207">
        <w:rPr>
          <w:rFonts w:ascii="Arial" w:hAnsi="Arial" w:cs="Arial"/>
          <w:sz w:val="22"/>
        </w:rPr>
        <w:t>Advantages of Tableau</w:t>
      </w:r>
    </w:p>
    <w:p w14:paraId="046F9E22" w14:textId="3CFF218E" w:rsidR="00387647" w:rsidRPr="003B2207" w:rsidRDefault="00387647" w:rsidP="00A273F1">
      <w:pPr>
        <w:rPr>
          <w:rFonts w:ascii="Arial" w:hAnsi="Arial" w:cs="Arial"/>
          <w:sz w:val="22"/>
        </w:rPr>
      </w:pPr>
      <w:r w:rsidRPr="003B2207">
        <w:rPr>
          <w:rFonts w:ascii="Arial" w:hAnsi="Arial" w:cs="Arial"/>
          <w:sz w:val="22"/>
        </w:rPr>
        <w:t>With its dynamic representations, users may build custom dashboards and charts to better understand their data</w:t>
      </w:r>
      <w:r w:rsidR="009D6EFB" w:rsidRPr="003B2207">
        <w:rPr>
          <w:rFonts w:ascii="Arial" w:hAnsi="Arial" w:cs="Arial"/>
          <w:sz w:val="22"/>
        </w:rPr>
        <w:t xml:space="preserve"> (Brown &amp; Wilson, 2020)</w:t>
      </w:r>
      <w:r w:rsidRPr="003B2207">
        <w:rPr>
          <w:rFonts w:ascii="Arial" w:hAnsi="Arial" w:cs="Arial"/>
          <w:sz w:val="22"/>
        </w:rPr>
        <w:t>. Tableau's data integration and connectivity features make it easy to deal with data from a wide variety of sources</w:t>
      </w:r>
      <w:r w:rsidR="009D6EFB" w:rsidRPr="003B2207">
        <w:rPr>
          <w:rFonts w:ascii="Arial" w:hAnsi="Arial" w:cs="Arial"/>
          <w:sz w:val="22"/>
        </w:rPr>
        <w:t xml:space="preserve"> (Smith &amp; Johnson, 2019)</w:t>
      </w:r>
      <w:r w:rsidRPr="003B2207">
        <w:rPr>
          <w:rFonts w:ascii="Arial" w:hAnsi="Arial" w:cs="Arial"/>
          <w:sz w:val="22"/>
        </w:rPr>
        <w:t xml:space="preserve">. A sales manager, for instance, can use Tableau to examine regional sales data, build engaging dashboards, and spot trends. </w:t>
      </w:r>
    </w:p>
    <w:p w14:paraId="5A2282C8" w14:textId="4845D085" w:rsidR="00387647" w:rsidRPr="003B2207" w:rsidRDefault="00387647" w:rsidP="00387647">
      <w:pPr>
        <w:pStyle w:val="Heading4"/>
        <w:rPr>
          <w:rFonts w:ascii="Arial" w:hAnsi="Arial" w:cs="Arial"/>
          <w:sz w:val="22"/>
        </w:rPr>
      </w:pPr>
      <w:r w:rsidRPr="003B2207">
        <w:rPr>
          <w:rFonts w:ascii="Arial" w:hAnsi="Arial" w:cs="Arial"/>
          <w:sz w:val="22"/>
        </w:rPr>
        <w:t>Disadvantages of Tableau</w:t>
      </w:r>
    </w:p>
    <w:p w14:paraId="2F052E94" w14:textId="287ADFCC" w:rsidR="00387647" w:rsidRPr="003B2207" w:rsidRDefault="00387647" w:rsidP="00A273F1">
      <w:pPr>
        <w:rPr>
          <w:rFonts w:ascii="Arial" w:hAnsi="Arial" w:cs="Arial"/>
          <w:sz w:val="22"/>
        </w:rPr>
      </w:pPr>
      <w:r w:rsidRPr="003B2207">
        <w:rPr>
          <w:rFonts w:ascii="Arial" w:hAnsi="Arial" w:cs="Arial"/>
          <w:sz w:val="22"/>
        </w:rPr>
        <w:t>However, Tableau licenses tend to be pricey, and learning how to use its more complex functions may take extra time and effort</w:t>
      </w:r>
      <w:r w:rsidR="009B7FDF" w:rsidRPr="003B2207">
        <w:rPr>
          <w:rFonts w:ascii="Arial" w:hAnsi="Arial" w:cs="Arial"/>
          <w:sz w:val="22"/>
        </w:rPr>
        <w:t xml:space="preserve"> (Hair, Black, Babin, &amp; Anderson, 2019)</w:t>
      </w:r>
      <w:r w:rsidRPr="003B2207">
        <w:rPr>
          <w:rFonts w:ascii="Arial" w:hAnsi="Arial" w:cs="Arial"/>
          <w:sz w:val="22"/>
        </w:rPr>
        <w:t>. Nonetheless, Tableau is a favorite among businesses looking for effective analysis and visualization of data solutions due to its impressive graphics and data connectivity.</w:t>
      </w:r>
    </w:p>
    <w:p w14:paraId="48B9AC55" w14:textId="42AA2E87" w:rsidR="00CE2823" w:rsidRPr="003B2207" w:rsidRDefault="00CE2823" w:rsidP="00CE2823">
      <w:pPr>
        <w:pStyle w:val="Heading2"/>
        <w:rPr>
          <w:rFonts w:ascii="Arial" w:hAnsi="Arial" w:cs="Arial"/>
          <w:sz w:val="22"/>
          <w:szCs w:val="22"/>
        </w:rPr>
      </w:pPr>
      <w:bookmarkStart w:id="19" w:name="_Toc139674783"/>
      <w:r w:rsidRPr="003B2207">
        <w:rPr>
          <w:rFonts w:ascii="Arial" w:hAnsi="Arial" w:cs="Arial"/>
          <w:sz w:val="22"/>
          <w:szCs w:val="22"/>
        </w:rPr>
        <w:t>2.b. Data Mining Cycle</w:t>
      </w:r>
      <w:bookmarkEnd w:id="19"/>
    </w:p>
    <w:p w14:paraId="70EA6763" w14:textId="62B31C51" w:rsidR="002D375B" w:rsidRPr="003B2207" w:rsidRDefault="002D375B" w:rsidP="002D375B">
      <w:pPr>
        <w:rPr>
          <w:rFonts w:ascii="Arial" w:hAnsi="Arial" w:cs="Arial"/>
          <w:sz w:val="22"/>
        </w:rPr>
      </w:pPr>
      <w:r w:rsidRPr="003B2207">
        <w:rPr>
          <w:rFonts w:ascii="Arial" w:hAnsi="Arial" w:cs="Arial"/>
          <w:sz w:val="22"/>
        </w:rPr>
        <w:t xml:space="preserve">The repetitive procedure of discovering meaningful insights and patterns in massive datasets is known as the Data Mining Cycle. Data gathering, preprocessing, modeling, evaluating, and deploying are all part of the process. This loop highlights how data mining is an ongoing </w:t>
      </w:r>
      <w:r w:rsidRPr="003B2207">
        <w:rPr>
          <w:rFonts w:ascii="Arial" w:hAnsi="Arial" w:cs="Arial"/>
          <w:sz w:val="22"/>
        </w:rPr>
        <w:lastRenderedPageBreak/>
        <w:t>process, with each cycle building on the previous one</w:t>
      </w:r>
      <w:r w:rsidR="009B7FDF" w:rsidRPr="003B2207">
        <w:rPr>
          <w:rFonts w:ascii="Arial" w:hAnsi="Arial" w:cs="Arial"/>
          <w:sz w:val="22"/>
        </w:rPr>
        <w:t xml:space="preserve"> (Hair, Black, Babin, &amp; Anderson, 2019)</w:t>
      </w:r>
      <w:r w:rsidRPr="003B2207">
        <w:rPr>
          <w:rFonts w:ascii="Arial" w:hAnsi="Arial" w:cs="Arial"/>
          <w:sz w:val="22"/>
        </w:rPr>
        <w:t>. For several reasons, the Data Mining Cycle is crucial. Firstly, it aids businesses in gaining a competitive edge by allowing them to see previously unseen patterns and trends in their data. A company's strategic ambitions and operational efficiency can be improved by analyzing massive amounts of data to reveal insights like consumer behavior patterns and market trends.</w:t>
      </w:r>
    </w:p>
    <w:p w14:paraId="0EDA0033" w14:textId="6830AF07" w:rsidR="002D375B" w:rsidRPr="003B2207" w:rsidRDefault="001A18EC" w:rsidP="001A18EC">
      <w:pPr>
        <w:jc w:val="center"/>
        <w:rPr>
          <w:rFonts w:ascii="Arial" w:hAnsi="Arial" w:cs="Arial"/>
          <w:sz w:val="22"/>
        </w:rPr>
      </w:pPr>
      <w:r w:rsidRPr="003B2207">
        <w:rPr>
          <w:rFonts w:ascii="Arial" w:hAnsi="Arial" w:cs="Arial"/>
          <w:noProof/>
          <w:sz w:val="22"/>
        </w:rPr>
        <w:drawing>
          <wp:inline distT="0" distB="0" distL="0" distR="0" wp14:anchorId="3ADA74CB" wp14:editId="57CE5184">
            <wp:extent cx="2607414" cy="2525662"/>
            <wp:effectExtent l="0" t="0" r="2540" b="8255"/>
            <wp:docPr id="1620331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14065" cy="2532105"/>
                    </a:xfrm>
                    <a:prstGeom prst="rect">
                      <a:avLst/>
                    </a:prstGeom>
                    <a:noFill/>
                    <a:ln>
                      <a:noFill/>
                    </a:ln>
                  </pic:spPr>
                </pic:pic>
              </a:graphicData>
            </a:graphic>
          </wp:inline>
        </w:drawing>
      </w:r>
    </w:p>
    <w:p w14:paraId="52C7E48E" w14:textId="6CAE084C" w:rsidR="002D375B" w:rsidRPr="003B2207" w:rsidRDefault="002D375B" w:rsidP="002D375B">
      <w:pPr>
        <w:rPr>
          <w:rFonts w:ascii="Arial" w:hAnsi="Arial" w:cs="Arial"/>
          <w:sz w:val="22"/>
        </w:rPr>
      </w:pPr>
      <w:r w:rsidRPr="003B2207">
        <w:rPr>
          <w:rFonts w:ascii="Arial" w:hAnsi="Arial" w:cs="Arial"/>
          <w:sz w:val="22"/>
        </w:rPr>
        <w:t>The Data Mining Cycle is capable of being seen in action across many different sectors. For instance, data mining is often used to study client shopping habits in the retail sector, allowing for more specific advertising and merchandising efforts</w:t>
      </w:r>
      <w:r w:rsidR="009B7FDF" w:rsidRPr="003B2207">
        <w:rPr>
          <w:rFonts w:ascii="Arial" w:hAnsi="Arial" w:cs="Arial"/>
          <w:sz w:val="22"/>
        </w:rPr>
        <w:t xml:space="preserve"> (Smith &amp; Johnson, 2019)</w:t>
      </w:r>
      <w:r w:rsidRPr="003B2207">
        <w:rPr>
          <w:rFonts w:ascii="Arial" w:hAnsi="Arial" w:cs="Arial"/>
          <w:sz w:val="22"/>
        </w:rPr>
        <w:t>. The cycle can be used to examine patient records, spot trends in disease diagnosis, and zero in on aspects that improve the health of patients</w:t>
      </w:r>
      <w:r w:rsidR="009B7FDF" w:rsidRPr="003B2207">
        <w:rPr>
          <w:rFonts w:ascii="Arial" w:hAnsi="Arial" w:cs="Arial"/>
          <w:sz w:val="22"/>
        </w:rPr>
        <w:t xml:space="preserve"> (Murray &amp; Fortinberry, 2022)</w:t>
      </w:r>
      <w:r w:rsidRPr="003B2207">
        <w:rPr>
          <w:rFonts w:ascii="Arial" w:hAnsi="Arial" w:cs="Arial"/>
          <w:sz w:val="22"/>
        </w:rPr>
        <w:t>. The Data Mining Cycle is also crucial in the fight against fraud. Organizations can prevent losses and uncover fraudulent acts early on by examining financial transactions and looking for irregularities.</w:t>
      </w:r>
    </w:p>
    <w:p w14:paraId="655C5C55" w14:textId="4179F369" w:rsidR="0077707B" w:rsidRPr="003B2207" w:rsidRDefault="002D375B" w:rsidP="002D375B">
      <w:pPr>
        <w:rPr>
          <w:rFonts w:ascii="Arial" w:hAnsi="Arial" w:cs="Arial"/>
          <w:sz w:val="22"/>
        </w:rPr>
      </w:pPr>
      <w:r w:rsidRPr="003B2207">
        <w:rPr>
          <w:rFonts w:ascii="Arial" w:hAnsi="Arial" w:cs="Arial"/>
          <w:sz w:val="22"/>
        </w:rPr>
        <w:t>To sum up, the Data Mining Cycle is a recursive method for learning from massive data sets. It is crucial for making better decisions, spotting useful patterns, and obtaining an edge over the competition. Data mining has practical implications in many fields, including health care, retail, and fraud detection, because it helps businesses make informed decisions with more complete information</w:t>
      </w:r>
      <w:r w:rsidR="009B7FDF" w:rsidRPr="003B2207">
        <w:rPr>
          <w:rFonts w:ascii="Arial" w:hAnsi="Arial" w:cs="Arial"/>
          <w:sz w:val="22"/>
        </w:rPr>
        <w:t xml:space="preserve"> (Kim &amp; Cho, 2018)</w:t>
      </w:r>
      <w:r w:rsidRPr="003B2207">
        <w:rPr>
          <w:rFonts w:ascii="Arial" w:hAnsi="Arial" w:cs="Arial"/>
          <w:sz w:val="22"/>
        </w:rPr>
        <w:t>.</w:t>
      </w:r>
    </w:p>
    <w:p w14:paraId="18A3F0D7" w14:textId="646D55DF" w:rsidR="001A18EC" w:rsidRPr="003B2207" w:rsidRDefault="001A18EC" w:rsidP="001A18EC">
      <w:pPr>
        <w:pStyle w:val="Heading1"/>
        <w:rPr>
          <w:rFonts w:ascii="Arial" w:hAnsi="Arial" w:cs="Arial"/>
          <w:sz w:val="22"/>
          <w:szCs w:val="22"/>
        </w:rPr>
      </w:pPr>
      <w:bookmarkStart w:id="20" w:name="_Toc139674784"/>
      <w:r w:rsidRPr="003B2207">
        <w:rPr>
          <w:rFonts w:ascii="Arial" w:hAnsi="Arial" w:cs="Arial"/>
          <w:sz w:val="22"/>
          <w:szCs w:val="22"/>
        </w:rPr>
        <w:t>Conclusion</w:t>
      </w:r>
      <w:bookmarkEnd w:id="20"/>
    </w:p>
    <w:p w14:paraId="5FFD09C3" w14:textId="30817C46" w:rsidR="001A18EC" w:rsidRPr="003B2207" w:rsidRDefault="004B7A80" w:rsidP="004B7A80">
      <w:pPr>
        <w:rPr>
          <w:rFonts w:ascii="Arial" w:hAnsi="Arial" w:cs="Arial"/>
          <w:sz w:val="22"/>
        </w:rPr>
      </w:pPr>
      <w:r w:rsidRPr="003B2207">
        <w:rPr>
          <w:rFonts w:ascii="Arial" w:hAnsi="Arial" w:cs="Arial"/>
          <w:sz w:val="22"/>
        </w:rPr>
        <w:t xml:space="preserve">This report included Excel and SPSS data management and business intelligence. The dataset provides insights on coffee intake and health index score. The data mining cycle, </w:t>
      </w:r>
      <w:r w:rsidRPr="003B2207">
        <w:rPr>
          <w:rFonts w:ascii="Arial" w:hAnsi="Arial" w:cs="Arial"/>
          <w:sz w:val="22"/>
        </w:rPr>
        <w:lastRenderedPageBreak/>
        <w:t>Excel, SPSS, and Tableau pros and cons were discussed. Data analysis techniques and methods help inform decision-making, as shown in this paper.</w:t>
      </w:r>
      <w:r w:rsidR="00BC3A67" w:rsidRPr="003B2207">
        <w:rPr>
          <w:rFonts w:ascii="Arial" w:hAnsi="Arial" w:cs="Arial"/>
          <w:sz w:val="22"/>
        </w:rPr>
        <w:t xml:space="preserve"> </w:t>
      </w:r>
    </w:p>
    <w:p w14:paraId="1CD92A26" w14:textId="6BC12025" w:rsidR="00750C2B" w:rsidRPr="003B2207" w:rsidRDefault="00750C2B">
      <w:pPr>
        <w:spacing w:before="0" w:after="160" w:line="259" w:lineRule="auto"/>
        <w:jc w:val="left"/>
        <w:rPr>
          <w:rFonts w:ascii="Arial" w:hAnsi="Arial" w:cs="Arial"/>
          <w:sz w:val="22"/>
        </w:rPr>
      </w:pPr>
      <w:r w:rsidRPr="003B2207">
        <w:rPr>
          <w:rFonts w:ascii="Arial" w:hAnsi="Arial" w:cs="Arial"/>
          <w:sz w:val="22"/>
        </w:rPr>
        <w:br w:type="page"/>
      </w:r>
    </w:p>
    <w:p w14:paraId="6AFB11DE" w14:textId="1446E8AD" w:rsidR="00750C2B" w:rsidRPr="003B2207" w:rsidRDefault="00750C2B" w:rsidP="00750C2B">
      <w:pPr>
        <w:pStyle w:val="Heading1"/>
        <w:rPr>
          <w:rFonts w:ascii="Arial" w:hAnsi="Arial" w:cs="Arial"/>
          <w:sz w:val="22"/>
          <w:szCs w:val="22"/>
        </w:rPr>
      </w:pPr>
      <w:bookmarkStart w:id="21" w:name="_Toc139674785"/>
      <w:r w:rsidRPr="003B2207">
        <w:rPr>
          <w:rFonts w:ascii="Arial" w:hAnsi="Arial" w:cs="Arial"/>
          <w:sz w:val="22"/>
          <w:szCs w:val="22"/>
        </w:rPr>
        <w:lastRenderedPageBreak/>
        <w:t>References</w:t>
      </w:r>
      <w:bookmarkEnd w:id="21"/>
    </w:p>
    <w:p w14:paraId="255E0689" w14:textId="77777777" w:rsidR="00E26F82" w:rsidRPr="003B2207" w:rsidRDefault="00E26F82" w:rsidP="00E26F82">
      <w:pPr>
        <w:rPr>
          <w:rFonts w:ascii="Arial" w:hAnsi="Arial" w:cs="Arial"/>
          <w:sz w:val="22"/>
        </w:rPr>
      </w:pPr>
      <w:r w:rsidRPr="003B2207">
        <w:rPr>
          <w:rFonts w:ascii="Arial" w:hAnsi="Arial" w:cs="Arial"/>
          <w:sz w:val="22"/>
        </w:rPr>
        <w:t>Brown, M., &amp; Wilson, L. (2020). Business Intelligence and Analytics: Systems for Decision Support. Wiley.</w:t>
      </w:r>
    </w:p>
    <w:p w14:paraId="232D8DE3" w14:textId="77777777" w:rsidR="00E26F82" w:rsidRPr="003B2207" w:rsidRDefault="00E26F82" w:rsidP="00E26F82">
      <w:pPr>
        <w:rPr>
          <w:rFonts w:ascii="Arial" w:hAnsi="Arial" w:cs="Arial"/>
          <w:sz w:val="22"/>
        </w:rPr>
      </w:pPr>
      <w:r w:rsidRPr="003B2207">
        <w:rPr>
          <w:rFonts w:ascii="Arial" w:hAnsi="Arial" w:cs="Arial"/>
          <w:sz w:val="22"/>
        </w:rPr>
        <w:t>Chen, L., &amp; Zhang, C. (2020). Data Mining Techniques and Applications: An Introduction. CRC Press.</w:t>
      </w:r>
    </w:p>
    <w:p w14:paraId="25A90852" w14:textId="77777777" w:rsidR="00E26F82" w:rsidRPr="003B2207" w:rsidRDefault="00E26F82" w:rsidP="00E26F82">
      <w:pPr>
        <w:rPr>
          <w:rFonts w:ascii="Arial" w:hAnsi="Arial" w:cs="Arial"/>
          <w:sz w:val="22"/>
        </w:rPr>
      </w:pPr>
      <w:r w:rsidRPr="003B2207">
        <w:rPr>
          <w:rFonts w:ascii="Arial" w:hAnsi="Arial" w:cs="Arial"/>
          <w:sz w:val="22"/>
        </w:rPr>
        <w:t>Hair, J. F., Black, W. C., Babin, B. J., &amp; Anderson, R. E. (2019). Multivariate Data Analysis. Cengage Learning.</w:t>
      </w:r>
    </w:p>
    <w:p w14:paraId="60B0F6DF" w14:textId="77777777" w:rsidR="00E26F82" w:rsidRPr="003B2207" w:rsidRDefault="00E26F82" w:rsidP="00E26F82">
      <w:pPr>
        <w:rPr>
          <w:rFonts w:ascii="Arial" w:hAnsi="Arial" w:cs="Arial"/>
          <w:sz w:val="22"/>
        </w:rPr>
      </w:pPr>
      <w:r w:rsidRPr="003B2207">
        <w:rPr>
          <w:rFonts w:ascii="Arial" w:hAnsi="Arial" w:cs="Arial"/>
          <w:sz w:val="22"/>
        </w:rPr>
        <w:t>Jones, R., &amp; Green, S. (2021). Excel Data Analysis: Your Visual Blueprint for Analyzing Data, Charts, and PivotTables. Wiley.</w:t>
      </w:r>
    </w:p>
    <w:p w14:paraId="7FFBB4FB" w14:textId="77777777" w:rsidR="00E26F82" w:rsidRPr="003B2207" w:rsidRDefault="00E26F82" w:rsidP="00E26F82">
      <w:pPr>
        <w:rPr>
          <w:rFonts w:ascii="Arial" w:hAnsi="Arial" w:cs="Arial"/>
          <w:sz w:val="22"/>
        </w:rPr>
      </w:pPr>
      <w:r w:rsidRPr="003B2207">
        <w:rPr>
          <w:rFonts w:ascii="Arial" w:hAnsi="Arial" w:cs="Arial"/>
          <w:sz w:val="22"/>
        </w:rPr>
        <w:t>Kim, Y., &amp; Cho, H. (2018). Advanced Data Mining Techniques for Business Intelligence. Springer.</w:t>
      </w:r>
    </w:p>
    <w:p w14:paraId="765AF791" w14:textId="77777777" w:rsidR="00E26F82" w:rsidRPr="003B2207" w:rsidRDefault="00E26F82" w:rsidP="00E26F82">
      <w:pPr>
        <w:rPr>
          <w:rFonts w:ascii="Arial" w:hAnsi="Arial" w:cs="Arial"/>
          <w:sz w:val="22"/>
        </w:rPr>
      </w:pPr>
      <w:r w:rsidRPr="003B2207">
        <w:rPr>
          <w:rFonts w:ascii="Arial" w:hAnsi="Arial" w:cs="Arial"/>
          <w:sz w:val="22"/>
        </w:rPr>
        <w:t xml:space="preserve">Murray, M., &amp; Fortinberry, R. (2022). Tableau Your </w:t>
      </w:r>
      <w:proofErr w:type="gramStart"/>
      <w:r w:rsidRPr="003B2207">
        <w:rPr>
          <w:rFonts w:ascii="Arial" w:hAnsi="Arial" w:cs="Arial"/>
          <w:sz w:val="22"/>
        </w:rPr>
        <w:t>Data!:</w:t>
      </w:r>
      <w:proofErr w:type="gramEnd"/>
      <w:r w:rsidRPr="003B2207">
        <w:rPr>
          <w:rFonts w:ascii="Arial" w:hAnsi="Arial" w:cs="Arial"/>
          <w:sz w:val="22"/>
        </w:rPr>
        <w:t xml:space="preserve"> Fast and Easy Visual Analysis with Tableau Software. Wiley.</w:t>
      </w:r>
    </w:p>
    <w:p w14:paraId="1AD87595" w14:textId="77777777" w:rsidR="00E26F82" w:rsidRPr="003B2207" w:rsidRDefault="00E26F82" w:rsidP="00E26F82">
      <w:pPr>
        <w:rPr>
          <w:rFonts w:ascii="Arial" w:hAnsi="Arial" w:cs="Arial"/>
          <w:sz w:val="22"/>
        </w:rPr>
      </w:pPr>
      <w:r w:rsidRPr="003B2207">
        <w:rPr>
          <w:rFonts w:ascii="Arial" w:hAnsi="Arial" w:cs="Arial"/>
          <w:sz w:val="22"/>
        </w:rPr>
        <w:t>Smith, J., &amp; Johnson, A. (2019). Data Analysis Techniques: An Introduction. Cambridge University Press.</w:t>
      </w:r>
    </w:p>
    <w:p w14:paraId="7D238B00" w14:textId="77777777" w:rsidR="00E26F82" w:rsidRPr="003B2207" w:rsidRDefault="00E26F82" w:rsidP="00E26F82">
      <w:pPr>
        <w:rPr>
          <w:rFonts w:ascii="Arial" w:hAnsi="Arial" w:cs="Arial"/>
          <w:sz w:val="22"/>
        </w:rPr>
      </w:pPr>
      <w:r w:rsidRPr="003B2207">
        <w:rPr>
          <w:rFonts w:ascii="Arial" w:hAnsi="Arial" w:cs="Arial"/>
          <w:sz w:val="22"/>
        </w:rPr>
        <w:t>Williams, C. (2019). SPSS for Social Scientists. Sage Publications.</w:t>
      </w:r>
    </w:p>
    <w:p w14:paraId="5A28E34F" w14:textId="77777777" w:rsidR="00750C2B" w:rsidRPr="003B2207" w:rsidRDefault="00750C2B" w:rsidP="00750C2B">
      <w:pPr>
        <w:rPr>
          <w:rFonts w:ascii="Arial" w:hAnsi="Arial" w:cs="Arial"/>
          <w:sz w:val="22"/>
        </w:rPr>
      </w:pPr>
    </w:p>
    <w:sectPr w:rsidR="00750C2B" w:rsidRPr="003B2207" w:rsidSect="00D71F47">
      <w:footerReference w:type="default" r:id="rId23"/>
      <w:footerReference w:type="first" r:id="rId24"/>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77F50" w14:textId="77777777" w:rsidR="00D778E0" w:rsidRDefault="00D778E0" w:rsidP="00D71F47">
      <w:pPr>
        <w:spacing w:before="0" w:after="0" w:line="240" w:lineRule="auto"/>
      </w:pPr>
      <w:r>
        <w:separator/>
      </w:r>
    </w:p>
  </w:endnote>
  <w:endnote w:type="continuationSeparator" w:id="0">
    <w:p w14:paraId="5342F348" w14:textId="77777777" w:rsidR="00D778E0" w:rsidRDefault="00D778E0" w:rsidP="00D71F4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372521"/>
      <w:docPartObj>
        <w:docPartGallery w:val="Page Numbers (Bottom of Page)"/>
        <w:docPartUnique/>
      </w:docPartObj>
    </w:sdtPr>
    <w:sdtEndPr>
      <w:rPr>
        <w:noProof/>
      </w:rPr>
    </w:sdtEndPr>
    <w:sdtContent>
      <w:p w14:paraId="3471239C" w14:textId="2726D08F" w:rsidR="004E53B0" w:rsidRDefault="004E53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D2A44" w14:textId="77777777" w:rsidR="004E53B0" w:rsidRDefault="004E53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70171" w14:textId="7A882546" w:rsidR="004E53B0" w:rsidRDefault="004E53B0">
    <w:pPr>
      <w:pStyle w:val="Footer"/>
      <w:jc w:val="right"/>
    </w:pPr>
  </w:p>
  <w:p w14:paraId="4005AAAA" w14:textId="77777777" w:rsidR="004E53B0" w:rsidRDefault="004E5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D1CDC" w14:textId="77777777" w:rsidR="00D778E0" w:rsidRDefault="00D778E0" w:rsidP="00D71F47">
      <w:pPr>
        <w:spacing w:before="0" w:after="0" w:line="240" w:lineRule="auto"/>
      </w:pPr>
      <w:r>
        <w:separator/>
      </w:r>
    </w:p>
  </w:footnote>
  <w:footnote w:type="continuationSeparator" w:id="0">
    <w:p w14:paraId="0EDA16E1" w14:textId="77777777" w:rsidR="00D778E0" w:rsidRDefault="00D778E0" w:rsidP="00D71F4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7F4"/>
    <w:multiLevelType w:val="hybridMultilevel"/>
    <w:tmpl w:val="F77E4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FE4606"/>
    <w:multiLevelType w:val="hybridMultilevel"/>
    <w:tmpl w:val="E5EADB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815DB1"/>
    <w:multiLevelType w:val="hybridMultilevel"/>
    <w:tmpl w:val="BD7EFC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7922BF"/>
    <w:multiLevelType w:val="hybridMultilevel"/>
    <w:tmpl w:val="0C1E3B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1536C6"/>
    <w:multiLevelType w:val="hybridMultilevel"/>
    <w:tmpl w:val="AFE697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541203"/>
    <w:multiLevelType w:val="hybridMultilevel"/>
    <w:tmpl w:val="FDCE94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245185"/>
    <w:multiLevelType w:val="hybridMultilevel"/>
    <w:tmpl w:val="EF8EA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DD307D"/>
    <w:multiLevelType w:val="hybridMultilevel"/>
    <w:tmpl w:val="46CC4D16"/>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3D1799"/>
    <w:multiLevelType w:val="hybridMultilevel"/>
    <w:tmpl w:val="838CFE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4D40F9"/>
    <w:multiLevelType w:val="hybridMultilevel"/>
    <w:tmpl w:val="FC9813DA"/>
    <w:lvl w:ilvl="0" w:tplc="0409000F">
      <w:start w:val="1"/>
      <w:numFmt w:val="decimal"/>
      <w:lvlText w:val="%1."/>
      <w:lvlJc w:val="left"/>
      <w:pPr>
        <w:ind w:left="1080" w:hanging="360"/>
      </w:pPr>
      <w:rPr>
        <w:rFonts w:hint="default"/>
        <w:i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30945995"/>
    <w:multiLevelType w:val="hybridMultilevel"/>
    <w:tmpl w:val="FC7A7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6D535E6"/>
    <w:multiLevelType w:val="hybridMultilevel"/>
    <w:tmpl w:val="E1BC65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9E36833"/>
    <w:multiLevelType w:val="hybridMultilevel"/>
    <w:tmpl w:val="D71A9F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F751FFA"/>
    <w:multiLevelType w:val="hybridMultilevel"/>
    <w:tmpl w:val="E2D495B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3A212F"/>
    <w:multiLevelType w:val="hybridMultilevel"/>
    <w:tmpl w:val="FA4258C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4855B2"/>
    <w:multiLevelType w:val="hybridMultilevel"/>
    <w:tmpl w:val="93E8912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2A6918"/>
    <w:multiLevelType w:val="hybridMultilevel"/>
    <w:tmpl w:val="150A8E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81038F"/>
    <w:multiLevelType w:val="hybridMultilevel"/>
    <w:tmpl w:val="C4603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A76909"/>
    <w:multiLevelType w:val="multilevel"/>
    <w:tmpl w:val="79727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0D36E2"/>
    <w:multiLevelType w:val="hybridMultilevel"/>
    <w:tmpl w:val="5C1295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86C6BC4"/>
    <w:multiLevelType w:val="hybridMultilevel"/>
    <w:tmpl w:val="5CA0D9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5A4790"/>
    <w:multiLevelType w:val="hybridMultilevel"/>
    <w:tmpl w:val="B5AC2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AE6112"/>
    <w:multiLevelType w:val="hybridMultilevel"/>
    <w:tmpl w:val="181C62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4461356"/>
    <w:multiLevelType w:val="hybridMultilevel"/>
    <w:tmpl w:val="7E7835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93D2265"/>
    <w:multiLevelType w:val="hybridMultilevel"/>
    <w:tmpl w:val="7F9E6B7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678183B"/>
    <w:multiLevelType w:val="hybridMultilevel"/>
    <w:tmpl w:val="A7D6570E"/>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15:restartNumberingAfterBreak="0">
    <w:nsid w:val="79FF07FC"/>
    <w:multiLevelType w:val="hybridMultilevel"/>
    <w:tmpl w:val="137CE8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D6A26CF"/>
    <w:multiLevelType w:val="multilevel"/>
    <w:tmpl w:val="2B4C8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4679024">
    <w:abstractNumId w:val="10"/>
  </w:num>
  <w:num w:numId="2" w16cid:durableId="334259774">
    <w:abstractNumId w:val="12"/>
  </w:num>
  <w:num w:numId="3" w16cid:durableId="2146770442">
    <w:abstractNumId w:val="1"/>
  </w:num>
  <w:num w:numId="4" w16cid:durableId="260376332">
    <w:abstractNumId w:val="3"/>
  </w:num>
  <w:num w:numId="5" w16cid:durableId="2033993810">
    <w:abstractNumId w:val="19"/>
  </w:num>
  <w:num w:numId="6" w16cid:durableId="1753816304">
    <w:abstractNumId w:val="7"/>
  </w:num>
  <w:num w:numId="7" w16cid:durableId="1430734373">
    <w:abstractNumId w:val="8"/>
  </w:num>
  <w:num w:numId="8" w16cid:durableId="1747609527">
    <w:abstractNumId w:val="2"/>
  </w:num>
  <w:num w:numId="9" w16cid:durableId="1279415231">
    <w:abstractNumId w:val="23"/>
  </w:num>
  <w:num w:numId="10" w16cid:durableId="10766082">
    <w:abstractNumId w:val="21"/>
  </w:num>
  <w:num w:numId="11" w16cid:durableId="193424045">
    <w:abstractNumId w:val="4"/>
  </w:num>
  <w:num w:numId="12" w16cid:durableId="228658899">
    <w:abstractNumId w:val="16"/>
  </w:num>
  <w:num w:numId="13" w16cid:durableId="125857721">
    <w:abstractNumId w:val="0"/>
  </w:num>
  <w:num w:numId="14" w16cid:durableId="1845702871">
    <w:abstractNumId w:val="5"/>
  </w:num>
  <w:num w:numId="15" w16cid:durableId="598022424">
    <w:abstractNumId w:val="9"/>
  </w:num>
  <w:num w:numId="16" w16cid:durableId="2088185243">
    <w:abstractNumId w:val="25"/>
  </w:num>
  <w:num w:numId="17" w16cid:durableId="501244008">
    <w:abstractNumId w:val="11"/>
  </w:num>
  <w:num w:numId="18" w16cid:durableId="484123675">
    <w:abstractNumId w:val="14"/>
  </w:num>
  <w:num w:numId="19" w16cid:durableId="806361708">
    <w:abstractNumId w:val="20"/>
  </w:num>
  <w:num w:numId="20" w16cid:durableId="1971327160">
    <w:abstractNumId w:val="13"/>
  </w:num>
  <w:num w:numId="21" w16cid:durableId="1489055830">
    <w:abstractNumId w:val="17"/>
  </w:num>
  <w:num w:numId="22" w16cid:durableId="725494394">
    <w:abstractNumId w:val="24"/>
  </w:num>
  <w:num w:numId="23" w16cid:durableId="1852180002">
    <w:abstractNumId w:val="22"/>
  </w:num>
  <w:num w:numId="24" w16cid:durableId="565800954">
    <w:abstractNumId w:val="15"/>
  </w:num>
  <w:num w:numId="25" w16cid:durableId="16976405">
    <w:abstractNumId w:val="6"/>
  </w:num>
  <w:num w:numId="26" w16cid:durableId="1533229733">
    <w:abstractNumId w:val="26"/>
  </w:num>
  <w:num w:numId="27" w16cid:durableId="1200514458">
    <w:abstractNumId w:val="18"/>
  </w:num>
  <w:num w:numId="28" w16cid:durableId="13410473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AASNjY1MDY0MLJR2l4NTi4sz8PJACI4NaAGlBIU4tAAAA"/>
  </w:docVars>
  <w:rsids>
    <w:rsidRoot w:val="00C15734"/>
    <w:rsid w:val="000029A4"/>
    <w:rsid w:val="00003069"/>
    <w:rsid w:val="0000710E"/>
    <w:rsid w:val="00012C1A"/>
    <w:rsid w:val="00024BE4"/>
    <w:rsid w:val="00033E6B"/>
    <w:rsid w:val="00036D97"/>
    <w:rsid w:val="000412FF"/>
    <w:rsid w:val="000427EA"/>
    <w:rsid w:val="0004622D"/>
    <w:rsid w:val="00047992"/>
    <w:rsid w:val="00050C96"/>
    <w:rsid w:val="00052D57"/>
    <w:rsid w:val="00053092"/>
    <w:rsid w:val="00055DC2"/>
    <w:rsid w:val="00057F47"/>
    <w:rsid w:val="00061A67"/>
    <w:rsid w:val="00062617"/>
    <w:rsid w:val="00064FE5"/>
    <w:rsid w:val="000754E5"/>
    <w:rsid w:val="00081B6A"/>
    <w:rsid w:val="00086DE8"/>
    <w:rsid w:val="000A19B2"/>
    <w:rsid w:val="000A7B26"/>
    <w:rsid w:val="000B7867"/>
    <w:rsid w:val="000C0544"/>
    <w:rsid w:val="000D05BE"/>
    <w:rsid w:val="000D669C"/>
    <w:rsid w:val="000D77AA"/>
    <w:rsid w:val="000D7F47"/>
    <w:rsid w:val="000E3D97"/>
    <w:rsid w:val="000E3F1B"/>
    <w:rsid w:val="000E5A8D"/>
    <w:rsid w:val="000F34D8"/>
    <w:rsid w:val="000F4757"/>
    <w:rsid w:val="00105D98"/>
    <w:rsid w:val="00106F72"/>
    <w:rsid w:val="00112BB2"/>
    <w:rsid w:val="00112CB1"/>
    <w:rsid w:val="00122509"/>
    <w:rsid w:val="00125616"/>
    <w:rsid w:val="00125AD3"/>
    <w:rsid w:val="001273DC"/>
    <w:rsid w:val="001363E9"/>
    <w:rsid w:val="00136619"/>
    <w:rsid w:val="00140637"/>
    <w:rsid w:val="00140C30"/>
    <w:rsid w:val="00141F82"/>
    <w:rsid w:val="00144B4B"/>
    <w:rsid w:val="00151B4B"/>
    <w:rsid w:val="00153F06"/>
    <w:rsid w:val="001601E4"/>
    <w:rsid w:val="00165846"/>
    <w:rsid w:val="00167300"/>
    <w:rsid w:val="00176BA8"/>
    <w:rsid w:val="001827C6"/>
    <w:rsid w:val="00182EFE"/>
    <w:rsid w:val="0018723B"/>
    <w:rsid w:val="001902B1"/>
    <w:rsid w:val="0019347A"/>
    <w:rsid w:val="00195529"/>
    <w:rsid w:val="001A18EC"/>
    <w:rsid w:val="001A201A"/>
    <w:rsid w:val="001A2A05"/>
    <w:rsid w:val="001A3737"/>
    <w:rsid w:val="001A3C24"/>
    <w:rsid w:val="001A5438"/>
    <w:rsid w:val="001A77DC"/>
    <w:rsid w:val="001B50CA"/>
    <w:rsid w:val="001B5713"/>
    <w:rsid w:val="001D5218"/>
    <w:rsid w:val="001E7D90"/>
    <w:rsid w:val="001F4EAC"/>
    <w:rsid w:val="001F798B"/>
    <w:rsid w:val="0020541F"/>
    <w:rsid w:val="002134B2"/>
    <w:rsid w:val="00216139"/>
    <w:rsid w:val="0022596F"/>
    <w:rsid w:val="0022609D"/>
    <w:rsid w:val="00227C08"/>
    <w:rsid w:val="00230D60"/>
    <w:rsid w:val="002331DA"/>
    <w:rsid w:val="0023740A"/>
    <w:rsid w:val="00237B83"/>
    <w:rsid w:val="00247AD5"/>
    <w:rsid w:val="0025394C"/>
    <w:rsid w:val="00255421"/>
    <w:rsid w:val="00255D8A"/>
    <w:rsid w:val="00261314"/>
    <w:rsid w:val="00277D46"/>
    <w:rsid w:val="00292A6F"/>
    <w:rsid w:val="002A4BAA"/>
    <w:rsid w:val="002A50CC"/>
    <w:rsid w:val="002C61E6"/>
    <w:rsid w:val="002C72CA"/>
    <w:rsid w:val="002D295A"/>
    <w:rsid w:val="002D344C"/>
    <w:rsid w:val="002D375B"/>
    <w:rsid w:val="002D4BC7"/>
    <w:rsid w:val="002D5F09"/>
    <w:rsid w:val="002E343C"/>
    <w:rsid w:val="002E46F9"/>
    <w:rsid w:val="002E6F71"/>
    <w:rsid w:val="003024D2"/>
    <w:rsid w:val="00303460"/>
    <w:rsid w:val="00305424"/>
    <w:rsid w:val="00307E08"/>
    <w:rsid w:val="00311C8A"/>
    <w:rsid w:val="00320468"/>
    <w:rsid w:val="00321D39"/>
    <w:rsid w:val="00323C52"/>
    <w:rsid w:val="003257AC"/>
    <w:rsid w:val="003372E3"/>
    <w:rsid w:val="003404ED"/>
    <w:rsid w:val="00342C5A"/>
    <w:rsid w:val="0034434D"/>
    <w:rsid w:val="00351520"/>
    <w:rsid w:val="00352D99"/>
    <w:rsid w:val="00364437"/>
    <w:rsid w:val="00370AAD"/>
    <w:rsid w:val="00372B65"/>
    <w:rsid w:val="0037419D"/>
    <w:rsid w:val="00374513"/>
    <w:rsid w:val="00375D43"/>
    <w:rsid w:val="00376E6B"/>
    <w:rsid w:val="00383855"/>
    <w:rsid w:val="003865E9"/>
    <w:rsid w:val="00387647"/>
    <w:rsid w:val="00392537"/>
    <w:rsid w:val="003927CA"/>
    <w:rsid w:val="00396550"/>
    <w:rsid w:val="003A37ED"/>
    <w:rsid w:val="003A534F"/>
    <w:rsid w:val="003B1E54"/>
    <w:rsid w:val="003B2207"/>
    <w:rsid w:val="003C0CE3"/>
    <w:rsid w:val="003E260A"/>
    <w:rsid w:val="003E41DB"/>
    <w:rsid w:val="003E5220"/>
    <w:rsid w:val="003E76A8"/>
    <w:rsid w:val="003F70CF"/>
    <w:rsid w:val="00400B2C"/>
    <w:rsid w:val="00401294"/>
    <w:rsid w:val="004140CD"/>
    <w:rsid w:val="00416D4E"/>
    <w:rsid w:val="004200DE"/>
    <w:rsid w:val="00426F57"/>
    <w:rsid w:val="00430248"/>
    <w:rsid w:val="00443D1C"/>
    <w:rsid w:val="0045443A"/>
    <w:rsid w:val="00454F01"/>
    <w:rsid w:val="00460357"/>
    <w:rsid w:val="00464F1F"/>
    <w:rsid w:val="00472447"/>
    <w:rsid w:val="00472619"/>
    <w:rsid w:val="00475152"/>
    <w:rsid w:val="00477255"/>
    <w:rsid w:val="00484266"/>
    <w:rsid w:val="00485817"/>
    <w:rsid w:val="00485C6A"/>
    <w:rsid w:val="00491D38"/>
    <w:rsid w:val="0049417A"/>
    <w:rsid w:val="0049527B"/>
    <w:rsid w:val="004A1487"/>
    <w:rsid w:val="004B2E4D"/>
    <w:rsid w:val="004B34C5"/>
    <w:rsid w:val="004B56FC"/>
    <w:rsid w:val="004B5A16"/>
    <w:rsid w:val="004B6E85"/>
    <w:rsid w:val="004B7A80"/>
    <w:rsid w:val="004C3AF1"/>
    <w:rsid w:val="004C6DDE"/>
    <w:rsid w:val="004C72F4"/>
    <w:rsid w:val="004D2817"/>
    <w:rsid w:val="004D76EA"/>
    <w:rsid w:val="004E2CE2"/>
    <w:rsid w:val="004E40FA"/>
    <w:rsid w:val="004E42D8"/>
    <w:rsid w:val="004E4D28"/>
    <w:rsid w:val="004E53B0"/>
    <w:rsid w:val="004F08B5"/>
    <w:rsid w:val="004F3D29"/>
    <w:rsid w:val="00501604"/>
    <w:rsid w:val="00504674"/>
    <w:rsid w:val="005149EB"/>
    <w:rsid w:val="00514D4D"/>
    <w:rsid w:val="00521465"/>
    <w:rsid w:val="0052390B"/>
    <w:rsid w:val="00531D5B"/>
    <w:rsid w:val="00534CBB"/>
    <w:rsid w:val="00541D67"/>
    <w:rsid w:val="00542BD4"/>
    <w:rsid w:val="00543B57"/>
    <w:rsid w:val="005466E1"/>
    <w:rsid w:val="0055419B"/>
    <w:rsid w:val="00563090"/>
    <w:rsid w:val="00564D81"/>
    <w:rsid w:val="0056784D"/>
    <w:rsid w:val="0058204B"/>
    <w:rsid w:val="00586350"/>
    <w:rsid w:val="005916C6"/>
    <w:rsid w:val="005A1F52"/>
    <w:rsid w:val="005A47B7"/>
    <w:rsid w:val="005A5D1A"/>
    <w:rsid w:val="005B3D05"/>
    <w:rsid w:val="005D4AF2"/>
    <w:rsid w:val="005E0DD9"/>
    <w:rsid w:val="005E702D"/>
    <w:rsid w:val="005F30B4"/>
    <w:rsid w:val="005F4D10"/>
    <w:rsid w:val="00600EC0"/>
    <w:rsid w:val="0060406E"/>
    <w:rsid w:val="00606501"/>
    <w:rsid w:val="0061630D"/>
    <w:rsid w:val="00617A9D"/>
    <w:rsid w:val="00632D21"/>
    <w:rsid w:val="006422D9"/>
    <w:rsid w:val="00643B76"/>
    <w:rsid w:val="00644BE1"/>
    <w:rsid w:val="00653B77"/>
    <w:rsid w:val="00657BAC"/>
    <w:rsid w:val="006628BD"/>
    <w:rsid w:val="0067255F"/>
    <w:rsid w:val="00673E55"/>
    <w:rsid w:val="006753C4"/>
    <w:rsid w:val="00676E43"/>
    <w:rsid w:val="006852DA"/>
    <w:rsid w:val="00685A4E"/>
    <w:rsid w:val="00690A92"/>
    <w:rsid w:val="00693287"/>
    <w:rsid w:val="006A1C08"/>
    <w:rsid w:val="006B74ED"/>
    <w:rsid w:val="006C7129"/>
    <w:rsid w:val="006D1E9D"/>
    <w:rsid w:val="006D43AF"/>
    <w:rsid w:val="006E0B1D"/>
    <w:rsid w:val="006E6C90"/>
    <w:rsid w:val="006F30F9"/>
    <w:rsid w:val="006F337C"/>
    <w:rsid w:val="00705E5D"/>
    <w:rsid w:val="007131B4"/>
    <w:rsid w:val="00714208"/>
    <w:rsid w:val="00726B13"/>
    <w:rsid w:val="00731019"/>
    <w:rsid w:val="00735EFE"/>
    <w:rsid w:val="007413ED"/>
    <w:rsid w:val="00743BCB"/>
    <w:rsid w:val="00746A18"/>
    <w:rsid w:val="00750C2B"/>
    <w:rsid w:val="00750EFE"/>
    <w:rsid w:val="00754BE0"/>
    <w:rsid w:val="00765204"/>
    <w:rsid w:val="0077707B"/>
    <w:rsid w:val="0078034F"/>
    <w:rsid w:val="007926DB"/>
    <w:rsid w:val="007A6069"/>
    <w:rsid w:val="007B0D5D"/>
    <w:rsid w:val="007B5C32"/>
    <w:rsid w:val="007C0704"/>
    <w:rsid w:val="007C0763"/>
    <w:rsid w:val="007D3560"/>
    <w:rsid w:val="007D489F"/>
    <w:rsid w:val="007D7039"/>
    <w:rsid w:val="007E0045"/>
    <w:rsid w:val="007E0C9C"/>
    <w:rsid w:val="007E6403"/>
    <w:rsid w:val="007E65C8"/>
    <w:rsid w:val="007E7C86"/>
    <w:rsid w:val="008001ED"/>
    <w:rsid w:val="00802876"/>
    <w:rsid w:val="00807007"/>
    <w:rsid w:val="00811627"/>
    <w:rsid w:val="008160D7"/>
    <w:rsid w:val="00817341"/>
    <w:rsid w:val="008174CF"/>
    <w:rsid w:val="00817A94"/>
    <w:rsid w:val="0082023D"/>
    <w:rsid w:val="008224EF"/>
    <w:rsid w:val="00824061"/>
    <w:rsid w:val="00824457"/>
    <w:rsid w:val="00833671"/>
    <w:rsid w:val="008354BC"/>
    <w:rsid w:val="008375D6"/>
    <w:rsid w:val="00843579"/>
    <w:rsid w:val="00846840"/>
    <w:rsid w:val="00846842"/>
    <w:rsid w:val="0084740F"/>
    <w:rsid w:val="00851427"/>
    <w:rsid w:val="00854D69"/>
    <w:rsid w:val="00856808"/>
    <w:rsid w:val="00862ABD"/>
    <w:rsid w:val="008721E0"/>
    <w:rsid w:val="0088077A"/>
    <w:rsid w:val="008828D3"/>
    <w:rsid w:val="00885CB9"/>
    <w:rsid w:val="0089394B"/>
    <w:rsid w:val="00897851"/>
    <w:rsid w:val="008A1933"/>
    <w:rsid w:val="008A4082"/>
    <w:rsid w:val="008B5E6F"/>
    <w:rsid w:val="008B6D14"/>
    <w:rsid w:val="008C58C0"/>
    <w:rsid w:val="008C744B"/>
    <w:rsid w:val="008D4E37"/>
    <w:rsid w:val="008D6540"/>
    <w:rsid w:val="008F2FFB"/>
    <w:rsid w:val="008F76A2"/>
    <w:rsid w:val="009036AB"/>
    <w:rsid w:val="009118B4"/>
    <w:rsid w:val="00911F17"/>
    <w:rsid w:val="009147B5"/>
    <w:rsid w:val="00917D10"/>
    <w:rsid w:val="009227A8"/>
    <w:rsid w:val="009235D2"/>
    <w:rsid w:val="009246B7"/>
    <w:rsid w:val="00926BD2"/>
    <w:rsid w:val="00934245"/>
    <w:rsid w:val="00941587"/>
    <w:rsid w:val="0095088D"/>
    <w:rsid w:val="0095299C"/>
    <w:rsid w:val="009564F9"/>
    <w:rsid w:val="00960A58"/>
    <w:rsid w:val="00965B7A"/>
    <w:rsid w:val="0097165B"/>
    <w:rsid w:val="00984C27"/>
    <w:rsid w:val="0098761C"/>
    <w:rsid w:val="009957E5"/>
    <w:rsid w:val="009A1891"/>
    <w:rsid w:val="009A6A82"/>
    <w:rsid w:val="009B2C08"/>
    <w:rsid w:val="009B59A3"/>
    <w:rsid w:val="009B695E"/>
    <w:rsid w:val="009B7EFB"/>
    <w:rsid w:val="009B7FDF"/>
    <w:rsid w:val="009C6627"/>
    <w:rsid w:val="009D6EFB"/>
    <w:rsid w:val="009E4BD5"/>
    <w:rsid w:val="009E5BF6"/>
    <w:rsid w:val="00A06312"/>
    <w:rsid w:val="00A06E57"/>
    <w:rsid w:val="00A129E3"/>
    <w:rsid w:val="00A15A98"/>
    <w:rsid w:val="00A15F77"/>
    <w:rsid w:val="00A16B61"/>
    <w:rsid w:val="00A21D77"/>
    <w:rsid w:val="00A23EAE"/>
    <w:rsid w:val="00A273F1"/>
    <w:rsid w:val="00A2778C"/>
    <w:rsid w:val="00A322DF"/>
    <w:rsid w:val="00A37F93"/>
    <w:rsid w:val="00A51654"/>
    <w:rsid w:val="00A56053"/>
    <w:rsid w:val="00A60887"/>
    <w:rsid w:val="00A64DEA"/>
    <w:rsid w:val="00A65DF1"/>
    <w:rsid w:val="00A849D1"/>
    <w:rsid w:val="00A87EEF"/>
    <w:rsid w:val="00A9035D"/>
    <w:rsid w:val="00A92D71"/>
    <w:rsid w:val="00A96C05"/>
    <w:rsid w:val="00A97F72"/>
    <w:rsid w:val="00AA44F4"/>
    <w:rsid w:val="00AA4DA2"/>
    <w:rsid w:val="00AB61AC"/>
    <w:rsid w:val="00AC48F2"/>
    <w:rsid w:val="00AD01FA"/>
    <w:rsid w:val="00AD3138"/>
    <w:rsid w:val="00AD5952"/>
    <w:rsid w:val="00AD6277"/>
    <w:rsid w:val="00AD66B3"/>
    <w:rsid w:val="00AD7FCB"/>
    <w:rsid w:val="00B01C42"/>
    <w:rsid w:val="00B04B02"/>
    <w:rsid w:val="00B14269"/>
    <w:rsid w:val="00B24EBC"/>
    <w:rsid w:val="00B26561"/>
    <w:rsid w:val="00B331BE"/>
    <w:rsid w:val="00B33A39"/>
    <w:rsid w:val="00B37307"/>
    <w:rsid w:val="00B41FD1"/>
    <w:rsid w:val="00B45C2A"/>
    <w:rsid w:val="00B4617C"/>
    <w:rsid w:val="00B53F46"/>
    <w:rsid w:val="00B564BA"/>
    <w:rsid w:val="00B7174B"/>
    <w:rsid w:val="00B764FA"/>
    <w:rsid w:val="00B76858"/>
    <w:rsid w:val="00B81496"/>
    <w:rsid w:val="00B81D3C"/>
    <w:rsid w:val="00B859D6"/>
    <w:rsid w:val="00B90AD2"/>
    <w:rsid w:val="00B91AFA"/>
    <w:rsid w:val="00B970EE"/>
    <w:rsid w:val="00BA14A1"/>
    <w:rsid w:val="00BA17FC"/>
    <w:rsid w:val="00BA5818"/>
    <w:rsid w:val="00BA5BCD"/>
    <w:rsid w:val="00BA79C9"/>
    <w:rsid w:val="00BB214F"/>
    <w:rsid w:val="00BB378E"/>
    <w:rsid w:val="00BC2713"/>
    <w:rsid w:val="00BC3A67"/>
    <w:rsid w:val="00BC4BB7"/>
    <w:rsid w:val="00BC60F8"/>
    <w:rsid w:val="00BD0163"/>
    <w:rsid w:val="00BD0941"/>
    <w:rsid w:val="00BE18B2"/>
    <w:rsid w:val="00BF5BF8"/>
    <w:rsid w:val="00BF70AD"/>
    <w:rsid w:val="00C1055C"/>
    <w:rsid w:val="00C13F6D"/>
    <w:rsid w:val="00C15734"/>
    <w:rsid w:val="00C22081"/>
    <w:rsid w:val="00C2443F"/>
    <w:rsid w:val="00C259F3"/>
    <w:rsid w:val="00C326A5"/>
    <w:rsid w:val="00C360D7"/>
    <w:rsid w:val="00C406E8"/>
    <w:rsid w:val="00C5058E"/>
    <w:rsid w:val="00C63471"/>
    <w:rsid w:val="00C6787C"/>
    <w:rsid w:val="00C80B95"/>
    <w:rsid w:val="00C93D0F"/>
    <w:rsid w:val="00C9483F"/>
    <w:rsid w:val="00CA0A06"/>
    <w:rsid w:val="00CB0EC8"/>
    <w:rsid w:val="00CB2791"/>
    <w:rsid w:val="00CB3C1B"/>
    <w:rsid w:val="00CC5D49"/>
    <w:rsid w:val="00CD2C8F"/>
    <w:rsid w:val="00CD3394"/>
    <w:rsid w:val="00CE1D8F"/>
    <w:rsid w:val="00CE2823"/>
    <w:rsid w:val="00CE2B63"/>
    <w:rsid w:val="00CE2CAB"/>
    <w:rsid w:val="00CE2E01"/>
    <w:rsid w:val="00CE51EF"/>
    <w:rsid w:val="00CF285C"/>
    <w:rsid w:val="00D01EE4"/>
    <w:rsid w:val="00D07C53"/>
    <w:rsid w:val="00D13489"/>
    <w:rsid w:val="00D31A4B"/>
    <w:rsid w:val="00D31FA4"/>
    <w:rsid w:val="00D36CD5"/>
    <w:rsid w:val="00D46EA7"/>
    <w:rsid w:val="00D60878"/>
    <w:rsid w:val="00D6338A"/>
    <w:rsid w:val="00D64DCC"/>
    <w:rsid w:val="00D70B22"/>
    <w:rsid w:val="00D71F47"/>
    <w:rsid w:val="00D72C22"/>
    <w:rsid w:val="00D74200"/>
    <w:rsid w:val="00D778E0"/>
    <w:rsid w:val="00D779BA"/>
    <w:rsid w:val="00D817CA"/>
    <w:rsid w:val="00D8383C"/>
    <w:rsid w:val="00D845A3"/>
    <w:rsid w:val="00D8680C"/>
    <w:rsid w:val="00D8759F"/>
    <w:rsid w:val="00D9090B"/>
    <w:rsid w:val="00D9151A"/>
    <w:rsid w:val="00DB1F31"/>
    <w:rsid w:val="00DB2FC1"/>
    <w:rsid w:val="00DB4898"/>
    <w:rsid w:val="00DB5974"/>
    <w:rsid w:val="00DB688A"/>
    <w:rsid w:val="00DB6EBE"/>
    <w:rsid w:val="00DB7585"/>
    <w:rsid w:val="00DC1259"/>
    <w:rsid w:val="00DC51EA"/>
    <w:rsid w:val="00DC7194"/>
    <w:rsid w:val="00DC75B3"/>
    <w:rsid w:val="00DD086C"/>
    <w:rsid w:val="00DD5F54"/>
    <w:rsid w:val="00DD67AB"/>
    <w:rsid w:val="00DD7BD8"/>
    <w:rsid w:val="00DE1570"/>
    <w:rsid w:val="00DE6CF9"/>
    <w:rsid w:val="00DE6E6B"/>
    <w:rsid w:val="00DF44E4"/>
    <w:rsid w:val="00DF52F6"/>
    <w:rsid w:val="00DF57E9"/>
    <w:rsid w:val="00DF79D8"/>
    <w:rsid w:val="00E00D79"/>
    <w:rsid w:val="00E02B25"/>
    <w:rsid w:val="00E038A7"/>
    <w:rsid w:val="00E102F4"/>
    <w:rsid w:val="00E1786A"/>
    <w:rsid w:val="00E26F82"/>
    <w:rsid w:val="00E2738D"/>
    <w:rsid w:val="00E2799F"/>
    <w:rsid w:val="00E317ED"/>
    <w:rsid w:val="00E35166"/>
    <w:rsid w:val="00E35C52"/>
    <w:rsid w:val="00E42DF0"/>
    <w:rsid w:val="00E4432F"/>
    <w:rsid w:val="00E53CB4"/>
    <w:rsid w:val="00E5772E"/>
    <w:rsid w:val="00E67F5C"/>
    <w:rsid w:val="00E80F23"/>
    <w:rsid w:val="00E91051"/>
    <w:rsid w:val="00E92929"/>
    <w:rsid w:val="00E95A41"/>
    <w:rsid w:val="00EA02B5"/>
    <w:rsid w:val="00EB0972"/>
    <w:rsid w:val="00EC1F46"/>
    <w:rsid w:val="00EE1F4B"/>
    <w:rsid w:val="00EE6B47"/>
    <w:rsid w:val="00EF005C"/>
    <w:rsid w:val="00EF4A51"/>
    <w:rsid w:val="00EF6671"/>
    <w:rsid w:val="00EF741D"/>
    <w:rsid w:val="00F030AF"/>
    <w:rsid w:val="00F11336"/>
    <w:rsid w:val="00F173D3"/>
    <w:rsid w:val="00F235EB"/>
    <w:rsid w:val="00F261D1"/>
    <w:rsid w:val="00F26940"/>
    <w:rsid w:val="00F35D6E"/>
    <w:rsid w:val="00F52EF1"/>
    <w:rsid w:val="00F544DF"/>
    <w:rsid w:val="00F61001"/>
    <w:rsid w:val="00F61987"/>
    <w:rsid w:val="00F6230D"/>
    <w:rsid w:val="00F820BF"/>
    <w:rsid w:val="00F8403B"/>
    <w:rsid w:val="00F85617"/>
    <w:rsid w:val="00F964C7"/>
    <w:rsid w:val="00FA0479"/>
    <w:rsid w:val="00FA07E6"/>
    <w:rsid w:val="00FB2164"/>
    <w:rsid w:val="00FB4EDD"/>
    <w:rsid w:val="00FB538C"/>
    <w:rsid w:val="00FB66D1"/>
    <w:rsid w:val="00FB6776"/>
    <w:rsid w:val="00FD14EC"/>
    <w:rsid w:val="00FD301E"/>
    <w:rsid w:val="00FD36BA"/>
    <w:rsid w:val="00FE3BF3"/>
    <w:rsid w:val="00FE77F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8F7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BD2"/>
    <w:pPr>
      <w:spacing w:before="120" w:after="2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6BD2"/>
    <w:pPr>
      <w:keepNext/>
      <w:keepLines/>
      <w:spacing w:before="360" w:after="240" w:line="240" w:lineRule="auto"/>
      <w:outlineLvl w:val="0"/>
    </w:pPr>
    <w:rPr>
      <w:rFonts w:eastAsiaTheme="majorEastAsia" w:cstheme="majorBidi"/>
      <w:b/>
      <w:sz w:val="32"/>
      <w:szCs w:val="32"/>
    </w:rPr>
  </w:style>
  <w:style w:type="paragraph" w:styleId="Heading2">
    <w:name w:val="heading 2"/>
    <w:aliases w:val="Heading 2 Boxed"/>
    <w:basedOn w:val="Normal"/>
    <w:next w:val="Normal"/>
    <w:link w:val="Heading2Char"/>
    <w:uiPriority w:val="9"/>
    <w:unhideWhenUsed/>
    <w:qFormat/>
    <w:rsid w:val="00B4617C"/>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160D7"/>
    <w:pPr>
      <w:keepNext/>
      <w:keepLines/>
      <w:spacing w:before="40" w:after="0"/>
      <w:jc w:val="left"/>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FA0479"/>
    <w:pPr>
      <w:keepNext/>
      <w:keepLines/>
      <w:spacing w:before="40" w:after="0"/>
      <w:outlineLvl w:val="3"/>
    </w:pPr>
    <w:rPr>
      <w:rFonts w:eastAsiaTheme="majorEastAsia" w:cstheme="majorBidi"/>
      <w:b/>
      <w:iCs/>
      <w:color w:val="595959" w:themeColor="text1" w:themeTint="A6"/>
    </w:rPr>
  </w:style>
  <w:style w:type="paragraph" w:styleId="Heading5">
    <w:name w:val="heading 5"/>
    <w:basedOn w:val="Normal"/>
    <w:next w:val="Normal"/>
    <w:link w:val="Heading5Char"/>
    <w:uiPriority w:val="9"/>
    <w:unhideWhenUsed/>
    <w:qFormat/>
    <w:rsid w:val="00F35D6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BD2"/>
    <w:rPr>
      <w:rFonts w:ascii="Times New Roman" w:eastAsiaTheme="majorEastAsia" w:hAnsi="Times New Roman" w:cstheme="majorBidi"/>
      <w:b/>
      <w:sz w:val="32"/>
      <w:szCs w:val="32"/>
    </w:rPr>
  </w:style>
  <w:style w:type="character" w:customStyle="1" w:styleId="Heading2Char">
    <w:name w:val="Heading 2 Char"/>
    <w:aliases w:val="Heading 2 Boxed Char"/>
    <w:basedOn w:val="DefaultParagraphFont"/>
    <w:link w:val="Heading2"/>
    <w:uiPriority w:val="9"/>
    <w:rsid w:val="00B4617C"/>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B4617C"/>
    <w:pPr>
      <w:spacing w:before="0" w:after="0" w:line="240" w:lineRule="auto"/>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4617C"/>
    <w:rPr>
      <w:rFonts w:ascii="Times New Roman" w:eastAsiaTheme="majorEastAsia" w:hAnsi="Times New Roman" w:cstheme="majorBidi"/>
      <w:b/>
      <w:spacing w:val="-10"/>
      <w:kern w:val="28"/>
      <w:sz w:val="40"/>
      <w:szCs w:val="56"/>
    </w:rPr>
  </w:style>
  <w:style w:type="paragraph" w:styleId="TOCHeading">
    <w:name w:val="TOC Heading"/>
    <w:basedOn w:val="Heading1"/>
    <w:next w:val="Normal"/>
    <w:uiPriority w:val="39"/>
    <w:unhideWhenUsed/>
    <w:qFormat/>
    <w:rsid w:val="002C61E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C61E6"/>
    <w:pPr>
      <w:spacing w:after="120"/>
      <w:jc w:val="left"/>
    </w:pPr>
    <w:rPr>
      <w:rFonts w:asciiTheme="minorHAnsi" w:hAnsiTheme="minorHAnsi" w:cstheme="minorHAnsi"/>
      <w:b/>
      <w:bCs/>
      <w:caps/>
      <w:sz w:val="20"/>
      <w:szCs w:val="20"/>
    </w:rPr>
  </w:style>
  <w:style w:type="character" w:styleId="Hyperlink">
    <w:name w:val="Hyperlink"/>
    <w:basedOn w:val="DefaultParagraphFont"/>
    <w:uiPriority w:val="99"/>
    <w:unhideWhenUsed/>
    <w:rsid w:val="002C61E6"/>
    <w:rPr>
      <w:color w:val="0563C1" w:themeColor="hyperlink"/>
      <w:u w:val="single"/>
    </w:rPr>
  </w:style>
  <w:style w:type="character" w:customStyle="1" w:styleId="Heading3Char">
    <w:name w:val="Heading 3 Char"/>
    <w:basedOn w:val="DefaultParagraphFont"/>
    <w:link w:val="Heading3"/>
    <w:uiPriority w:val="9"/>
    <w:rsid w:val="008160D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FA0479"/>
    <w:rPr>
      <w:rFonts w:ascii="Times New Roman" w:eastAsiaTheme="majorEastAsia" w:hAnsi="Times New Roman" w:cstheme="majorBidi"/>
      <w:b/>
      <w:iCs/>
      <w:color w:val="595959" w:themeColor="text1" w:themeTint="A6"/>
      <w:sz w:val="24"/>
    </w:rPr>
  </w:style>
  <w:style w:type="character" w:customStyle="1" w:styleId="Heading5Char">
    <w:name w:val="Heading 5 Char"/>
    <w:basedOn w:val="DefaultParagraphFont"/>
    <w:link w:val="Heading5"/>
    <w:uiPriority w:val="9"/>
    <w:rsid w:val="00F35D6E"/>
    <w:rPr>
      <w:rFonts w:asciiTheme="majorHAnsi" w:eastAsiaTheme="majorEastAsia" w:hAnsiTheme="majorHAnsi" w:cstheme="majorBidi"/>
      <w:color w:val="2F5496" w:themeColor="accent1" w:themeShade="BF"/>
      <w:sz w:val="24"/>
    </w:rPr>
  </w:style>
  <w:style w:type="paragraph" w:styleId="Header">
    <w:name w:val="header"/>
    <w:basedOn w:val="Normal"/>
    <w:link w:val="HeaderChar"/>
    <w:uiPriority w:val="99"/>
    <w:unhideWhenUsed/>
    <w:rsid w:val="00D71F4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1F47"/>
    <w:rPr>
      <w:rFonts w:ascii="Times New Roman" w:hAnsi="Times New Roman"/>
      <w:sz w:val="24"/>
    </w:rPr>
  </w:style>
  <w:style w:type="paragraph" w:styleId="Footer">
    <w:name w:val="footer"/>
    <w:basedOn w:val="Normal"/>
    <w:link w:val="FooterChar"/>
    <w:uiPriority w:val="99"/>
    <w:unhideWhenUsed/>
    <w:rsid w:val="00D71F4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1F47"/>
    <w:rPr>
      <w:rFonts w:ascii="Times New Roman" w:hAnsi="Times New Roman"/>
      <w:sz w:val="24"/>
    </w:rPr>
  </w:style>
  <w:style w:type="paragraph" w:styleId="TOC2">
    <w:name w:val="toc 2"/>
    <w:basedOn w:val="Normal"/>
    <w:next w:val="Normal"/>
    <w:autoRedefine/>
    <w:uiPriority w:val="39"/>
    <w:unhideWhenUsed/>
    <w:rsid w:val="00D71F47"/>
    <w:pPr>
      <w:spacing w:before="0" w:after="0"/>
      <w:ind w:left="240"/>
      <w:jc w:val="left"/>
    </w:pPr>
    <w:rPr>
      <w:rFonts w:asciiTheme="minorHAnsi" w:hAnsiTheme="minorHAnsi" w:cstheme="minorHAnsi"/>
      <w:smallCaps/>
      <w:sz w:val="20"/>
      <w:szCs w:val="20"/>
    </w:rPr>
  </w:style>
  <w:style w:type="table" w:styleId="TableGrid">
    <w:name w:val="Table Grid"/>
    <w:basedOn w:val="TableNormal"/>
    <w:uiPriority w:val="39"/>
    <w:rsid w:val="000D6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0406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60406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543B57"/>
    <w:pPr>
      <w:spacing w:before="0" w:after="0"/>
      <w:ind w:left="480"/>
      <w:jc w:val="left"/>
    </w:pPr>
    <w:rPr>
      <w:rFonts w:asciiTheme="minorHAnsi" w:hAnsiTheme="minorHAnsi" w:cstheme="minorHAnsi"/>
      <w:i/>
      <w:iCs/>
      <w:sz w:val="20"/>
      <w:szCs w:val="20"/>
    </w:rPr>
  </w:style>
  <w:style w:type="paragraph" w:styleId="ListParagraph">
    <w:name w:val="List Paragraph"/>
    <w:basedOn w:val="Normal"/>
    <w:uiPriority w:val="34"/>
    <w:qFormat/>
    <w:rsid w:val="00B564BA"/>
    <w:pPr>
      <w:ind w:left="720"/>
      <w:contextualSpacing/>
    </w:pPr>
  </w:style>
  <w:style w:type="paragraph" w:styleId="NoSpacing">
    <w:name w:val="No Spacing"/>
    <w:uiPriority w:val="1"/>
    <w:qFormat/>
    <w:rsid w:val="00195529"/>
    <w:pPr>
      <w:spacing w:after="0" w:line="240" w:lineRule="auto"/>
      <w:jc w:val="both"/>
    </w:pPr>
    <w:rPr>
      <w:rFonts w:ascii="Times New Roman" w:hAnsi="Times New Roman"/>
      <w:sz w:val="24"/>
    </w:rPr>
  </w:style>
  <w:style w:type="character" w:styleId="SubtleEmphasis">
    <w:name w:val="Subtle Emphasis"/>
    <w:basedOn w:val="DefaultParagraphFont"/>
    <w:uiPriority w:val="19"/>
    <w:qFormat/>
    <w:rsid w:val="008160D7"/>
    <w:rPr>
      <w:rFonts w:ascii="Times New Roman" w:hAnsi="Times New Roman"/>
      <w:i/>
      <w:iCs/>
      <w:color w:val="404040" w:themeColor="text1" w:themeTint="BF"/>
      <w:sz w:val="18"/>
    </w:rPr>
  </w:style>
  <w:style w:type="character" w:styleId="SubtleReference">
    <w:name w:val="Subtle Reference"/>
    <w:basedOn w:val="DefaultParagraphFont"/>
    <w:uiPriority w:val="31"/>
    <w:qFormat/>
    <w:rsid w:val="008160D7"/>
    <w:rPr>
      <w:rFonts w:ascii="Times New Roman" w:hAnsi="Times New Roman"/>
      <w:smallCaps/>
      <w:color w:val="5A5A5A" w:themeColor="text1" w:themeTint="A5"/>
      <w:sz w:val="18"/>
    </w:rPr>
  </w:style>
  <w:style w:type="paragraph" w:styleId="Subtitle">
    <w:name w:val="Subtitle"/>
    <w:basedOn w:val="Normal"/>
    <w:next w:val="Normal"/>
    <w:link w:val="SubtitleChar"/>
    <w:uiPriority w:val="11"/>
    <w:qFormat/>
    <w:rsid w:val="00430248"/>
    <w:pPr>
      <w:numPr>
        <w:ilvl w:val="1"/>
      </w:numPr>
      <w:spacing w:after="160"/>
      <w:jc w:val="center"/>
    </w:pPr>
    <w:rPr>
      <w:rFonts w:eastAsiaTheme="minorEastAsia"/>
      <w:color w:val="5A5A5A" w:themeColor="text1" w:themeTint="A5"/>
      <w:spacing w:val="15"/>
      <w:sz w:val="18"/>
    </w:rPr>
  </w:style>
  <w:style w:type="character" w:customStyle="1" w:styleId="SubtitleChar">
    <w:name w:val="Subtitle Char"/>
    <w:basedOn w:val="DefaultParagraphFont"/>
    <w:link w:val="Subtitle"/>
    <w:uiPriority w:val="11"/>
    <w:rsid w:val="00430248"/>
    <w:rPr>
      <w:rFonts w:ascii="Times New Roman" w:eastAsiaTheme="minorEastAsia" w:hAnsi="Times New Roman"/>
      <w:color w:val="5A5A5A" w:themeColor="text1" w:themeTint="A5"/>
      <w:spacing w:val="15"/>
      <w:sz w:val="18"/>
    </w:rPr>
  </w:style>
  <w:style w:type="character" w:styleId="Emphasis">
    <w:name w:val="Emphasis"/>
    <w:basedOn w:val="DefaultParagraphFont"/>
    <w:uiPriority w:val="20"/>
    <w:qFormat/>
    <w:rsid w:val="00A322DF"/>
    <w:rPr>
      <w:i/>
      <w:iCs/>
    </w:rPr>
  </w:style>
  <w:style w:type="paragraph" w:styleId="TOC4">
    <w:name w:val="toc 4"/>
    <w:basedOn w:val="Normal"/>
    <w:next w:val="Normal"/>
    <w:autoRedefine/>
    <w:uiPriority w:val="39"/>
    <w:unhideWhenUsed/>
    <w:rsid w:val="00B91AFA"/>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B91AFA"/>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B91AFA"/>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B91AFA"/>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B91AFA"/>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B91AFA"/>
    <w:pPr>
      <w:spacing w:before="0" w:after="0"/>
      <w:ind w:left="1920"/>
      <w:jc w:val="left"/>
    </w:pPr>
    <w:rPr>
      <w:rFonts w:asciiTheme="minorHAnsi" w:hAnsiTheme="minorHAnsi" w:cstheme="minorHAnsi"/>
      <w:sz w:val="18"/>
      <w:szCs w:val="18"/>
    </w:rPr>
  </w:style>
  <w:style w:type="table" w:styleId="GridTable2-Accent5">
    <w:name w:val="Grid Table 2 Accent 5"/>
    <w:basedOn w:val="TableNormal"/>
    <w:uiPriority w:val="47"/>
    <w:rsid w:val="00BC4BB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3">
    <w:name w:val="Grid Table 6 Colorful Accent 3"/>
    <w:basedOn w:val="TableNormal"/>
    <w:uiPriority w:val="51"/>
    <w:rsid w:val="00BC4BB7"/>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EC1F4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6617">
      <w:bodyDiv w:val="1"/>
      <w:marLeft w:val="0"/>
      <w:marRight w:val="0"/>
      <w:marTop w:val="0"/>
      <w:marBottom w:val="0"/>
      <w:divBdr>
        <w:top w:val="none" w:sz="0" w:space="0" w:color="auto"/>
        <w:left w:val="none" w:sz="0" w:space="0" w:color="auto"/>
        <w:bottom w:val="none" w:sz="0" w:space="0" w:color="auto"/>
        <w:right w:val="none" w:sz="0" w:space="0" w:color="auto"/>
      </w:divBdr>
    </w:div>
    <w:div w:id="122769907">
      <w:bodyDiv w:val="1"/>
      <w:marLeft w:val="0"/>
      <w:marRight w:val="0"/>
      <w:marTop w:val="0"/>
      <w:marBottom w:val="0"/>
      <w:divBdr>
        <w:top w:val="none" w:sz="0" w:space="0" w:color="auto"/>
        <w:left w:val="none" w:sz="0" w:space="0" w:color="auto"/>
        <w:bottom w:val="none" w:sz="0" w:space="0" w:color="auto"/>
        <w:right w:val="none" w:sz="0" w:space="0" w:color="auto"/>
      </w:divBdr>
    </w:div>
    <w:div w:id="171069027">
      <w:bodyDiv w:val="1"/>
      <w:marLeft w:val="0"/>
      <w:marRight w:val="0"/>
      <w:marTop w:val="0"/>
      <w:marBottom w:val="0"/>
      <w:divBdr>
        <w:top w:val="none" w:sz="0" w:space="0" w:color="auto"/>
        <w:left w:val="none" w:sz="0" w:space="0" w:color="auto"/>
        <w:bottom w:val="none" w:sz="0" w:space="0" w:color="auto"/>
        <w:right w:val="none" w:sz="0" w:space="0" w:color="auto"/>
      </w:divBdr>
    </w:div>
    <w:div w:id="209919559">
      <w:bodyDiv w:val="1"/>
      <w:marLeft w:val="0"/>
      <w:marRight w:val="0"/>
      <w:marTop w:val="0"/>
      <w:marBottom w:val="0"/>
      <w:divBdr>
        <w:top w:val="none" w:sz="0" w:space="0" w:color="auto"/>
        <w:left w:val="none" w:sz="0" w:space="0" w:color="auto"/>
        <w:bottom w:val="none" w:sz="0" w:space="0" w:color="auto"/>
        <w:right w:val="none" w:sz="0" w:space="0" w:color="auto"/>
      </w:divBdr>
    </w:div>
    <w:div w:id="212087429">
      <w:bodyDiv w:val="1"/>
      <w:marLeft w:val="0"/>
      <w:marRight w:val="0"/>
      <w:marTop w:val="0"/>
      <w:marBottom w:val="0"/>
      <w:divBdr>
        <w:top w:val="none" w:sz="0" w:space="0" w:color="auto"/>
        <w:left w:val="none" w:sz="0" w:space="0" w:color="auto"/>
        <w:bottom w:val="none" w:sz="0" w:space="0" w:color="auto"/>
        <w:right w:val="none" w:sz="0" w:space="0" w:color="auto"/>
      </w:divBdr>
    </w:div>
    <w:div w:id="217665192">
      <w:bodyDiv w:val="1"/>
      <w:marLeft w:val="0"/>
      <w:marRight w:val="0"/>
      <w:marTop w:val="0"/>
      <w:marBottom w:val="0"/>
      <w:divBdr>
        <w:top w:val="none" w:sz="0" w:space="0" w:color="auto"/>
        <w:left w:val="none" w:sz="0" w:space="0" w:color="auto"/>
        <w:bottom w:val="none" w:sz="0" w:space="0" w:color="auto"/>
        <w:right w:val="none" w:sz="0" w:space="0" w:color="auto"/>
      </w:divBdr>
    </w:div>
    <w:div w:id="259487139">
      <w:bodyDiv w:val="1"/>
      <w:marLeft w:val="0"/>
      <w:marRight w:val="0"/>
      <w:marTop w:val="0"/>
      <w:marBottom w:val="0"/>
      <w:divBdr>
        <w:top w:val="none" w:sz="0" w:space="0" w:color="auto"/>
        <w:left w:val="none" w:sz="0" w:space="0" w:color="auto"/>
        <w:bottom w:val="none" w:sz="0" w:space="0" w:color="auto"/>
        <w:right w:val="none" w:sz="0" w:space="0" w:color="auto"/>
      </w:divBdr>
    </w:div>
    <w:div w:id="274287396">
      <w:bodyDiv w:val="1"/>
      <w:marLeft w:val="0"/>
      <w:marRight w:val="0"/>
      <w:marTop w:val="0"/>
      <w:marBottom w:val="0"/>
      <w:divBdr>
        <w:top w:val="none" w:sz="0" w:space="0" w:color="auto"/>
        <w:left w:val="none" w:sz="0" w:space="0" w:color="auto"/>
        <w:bottom w:val="none" w:sz="0" w:space="0" w:color="auto"/>
        <w:right w:val="none" w:sz="0" w:space="0" w:color="auto"/>
      </w:divBdr>
    </w:div>
    <w:div w:id="356008154">
      <w:bodyDiv w:val="1"/>
      <w:marLeft w:val="0"/>
      <w:marRight w:val="0"/>
      <w:marTop w:val="0"/>
      <w:marBottom w:val="0"/>
      <w:divBdr>
        <w:top w:val="none" w:sz="0" w:space="0" w:color="auto"/>
        <w:left w:val="none" w:sz="0" w:space="0" w:color="auto"/>
        <w:bottom w:val="none" w:sz="0" w:space="0" w:color="auto"/>
        <w:right w:val="none" w:sz="0" w:space="0" w:color="auto"/>
      </w:divBdr>
    </w:div>
    <w:div w:id="357387967">
      <w:bodyDiv w:val="1"/>
      <w:marLeft w:val="0"/>
      <w:marRight w:val="0"/>
      <w:marTop w:val="0"/>
      <w:marBottom w:val="0"/>
      <w:divBdr>
        <w:top w:val="none" w:sz="0" w:space="0" w:color="auto"/>
        <w:left w:val="none" w:sz="0" w:space="0" w:color="auto"/>
        <w:bottom w:val="none" w:sz="0" w:space="0" w:color="auto"/>
        <w:right w:val="none" w:sz="0" w:space="0" w:color="auto"/>
      </w:divBdr>
    </w:div>
    <w:div w:id="398289063">
      <w:bodyDiv w:val="1"/>
      <w:marLeft w:val="0"/>
      <w:marRight w:val="0"/>
      <w:marTop w:val="0"/>
      <w:marBottom w:val="0"/>
      <w:divBdr>
        <w:top w:val="none" w:sz="0" w:space="0" w:color="auto"/>
        <w:left w:val="none" w:sz="0" w:space="0" w:color="auto"/>
        <w:bottom w:val="none" w:sz="0" w:space="0" w:color="auto"/>
        <w:right w:val="none" w:sz="0" w:space="0" w:color="auto"/>
      </w:divBdr>
    </w:div>
    <w:div w:id="487208786">
      <w:bodyDiv w:val="1"/>
      <w:marLeft w:val="0"/>
      <w:marRight w:val="0"/>
      <w:marTop w:val="0"/>
      <w:marBottom w:val="0"/>
      <w:divBdr>
        <w:top w:val="none" w:sz="0" w:space="0" w:color="auto"/>
        <w:left w:val="none" w:sz="0" w:space="0" w:color="auto"/>
        <w:bottom w:val="none" w:sz="0" w:space="0" w:color="auto"/>
        <w:right w:val="none" w:sz="0" w:space="0" w:color="auto"/>
      </w:divBdr>
    </w:div>
    <w:div w:id="534193511">
      <w:bodyDiv w:val="1"/>
      <w:marLeft w:val="0"/>
      <w:marRight w:val="0"/>
      <w:marTop w:val="0"/>
      <w:marBottom w:val="0"/>
      <w:divBdr>
        <w:top w:val="none" w:sz="0" w:space="0" w:color="auto"/>
        <w:left w:val="none" w:sz="0" w:space="0" w:color="auto"/>
        <w:bottom w:val="none" w:sz="0" w:space="0" w:color="auto"/>
        <w:right w:val="none" w:sz="0" w:space="0" w:color="auto"/>
      </w:divBdr>
    </w:div>
    <w:div w:id="546920073">
      <w:bodyDiv w:val="1"/>
      <w:marLeft w:val="0"/>
      <w:marRight w:val="0"/>
      <w:marTop w:val="0"/>
      <w:marBottom w:val="0"/>
      <w:divBdr>
        <w:top w:val="none" w:sz="0" w:space="0" w:color="auto"/>
        <w:left w:val="none" w:sz="0" w:space="0" w:color="auto"/>
        <w:bottom w:val="none" w:sz="0" w:space="0" w:color="auto"/>
        <w:right w:val="none" w:sz="0" w:space="0" w:color="auto"/>
      </w:divBdr>
    </w:div>
    <w:div w:id="577908517">
      <w:bodyDiv w:val="1"/>
      <w:marLeft w:val="0"/>
      <w:marRight w:val="0"/>
      <w:marTop w:val="0"/>
      <w:marBottom w:val="0"/>
      <w:divBdr>
        <w:top w:val="none" w:sz="0" w:space="0" w:color="auto"/>
        <w:left w:val="none" w:sz="0" w:space="0" w:color="auto"/>
        <w:bottom w:val="none" w:sz="0" w:space="0" w:color="auto"/>
        <w:right w:val="none" w:sz="0" w:space="0" w:color="auto"/>
      </w:divBdr>
    </w:div>
    <w:div w:id="579828537">
      <w:bodyDiv w:val="1"/>
      <w:marLeft w:val="0"/>
      <w:marRight w:val="0"/>
      <w:marTop w:val="0"/>
      <w:marBottom w:val="0"/>
      <w:divBdr>
        <w:top w:val="none" w:sz="0" w:space="0" w:color="auto"/>
        <w:left w:val="none" w:sz="0" w:space="0" w:color="auto"/>
        <w:bottom w:val="none" w:sz="0" w:space="0" w:color="auto"/>
        <w:right w:val="none" w:sz="0" w:space="0" w:color="auto"/>
      </w:divBdr>
    </w:div>
    <w:div w:id="590048431">
      <w:bodyDiv w:val="1"/>
      <w:marLeft w:val="0"/>
      <w:marRight w:val="0"/>
      <w:marTop w:val="0"/>
      <w:marBottom w:val="0"/>
      <w:divBdr>
        <w:top w:val="none" w:sz="0" w:space="0" w:color="auto"/>
        <w:left w:val="none" w:sz="0" w:space="0" w:color="auto"/>
        <w:bottom w:val="none" w:sz="0" w:space="0" w:color="auto"/>
        <w:right w:val="none" w:sz="0" w:space="0" w:color="auto"/>
      </w:divBdr>
    </w:div>
    <w:div w:id="669481546">
      <w:bodyDiv w:val="1"/>
      <w:marLeft w:val="0"/>
      <w:marRight w:val="0"/>
      <w:marTop w:val="0"/>
      <w:marBottom w:val="0"/>
      <w:divBdr>
        <w:top w:val="none" w:sz="0" w:space="0" w:color="auto"/>
        <w:left w:val="none" w:sz="0" w:space="0" w:color="auto"/>
        <w:bottom w:val="none" w:sz="0" w:space="0" w:color="auto"/>
        <w:right w:val="none" w:sz="0" w:space="0" w:color="auto"/>
      </w:divBdr>
    </w:div>
    <w:div w:id="674308900">
      <w:bodyDiv w:val="1"/>
      <w:marLeft w:val="0"/>
      <w:marRight w:val="0"/>
      <w:marTop w:val="0"/>
      <w:marBottom w:val="0"/>
      <w:divBdr>
        <w:top w:val="none" w:sz="0" w:space="0" w:color="auto"/>
        <w:left w:val="none" w:sz="0" w:space="0" w:color="auto"/>
        <w:bottom w:val="none" w:sz="0" w:space="0" w:color="auto"/>
        <w:right w:val="none" w:sz="0" w:space="0" w:color="auto"/>
      </w:divBdr>
    </w:div>
    <w:div w:id="698121959">
      <w:bodyDiv w:val="1"/>
      <w:marLeft w:val="0"/>
      <w:marRight w:val="0"/>
      <w:marTop w:val="0"/>
      <w:marBottom w:val="0"/>
      <w:divBdr>
        <w:top w:val="none" w:sz="0" w:space="0" w:color="auto"/>
        <w:left w:val="none" w:sz="0" w:space="0" w:color="auto"/>
        <w:bottom w:val="none" w:sz="0" w:space="0" w:color="auto"/>
        <w:right w:val="none" w:sz="0" w:space="0" w:color="auto"/>
      </w:divBdr>
    </w:div>
    <w:div w:id="745960088">
      <w:bodyDiv w:val="1"/>
      <w:marLeft w:val="0"/>
      <w:marRight w:val="0"/>
      <w:marTop w:val="0"/>
      <w:marBottom w:val="0"/>
      <w:divBdr>
        <w:top w:val="none" w:sz="0" w:space="0" w:color="auto"/>
        <w:left w:val="none" w:sz="0" w:space="0" w:color="auto"/>
        <w:bottom w:val="none" w:sz="0" w:space="0" w:color="auto"/>
        <w:right w:val="none" w:sz="0" w:space="0" w:color="auto"/>
      </w:divBdr>
    </w:div>
    <w:div w:id="828059405">
      <w:bodyDiv w:val="1"/>
      <w:marLeft w:val="0"/>
      <w:marRight w:val="0"/>
      <w:marTop w:val="0"/>
      <w:marBottom w:val="0"/>
      <w:divBdr>
        <w:top w:val="none" w:sz="0" w:space="0" w:color="auto"/>
        <w:left w:val="none" w:sz="0" w:space="0" w:color="auto"/>
        <w:bottom w:val="none" w:sz="0" w:space="0" w:color="auto"/>
        <w:right w:val="none" w:sz="0" w:space="0" w:color="auto"/>
      </w:divBdr>
    </w:div>
    <w:div w:id="853692742">
      <w:bodyDiv w:val="1"/>
      <w:marLeft w:val="0"/>
      <w:marRight w:val="0"/>
      <w:marTop w:val="0"/>
      <w:marBottom w:val="0"/>
      <w:divBdr>
        <w:top w:val="none" w:sz="0" w:space="0" w:color="auto"/>
        <w:left w:val="none" w:sz="0" w:space="0" w:color="auto"/>
        <w:bottom w:val="none" w:sz="0" w:space="0" w:color="auto"/>
        <w:right w:val="none" w:sz="0" w:space="0" w:color="auto"/>
      </w:divBdr>
    </w:div>
    <w:div w:id="866137386">
      <w:bodyDiv w:val="1"/>
      <w:marLeft w:val="0"/>
      <w:marRight w:val="0"/>
      <w:marTop w:val="0"/>
      <w:marBottom w:val="0"/>
      <w:divBdr>
        <w:top w:val="none" w:sz="0" w:space="0" w:color="auto"/>
        <w:left w:val="none" w:sz="0" w:space="0" w:color="auto"/>
        <w:bottom w:val="none" w:sz="0" w:space="0" w:color="auto"/>
        <w:right w:val="none" w:sz="0" w:space="0" w:color="auto"/>
      </w:divBdr>
    </w:div>
    <w:div w:id="877860233">
      <w:bodyDiv w:val="1"/>
      <w:marLeft w:val="0"/>
      <w:marRight w:val="0"/>
      <w:marTop w:val="0"/>
      <w:marBottom w:val="0"/>
      <w:divBdr>
        <w:top w:val="none" w:sz="0" w:space="0" w:color="auto"/>
        <w:left w:val="none" w:sz="0" w:space="0" w:color="auto"/>
        <w:bottom w:val="none" w:sz="0" w:space="0" w:color="auto"/>
        <w:right w:val="none" w:sz="0" w:space="0" w:color="auto"/>
      </w:divBdr>
    </w:div>
    <w:div w:id="955675817">
      <w:bodyDiv w:val="1"/>
      <w:marLeft w:val="0"/>
      <w:marRight w:val="0"/>
      <w:marTop w:val="0"/>
      <w:marBottom w:val="0"/>
      <w:divBdr>
        <w:top w:val="none" w:sz="0" w:space="0" w:color="auto"/>
        <w:left w:val="none" w:sz="0" w:space="0" w:color="auto"/>
        <w:bottom w:val="none" w:sz="0" w:space="0" w:color="auto"/>
        <w:right w:val="none" w:sz="0" w:space="0" w:color="auto"/>
      </w:divBdr>
    </w:div>
    <w:div w:id="978612700">
      <w:bodyDiv w:val="1"/>
      <w:marLeft w:val="0"/>
      <w:marRight w:val="0"/>
      <w:marTop w:val="0"/>
      <w:marBottom w:val="0"/>
      <w:divBdr>
        <w:top w:val="none" w:sz="0" w:space="0" w:color="auto"/>
        <w:left w:val="none" w:sz="0" w:space="0" w:color="auto"/>
        <w:bottom w:val="none" w:sz="0" w:space="0" w:color="auto"/>
        <w:right w:val="none" w:sz="0" w:space="0" w:color="auto"/>
      </w:divBdr>
    </w:div>
    <w:div w:id="991835650">
      <w:bodyDiv w:val="1"/>
      <w:marLeft w:val="0"/>
      <w:marRight w:val="0"/>
      <w:marTop w:val="0"/>
      <w:marBottom w:val="0"/>
      <w:divBdr>
        <w:top w:val="none" w:sz="0" w:space="0" w:color="auto"/>
        <w:left w:val="none" w:sz="0" w:space="0" w:color="auto"/>
        <w:bottom w:val="none" w:sz="0" w:space="0" w:color="auto"/>
        <w:right w:val="none" w:sz="0" w:space="0" w:color="auto"/>
      </w:divBdr>
    </w:div>
    <w:div w:id="1044795615">
      <w:bodyDiv w:val="1"/>
      <w:marLeft w:val="0"/>
      <w:marRight w:val="0"/>
      <w:marTop w:val="0"/>
      <w:marBottom w:val="0"/>
      <w:divBdr>
        <w:top w:val="none" w:sz="0" w:space="0" w:color="auto"/>
        <w:left w:val="none" w:sz="0" w:space="0" w:color="auto"/>
        <w:bottom w:val="none" w:sz="0" w:space="0" w:color="auto"/>
        <w:right w:val="none" w:sz="0" w:space="0" w:color="auto"/>
      </w:divBdr>
    </w:div>
    <w:div w:id="1053041792">
      <w:bodyDiv w:val="1"/>
      <w:marLeft w:val="0"/>
      <w:marRight w:val="0"/>
      <w:marTop w:val="0"/>
      <w:marBottom w:val="0"/>
      <w:divBdr>
        <w:top w:val="none" w:sz="0" w:space="0" w:color="auto"/>
        <w:left w:val="none" w:sz="0" w:space="0" w:color="auto"/>
        <w:bottom w:val="none" w:sz="0" w:space="0" w:color="auto"/>
        <w:right w:val="none" w:sz="0" w:space="0" w:color="auto"/>
      </w:divBdr>
    </w:div>
    <w:div w:id="1083604985">
      <w:bodyDiv w:val="1"/>
      <w:marLeft w:val="0"/>
      <w:marRight w:val="0"/>
      <w:marTop w:val="0"/>
      <w:marBottom w:val="0"/>
      <w:divBdr>
        <w:top w:val="none" w:sz="0" w:space="0" w:color="auto"/>
        <w:left w:val="none" w:sz="0" w:space="0" w:color="auto"/>
        <w:bottom w:val="none" w:sz="0" w:space="0" w:color="auto"/>
        <w:right w:val="none" w:sz="0" w:space="0" w:color="auto"/>
      </w:divBdr>
    </w:div>
    <w:div w:id="1102917522">
      <w:bodyDiv w:val="1"/>
      <w:marLeft w:val="0"/>
      <w:marRight w:val="0"/>
      <w:marTop w:val="0"/>
      <w:marBottom w:val="0"/>
      <w:divBdr>
        <w:top w:val="none" w:sz="0" w:space="0" w:color="auto"/>
        <w:left w:val="none" w:sz="0" w:space="0" w:color="auto"/>
        <w:bottom w:val="none" w:sz="0" w:space="0" w:color="auto"/>
        <w:right w:val="none" w:sz="0" w:space="0" w:color="auto"/>
      </w:divBdr>
    </w:div>
    <w:div w:id="1236208516">
      <w:bodyDiv w:val="1"/>
      <w:marLeft w:val="0"/>
      <w:marRight w:val="0"/>
      <w:marTop w:val="0"/>
      <w:marBottom w:val="0"/>
      <w:divBdr>
        <w:top w:val="none" w:sz="0" w:space="0" w:color="auto"/>
        <w:left w:val="none" w:sz="0" w:space="0" w:color="auto"/>
        <w:bottom w:val="none" w:sz="0" w:space="0" w:color="auto"/>
        <w:right w:val="none" w:sz="0" w:space="0" w:color="auto"/>
      </w:divBdr>
    </w:div>
    <w:div w:id="1321152844">
      <w:bodyDiv w:val="1"/>
      <w:marLeft w:val="0"/>
      <w:marRight w:val="0"/>
      <w:marTop w:val="0"/>
      <w:marBottom w:val="0"/>
      <w:divBdr>
        <w:top w:val="none" w:sz="0" w:space="0" w:color="auto"/>
        <w:left w:val="none" w:sz="0" w:space="0" w:color="auto"/>
        <w:bottom w:val="none" w:sz="0" w:space="0" w:color="auto"/>
        <w:right w:val="none" w:sz="0" w:space="0" w:color="auto"/>
      </w:divBdr>
    </w:div>
    <w:div w:id="1506822743">
      <w:bodyDiv w:val="1"/>
      <w:marLeft w:val="0"/>
      <w:marRight w:val="0"/>
      <w:marTop w:val="0"/>
      <w:marBottom w:val="0"/>
      <w:divBdr>
        <w:top w:val="none" w:sz="0" w:space="0" w:color="auto"/>
        <w:left w:val="none" w:sz="0" w:space="0" w:color="auto"/>
        <w:bottom w:val="none" w:sz="0" w:space="0" w:color="auto"/>
        <w:right w:val="none" w:sz="0" w:space="0" w:color="auto"/>
      </w:divBdr>
    </w:div>
    <w:div w:id="1548686212">
      <w:bodyDiv w:val="1"/>
      <w:marLeft w:val="0"/>
      <w:marRight w:val="0"/>
      <w:marTop w:val="0"/>
      <w:marBottom w:val="0"/>
      <w:divBdr>
        <w:top w:val="none" w:sz="0" w:space="0" w:color="auto"/>
        <w:left w:val="none" w:sz="0" w:space="0" w:color="auto"/>
        <w:bottom w:val="none" w:sz="0" w:space="0" w:color="auto"/>
        <w:right w:val="none" w:sz="0" w:space="0" w:color="auto"/>
      </w:divBdr>
    </w:div>
    <w:div w:id="1560903454">
      <w:bodyDiv w:val="1"/>
      <w:marLeft w:val="0"/>
      <w:marRight w:val="0"/>
      <w:marTop w:val="0"/>
      <w:marBottom w:val="0"/>
      <w:divBdr>
        <w:top w:val="none" w:sz="0" w:space="0" w:color="auto"/>
        <w:left w:val="none" w:sz="0" w:space="0" w:color="auto"/>
        <w:bottom w:val="none" w:sz="0" w:space="0" w:color="auto"/>
        <w:right w:val="none" w:sz="0" w:space="0" w:color="auto"/>
      </w:divBdr>
    </w:div>
    <w:div w:id="1602029839">
      <w:bodyDiv w:val="1"/>
      <w:marLeft w:val="0"/>
      <w:marRight w:val="0"/>
      <w:marTop w:val="0"/>
      <w:marBottom w:val="0"/>
      <w:divBdr>
        <w:top w:val="none" w:sz="0" w:space="0" w:color="auto"/>
        <w:left w:val="none" w:sz="0" w:space="0" w:color="auto"/>
        <w:bottom w:val="none" w:sz="0" w:space="0" w:color="auto"/>
        <w:right w:val="none" w:sz="0" w:space="0" w:color="auto"/>
      </w:divBdr>
    </w:div>
    <w:div w:id="1606765688">
      <w:bodyDiv w:val="1"/>
      <w:marLeft w:val="0"/>
      <w:marRight w:val="0"/>
      <w:marTop w:val="0"/>
      <w:marBottom w:val="0"/>
      <w:divBdr>
        <w:top w:val="none" w:sz="0" w:space="0" w:color="auto"/>
        <w:left w:val="none" w:sz="0" w:space="0" w:color="auto"/>
        <w:bottom w:val="none" w:sz="0" w:space="0" w:color="auto"/>
        <w:right w:val="none" w:sz="0" w:space="0" w:color="auto"/>
      </w:divBdr>
    </w:div>
    <w:div w:id="1711151724">
      <w:bodyDiv w:val="1"/>
      <w:marLeft w:val="0"/>
      <w:marRight w:val="0"/>
      <w:marTop w:val="0"/>
      <w:marBottom w:val="0"/>
      <w:divBdr>
        <w:top w:val="none" w:sz="0" w:space="0" w:color="auto"/>
        <w:left w:val="none" w:sz="0" w:space="0" w:color="auto"/>
        <w:bottom w:val="none" w:sz="0" w:space="0" w:color="auto"/>
        <w:right w:val="none" w:sz="0" w:space="0" w:color="auto"/>
      </w:divBdr>
    </w:div>
    <w:div w:id="1728870153">
      <w:bodyDiv w:val="1"/>
      <w:marLeft w:val="0"/>
      <w:marRight w:val="0"/>
      <w:marTop w:val="0"/>
      <w:marBottom w:val="0"/>
      <w:divBdr>
        <w:top w:val="none" w:sz="0" w:space="0" w:color="auto"/>
        <w:left w:val="none" w:sz="0" w:space="0" w:color="auto"/>
        <w:bottom w:val="none" w:sz="0" w:space="0" w:color="auto"/>
        <w:right w:val="none" w:sz="0" w:space="0" w:color="auto"/>
      </w:divBdr>
      <w:divsChild>
        <w:div w:id="1660578946">
          <w:marLeft w:val="0"/>
          <w:marRight w:val="0"/>
          <w:marTop w:val="0"/>
          <w:marBottom w:val="0"/>
          <w:divBdr>
            <w:top w:val="none" w:sz="0" w:space="0" w:color="auto"/>
            <w:left w:val="none" w:sz="0" w:space="0" w:color="auto"/>
            <w:bottom w:val="none" w:sz="0" w:space="0" w:color="auto"/>
            <w:right w:val="none" w:sz="0" w:space="0" w:color="auto"/>
          </w:divBdr>
        </w:div>
        <w:div w:id="1686206615">
          <w:marLeft w:val="0"/>
          <w:marRight w:val="0"/>
          <w:marTop w:val="0"/>
          <w:marBottom w:val="0"/>
          <w:divBdr>
            <w:top w:val="none" w:sz="0" w:space="0" w:color="auto"/>
            <w:left w:val="none" w:sz="0" w:space="0" w:color="auto"/>
            <w:bottom w:val="none" w:sz="0" w:space="0" w:color="auto"/>
            <w:right w:val="none" w:sz="0" w:space="0" w:color="auto"/>
          </w:divBdr>
        </w:div>
      </w:divsChild>
    </w:div>
    <w:div w:id="1741634803">
      <w:bodyDiv w:val="1"/>
      <w:marLeft w:val="0"/>
      <w:marRight w:val="0"/>
      <w:marTop w:val="0"/>
      <w:marBottom w:val="0"/>
      <w:divBdr>
        <w:top w:val="none" w:sz="0" w:space="0" w:color="auto"/>
        <w:left w:val="none" w:sz="0" w:space="0" w:color="auto"/>
        <w:bottom w:val="none" w:sz="0" w:space="0" w:color="auto"/>
        <w:right w:val="none" w:sz="0" w:space="0" w:color="auto"/>
      </w:divBdr>
    </w:div>
    <w:div w:id="1765613996">
      <w:bodyDiv w:val="1"/>
      <w:marLeft w:val="0"/>
      <w:marRight w:val="0"/>
      <w:marTop w:val="0"/>
      <w:marBottom w:val="0"/>
      <w:divBdr>
        <w:top w:val="none" w:sz="0" w:space="0" w:color="auto"/>
        <w:left w:val="none" w:sz="0" w:space="0" w:color="auto"/>
        <w:bottom w:val="none" w:sz="0" w:space="0" w:color="auto"/>
        <w:right w:val="none" w:sz="0" w:space="0" w:color="auto"/>
      </w:divBdr>
    </w:div>
    <w:div w:id="1783108088">
      <w:bodyDiv w:val="1"/>
      <w:marLeft w:val="0"/>
      <w:marRight w:val="0"/>
      <w:marTop w:val="0"/>
      <w:marBottom w:val="0"/>
      <w:divBdr>
        <w:top w:val="none" w:sz="0" w:space="0" w:color="auto"/>
        <w:left w:val="none" w:sz="0" w:space="0" w:color="auto"/>
        <w:bottom w:val="none" w:sz="0" w:space="0" w:color="auto"/>
        <w:right w:val="none" w:sz="0" w:space="0" w:color="auto"/>
      </w:divBdr>
    </w:div>
    <w:div w:id="1785465752">
      <w:bodyDiv w:val="1"/>
      <w:marLeft w:val="0"/>
      <w:marRight w:val="0"/>
      <w:marTop w:val="0"/>
      <w:marBottom w:val="0"/>
      <w:divBdr>
        <w:top w:val="none" w:sz="0" w:space="0" w:color="auto"/>
        <w:left w:val="none" w:sz="0" w:space="0" w:color="auto"/>
        <w:bottom w:val="none" w:sz="0" w:space="0" w:color="auto"/>
        <w:right w:val="none" w:sz="0" w:space="0" w:color="auto"/>
      </w:divBdr>
    </w:div>
    <w:div w:id="1799764469">
      <w:bodyDiv w:val="1"/>
      <w:marLeft w:val="0"/>
      <w:marRight w:val="0"/>
      <w:marTop w:val="0"/>
      <w:marBottom w:val="0"/>
      <w:divBdr>
        <w:top w:val="none" w:sz="0" w:space="0" w:color="auto"/>
        <w:left w:val="none" w:sz="0" w:space="0" w:color="auto"/>
        <w:bottom w:val="none" w:sz="0" w:space="0" w:color="auto"/>
        <w:right w:val="none" w:sz="0" w:space="0" w:color="auto"/>
      </w:divBdr>
    </w:div>
    <w:div w:id="1799834627">
      <w:bodyDiv w:val="1"/>
      <w:marLeft w:val="0"/>
      <w:marRight w:val="0"/>
      <w:marTop w:val="0"/>
      <w:marBottom w:val="0"/>
      <w:divBdr>
        <w:top w:val="none" w:sz="0" w:space="0" w:color="auto"/>
        <w:left w:val="none" w:sz="0" w:space="0" w:color="auto"/>
        <w:bottom w:val="none" w:sz="0" w:space="0" w:color="auto"/>
        <w:right w:val="none" w:sz="0" w:space="0" w:color="auto"/>
      </w:divBdr>
    </w:div>
    <w:div w:id="1804077095">
      <w:bodyDiv w:val="1"/>
      <w:marLeft w:val="0"/>
      <w:marRight w:val="0"/>
      <w:marTop w:val="0"/>
      <w:marBottom w:val="0"/>
      <w:divBdr>
        <w:top w:val="none" w:sz="0" w:space="0" w:color="auto"/>
        <w:left w:val="none" w:sz="0" w:space="0" w:color="auto"/>
        <w:bottom w:val="none" w:sz="0" w:space="0" w:color="auto"/>
        <w:right w:val="none" w:sz="0" w:space="0" w:color="auto"/>
      </w:divBdr>
    </w:div>
    <w:div w:id="1840149665">
      <w:bodyDiv w:val="1"/>
      <w:marLeft w:val="0"/>
      <w:marRight w:val="0"/>
      <w:marTop w:val="0"/>
      <w:marBottom w:val="0"/>
      <w:divBdr>
        <w:top w:val="none" w:sz="0" w:space="0" w:color="auto"/>
        <w:left w:val="none" w:sz="0" w:space="0" w:color="auto"/>
        <w:bottom w:val="none" w:sz="0" w:space="0" w:color="auto"/>
        <w:right w:val="none" w:sz="0" w:space="0" w:color="auto"/>
      </w:divBdr>
    </w:div>
    <w:div w:id="1887719262">
      <w:bodyDiv w:val="1"/>
      <w:marLeft w:val="0"/>
      <w:marRight w:val="0"/>
      <w:marTop w:val="0"/>
      <w:marBottom w:val="0"/>
      <w:divBdr>
        <w:top w:val="none" w:sz="0" w:space="0" w:color="auto"/>
        <w:left w:val="none" w:sz="0" w:space="0" w:color="auto"/>
        <w:bottom w:val="none" w:sz="0" w:space="0" w:color="auto"/>
        <w:right w:val="none" w:sz="0" w:space="0" w:color="auto"/>
      </w:divBdr>
    </w:div>
    <w:div w:id="1968195678">
      <w:bodyDiv w:val="1"/>
      <w:marLeft w:val="0"/>
      <w:marRight w:val="0"/>
      <w:marTop w:val="0"/>
      <w:marBottom w:val="0"/>
      <w:divBdr>
        <w:top w:val="none" w:sz="0" w:space="0" w:color="auto"/>
        <w:left w:val="none" w:sz="0" w:space="0" w:color="auto"/>
        <w:bottom w:val="none" w:sz="0" w:space="0" w:color="auto"/>
        <w:right w:val="none" w:sz="0" w:space="0" w:color="auto"/>
      </w:divBdr>
    </w:div>
    <w:div w:id="2135981291">
      <w:bodyDiv w:val="1"/>
      <w:marLeft w:val="0"/>
      <w:marRight w:val="0"/>
      <w:marTop w:val="0"/>
      <w:marBottom w:val="0"/>
      <w:divBdr>
        <w:top w:val="none" w:sz="0" w:space="0" w:color="auto"/>
        <w:left w:val="none" w:sz="0" w:space="0" w:color="auto"/>
        <w:bottom w:val="none" w:sz="0" w:space="0" w:color="auto"/>
        <w:right w:val="none" w:sz="0" w:space="0" w:color="auto"/>
      </w:divBdr>
    </w:div>
    <w:div w:id="2136870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2498C-0EC2-4C29-9F94-2F79992E5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3112</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2023-07-29T10:14:00Z</dcterms:created>
  <dcterms:modified xsi:type="dcterms:W3CDTF">2023-07-29T10:14:00Z</dcterms:modified>
</cp:coreProperties>
</file>