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6170D" w14:textId="73CE8532" w:rsidR="002312D2" w:rsidRPr="001B456E" w:rsidRDefault="00D17FED" w:rsidP="001B456E">
      <w:pPr>
        <w:spacing w:before="240" w:line="360" w:lineRule="auto"/>
        <w:rPr>
          <w:rFonts w:asciiTheme="majorHAnsi" w:hAnsiTheme="majorHAnsi" w:cstheme="majorHAnsi"/>
        </w:rPr>
      </w:pPr>
      <w:r w:rsidRPr="00074402">
        <w:rPr>
          <w:rFonts w:ascii="Arial" w:hAnsi="Arial" w:cs="Arial"/>
          <w:noProof/>
          <w:szCs w:val="24"/>
        </w:rPr>
        <w:drawing>
          <wp:anchor distT="0" distB="0" distL="114300" distR="114300" simplePos="0" relativeHeight="251659264" behindDoc="0" locked="0" layoutInCell="1" allowOverlap="1" wp14:anchorId="54D8B8D0" wp14:editId="06168A29">
            <wp:simplePos x="0" y="0"/>
            <wp:positionH relativeFrom="column">
              <wp:posOffset>-176646</wp:posOffset>
            </wp:positionH>
            <wp:positionV relativeFrom="paragraph">
              <wp:posOffset>462</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1805EB1" w14:textId="77777777" w:rsidR="00D17FED" w:rsidRDefault="00D17FED" w:rsidP="001B456E">
      <w:pPr>
        <w:spacing w:before="240" w:line="360" w:lineRule="auto"/>
        <w:jc w:val="center"/>
        <w:rPr>
          <w:rFonts w:asciiTheme="majorHAnsi" w:eastAsia="Times New Roman" w:hAnsiTheme="majorHAnsi" w:cstheme="majorHAnsi"/>
        </w:rPr>
      </w:pPr>
    </w:p>
    <w:p w14:paraId="01047BFA" w14:textId="77777777" w:rsidR="00D17FED" w:rsidRDefault="00D17FED" w:rsidP="001B456E">
      <w:pPr>
        <w:spacing w:before="240" w:line="360" w:lineRule="auto"/>
        <w:jc w:val="center"/>
        <w:rPr>
          <w:rFonts w:asciiTheme="majorHAnsi" w:eastAsia="Times New Roman" w:hAnsiTheme="majorHAnsi" w:cstheme="majorHAnsi"/>
        </w:rPr>
      </w:pPr>
    </w:p>
    <w:p w14:paraId="388771B3" w14:textId="00A6CD2A" w:rsidR="00D17FED" w:rsidRDefault="00D17FED" w:rsidP="001B456E">
      <w:pPr>
        <w:spacing w:before="240" w:line="360" w:lineRule="auto"/>
        <w:jc w:val="center"/>
        <w:rPr>
          <w:rFonts w:asciiTheme="majorHAnsi" w:eastAsia="Times New Roman" w:hAnsiTheme="majorHAnsi" w:cstheme="majorHAnsi"/>
        </w:rPr>
      </w:pPr>
      <w:r>
        <w:rPr>
          <w:rFonts w:asciiTheme="majorHAnsi" w:eastAsia="Times New Roman" w:hAnsiTheme="majorHAnsi" w:cstheme="majorHAnsi"/>
        </w:rPr>
        <w:t xml:space="preserve">Student </w:t>
      </w:r>
      <w:proofErr w:type="gramStart"/>
      <w:r>
        <w:rPr>
          <w:rFonts w:asciiTheme="majorHAnsi" w:eastAsia="Times New Roman" w:hAnsiTheme="majorHAnsi" w:cstheme="majorHAnsi"/>
        </w:rPr>
        <w:t>name :</w:t>
      </w:r>
      <w:proofErr w:type="gramEnd"/>
      <w:r>
        <w:rPr>
          <w:rFonts w:asciiTheme="majorHAnsi" w:eastAsia="Times New Roman" w:hAnsiTheme="majorHAnsi" w:cstheme="majorHAnsi"/>
        </w:rPr>
        <w:t xml:space="preserve"> </w:t>
      </w:r>
      <w:r w:rsidR="002312D2" w:rsidRPr="001B456E">
        <w:rPr>
          <w:rFonts w:asciiTheme="majorHAnsi" w:eastAsia="Times New Roman" w:hAnsiTheme="majorHAnsi" w:cstheme="majorHAnsi"/>
        </w:rPr>
        <w:fldChar w:fldCharType="begin"/>
      </w:r>
      <w:r w:rsidR="002312D2" w:rsidRPr="001B456E">
        <w:rPr>
          <w:rFonts w:asciiTheme="majorHAnsi" w:eastAsia="Times New Roman" w:hAnsiTheme="majorHAnsi" w:cstheme="majorHAnsi"/>
        </w:rPr>
        <w:instrText xml:space="preserve"> AutoTextList \s NoStyle \t "Please type in your first and last name" </w:instrText>
      </w:r>
      <w:r w:rsidR="002312D2" w:rsidRPr="001B456E">
        <w:rPr>
          <w:rFonts w:asciiTheme="majorHAnsi" w:eastAsia="Times New Roman" w:hAnsiTheme="majorHAnsi" w:cstheme="majorHAnsi"/>
        </w:rPr>
        <w:fldChar w:fldCharType="separate"/>
      </w:r>
      <w:r>
        <w:rPr>
          <w:rFonts w:asciiTheme="majorHAnsi" w:eastAsia="Times New Roman" w:hAnsiTheme="majorHAnsi" w:cstheme="majorHAnsi"/>
        </w:rPr>
        <w:t xml:space="preserve">Luisa </w:t>
      </w:r>
      <w:proofErr w:type="spellStart"/>
      <w:r>
        <w:rPr>
          <w:rFonts w:asciiTheme="majorHAnsi" w:eastAsia="Times New Roman" w:hAnsiTheme="majorHAnsi" w:cstheme="majorHAnsi"/>
        </w:rPr>
        <w:t>Petito</w:t>
      </w:r>
      <w:proofErr w:type="spellEnd"/>
      <w:r>
        <w:rPr>
          <w:rFonts w:asciiTheme="majorHAnsi" w:eastAsia="Times New Roman" w:hAnsiTheme="majorHAnsi" w:cstheme="majorHAnsi"/>
        </w:rPr>
        <w:t xml:space="preserve"> </w:t>
      </w:r>
    </w:p>
    <w:p w14:paraId="292E2E04" w14:textId="1886A64E" w:rsidR="002312D2" w:rsidRPr="001B456E" w:rsidRDefault="00D17FED" w:rsidP="001B456E">
      <w:pPr>
        <w:spacing w:before="240" w:line="360" w:lineRule="auto"/>
        <w:jc w:val="center"/>
        <w:rPr>
          <w:rFonts w:asciiTheme="majorHAnsi" w:eastAsia="Times New Roman" w:hAnsiTheme="majorHAnsi" w:cstheme="majorHAnsi"/>
        </w:rPr>
      </w:pPr>
      <w:r>
        <w:rPr>
          <w:rFonts w:asciiTheme="majorHAnsi" w:eastAsia="Times New Roman" w:hAnsiTheme="majorHAnsi" w:cstheme="majorHAnsi"/>
        </w:rPr>
        <w:t>Student ID: (2212364)</w:t>
      </w:r>
      <w:r w:rsidR="002312D2" w:rsidRPr="001B456E">
        <w:rPr>
          <w:rFonts w:asciiTheme="majorHAnsi" w:eastAsia="Times New Roman" w:hAnsiTheme="majorHAnsi" w:cstheme="majorHAnsi"/>
        </w:rPr>
        <w:fldChar w:fldCharType="end"/>
      </w:r>
    </w:p>
    <w:p w14:paraId="5E91B347" w14:textId="77777777" w:rsidR="00D17FED" w:rsidRDefault="00D17FED" w:rsidP="001B456E">
      <w:pPr>
        <w:spacing w:before="240" w:line="360" w:lineRule="auto"/>
        <w:jc w:val="center"/>
        <w:rPr>
          <w:rFonts w:asciiTheme="majorHAnsi" w:eastAsia="Times New Roman" w:hAnsiTheme="majorHAnsi" w:cstheme="majorHAnsi"/>
        </w:rPr>
      </w:pPr>
      <w:r>
        <w:rPr>
          <w:rFonts w:asciiTheme="majorHAnsi" w:eastAsia="Times New Roman" w:hAnsiTheme="majorHAnsi" w:cstheme="majorHAnsi"/>
        </w:rPr>
        <w:t xml:space="preserve">Module name: Public health </w:t>
      </w:r>
    </w:p>
    <w:p w14:paraId="288AE15E" w14:textId="77958BC4" w:rsidR="002312D2" w:rsidRDefault="00D17FED" w:rsidP="001B456E">
      <w:pPr>
        <w:spacing w:before="240" w:line="360" w:lineRule="auto"/>
        <w:jc w:val="center"/>
        <w:rPr>
          <w:rFonts w:asciiTheme="majorHAnsi" w:eastAsia="Times New Roman" w:hAnsiTheme="majorHAnsi" w:cstheme="majorHAnsi"/>
        </w:rPr>
      </w:pPr>
      <w:r>
        <w:rPr>
          <w:rFonts w:asciiTheme="majorHAnsi" w:eastAsia="Times New Roman" w:hAnsiTheme="majorHAnsi" w:cstheme="majorHAnsi"/>
        </w:rPr>
        <w:t>Module code: LCHS4004</w:t>
      </w:r>
    </w:p>
    <w:p w14:paraId="0E7C77D9" w14:textId="51476C7E" w:rsidR="00D17FED" w:rsidRPr="001B456E" w:rsidRDefault="00D17FED" w:rsidP="001B456E">
      <w:pPr>
        <w:spacing w:before="240" w:line="360" w:lineRule="auto"/>
        <w:jc w:val="center"/>
        <w:rPr>
          <w:rFonts w:asciiTheme="majorHAnsi" w:eastAsia="Times New Roman" w:hAnsiTheme="majorHAnsi" w:cstheme="majorHAnsi"/>
        </w:rPr>
      </w:pPr>
      <w:r>
        <w:rPr>
          <w:rFonts w:asciiTheme="majorHAnsi" w:eastAsia="Times New Roman" w:hAnsiTheme="majorHAnsi" w:cstheme="majorHAnsi"/>
        </w:rPr>
        <w:t xml:space="preserve">Lecture name: Laila </w:t>
      </w:r>
      <w:proofErr w:type="spellStart"/>
      <w:r>
        <w:rPr>
          <w:rFonts w:asciiTheme="majorHAnsi" w:eastAsia="Times New Roman" w:hAnsiTheme="majorHAnsi" w:cstheme="majorHAnsi"/>
        </w:rPr>
        <w:t>Surani</w:t>
      </w:r>
      <w:proofErr w:type="spellEnd"/>
    </w:p>
    <w:p w14:paraId="121D31FC" w14:textId="77777777" w:rsidR="002312D2" w:rsidRPr="001B456E" w:rsidRDefault="002312D2" w:rsidP="001B456E">
      <w:pPr>
        <w:spacing w:before="240" w:line="360" w:lineRule="auto"/>
        <w:jc w:val="center"/>
        <w:rPr>
          <w:rFonts w:asciiTheme="majorHAnsi" w:eastAsia="Times New Roman" w:hAnsiTheme="majorHAnsi" w:cstheme="majorHAnsi"/>
        </w:rPr>
      </w:pPr>
    </w:p>
    <w:p w14:paraId="051341DB" w14:textId="3C1A1163" w:rsidR="005B2954" w:rsidRDefault="005B2954" w:rsidP="001B456E">
      <w:pPr>
        <w:spacing w:before="240" w:line="360" w:lineRule="auto"/>
        <w:jc w:val="center"/>
        <w:rPr>
          <w:rFonts w:asciiTheme="majorHAnsi" w:eastAsia="Times New Roman" w:hAnsiTheme="majorHAnsi" w:cstheme="majorHAnsi"/>
        </w:rPr>
      </w:pPr>
    </w:p>
    <w:p w14:paraId="4F19E738" w14:textId="2FC82A88" w:rsidR="00D17FED" w:rsidRDefault="00D17FED" w:rsidP="001B456E">
      <w:pPr>
        <w:spacing w:before="240" w:line="360" w:lineRule="auto"/>
        <w:jc w:val="center"/>
        <w:rPr>
          <w:rFonts w:asciiTheme="majorHAnsi" w:eastAsia="Times New Roman" w:hAnsiTheme="majorHAnsi" w:cstheme="majorHAnsi"/>
        </w:rPr>
      </w:pPr>
    </w:p>
    <w:p w14:paraId="2D147F6B" w14:textId="066907D0" w:rsidR="00D17FED" w:rsidRDefault="00D17FED" w:rsidP="001B456E">
      <w:pPr>
        <w:spacing w:before="240" w:line="360" w:lineRule="auto"/>
        <w:jc w:val="center"/>
        <w:rPr>
          <w:rFonts w:asciiTheme="majorHAnsi" w:eastAsia="Times New Roman" w:hAnsiTheme="majorHAnsi" w:cstheme="majorHAnsi"/>
        </w:rPr>
      </w:pPr>
    </w:p>
    <w:p w14:paraId="065D652C" w14:textId="47FEFBB6" w:rsidR="00D17FED" w:rsidRDefault="00D17FED" w:rsidP="001B456E">
      <w:pPr>
        <w:spacing w:before="240" w:line="360" w:lineRule="auto"/>
        <w:jc w:val="center"/>
        <w:rPr>
          <w:rFonts w:asciiTheme="majorHAnsi" w:eastAsia="Times New Roman" w:hAnsiTheme="majorHAnsi" w:cstheme="majorHAnsi"/>
        </w:rPr>
      </w:pPr>
    </w:p>
    <w:p w14:paraId="1C0B4DD6" w14:textId="78B5C09D" w:rsidR="00D17FED" w:rsidRDefault="00D17FED" w:rsidP="001B456E">
      <w:pPr>
        <w:spacing w:before="240" w:line="360" w:lineRule="auto"/>
        <w:jc w:val="center"/>
        <w:rPr>
          <w:rFonts w:asciiTheme="majorHAnsi" w:eastAsia="Times New Roman" w:hAnsiTheme="majorHAnsi" w:cstheme="majorHAnsi"/>
        </w:rPr>
      </w:pPr>
    </w:p>
    <w:p w14:paraId="6FAB37E0" w14:textId="168B7B7F" w:rsidR="00D17FED" w:rsidRDefault="00D17FED" w:rsidP="001B456E">
      <w:pPr>
        <w:spacing w:before="240" w:line="360" w:lineRule="auto"/>
        <w:jc w:val="center"/>
        <w:rPr>
          <w:rFonts w:asciiTheme="majorHAnsi" w:eastAsia="Times New Roman" w:hAnsiTheme="majorHAnsi" w:cstheme="majorHAnsi"/>
        </w:rPr>
      </w:pPr>
    </w:p>
    <w:p w14:paraId="000D7901" w14:textId="1FE7C1E1" w:rsidR="00D17FED" w:rsidRDefault="00D17FED" w:rsidP="001B456E">
      <w:pPr>
        <w:spacing w:before="240" w:line="360" w:lineRule="auto"/>
        <w:jc w:val="center"/>
        <w:rPr>
          <w:rFonts w:asciiTheme="majorHAnsi" w:eastAsia="Times New Roman" w:hAnsiTheme="majorHAnsi" w:cstheme="majorHAnsi"/>
        </w:rPr>
      </w:pPr>
    </w:p>
    <w:p w14:paraId="19059628" w14:textId="065E2D3D" w:rsidR="00D17FED" w:rsidRDefault="00D17FED" w:rsidP="001B456E">
      <w:pPr>
        <w:spacing w:before="240" w:line="360" w:lineRule="auto"/>
        <w:jc w:val="center"/>
        <w:rPr>
          <w:rFonts w:asciiTheme="majorHAnsi" w:eastAsia="Times New Roman" w:hAnsiTheme="majorHAnsi" w:cstheme="majorHAnsi"/>
        </w:rPr>
      </w:pPr>
    </w:p>
    <w:p w14:paraId="65FA332E" w14:textId="4A8A6A7D" w:rsidR="00D17FED" w:rsidRDefault="00D17FED" w:rsidP="001B456E">
      <w:pPr>
        <w:spacing w:before="240" w:line="360" w:lineRule="auto"/>
        <w:jc w:val="center"/>
        <w:rPr>
          <w:rFonts w:asciiTheme="majorHAnsi" w:eastAsia="Times New Roman" w:hAnsiTheme="majorHAnsi" w:cstheme="majorHAnsi"/>
        </w:rPr>
      </w:pPr>
    </w:p>
    <w:p w14:paraId="3B242423" w14:textId="748B2DAD" w:rsidR="00D17FED" w:rsidRDefault="00D17FED" w:rsidP="001B456E">
      <w:pPr>
        <w:spacing w:before="240" w:line="360" w:lineRule="auto"/>
        <w:jc w:val="center"/>
        <w:rPr>
          <w:rFonts w:asciiTheme="majorHAnsi" w:eastAsia="Times New Roman" w:hAnsiTheme="majorHAnsi" w:cstheme="majorHAnsi"/>
        </w:rPr>
      </w:pPr>
    </w:p>
    <w:p w14:paraId="1A643352" w14:textId="111192CE" w:rsidR="00D17FED" w:rsidRDefault="00D17FED" w:rsidP="001B456E">
      <w:pPr>
        <w:spacing w:before="240" w:line="360" w:lineRule="auto"/>
        <w:jc w:val="center"/>
        <w:rPr>
          <w:rFonts w:asciiTheme="majorHAnsi" w:eastAsia="Times New Roman" w:hAnsiTheme="majorHAnsi" w:cstheme="majorHAnsi"/>
        </w:rPr>
      </w:pPr>
    </w:p>
    <w:p w14:paraId="05CEBA5A" w14:textId="77777777" w:rsidR="005B2954" w:rsidRDefault="005B2954">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sdt>
      <w:sdtPr>
        <w:rPr>
          <w:rFonts w:asciiTheme="minorHAnsi" w:eastAsiaTheme="minorEastAsia" w:hAnsiTheme="minorHAnsi" w:cstheme="minorHAnsi"/>
          <w:b w:val="0"/>
          <w:bCs w:val="0"/>
          <w:color w:val="auto"/>
          <w:sz w:val="20"/>
          <w:szCs w:val="20"/>
          <w:lang w:val="en-GB" w:eastAsia="zh-CN"/>
        </w:rPr>
        <w:id w:val="-1689358738"/>
        <w:docPartObj>
          <w:docPartGallery w:val="Table of Contents"/>
          <w:docPartUnique/>
        </w:docPartObj>
      </w:sdtPr>
      <w:sdtEndPr>
        <w:rPr>
          <w:lang w:val="en-US" w:eastAsia="en-US"/>
        </w:rPr>
      </w:sdtEndPr>
      <w:sdtContent>
        <w:p w14:paraId="3D172E4C" w14:textId="77777777" w:rsidR="00D17FED" w:rsidRDefault="00D17FED" w:rsidP="00D17FED">
          <w:pPr>
            <w:pStyle w:val="TOCHeading"/>
          </w:pPr>
          <w:r>
            <w:t>Table of Contents</w:t>
          </w:r>
        </w:p>
        <w:p w14:paraId="3D57F878" w14:textId="407340A4" w:rsidR="00D17FED" w:rsidRDefault="00D17FED" w:rsidP="00D17FED">
          <w:pPr>
            <w:pStyle w:val="TOC1"/>
          </w:pPr>
          <w:r>
            <w:t xml:space="preserve"> </w:t>
          </w:r>
          <w:r>
            <w:t>Polio control strategies. In UK Past successes and future recommendations</w:t>
          </w:r>
          <w:r w:rsidRPr="008D7505">
            <w:t xml:space="preserve"> </w:t>
          </w:r>
          <w:r>
            <w:ptab w:relativeTo="margin" w:alignment="right" w:leader="dot"/>
          </w:r>
          <w:r>
            <w:t>3</w:t>
          </w:r>
        </w:p>
        <w:p w14:paraId="72E3EBC8" w14:textId="50C61001" w:rsidR="00D17FED" w:rsidRDefault="00D17FED" w:rsidP="00D17FED">
          <w:pPr>
            <w:pStyle w:val="TOC1"/>
          </w:pPr>
          <w:r>
            <w:t xml:space="preserve">Introduction </w:t>
          </w:r>
          <w:r>
            <w:ptab w:relativeTo="margin" w:alignment="right" w:leader="dot"/>
          </w:r>
          <w:r>
            <w:t>3</w:t>
          </w:r>
        </w:p>
        <w:p w14:paraId="2CD94FD8" w14:textId="2E6910A1" w:rsidR="00D17FED" w:rsidRDefault="00D17FED" w:rsidP="00D17FED">
          <w:pPr>
            <w:pStyle w:val="TOC1"/>
          </w:pPr>
          <w:r w:rsidRPr="008D7505">
            <w:t xml:space="preserve"> </w:t>
          </w:r>
          <w:r>
            <w:t xml:space="preserve">Strategies to </w:t>
          </w:r>
          <w:proofErr w:type="spellStart"/>
          <w:r>
            <w:t>used</w:t>
          </w:r>
          <w:proofErr w:type="spellEnd"/>
          <w:r>
            <w:t xml:space="preserve"> in UK to measure the incidence of Polio </w:t>
          </w:r>
          <w:r>
            <w:ptab w:relativeTo="margin" w:alignment="right" w:leader="dot"/>
          </w:r>
          <w:r>
            <w:t>3</w:t>
          </w:r>
        </w:p>
        <w:p w14:paraId="27D8D26F" w14:textId="305C9DE2" w:rsidR="00D17FED" w:rsidRDefault="00D17FED" w:rsidP="00D17FED">
          <w:pPr>
            <w:pStyle w:val="TOC1"/>
          </w:pPr>
          <w:r>
            <w:t>Strategies used in UK to monitor the incidence of Polio</w:t>
          </w:r>
          <w:r>
            <w:ptab w:relativeTo="margin" w:alignment="right" w:leader="dot"/>
          </w:r>
          <w:r>
            <w:t>4</w:t>
          </w:r>
        </w:p>
        <w:p w14:paraId="11396059" w14:textId="65B1CCA5" w:rsidR="00D17FED" w:rsidRDefault="00D17FED" w:rsidP="00D17FED">
          <w:pPr>
            <w:pStyle w:val="TOC1"/>
          </w:pPr>
          <w:r>
            <w:t xml:space="preserve">Strategies used in UK to </w:t>
          </w:r>
          <w:r>
            <w:t>Control</w:t>
          </w:r>
          <w:r>
            <w:t xml:space="preserve"> the incidence of Polio</w:t>
          </w:r>
          <w:r>
            <w:ptab w:relativeTo="margin" w:alignment="right" w:leader="dot"/>
          </w:r>
          <w:r>
            <w:t>4</w:t>
          </w:r>
        </w:p>
        <w:p w14:paraId="1F2683BE" w14:textId="22D22196" w:rsidR="00D17FED" w:rsidRDefault="00D17FED" w:rsidP="00D17FED">
          <w:pPr>
            <w:pStyle w:val="TOC1"/>
          </w:pPr>
          <w:r w:rsidRPr="00D17FED">
            <w:t xml:space="preserve">Critically </w:t>
          </w:r>
          <w:r w:rsidRPr="00D17FED">
            <w:rPr>
              <w:rStyle w:val="Strong"/>
              <w:rFonts w:asciiTheme="majorHAnsi" w:hAnsiTheme="majorHAnsi" w:cstheme="majorHAnsi"/>
              <w:b/>
              <w:bCs/>
              <w:color w:val="0E101A"/>
            </w:rPr>
            <w:t>evaluating the strategies used to control the incidence of polio in the U</w:t>
          </w:r>
          <w:r>
            <w:rPr>
              <w:rStyle w:val="Strong"/>
              <w:rFonts w:asciiTheme="majorHAnsi" w:hAnsiTheme="majorHAnsi" w:cstheme="majorHAnsi"/>
              <w:b/>
              <w:bCs/>
              <w:color w:val="0E101A"/>
            </w:rPr>
            <w:t>k</w:t>
          </w:r>
          <w:r>
            <w:ptab w:relativeTo="margin" w:alignment="right" w:leader="dot"/>
          </w:r>
          <w:r>
            <w:t>5</w:t>
          </w:r>
        </w:p>
        <w:p w14:paraId="0D1C763F" w14:textId="34910F8E" w:rsidR="00D17FED" w:rsidRDefault="00D17FED" w:rsidP="00D17FED">
          <w:pPr>
            <w:pStyle w:val="TOC1"/>
          </w:pPr>
          <w:r>
            <w:t>Conclusion</w:t>
          </w:r>
          <w:r>
            <w:ptab w:relativeTo="margin" w:alignment="right" w:leader="dot"/>
          </w:r>
          <w:r>
            <w:t>6</w:t>
          </w:r>
        </w:p>
        <w:p w14:paraId="2EB60CAA" w14:textId="13274431" w:rsidR="00D17FED" w:rsidRDefault="00D17FED" w:rsidP="00D17FED">
          <w:pPr>
            <w:pStyle w:val="TOC1"/>
          </w:pPr>
          <w:r>
            <w:t>References</w:t>
          </w:r>
          <w:r>
            <w:ptab w:relativeTo="margin" w:alignment="right" w:leader="dot"/>
          </w:r>
          <w:r>
            <w:t>6</w:t>
          </w:r>
          <w:r>
            <w:t>-7</w:t>
          </w:r>
        </w:p>
        <w:p w14:paraId="3C0E8391" w14:textId="334B7E0F" w:rsidR="00D17FED" w:rsidRPr="00D17FED" w:rsidRDefault="00D17FED" w:rsidP="00D17FED"/>
        <w:p w14:paraId="2FEBC732" w14:textId="77777777" w:rsidR="00D17FED" w:rsidRPr="00D17FED" w:rsidRDefault="00D17FED" w:rsidP="00D17FED"/>
        <w:p w14:paraId="2398DD5A" w14:textId="77777777" w:rsidR="00D17FED" w:rsidRPr="00D17FED" w:rsidRDefault="00D17FED" w:rsidP="00D17FED">
          <w:pPr>
            <w:rPr>
              <w:b/>
              <w:bCs/>
            </w:rPr>
          </w:pPr>
        </w:p>
        <w:p w14:paraId="5B74BA15" w14:textId="77777777" w:rsidR="00D17FED" w:rsidRPr="00D17FED" w:rsidRDefault="00D17FED" w:rsidP="00D17FED">
          <w:pPr>
            <w:rPr>
              <w:b/>
              <w:bCs/>
            </w:rPr>
          </w:pPr>
        </w:p>
        <w:p w14:paraId="440DB24F" w14:textId="77777777" w:rsidR="00D17FED" w:rsidRDefault="00D17FED" w:rsidP="00D17FED">
          <w:pPr>
            <w:pStyle w:val="TOC3"/>
            <w:ind w:left="446"/>
          </w:pPr>
        </w:p>
      </w:sdtContent>
    </w:sdt>
    <w:p w14:paraId="5C7E4D33" w14:textId="77777777" w:rsidR="00D17FED" w:rsidRDefault="00D17FED" w:rsidP="00D17FED"/>
    <w:p w14:paraId="7DF5BACC" w14:textId="12CD570F" w:rsidR="005B2954" w:rsidRDefault="005B2954" w:rsidP="001B456E">
      <w:pPr>
        <w:spacing w:before="240" w:line="360" w:lineRule="auto"/>
        <w:jc w:val="center"/>
        <w:rPr>
          <w:rFonts w:asciiTheme="majorHAnsi" w:eastAsia="Times New Roman" w:hAnsiTheme="majorHAnsi" w:cstheme="majorHAnsi"/>
        </w:rPr>
      </w:pPr>
    </w:p>
    <w:p w14:paraId="35906536" w14:textId="2BCA3ECC" w:rsidR="00D17FED" w:rsidRPr="00D17FED" w:rsidRDefault="005B2954" w:rsidP="00D17FED">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1F5D0243" w14:textId="683FCFC0" w:rsidR="00D17FED" w:rsidRDefault="00D17FED">
      <w:pPr>
        <w:spacing w:after="160" w:line="259" w:lineRule="auto"/>
        <w:rPr>
          <w:rFonts w:asciiTheme="majorHAnsi" w:eastAsia="Times New Roman" w:hAnsiTheme="majorHAnsi" w:cstheme="majorHAnsi"/>
        </w:rPr>
      </w:pPr>
    </w:p>
    <w:p w14:paraId="49BDD626" w14:textId="77777777" w:rsidR="002312D2" w:rsidRPr="001B456E" w:rsidRDefault="002312D2" w:rsidP="001B456E">
      <w:pPr>
        <w:spacing w:before="240" w:line="360" w:lineRule="auto"/>
        <w:jc w:val="center"/>
        <w:rPr>
          <w:rFonts w:asciiTheme="majorHAnsi" w:eastAsia="Times New Roman" w:hAnsiTheme="majorHAnsi" w:cstheme="majorHAnsi"/>
        </w:rPr>
      </w:pPr>
    </w:p>
    <w:p w14:paraId="4ED20F9A" w14:textId="77777777" w:rsidR="002312D2" w:rsidRPr="001B456E" w:rsidRDefault="002312D2" w:rsidP="001B456E">
      <w:pPr>
        <w:spacing w:before="240" w:line="360" w:lineRule="auto"/>
        <w:jc w:val="center"/>
        <w:rPr>
          <w:rFonts w:asciiTheme="majorHAnsi" w:eastAsia="Times New Roman" w:hAnsiTheme="majorHAnsi" w:cstheme="majorHAnsi"/>
        </w:rPr>
      </w:pPr>
    </w:p>
    <w:p w14:paraId="025FF45B" w14:textId="5FCFECDA" w:rsidR="002850C7" w:rsidRPr="001B456E" w:rsidRDefault="001016ED" w:rsidP="00E94AB0">
      <w:pPr>
        <w:spacing w:line="360" w:lineRule="auto"/>
        <w:rPr>
          <w:rFonts w:asciiTheme="majorHAnsi" w:hAnsiTheme="majorHAnsi" w:cstheme="majorHAnsi"/>
          <w:b/>
          <w:bCs/>
        </w:rPr>
      </w:pPr>
      <w:r w:rsidRPr="001B456E">
        <w:rPr>
          <w:rFonts w:asciiTheme="majorHAnsi" w:hAnsiTheme="majorHAnsi" w:cstheme="majorHAnsi"/>
          <w:b/>
          <w:bCs/>
        </w:rPr>
        <w:t>Polio Control Strategies in the UK: Past Successes and Future Recommendations</w:t>
      </w:r>
    </w:p>
    <w:p w14:paraId="46BE63E0" w14:textId="77777777" w:rsidR="001016ED" w:rsidRPr="001B456E" w:rsidRDefault="001016ED" w:rsidP="001B456E">
      <w:pPr>
        <w:spacing w:line="360" w:lineRule="auto"/>
        <w:jc w:val="center"/>
        <w:rPr>
          <w:rFonts w:asciiTheme="majorHAnsi" w:hAnsiTheme="majorHAnsi" w:cstheme="majorHAnsi"/>
          <w:b/>
          <w:bCs/>
        </w:rPr>
      </w:pPr>
    </w:p>
    <w:p w14:paraId="06D46059"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Style w:val="Strong"/>
          <w:rFonts w:asciiTheme="majorHAnsi" w:hAnsiTheme="majorHAnsi" w:cstheme="majorHAnsi"/>
          <w:color w:val="0E101A"/>
          <w:sz w:val="22"/>
          <w:szCs w:val="22"/>
        </w:rPr>
        <w:t>Introduction:</w:t>
      </w:r>
    </w:p>
    <w:p w14:paraId="1C80FD5E"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Poliomyelitis, usually known as polio, is a highly contagious viral disease that affects the nervous system and can result in paralysis and even death (World Health Organization, 2021). This study covers the key methodologies and strategies utilized in the United Kingdom to measure, monitor, and control polio.</w:t>
      </w:r>
    </w:p>
    <w:p w14:paraId="1B84BA1F"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Style w:val="Strong"/>
          <w:rFonts w:asciiTheme="majorHAnsi" w:hAnsiTheme="majorHAnsi" w:cstheme="majorHAnsi"/>
          <w:color w:val="0E101A"/>
          <w:sz w:val="22"/>
          <w:szCs w:val="22"/>
        </w:rPr>
        <w:t>Strategies used in the UK to measure the incidence of polio:</w:t>
      </w:r>
    </w:p>
    <w:p w14:paraId="4DE4E8DD"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Before the advent of the polio vaccine in the 1950s, polio was a serious public health concern in the United Kingdom. During that period, the government used a variety of measures to track the prevalence of polio, including case reporting and surveillance systems (Sutter, 2018). The government required all polio cases to be reported to the appropriate health authorities, who logged and examined the data.</w:t>
      </w:r>
    </w:p>
    <w:p w14:paraId="61C64990"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Polio has been extremely rare in the United Kingdom since the introduction of the polio vaccination. Nevertheless, the government continues to deploy surveillance methods to track the disease. The surveillance systems monitor the number of occurrences of acute flaccid paralysis (AFP), a polio symptom, and analyze any cases suspected of being caused by polio (Public Health England, 2021).</w:t>
      </w:r>
    </w:p>
    <w:p w14:paraId="0F010D01"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Style w:val="Strong"/>
          <w:rFonts w:asciiTheme="majorHAnsi" w:hAnsiTheme="majorHAnsi" w:cstheme="majorHAnsi"/>
          <w:color w:val="0E101A"/>
          <w:sz w:val="22"/>
          <w:szCs w:val="22"/>
        </w:rPr>
        <w:t>Critically evaluating the strategies used to measure the incidence of polio in the UK:</w:t>
      </w:r>
    </w:p>
    <w:p w14:paraId="365CA439"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Polio incidence measurement systems in the United Kingdom have proved efficient in reducing the number of polio cases (Orenstein &amp; Ahmed, 2017). Case reporting and surveillance systems allowed the government to monitor the spread of the disease and adopt necessary control measures.</w:t>
      </w:r>
    </w:p>
    <w:p w14:paraId="1B14F5C7"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lastRenderedPageBreak/>
        <w:t>Unfortunately, the methods used to assess the prevalence of polio in the United Kingdom have some drawbacks. For example, surveillance systems only track incidences of AFP, which is a polio sign but not unique to polio (Sutter, 2018). As a result, the systems may not detect all cases of polio. Also, cases may be underreported, particularly if patients do not seek medical assistance for their symptoms.</w:t>
      </w:r>
    </w:p>
    <w:p w14:paraId="0E258952"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p>
    <w:p w14:paraId="5111C0D7"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Style w:val="Strong"/>
          <w:rFonts w:asciiTheme="majorHAnsi" w:hAnsiTheme="majorHAnsi" w:cstheme="majorHAnsi"/>
          <w:color w:val="0E101A"/>
          <w:sz w:val="22"/>
          <w:szCs w:val="22"/>
        </w:rPr>
        <w:t>Strategies used in the UK to monitor the incidence of polio:</w:t>
      </w:r>
    </w:p>
    <w:p w14:paraId="311FDED5"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In addition to tracking the prevalence of polio, the UK government employs various ways to track the disease. The utilization of laboratory testing is one of the important tactics. Laboratory tests can determine whether or not a suspected case of polio is caused by the polio virus. The government also uses environmental surveillance to monitor the prevalence of the polio virus in the environment (Public Health England, 2021).</w:t>
      </w:r>
    </w:p>
    <w:p w14:paraId="2EB46C58"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Style w:val="Strong"/>
          <w:rFonts w:asciiTheme="majorHAnsi" w:hAnsiTheme="majorHAnsi" w:cstheme="majorHAnsi"/>
          <w:color w:val="0E101A"/>
          <w:sz w:val="22"/>
          <w:szCs w:val="22"/>
        </w:rPr>
        <w:t>Critically evaluating the strategies used to monitor the incidence of polio in the UK:</w:t>
      </w:r>
    </w:p>
    <w:p w14:paraId="5AAD3313"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Polio surveillance systems in the United Kingdom have successfully discovered disease cases. Environmental surveillance can detect the presence of the virus in the environment, whereas laboratory testing is a reliable technique for verifying instances of polio (Orenstein &amp; Ahmed, 2017).</w:t>
      </w:r>
    </w:p>
    <w:p w14:paraId="418D4834"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These solutions, however, have limits. Laboratory testing can be costly and time-consuming, and there may be insufficient laboratory capacity to analyze all samples (Sutter, 2018). Environmental monitoring can sometimes be difficult, especially in places with low sanitation and hygiene.</w:t>
      </w:r>
    </w:p>
    <w:p w14:paraId="6417C6BC"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Style w:val="Strong"/>
          <w:rFonts w:asciiTheme="majorHAnsi" w:hAnsiTheme="majorHAnsi" w:cstheme="majorHAnsi"/>
          <w:color w:val="0E101A"/>
          <w:sz w:val="22"/>
          <w:szCs w:val="22"/>
        </w:rPr>
        <w:t>Strategies used in the UK to control the incidence of polio:</w:t>
      </w:r>
    </w:p>
    <w:p w14:paraId="7F2FFDF3" w14:textId="12D732F5"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 xml:space="preserve">Vaccination is the primary strategy the UK government employs to restrict the spread of polio. The polio vaccine is part of the standard childhood vaccination schedule. </w:t>
      </w:r>
      <w:r w:rsidR="00093DCC" w:rsidRPr="001B456E">
        <w:rPr>
          <w:rFonts w:asciiTheme="majorHAnsi" w:hAnsiTheme="majorHAnsi" w:cstheme="majorHAnsi"/>
          <w:color w:val="0E101A"/>
          <w:sz w:val="22"/>
          <w:szCs w:val="22"/>
        </w:rPr>
        <w:t>Thus,</w:t>
      </w:r>
      <w:r w:rsidRPr="001B456E">
        <w:rPr>
          <w:rFonts w:asciiTheme="majorHAnsi" w:hAnsiTheme="majorHAnsi" w:cstheme="majorHAnsi"/>
          <w:color w:val="0E101A"/>
          <w:sz w:val="22"/>
          <w:szCs w:val="22"/>
        </w:rPr>
        <w:t xml:space="preserve"> all children in the United Kingdom are protected against polio (NHS, 2021). To control polio epidemics, the government also employs outbreak response vaccinations.</w:t>
      </w:r>
    </w:p>
    <w:p w14:paraId="6F2E4371"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To combat the spread of the virus, the government supports appropriate hygiene practices, particularly hand hygiene and immunization (Public Health England, 2021).</w:t>
      </w:r>
    </w:p>
    <w:p w14:paraId="5CDE431B"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lastRenderedPageBreak/>
        <w:t>When the polio vaccine was introduced in the United Kingdom in 1956, there were thousands of polio cases yearly. For example, there were over 4,000 documented polio cases in the United Kingdom in 1955. (Public Health England, 2021).</w:t>
      </w:r>
    </w:p>
    <w:p w14:paraId="55C142CA"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Polio has been extremely rare in the United Kingdom since the introduction of the vaccination. According to Public Health England, there has been no wild poliovirus (WPV) in the United Kingdom since 1984, with the most recent incidence of imported WPV occurring in 1993. (Public Health England, 2021).</w:t>
      </w:r>
    </w:p>
    <w:p w14:paraId="722C335E"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In recent years, however, there have been a few vaccine-derived polioviruses (VDPV) occurrences in the UK. In the United Kingdom, for example, there were two occurrences of VDPV in 2018. (World Health Organization, 2021). Several of these cases were connected to inadequate immunization coverage.</w:t>
      </w:r>
    </w:p>
    <w:p w14:paraId="24BBA43F" w14:textId="10DFC05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 xml:space="preserve">Vaccination coverage rates in the United Kingdom have been typically high, with more than 90% of children receiving the necessary doses of the polio vaccine (Public Health England, 2021). However, certain populations have lower vaccination coverage. For example, in some locations with sizable Muslim populations, there has been </w:t>
      </w:r>
      <w:r w:rsidR="00E94AB0" w:rsidRPr="001B456E">
        <w:rPr>
          <w:rFonts w:asciiTheme="majorHAnsi" w:hAnsiTheme="majorHAnsi" w:cstheme="majorHAnsi"/>
          <w:color w:val="0E101A"/>
          <w:sz w:val="22"/>
          <w:szCs w:val="22"/>
        </w:rPr>
        <w:t>worried</w:t>
      </w:r>
      <w:r w:rsidRPr="001B456E">
        <w:rPr>
          <w:rFonts w:asciiTheme="majorHAnsi" w:hAnsiTheme="majorHAnsi" w:cstheme="majorHAnsi"/>
          <w:color w:val="0E101A"/>
          <w:sz w:val="22"/>
          <w:szCs w:val="22"/>
        </w:rPr>
        <w:t xml:space="preserve"> regarding vaccine hesitancy due to misconceptions about vaccine safety (BBC News, 2019).</w:t>
      </w:r>
    </w:p>
    <w:p w14:paraId="79C57859"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Outbreak response immunization has also been effective in suppressing polio epidemics. For example, in 2019, the UK experienced an outbreak of VDPV, but the government was able to immediately conduct outbreak response immunization to prevent the virus's spread (Public Health England, 2019).</w:t>
      </w:r>
    </w:p>
    <w:p w14:paraId="27A6DAE8"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Style w:val="Strong"/>
          <w:rFonts w:asciiTheme="majorHAnsi" w:hAnsiTheme="majorHAnsi" w:cstheme="majorHAnsi"/>
          <w:color w:val="0E101A"/>
          <w:sz w:val="22"/>
          <w:szCs w:val="22"/>
        </w:rPr>
        <w:t>Critically evaluating the strategies used to control the incidence of polio in the UK:</w:t>
      </w:r>
    </w:p>
    <w:p w14:paraId="4728B166"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Polio control measures in the United Kingdom have been extremely effective. The extensive use of immunization has resulted in a dramatic decrease in the number of polio cases in the country (Department of Health and Social Care, 2021). Outbreak response immunization has also been beneficial in polio epidemic management (Public Health England, 2021).</w:t>
      </w:r>
    </w:p>
    <w:p w14:paraId="51E61125" w14:textId="10048054"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Nevertheless, there are still certain hurdles to polio control in the United Kingdom. One problem is achieving high vaccination coverage, especially among marginalized and difficult-to-reach populations. Vaccination apprehension and misinformation can impede obtaining high vaccine coverage (Public Health England, 2021). Also, there is a risk of polio importation from other countries where the illness is still endemic (World Health Organization, 2020).</w:t>
      </w:r>
    </w:p>
    <w:p w14:paraId="022CA398"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Style w:val="Strong"/>
          <w:rFonts w:asciiTheme="majorHAnsi" w:hAnsiTheme="majorHAnsi" w:cstheme="majorHAnsi"/>
          <w:color w:val="0E101A"/>
          <w:sz w:val="22"/>
          <w:szCs w:val="22"/>
        </w:rPr>
        <w:lastRenderedPageBreak/>
        <w:t>Conclusion:</w:t>
      </w:r>
    </w:p>
    <w:p w14:paraId="058CA7F5" w14:textId="77777777" w:rsidR="00255C4D" w:rsidRPr="001B456E" w:rsidRDefault="00255C4D" w:rsidP="001B456E">
      <w:pPr>
        <w:pStyle w:val="NormalWeb"/>
        <w:spacing w:before="240" w:beforeAutospacing="0" w:after="0" w:afterAutospacing="0" w:line="360" w:lineRule="auto"/>
        <w:jc w:val="both"/>
        <w:rPr>
          <w:rFonts w:asciiTheme="majorHAnsi" w:hAnsiTheme="majorHAnsi" w:cstheme="majorHAnsi"/>
          <w:color w:val="0E101A"/>
          <w:sz w:val="22"/>
          <w:szCs w:val="22"/>
        </w:rPr>
      </w:pPr>
      <w:r w:rsidRPr="001B456E">
        <w:rPr>
          <w:rFonts w:asciiTheme="majorHAnsi" w:hAnsiTheme="majorHAnsi" w:cstheme="majorHAnsi"/>
          <w:color w:val="0E101A"/>
          <w:sz w:val="22"/>
          <w:szCs w:val="22"/>
        </w:rPr>
        <w:t>Finally, introducing the polio vaccine in the United Kingdom in 1956 resulted in a dramatic drop in the incidence of polio. There were thousands of cases of polio each year prior to the advent of the vaccine (Public Health England, 2021). Nonetheless, since the vaccine's introduction, polio's prevalence in the United Kingdom has been extremely low, with no cases of wild poliovirus documented since 1984. (Public Health England, 2021). Surveillance methods and outbreak response vaccines have proven efficient in detecting and managing polio epidemics (Public Health England, 2019). Despite high vaccine coverage rates in the UK, several incidences of vaccine-derived poliovirus have been related to inadequate vaccine coverage in specific populations (World Health Organization, 2021).</w:t>
      </w:r>
    </w:p>
    <w:p w14:paraId="1E88CCD7" w14:textId="009D26BA" w:rsidR="00255C4D" w:rsidRPr="001B456E" w:rsidRDefault="00255C4D" w:rsidP="00E94AB0">
      <w:pPr>
        <w:pStyle w:val="NormalWeb"/>
        <w:spacing w:before="240" w:beforeAutospacing="0" w:after="0" w:afterAutospacing="0" w:line="360" w:lineRule="auto"/>
        <w:rPr>
          <w:rFonts w:asciiTheme="majorHAnsi" w:hAnsiTheme="majorHAnsi" w:cstheme="majorHAnsi"/>
          <w:color w:val="0E101A"/>
          <w:sz w:val="22"/>
          <w:szCs w:val="22"/>
        </w:rPr>
      </w:pPr>
      <w:r w:rsidRPr="001B456E">
        <w:rPr>
          <w:rFonts w:asciiTheme="majorHAnsi" w:hAnsiTheme="majorHAnsi" w:cstheme="majorHAnsi"/>
          <w:color w:val="0E101A"/>
          <w:sz w:val="22"/>
          <w:szCs w:val="22"/>
        </w:rPr>
        <w:t>It is critical to continue investing in polio control efforts in the United Kingdom. This includes ensuring high vaccine coverage rates in all populations, particularly those with lower coverage rates due to vaccine hesitancy (BBC News, 2019). Investment in monitoring systems and outbreak response vaccines will also be critical in recognizing and suppressing future polio outbreaks (Public Health England, 2019). Furthermore, addressing vaccination safety and efficacy misinformation is critical, which can contribute to vaccine reluctance and reduced coverage rates in specific populations. By reinforcing and expanding these efforts, the United</w:t>
      </w:r>
      <w:r w:rsidR="00E94AB0">
        <w:rPr>
          <w:rFonts w:asciiTheme="majorHAnsi" w:hAnsiTheme="majorHAnsi" w:cstheme="majorHAnsi"/>
          <w:color w:val="0E101A"/>
          <w:sz w:val="22"/>
          <w:szCs w:val="22"/>
        </w:rPr>
        <w:t xml:space="preserve"> </w:t>
      </w:r>
      <w:r w:rsidRPr="001B456E">
        <w:rPr>
          <w:rFonts w:asciiTheme="majorHAnsi" w:hAnsiTheme="majorHAnsi" w:cstheme="majorHAnsi"/>
          <w:color w:val="0E101A"/>
          <w:sz w:val="22"/>
          <w:szCs w:val="22"/>
        </w:rPr>
        <w:t>Kingdom can maintain low polio incidence rates and prevent the virus from spreading in the future.</w:t>
      </w:r>
      <w:r w:rsidR="003A3429" w:rsidRPr="001B456E">
        <w:rPr>
          <w:rFonts w:asciiTheme="majorHAnsi" w:hAnsiTheme="majorHAnsi" w:cstheme="majorHAnsi"/>
          <w:noProof/>
          <w:color w:val="0E101A"/>
          <w:sz w:val="22"/>
          <w:szCs w:val="22"/>
        </w:rPr>
        <w:t xml:space="preserve"> </w:t>
      </w:r>
    </w:p>
    <w:p w14:paraId="350E52D4" w14:textId="77777777" w:rsidR="00001E03" w:rsidRPr="001B456E" w:rsidRDefault="00001E03" w:rsidP="001B456E">
      <w:pPr>
        <w:spacing w:line="360" w:lineRule="auto"/>
        <w:rPr>
          <w:rFonts w:asciiTheme="majorHAnsi" w:hAnsiTheme="majorHAnsi" w:cstheme="majorHAnsi"/>
        </w:rPr>
      </w:pPr>
    </w:p>
    <w:p w14:paraId="2B6C2C61" w14:textId="70CE0C60" w:rsidR="00364872" w:rsidRPr="001B456E" w:rsidRDefault="00364872" w:rsidP="001B456E">
      <w:pPr>
        <w:spacing w:line="360" w:lineRule="auto"/>
        <w:jc w:val="center"/>
        <w:rPr>
          <w:rFonts w:asciiTheme="majorHAnsi" w:hAnsiTheme="majorHAnsi" w:cstheme="majorHAnsi"/>
          <w:b/>
          <w:bCs/>
        </w:rPr>
      </w:pPr>
      <w:r w:rsidRPr="001B456E">
        <w:rPr>
          <w:rFonts w:asciiTheme="majorHAnsi" w:hAnsiTheme="majorHAnsi" w:cstheme="majorHAnsi"/>
          <w:b/>
          <w:bCs/>
        </w:rPr>
        <w:t>REFERENCES</w:t>
      </w:r>
    </w:p>
    <w:p w14:paraId="2BBDAE85" w14:textId="1BF31F9A" w:rsidR="00364872" w:rsidRPr="001B456E" w:rsidRDefault="00364872" w:rsidP="001B456E">
      <w:pPr>
        <w:spacing w:before="240" w:line="360" w:lineRule="auto"/>
        <w:rPr>
          <w:rFonts w:asciiTheme="majorHAnsi" w:hAnsiTheme="majorHAnsi" w:cstheme="majorHAnsi"/>
        </w:rPr>
      </w:pPr>
    </w:p>
    <w:p w14:paraId="73A23D8A" w14:textId="77777777" w:rsidR="009A0FCF" w:rsidRPr="001B456E" w:rsidRDefault="009A0FCF" w:rsidP="001B456E">
      <w:pPr>
        <w:pStyle w:val="ListParagraph"/>
        <w:numPr>
          <w:ilvl w:val="0"/>
          <w:numId w:val="4"/>
        </w:numPr>
        <w:spacing w:before="240" w:line="360" w:lineRule="auto"/>
        <w:jc w:val="both"/>
        <w:rPr>
          <w:rFonts w:asciiTheme="majorHAnsi" w:hAnsiTheme="majorHAnsi" w:cstheme="majorHAnsi"/>
        </w:rPr>
      </w:pPr>
      <w:r w:rsidRPr="001B456E">
        <w:rPr>
          <w:rFonts w:asciiTheme="majorHAnsi" w:hAnsiTheme="majorHAnsi" w:cstheme="majorHAnsi"/>
        </w:rPr>
        <w:t xml:space="preserve">Department of Health and Social Care. (2021). Polio: the green book, chapter 28. Retrieved from </w:t>
      </w:r>
      <w:hyperlink r:id="rId10" w:tgtFrame="_new" w:history="1">
        <w:r w:rsidRPr="001B456E">
          <w:rPr>
            <w:rStyle w:val="Hyperlink"/>
            <w:rFonts w:asciiTheme="majorHAnsi" w:hAnsiTheme="majorHAnsi" w:cstheme="majorHAnsi"/>
          </w:rPr>
          <w:t>https://www.gov.uk/government/publications/polio-the-green-book-chapter-28</w:t>
        </w:r>
      </w:hyperlink>
    </w:p>
    <w:p w14:paraId="321FC56E" w14:textId="77777777" w:rsidR="009A0FCF" w:rsidRPr="001B456E" w:rsidRDefault="009A0FCF" w:rsidP="001B456E">
      <w:pPr>
        <w:pStyle w:val="ListParagraph"/>
        <w:numPr>
          <w:ilvl w:val="0"/>
          <w:numId w:val="4"/>
        </w:numPr>
        <w:spacing w:before="240" w:line="360" w:lineRule="auto"/>
        <w:jc w:val="both"/>
        <w:rPr>
          <w:rFonts w:asciiTheme="majorHAnsi" w:hAnsiTheme="majorHAnsi" w:cstheme="majorHAnsi"/>
        </w:rPr>
      </w:pPr>
      <w:r w:rsidRPr="001B456E">
        <w:rPr>
          <w:rFonts w:asciiTheme="majorHAnsi" w:hAnsiTheme="majorHAnsi" w:cstheme="majorHAnsi"/>
        </w:rPr>
        <w:t xml:space="preserve">NHS. (2021). Polio vaccine. Retrieved from </w:t>
      </w:r>
      <w:hyperlink r:id="rId11" w:tgtFrame="_new" w:history="1">
        <w:r w:rsidRPr="001B456E">
          <w:rPr>
            <w:rStyle w:val="Hyperlink"/>
            <w:rFonts w:asciiTheme="majorHAnsi" w:hAnsiTheme="majorHAnsi" w:cstheme="majorHAnsi"/>
          </w:rPr>
          <w:t>https://www.nhs.uk/conditions/vaccinations/polio-vaccine/</w:t>
        </w:r>
      </w:hyperlink>
    </w:p>
    <w:p w14:paraId="07E5CED4" w14:textId="77777777" w:rsidR="009A0FCF" w:rsidRPr="001B456E" w:rsidRDefault="009A0FCF" w:rsidP="001B456E">
      <w:pPr>
        <w:pStyle w:val="ListParagraph"/>
        <w:numPr>
          <w:ilvl w:val="0"/>
          <w:numId w:val="4"/>
        </w:numPr>
        <w:spacing w:before="240" w:line="360" w:lineRule="auto"/>
        <w:jc w:val="both"/>
        <w:rPr>
          <w:rFonts w:asciiTheme="majorHAnsi" w:hAnsiTheme="majorHAnsi" w:cstheme="majorHAnsi"/>
        </w:rPr>
      </w:pPr>
      <w:r w:rsidRPr="001B456E">
        <w:rPr>
          <w:rFonts w:asciiTheme="majorHAnsi" w:hAnsiTheme="majorHAnsi" w:cstheme="majorHAnsi"/>
        </w:rPr>
        <w:t xml:space="preserve">Orenstein, W. A., &amp; Ahmed, R. (2017). Simply </w:t>
      </w:r>
      <w:proofErr w:type="gramStart"/>
      <w:r w:rsidRPr="001B456E">
        <w:rPr>
          <w:rFonts w:asciiTheme="majorHAnsi" w:hAnsiTheme="majorHAnsi" w:cstheme="majorHAnsi"/>
        </w:rPr>
        <w:t>put:</w:t>
      </w:r>
      <w:proofErr w:type="gramEnd"/>
      <w:r w:rsidRPr="001B456E">
        <w:rPr>
          <w:rFonts w:asciiTheme="majorHAnsi" w:hAnsiTheme="majorHAnsi" w:cstheme="majorHAnsi"/>
        </w:rPr>
        <w:t xml:space="preserve"> vaccination saves lives. Proceedings of the National Academy of Sciences, 114(16), 4031-4033.</w:t>
      </w:r>
    </w:p>
    <w:p w14:paraId="163C4188" w14:textId="77777777" w:rsidR="009A0FCF" w:rsidRPr="001B456E" w:rsidRDefault="009A0FCF" w:rsidP="001B456E">
      <w:pPr>
        <w:pStyle w:val="ListParagraph"/>
        <w:numPr>
          <w:ilvl w:val="0"/>
          <w:numId w:val="4"/>
        </w:numPr>
        <w:spacing w:before="240" w:line="360" w:lineRule="auto"/>
        <w:jc w:val="both"/>
        <w:rPr>
          <w:rFonts w:asciiTheme="majorHAnsi" w:hAnsiTheme="majorHAnsi" w:cstheme="majorHAnsi"/>
        </w:rPr>
      </w:pPr>
      <w:r w:rsidRPr="001B456E">
        <w:rPr>
          <w:rFonts w:asciiTheme="majorHAnsi" w:hAnsiTheme="majorHAnsi" w:cstheme="majorHAnsi"/>
        </w:rPr>
        <w:t xml:space="preserve">Public Health England. (2021). Poliomyelitis. Retrieved from </w:t>
      </w:r>
      <w:hyperlink r:id="rId12" w:tgtFrame="_new" w:history="1">
        <w:r w:rsidRPr="001B456E">
          <w:rPr>
            <w:rStyle w:val="Hyperlink"/>
            <w:rFonts w:asciiTheme="majorHAnsi" w:hAnsiTheme="majorHAnsi" w:cstheme="majorHAnsi"/>
          </w:rPr>
          <w:t>https://www.gov.uk/government/collections/poliomyelitis</w:t>
        </w:r>
      </w:hyperlink>
    </w:p>
    <w:p w14:paraId="20AABFD2" w14:textId="77777777" w:rsidR="009A0FCF" w:rsidRPr="001B456E" w:rsidRDefault="009A0FCF" w:rsidP="001B456E">
      <w:pPr>
        <w:pStyle w:val="ListParagraph"/>
        <w:numPr>
          <w:ilvl w:val="0"/>
          <w:numId w:val="4"/>
        </w:numPr>
        <w:spacing w:before="240" w:line="360" w:lineRule="auto"/>
        <w:jc w:val="both"/>
        <w:rPr>
          <w:rFonts w:asciiTheme="majorHAnsi" w:hAnsiTheme="majorHAnsi" w:cstheme="majorHAnsi"/>
        </w:rPr>
      </w:pPr>
      <w:r w:rsidRPr="001B456E">
        <w:rPr>
          <w:rFonts w:asciiTheme="majorHAnsi" w:hAnsiTheme="majorHAnsi" w:cstheme="majorHAnsi"/>
        </w:rPr>
        <w:lastRenderedPageBreak/>
        <w:t>Sutter, R. W. (2018). The challenges of polio eradication. The Lancet, 391(10117), 2211-2212.</w:t>
      </w:r>
    </w:p>
    <w:p w14:paraId="518DA4B8" w14:textId="5228C2B7" w:rsidR="009A0FCF" w:rsidRPr="001B456E" w:rsidRDefault="009A0FCF" w:rsidP="001B456E">
      <w:pPr>
        <w:pStyle w:val="ListParagraph"/>
        <w:numPr>
          <w:ilvl w:val="0"/>
          <w:numId w:val="4"/>
        </w:numPr>
        <w:spacing w:before="240" w:line="360" w:lineRule="auto"/>
        <w:jc w:val="both"/>
        <w:rPr>
          <w:rFonts w:asciiTheme="majorHAnsi" w:hAnsiTheme="majorHAnsi" w:cstheme="majorHAnsi"/>
        </w:rPr>
      </w:pPr>
      <w:r w:rsidRPr="001B456E">
        <w:rPr>
          <w:rFonts w:asciiTheme="majorHAnsi" w:hAnsiTheme="majorHAnsi" w:cstheme="majorHAnsi"/>
        </w:rPr>
        <w:t xml:space="preserve">World Health Organization. (2020). Polio. Retrieved from </w:t>
      </w:r>
      <w:hyperlink r:id="rId13" w:tgtFrame="_new" w:history="1">
        <w:r w:rsidRPr="001B456E">
          <w:rPr>
            <w:rStyle w:val="Hyperlink"/>
            <w:rFonts w:asciiTheme="majorHAnsi" w:hAnsiTheme="majorHAnsi" w:cstheme="majorHAnsi"/>
          </w:rPr>
          <w:t>https://www.who.int/news-room/q-a-detail/polio</w:t>
        </w:r>
      </w:hyperlink>
    </w:p>
    <w:p w14:paraId="00C2C1BF" w14:textId="58DAA25C" w:rsidR="00EF3797" w:rsidRPr="001B456E" w:rsidRDefault="00EF3797" w:rsidP="001B456E">
      <w:pPr>
        <w:pStyle w:val="ListParagraph"/>
        <w:numPr>
          <w:ilvl w:val="0"/>
          <w:numId w:val="4"/>
        </w:numPr>
        <w:spacing w:before="240" w:line="360" w:lineRule="auto"/>
        <w:jc w:val="both"/>
        <w:rPr>
          <w:rFonts w:asciiTheme="majorHAnsi" w:hAnsiTheme="majorHAnsi" w:cstheme="majorHAnsi"/>
        </w:rPr>
      </w:pPr>
      <w:r w:rsidRPr="001B456E">
        <w:rPr>
          <w:rFonts w:asciiTheme="majorHAnsi" w:hAnsiTheme="majorHAnsi" w:cstheme="majorHAnsi"/>
        </w:rPr>
        <w:t xml:space="preserve">BBC News. (2019, April 11). Polio: 'Don't wait for it to come back'. Retrieved from </w:t>
      </w:r>
      <w:hyperlink r:id="rId14" w:tgtFrame="_new" w:history="1">
        <w:r w:rsidRPr="001B456E">
          <w:rPr>
            <w:rStyle w:val="Hyperlink"/>
            <w:rFonts w:asciiTheme="majorHAnsi" w:hAnsiTheme="majorHAnsi" w:cstheme="majorHAnsi"/>
          </w:rPr>
          <w:t>https://www.bbc.com/news/uk-england-47870843</w:t>
        </w:r>
      </w:hyperlink>
    </w:p>
    <w:p w14:paraId="59101BBA" w14:textId="77777777" w:rsidR="009A0FCF" w:rsidRPr="001B456E" w:rsidRDefault="009A0FCF" w:rsidP="001B456E">
      <w:pPr>
        <w:spacing w:line="360" w:lineRule="auto"/>
        <w:rPr>
          <w:rFonts w:asciiTheme="majorHAnsi" w:hAnsiTheme="majorHAnsi" w:cstheme="majorHAnsi"/>
        </w:rPr>
      </w:pPr>
    </w:p>
    <w:sectPr w:rsidR="009A0FCF" w:rsidRPr="001B456E" w:rsidSect="00B103CB">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57976" w14:textId="77777777" w:rsidR="00E65F58" w:rsidRDefault="00E65F58">
      <w:pPr>
        <w:spacing w:after="0" w:line="240" w:lineRule="auto"/>
      </w:pPr>
      <w:r>
        <w:separator/>
      </w:r>
    </w:p>
  </w:endnote>
  <w:endnote w:type="continuationSeparator" w:id="0">
    <w:p w14:paraId="0896C20F" w14:textId="77777777" w:rsidR="00E65F58" w:rsidRDefault="00E65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1931985"/>
      <w:docPartObj>
        <w:docPartGallery w:val="Page Numbers (Bottom of Page)"/>
        <w:docPartUnique/>
      </w:docPartObj>
    </w:sdtPr>
    <w:sdtEndPr>
      <w:rPr>
        <w:noProof/>
      </w:rPr>
    </w:sdtEndPr>
    <w:sdtContent>
      <w:p w14:paraId="105FE5B2" w14:textId="354D44E4" w:rsidR="00EC49B1" w:rsidRDefault="00EC49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9CAFF3" w14:textId="77777777" w:rsidR="00EC49B1" w:rsidRDefault="00EC49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9B34D" w14:textId="77777777" w:rsidR="00E65F58" w:rsidRDefault="00E65F58">
      <w:pPr>
        <w:spacing w:after="0" w:line="240" w:lineRule="auto"/>
      </w:pPr>
      <w:r>
        <w:separator/>
      </w:r>
    </w:p>
  </w:footnote>
  <w:footnote w:type="continuationSeparator" w:id="0">
    <w:p w14:paraId="60FB273C" w14:textId="77777777" w:rsidR="00E65F58" w:rsidRDefault="00E65F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5DD4F" w14:textId="610BE2F5" w:rsidR="00874822"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A22D7"/>
    <w:multiLevelType w:val="multilevel"/>
    <w:tmpl w:val="A5DC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E7F1889"/>
    <w:multiLevelType w:val="hybridMultilevel"/>
    <w:tmpl w:val="E5AA3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D249B0"/>
    <w:multiLevelType w:val="multilevel"/>
    <w:tmpl w:val="42701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9832CD"/>
    <w:multiLevelType w:val="multilevel"/>
    <w:tmpl w:val="433A7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904950"/>
    <w:multiLevelType w:val="hybridMultilevel"/>
    <w:tmpl w:val="A3160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0843740">
    <w:abstractNumId w:val="2"/>
  </w:num>
  <w:num w:numId="2" w16cid:durableId="1853372883">
    <w:abstractNumId w:val="3"/>
  </w:num>
  <w:num w:numId="3" w16cid:durableId="1747921650">
    <w:abstractNumId w:val="1"/>
  </w:num>
  <w:num w:numId="4" w16cid:durableId="1885487747">
    <w:abstractNumId w:val="4"/>
  </w:num>
  <w:num w:numId="5" w16cid:durableId="185752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wNjOysDAxtDAyNjVU0lEKTi0uzszPAykwqgUAn3WSXSwAAAA="/>
  </w:docVars>
  <w:rsids>
    <w:rsidRoot w:val="00341CB4"/>
    <w:rsid w:val="00001E03"/>
    <w:rsid w:val="00051276"/>
    <w:rsid w:val="00093DCC"/>
    <w:rsid w:val="000F77B1"/>
    <w:rsid w:val="001016ED"/>
    <w:rsid w:val="00102BA9"/>
    <w:rsid w:val="001107C3"/>
    <w:rsid w:val="00161770"/>
    <w:rsid w:val="001B456E"/>
    <w:rsid w:val="001D44FA"/>
    <w:rsid w:val="002254D3"/>
    <w:rsid w:val="002312D2"/>
    <w:rsid w:val="00232CD8"/>
    <w:rsid w:val="00255C4D"/>
    <w:rsid w:val="002850C7"/>
    <w:rsid w:val="002B48CA"/>
    <w:rsid w:val="0033346F"/>
    <w:rsid w:val="00341CB4"/>
    <w:rsid w:val="0034269A"/>
    <w:rsid w:val="00364872"/>
    <w:rsid w:val="003A3429"/>
    <w:rsid w:val="003B48F2"/>
    <w:rsid w:val="003D4171"/>
    <w:rsid w:val="004916ED"/>
    <w:rsid w:val="004B7505"/>
    <w:rsid w:val="00581F65"/>
    <w:rsid w:val="00584C7B"/>
    <w:rsid w:val="005909AA"/>
    <w:rsid w:val="005A2119"/>
    <w:rsid w:val="005B2954"/>
    <w:rsid w:val="005C3CA9"/>
    <w:rsid w:val="005F07E4"/>
    <w:rsid w:val="005F59D1"/>
    <w:rsid w:val="006315B1"/>
    <w:rsid w:val="006536CE"/>
    <w:rsid w:val="006C1A53"/>
    <w:rsid w:val="00752E85"/>
    <w:rsid w:val="00775A3C"/>
    <w:rsid w:val="00781813"/>
    <w:rsid w:val="00786ABB"/>
    <w:rsid w:val="007F3C8C"/>
    <w:rsid w:val="007F7537"/>
    <w:rsid w:val="00825751"/>
    <w:rsid w:val="00844C45"/>
    <w:rsid w:val="00852F3D"/>
    <w:rsid w:val="009036A6"/>
    <w:rsid w:val="00914C28"/>
    <w:rsid w:val="009A0FCF"/>
    <w:rsid w:val="009B07BD"/>
    <w:rsid w:val="00AB5F36"/>
    <w:rsid w:val="00AD5A16"/>
    <w:rsid w:val="00AD63C8"/>
    <w:rsid w:val="00B5159E"/>
    <w:rsid w:val="00B721E7"/>
    <w:rsid w:val="00BC10EB"/>
    <w:rsid w:val="00BD6717"/>
    <w:rsid w:val="00C1223E"/>
    <w:rsid w:val="00C4303C"/>
    <w:rsid w:val="00C73FB5"/>
    <w:rsid w:val="00CC3AA2"/>
    <w:rsid w:val="00D17FED"/>
    <w:rsid w:val="00D41C34"/>
    <w:rsid w:val="00D4228E"/>
    <w:rsid w:val="00D660F1"/>
    <w:rsid w:val="00D73CD0"/>
    <w:rsid w:val="00E20B30"/>
    <w:rsid w:val="00E65F58"/>
    <w:rsid w:val="00E94AB0"/>
    <w:rsid w:val="00E96192"/>
    <w:rsid w:val="00EC49B1"/>
    <w:rsid w:val="00EE18DE"/>
    <w:rsid w:val="00EF3797"/>
    <w:rsid w:val="00FE1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718B"/>
  <w15:chartTrackingRefBased/>
  <w15:docId w15:val="{04C689BB-784F-4FB1-99B4-B62495DB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2D2"/>
    <w:pPr>
      <w:spacing w:after="200" w:line="276" w:lineRule="auto"/>
    </w:pPr>
    <w:rPr>
      <w:rFonts w:eastAsiaTheme="minorEastAsia"/>
    </w:rPr>
  </w:style>
  <w:style w:type="paragraph" w:styleId="Heading1">
    <w:name w:val="heading 1"/>
    <w:basedOn w:val="Normal"/>
    <w:next w:val="Normal"/>
    <w:link w:val="Heading1Char"/>
    <w:uiPriority w:val="9"/>
    <w:qFormat/>
    <w:rsid w:val="005B29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2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2D2"/>
    <w:rPr>
      <w:rFonts w:eastAsiaTheme="minorEastAsia"/>
    </w:rPr>
  </w:style>
  <w:style w:type="paragraph" w:styleId="NormalWeb">
    <w:name w:val="Normal (Web)"/>
    <w:basedOn w:val="Normal"/>
    <w:uiPriority w:val="99"/>
    <w:semiHidden/>
    <w:unhideWhenUsed/>
    <w:rsid w:val="00EE18D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E18DE"/>
    <w:rPr>
      <w:color w:val="0000FF"/>
      <w:u w:val="single"/>
    </w:rPr>
  </w:style>
  <w:style w:type="paragraph" w:styleId="ListParagraph">
    <w:name w:val="List Paragraph"/>
    <w:basedOn w:val="Normal"/>
    <w:uiPriority w:val="34"/>
    <w:qFormat/>
    <w:rsid w:val="00EE18DE"/>
    <w:pPr>
      <w:ind w:left="720"/>
      <w:contextualSpacing/>
    </w:pPr>
  </w:style>
  <w:style w:type="character" w:styleId="Strong">
    <w:name w:val="Strong"/>
    <w:basedOn w:val="DefaultParagraphFont"/>
    <w:uiPriority w:val="22"/>
    <w:qFormat/>
    <w:rsid w:val="00255C4D"/>
    <w:rPr>
      <w:b/>
      <w:bCs/>
    </w:rPr>
  </w:style>
  <w:style w:type="paragraph" w:styleId="Footer">
    <w:name w:val="footer"/>
    <w:basedOn w:val="Normal"/>
    <w:link w:val="FooterChar"/>
    <w:uiPriority w:val="99"/>
    <w:unhideWhenUsed/>
    <w:rsid w:val="00EC49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49B1"/>
    <w:rPr>
      <w:rFonts w:eastAsiaTheme="minorEastAsia"/>
    </w:rPr>
  </w:style>
  <w:style w:type="character" w:customStyle="1" w:styleId="Heading1Char">
    <w:name w:val="Heading 1 Char"/>
    <w:basedOn w:val="DefaultParagraphFont"/>
    <w:link w:val="Heading1"/>
    <w:uiPriority w:val="9"/>
    <w:rsid w:val="005B29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2954"/>
    <w:pPr>
      <w:spacing w:before="480"/>
      <w:outlineLvl w:val="9"/>
    </w:pPr>
    <w:rPr>
      <w:b/>
      <w:bCs/>
      <w:sz w:val="28"/>
      <w:szCs w:val="28"/>
    </w:rPr>
  </w:style>
  <w:style w:type="paragraph" w:styleId="TOC1">
    <w:name w:val="toc 1"/>
    <w:basedOn w:val="Normal"/>
    <w:next w:val="Normal"/>
    <w:autoRedefine/>
    <w:uiPriority w:val="39"/>
    <w:unhideWhenUsed/>
    <w:rsid w:val="00D17FED"/>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5B2954"/>
    <w:pPr>
      <w:spacing w:before="120" w:after="0"/>
      <w:ind w:left="220"/>
    </w:pPr>
    <w:rPr>
      <w:rFonts w:cstheme="minorHAnsi"/>
      <w:b/>
      <w:bCs/>
    </w:rPr>
  </w:style>
  <w:style w:type="paragraph" w:styleId="TOC3">
    <w:name w:val="toc 3"/>
    <w:basedOn w:val="Normal"/>
    <w:next w:val="Normal"/>
    <w:autoRedefine/>
    <w:uiPriority w:val="39"/>
    <w:semiHidden/>
    <w:unhideWhenUsed/>
    <w:rsid w:val="005B2954"/>
    <w:pPr>
      <w:spacing w:after="0"/>
      <w:ind w:left="440"/>
    </w:pPr>
    <w:rPr>
      <w:rFonts w:cstheme="minorHAnsi"/>
      <w:sz w:val="20"/>
      <w:szCs w:val="20"/>
    </w:rPr>
  </w:style>
  <w:style w:type="paragraph" w:styleId="TOC4">
    <w:name w:val="toc 4"/>
    <w:basedOn w:val="Normal"/>
    <w:next w:val="Normal"/>
    <w:autoRedefine/>
    <w:uiPriority w:val="39"/>
    <w:semiHidden/>
    <w:unhideWhenUsed/>
    <w:rsid w:val="005B2954"/>
    <w:pPr>
      <w:spacing w:after="0"/>
      <w:ind w:left="660"/>
    </w:pPr>
    <w:rPr>
      <w:rFonts w:cstheme="minorHAnsi"/>
      <w:sz w:val="20"/>
      <w:szCs w:val="20"/>
    </w:rPr>
  </w:style>
  <w:style w:type="paragraph" w:styleId="TOC5">
    <w:name w:val="toc 5"/>
    <w:basedOn w:val="Normal"/>
    <w:next w:val="Normal"/>
    <w:autoRedefine/>
    <w:uiPriority w:val="39"/>
    <w:semiHidden/>
    <w:unhideWhenUsed/>
    <w:rsid w:val="005B2954"/>
    <w:pPr>
      <w:spacing w:after="0"/>
      <w:ind w:left="880"/>
    </w:pPr>
    <w:rPr>
      <w:rFonts w:cstheme="minorHAnsi"/>
      <w:sz w:val="20"/>
      <w:szCs w:val="20"/>
    </w:rPr>
  </w:style>
  <w:style w:type="paragraph" w:styleId="TOC6">
    <w:name w:val="toc 6"/>
    <w:basedOn w:val="Normal"/>
    <w:next w:val="Normal"/>
    <w:autoRedefine/>
    <w:uiPriority w:val="39"/>
    <w:semiHidden/>
    <w:unhideWhenUsed/>
    <w:rsid w:val="005B2954"/>
    <w:pPr>
      <w:spacing w:after="0"/>
      <w:ind w:left="1100"/>
    </w:pPr>
    <w:rPr>
      <w:rFonts w:cstheme="minorHAnsi"/>
      <w:sz w:val="20"/>
      <w:szCs w:val="20"/>
    </w:rPr>
  </w:style>
  <w:style w:type="paragraph" w:styleId="TOC7">
    <w:name w:val="toc 7"/>
    <w:basedOn w:val="Normal"/>
    <w:next w:val="Normal"/>
    <w:autoRedefine/>
    <w:uiPriority w:val="39"/>
    <w:semiHidden/>
    <w:unhideWhenUsed/>
    <w:rsid w:val="005B2954"/>
    <w:pPr>
      <w:spacing w:after="0"/>
      <w:ind w:left="1320"/>
    </w:pPr>
    <w:rPr>
      <w:rFonts w:cstheme="minorHAnsi"/>
      <w:sz w:val="20"/>
      <w:szCs w:val="20"/>
    </w:rPr>
  </w:style>
  <w:style w:type="paragraph" w:styleId="TOC8">
    <w:name w:val="toc 8"/>
    <w:basedOn w:val="Normal"/>
    <w:next w:val="Normal"/>
    <w:autoRedefine/>
    <w:uiPriority w:val="39"/>
    <w:semiHidden/>
    <w:unhideWhenUsed/>
    <w:rsid w:val="005B2954"/>
    <w:pPr>
      <w:spacing w:after="0"/>
      <w:ind w:left="1540"/>
    </w:pPr>
    <w:rPr>
      <w:rFonts w:cstheme="minorHAnsi"/>
      <w:sz w:val="20"/>
      <w:szCs w:val="20"/>
    </w:rPr>
  </w:style>
  <w:style w:type="paragraph" w:styleId="TOC9">
    <w:name w:val="toc 9"/>
    <w:basedOn w:val="Normal"/>
    <w:next w:val="Normal"/>
    <w:autoRedefine/>
    <w:uiPriority w:val="39"/>
    <w:semiHidden/>
    <w:unhideWhenUsed/>
    <w:rsid w:val="005B2954"/>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23286">
      <w:bodyDiv w:val="1"/>
      <w:marLeft w:val="0"/>
      <w:marRight w:val="0"/>
      <w:marTop w:val="0"/>
      <w:marBottom w:val="0"/>
      <w:divBdr>
        <w:top w:val="none" w:sz="0" w:space="0" w:color="auto"/>
        <w:left w:val="none" w:sz="0" w:space="0" w:color="auto"/>
        <w:bottom w:val="none" w:sz="0" w:space="0" w:color="auto"/>
        <w:right w:val="none" w:sz="0" w:space="0" w:color="auto"/>
      </w:divBdr>
    </w:div>
    <w:div w:id="262037802">
      <w:bodyDiv w:val="1"/>
      <w:marLeft w:val="0"/>
      <w:marRight w:val="0"/>
      <w:marTop w:val="0"/>
      <w:marBottom w:val="0"/>
      <w:divBdr>
        <w:top w:val="none" w:sz="0" w:space="0" w:color="auto"/>
        <w:left w:val="none" w:sz="0" w:space="0" w:color="auto"/>
        <w:bottom w:val="none" w:sz="0" w:space="0" w:color="auto"/>
        <w:right w:val="none" w:sz="0" w:space="0" w:color="auto"/>
      </w:divBdr>
    </w:div>
    <w:div w:id="847789100">
      <w:bodyDiv w:val="1"/>
      <w:marLeft w:val="0"/>
      <w:marRight w:val="0"/>
      <w:marTop w:val="0"/>
      <w:marBottom w:val="0"/>
      <w:divBdr>
        <w:top w:val="none" w:sz="0" w:space="0" w:color="auto"/>
        <w:left w:val="none" w:sz="0" w:space="0" w:color="auto"/>
        <w:bottom w:val="none" w:sz="0" w:space="0" w:color="auto"/>
        <w:right w:val="none" w:sz="0" w:space="0" w:color="auto"/>
      </w:divBdr>
    </w:div>
    <w:div w:id="937374606">
      <w:bodyDiv w:val="1"/>
      <w:marLeft w:val="0"/>
      <w:marRight w:val="0"/>
      <w:marTop w:val="0"/>
      <w:marBottom w:val="0"/>
      <w:divBdr>
        <w:top w:val="none" w:sz="0" w:space="0" w:color="auto"/>
        <w:left w:val="none" w:sz="0" w:space="0" w:color="auto"/>
        <w:bottom w:val="none" w:sz="0" w:space="0" w:color="auto"/>
        <w:right w:val="none" w:sz="0" w:space="0" w:color="auto"/>
      </w:divBdr>
    </w:div>
    <w:div w:id="989676900">
      <w:bodyDiv w:val="1"/>
      <w:marLeft w:val="0"/>
      <w:marRight w:val="0"/>
      <w:marTop w:val="0"/>
      <w:marBottom w:val="0"/>
      <w:divBdr>
        <w:top w:val="none" w:sz="0" w:space="0" w:color="auto"/>
        <w:left w:val="none" w:sz="0" w:space="0" w:color="auto"/>
        <w:bottom w:val="none" w:sz="0" w:space="0" w:color="auto"/>
        <w:right w:val="none" w:sz="0" w:space="0" w:color="auto"/>
      </w:divBdr>
    </w:div>
    <w:div w:id="1015114048">
      <w:bodyDiv w:val="1"/>
      <w:marLeft w:val="0"/>
      <w:marRight w:val="0"/>
      <w:marTop w:val="0"/>
      <w:marBottom w:val="0"/>
      <w:divBdr>
        <w:top w:val="none" w:sz="0" w:space="0" w:color="auto"/>
        <w:left w:val="none" w:sz="0" w:space="0" w:color="auto"/>
        <w:bottom w:val="none" w:sz="0" w:space="0" w:color="auto"/>
        <w:right w:val="none" w:sz="0" w:space="0" w:color="auto"/>
      </w:divBdr>
    </w:div>
    <w:div w:id="1225871576">
      <w:bodyDiv w:val="1"/>
      <w:marLeft w:val="0"/>
      <w:marRight w:val="0"/>
      <w:marTop w:val="0"/>
      <w:marBottom w:val="0"/>
      <w:divBdr>
        <w:top w:val="none" w:sz="0" w:space="0" w:color="auto"/>
        <w:left w:val="none" w:sz="0" w:space="0" w:color="auto"/>
        <w:bottom w:val="none" w:sz="0" w:space="0" w:color="auto"/>
        <w:right w:val="none" w:sz="0" w:space="0" w:color="auto"/>
      </w:divBdr>
    </w:div>
    <w:div w:id="1383021577">
      <w:bodyDiv w:val="1"/>
      <w:marLeft w:val="0"/>
      <w:marRight w:val="0"/>
      <w:marTop w:val="0"/>
      <w:marBottom w:val="0"/>
      <w:divBdr>
        <w:top w:val="none" w:sz="0" w:space="0" w:color="auto"/>
        <w:left w:val="none" w:sz="0" w:space="0" w:color="auto"/>
        <w:bottom w:val="none" w:sz="0" w:space="0" w:color="auto"/>
        <w:right w:val="none" w:sz="0" w:space="0" w:color="auto"/>
      </w:divBdr>
    </w:div>
    <w:div w:id="1509098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o.int/news-room/q-a-detail/poli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collections/poliomyeliti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vaccinations/polio-vaccin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v.uk/government/publications/polio-the-green-book-chapter-28"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bbc.com/news/uk-england-478708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3">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02E20-FC80-7048-A92B-155A14CAF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7</Pages>
  <Words>1443</Words>
  <Characters>8231</Characters>
  <Application>Microsoft Office Word</Application>
  <DocSecurity>0</DocSecurity>
  <Lines>68</Lines>
  <Paragraphs>19</Paragraphs>
  <ScaleCrop>false</ScaleCrop>
  <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Sajid</dc:creator>
  <cp:keywords/>
  <dc:description/>
  <cp:lastModifiedBy>LUISA PETITO</cp:lastModifiedBy>
  <cp:revision>70</cp:revision>
  <dcterms:created xsi:type="dcterms:W3CDTF">2023-02-16T15:51:00Z</dcterms:created>
  <dcterms:modified xsi:type="dcterms:W3CDTF">2023-04-25T08:23:00Z</dcterms:modified>
</cp:coreProperties>
</file>