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D872E" w14:textId="42EF09D9" w:rsidR="00015C0A" w:rsidRDefault="6576C613" w:rsidP="5546A6E7">
      <w:pPr>
        <w:spacing w:after="0"/>
        <w:jc w:val="center"/>
      </w:pPr>
      <w:r w:rsidRPr="5546A6E7">
        <w:rPr>
          <w:rFonts w:ascii="Roboto" w:eastAsia="Roboto" w:hAnsi="Roboto" w:cs="Roboto"/>
          <w:b/>
          <w:bCs/>
          <w:color w:val="003087"/>
          <w:sz w:val="39"/>
          <w:szCs w:val="39"/>
        </w:rPr>
        <w:t>University of Wales Trinity Saint David</w:t>
      </w:r>
    </w:p>
    <w:p w14:paraId="282B749D" w14:textId="1321C8AF" w:rsidR="00015C0A" w:rsidRDefault="6576C613" w:rsidP="5546A6E7">
      <w:pPr>
        <w:spacing w:before="150" w:after="0"/>
        <w:jc w:val="center"/>
      </w:pPr>
      <w:proofErr w:type="spellStart"/>
      <w:r w:rsidRPr="5546A6E7">
        <w:rPr>
          <w:rFonts w:ascii="Roboto" w:eastAsia="Roboto" w:hAnsi="Roboto" w:cs="Roboto"/>
          <w:b/>
          <w:bCs/>
          <w:color w:val="0053A6"/>
          <w:sz w:val="30"/>
          <w:szCs w:val="30"/>
        </w:rPr>
        <w:t>Prifysgol</w:t>
      </w:r>
      <w:proofErr w:type="spellEnd"/>
      <w:r w:rsidRPr="5546A6E7">
        <w:rPr>
          <w:rFonts w:ascii="Roboto" w:eastAsia="Roboto" w:hAnsi="Roboto" w:cs="Roboto"/>
          <w:b/>
          <w:bCs/>
          <w:color w:val="0053A6"/>
          <w:sz w:val="30"/>
          <w:szCs w:val="30"/>
        </w:rPr>
        <w:t xml:space="preserve"> </w:t>
      </w:r>
      <w:proofErr w:type="spellStart"/>
      <w:r w:rsidRPr="5546A6E7">
        <w:rPr>
          <w:rFonts w:ascii="Roboto" w:eastAsia="Roboto" w:hAnsi="Roboto" w:cs="Roboto"/>
          <w:b/>
          <w:bCs/>
          <w:color w:val="0053A6"/>
          <w:sz w:val="30"/>
          <w:szCs w:val="30"/>
        </w:rPr>
        <w:t>Cymru</w:t>
      </w:r>
      <w:proofErr w:type="spellEnd"/>
      <w:r w:rsidRPr="5546A6E7">
        <w:rPr>
          <w:rFonts w:ascii="Roboto" w:eastAsia="Roboto" w:hAnsi="Roboto" w:cs="Roboto"/>
          <w:b/>
          <w:bCs/>
          <w:color w:val="0053A6"/>
          <w:sz w:val="30"/>
          <w:szCs w:val="30"/>
        </w:rPr>
        <w:t xml:space="preserve"> Y </w:t>
      </w:r>
      <w:proofErr w:type="spellStart"/>
      <w:r w:rsidRPr="5546A6E7">
        <w:rPr>
          <w:rFonts w:ascii="Roboto" w:eastAsia="Roboto" w:hAnsi="Roboto" w:cs="Roboto"/>
          <w:b/>
          <w:bCs/>
          <w:color w:val="0053A6"/>
          <w:sz w:val="30"/>
          <w:szCs w:val="30"/>
        </w:rPr>
        <w:t>Drindod</w:t>
      </w:r>
      <w:proofErr w:type="spellEnd"/>
      <w:r w:rsidRPr="5546A6E7">
        <w:rPr>
          <w:rFonts w:ascii="Roboto" w:eastAsia="Roboto" w:hAnsi="Roboto" w:cs="Roboto"/>
          <w:b/>
          <w:bCs/>
          <w:color w:val="0053A6"/>
          <w:sz w:val="30"/>
          <w:szCs w:val="30"/>
        </w:rPr>
        <w:t xml:space="preserve"> </w:t>
      </w:r>
      <w:proofErr w:type="spellStart"/>
      <w:r w:rsidRPr="5546A6E7">
        <w:rPr>
          <w:rFonts w:ascii="Roboto" w:eastAsia="Roboto" w:hAnsi="Roboto" w:cs="Roboto"/>
          <w:b/>
          <w:bCs/>
          <w:color w:val="0053A6"/>
          <w:sz w:val="30"/>
          <w:szCs w:val="30"/>
        </w:rPr>
        <w:t>Dewi</w:t>
      </w:r>
      <w:proofErr w:type="spellEnd"/>
      <w:r w:rsidRPr="5546A6E7">
        <w:rPr>
          <w:rFonts w:ascii="Roboto" w:eastAsia="Roboto" w:hAnsi="Roboto" w:cs="Roboto"/>
          <w:b/>
          <w:bCs/>
          <w:color w:val="0053A6"/>
          <w:sz w:val="30"/>
          <w:szCs w:val="30"/>
        </w:rPr>
        <w:t xml:space="preserve"> </w:t>
      </w:r>
      <w:proofErr w:type="spellStart"/>
      <w:r w:rsidRPr="5546A6E7">
        <w:rPr>
          <w:rFonts w:ascii="Roboto" w:eastAsia="Roboto" w:hAnsi="Roboto" w:cs="Roboto"/>
          <w:b/>
          <w:bCs/>
          <w:color w:val="0053A6"/>
          <w:sz w:val="30"/>
          <w:szCs w:val="30"/>
        </w:rPr>
        <w:t>Sant</w:t>
      </w:r>
      <w:proofErr w:type="spellEnd"/>
    </w:p>
    <w:p w14:paraId="5B8A76E6" w14:textId="1340D178" w:rsidR="00015C0A" w:rsidRDefault="00015C0A" w:rsidP="5546A6E7">
      <w:pPr>
        <w:pStyle w:val="Heading3"/>
        <w:spacing w:before="75" w:after="75"/>
        <w:ind w:left="900" w:right="900"/>
        <w:jc w:val="center"/>
        <w:rPr>
          <w:rFonts w:ascii="Roboto" w:eastAsia="Roboto" w:hAnsi="Roboto" w:cs="Roboto"/>
          <w:color w:val="003087"/>
          <w:sz w:val="27"/>
          <w:szCs w:val="27"/>
        </w:rPr>
      </w:pPr>
    </w:p>
    <w:p w14:paraId="6544076B" w14:textId="71BE6A88" w:rsidR="00015C0A" w:rsidRDefault="00015C0A" w:rsidP="5546A6E7">
      <w:pPr>
        <w:pStyle w:val="Heading3"/>
        <w:spacing w:before="75" w:after="75"/>
        <w:ind w:left="900" w:right="900"/>
        <w:jc w:val="center"/>
        <w:rPr>
          <w:rFonts w:ascii="Roboto" w:eastAsia="Roboto" w:hAnsi="Roboto" w:cs="Roboto"/>
          <w:color w:val="003087"/>
          <w:sz w:val="27"/>
          <w:szCs w:val="27"/>
        </w:rPr>
      </w:pPr>
    </w:p>
    <w:p w14:paraId="37817A27" w14:textId="68A95C04" w:rsidR="00015C0A" w:rsidRDefault="6576C613" w:rsidP="5546A6E7">
      <w:pPr>
        <w:pStyle w:val="Heading3"/>
        <w:spacing w:before="75" w:after="75"/>
        <w:ind w:left="900" w:right="900"/>
        <w:jc w:val="center"/>
      </w:pPr>
      <w:proofErr w:type="spellStart"/>
      <w:r w:rsidRPr="5546A6E7">
        <w:rPr>
          <w:rFonts w:ascii="Roboto" w:eastAsia="Roboto" w:hAnsi="Roboto" w:cs="Roboto"/>
          <w:color w:val="003087"/>
          <w:sz w:val="27"/>
          <w:szCs w:val="27"/>
        </w:rPr>
        <w:t>Programme</w:t>
      </w:r>
      <w:proofErr w:type="spellEnd"/>
      <w:r w:rsidRPr="5546A6E7">
        <w:rPr>
          <w:rFonts w:ascii="Roboto" w:eastAsia="Roboto" w:hAnsi="Roboto" w:cs="Roboto"/>
          <w:color w:val="003087"/>
          <w:sz w:val="27"/>
          <w:szCs w:val="27"/>
        </w:rPr>
        <w:t>: Master of Business Administration</w:t>
      </w:r>
    </w:p>
    <w:p w14:paraId="58FD31E8" w14:textId="0B28B0F4" w:rsidR="00015C0A" w:rsidRDefault="6576C613" w:rsidP="5546A6E7">
      <w:pPr>
        <w:pStyle w:val="Heading3"/>
        <w:spacing w:before="75" w:after="75"/>
        <w:ind w:left="900" w:right="900"/>
        <w:jc w:val="center"/>
      </w:pPr>
      <w:r w:rsidRPr="5546A6E7">
        <w:rPr>
          <w:rFonts w:ascii="Roboto" w:eastAsia="Roboto" w:hAnsi="Roboto" w:cs="Roboto"/>
          <w:color w:val="003087"/>
          <w:sz w:val="27"/>
          <w:szCs w:val="27"/>
        </w:rPr>
        <w:t>Module: Marketing Management (LCMB7024)</w:t>
      </w:r>
    </w:p>
    <w:p w14:paraId="52320128" w14:textId="53CA2E13" w:rsidR="00015C0A" w:rsidRDefault="6576C613" w:rsidP="5546A6E7">
      <w:pPr>
        <w:pStyle w:val="Heading1"/>
        <w:spacing w:before="750" w:after="450"/>
        <w:jc w:val="center"/>
      </w:pPr>
      <w:r w:rsidRPr="5546A6E7">
        <w:rPr>
          <w:rFonts w:ascii="Playfair Display" w:eastAsia="Playfair Display" w:hAnsi="Playfair Display" w:cs="Playfair Display"/>
          <w:b/>
          <w:bCs/>
          <w:caps/>
          <w:color w:val="003087"/>
          <w:sz w:val="42"/>
          <w:szCs w:val="42"/>
        </w:rPr>
        <w:t>Marketing Environment Analysis - Component 1</w:t>
      </w:r>
    </w:p>
    <w:p w14:paraId="5DD0E0A0" w14:textId="318C1215" w:rsidR="00015C0A" w:rsidRDefault="00015C0A" w:rsidP="5546A6E7">
      <w:pPr>
        <w:spacing w:after="0"/>
        <w:jc w:val="center"/>
        <w:rPr>
          <w:rFonts w:ascii="Roboto" w:eastAsia="Roboto" w:hAnsi="Roboto" w:cs="Roboto"/>
          <w:b/>
          <w:bCs/>
          <w:color w:val="003087"/>
        </w:rPr>
      </w:pPr>
    </w:p>
    <w:p w14:paraId="02861A16" w14:textId="7FCAE7C9" w:rsidR="00015C0A" w:rsidRDefault="6576C613" w:rsidP="5546A6E7">
      <w:pPr>
        <w:spacing w:after="0"/>
        <w:jc w:val="center"/>
      </w:pPr>
      <w:r w:rsidRPr="5546A6E7">
        <w:rPr>
          <w:rFonts w:ascii="Roboto" w:eastAsia="Roboto" w:hAnsi="Roboto" w:cs="Roboto"/>
          <w:b/>
          <w:bCs/>
          <w:color w:val="003087"/>
        </w:rPr>
        <w:t>Submitted by:</w:t>
      </w:r>
    </w:p>
    <w:p w14:paraId="19C38013" w14:textId="1C457865" w:rsidR="00015C0A" w:rsidRDefault="00160E05" w:rsidP="5546A6E7">
      <w:pPr>
        <w:spacing w:before="75" w:after="75"/>
        <w:jc w:val="center"/>
      </w:pPr>
      <w:r>
        <w:rPr>
          <w:rFonts w:ascii="Roboto" w:eastAsia="Roboto" w:hAnsi="Roboto" w:cs="Roboto"/>
          <w:color w:val="333333"/>
        </w:rPr>
        <w:t xml:space="preserve">Jahangir </w:t>
      </w:r>
      <w:proofErr w:type="spellStart"/>
      <w:r>
        <w:rPr>
          <w:rFonts w:ascii="Roboto" w:eastAsia="Roboto" w:hAnsi="Roboto" w:cs="Roboto"/>
          <w:color w:val="333333"/>
        </w:rPr>
        <w:t>khalaj</w:t>
      </w:r>
      <w:proofErr w:type="spellEnd"/>
      <w:r>
        <w:rPr>
          <w:rFonts w:ascii="Roboto" w:eastAsia="Roboto" w:hAnsi="Roboto" w:cs="Roboto"/>
          <w:color w:val="333333"/>
        </w:rPr>
        <w:t xml:space="preserve"> </w:t>
      </w:r>
      <w:proofErr w:type="spellStart"/>
      <w:r>
        <w:rPr>
          <w:rFonts w:ascii="Roboto" w:eastAsia="Roboto" w:hAnsi="Roboto" w:cs="Roboto"/>
          <w:color w:val="333333"/>
        </w:rPr>
        <w:t>savojbolagh</w:t>
      </w:r>
      <w:proofErr w:type="spellEnd"/>
      <w:r>
        <w:rPr>
          <w:rFonts w:ascii="Roboto" w:eastAsia="Roboto" w:hAnsi="Roboto" w:cs="Roboto"/>
          <w:color w:val="333333"/>
        </w:rPr>
        <w:t xml:space="preserve"> </w:t>
      </w:r>
    </w:p>
    <w:p w14:paraId="753F8ED4" w14:textId="4A62C67E" w:rsidR="00015C0A" w:rsidRDefault="6576C613" w:rsidP="5546A6E7">
      <w:pPr>
        <w:spacing w:before="75" w:after="75"/>
        <w:jc w:val="center"/>
      </w:pPr>
      <w:r w:rsidRPr="5546A6E7">
        <w:rPr>
          <w:rFonts w:ascii="Roboto" w:eastAsia="Roboto" w:hAnsi="Roboto" w:cs="Roboto"/>
          <w:color w:val="333333"/>
        </w:rPr>
        <w:t xml:space="preserve">Student ID: </w:t>
      </w:r>
      <w:r w:rsidR="00160E05">
        <w:rPr>
          <w:rFonts w:ascii="Roboto" w:eastAsia="Roboto" w:hAnsi="Roboto" w:cs="Roboto"/>
          <w:color w:val="333333"/>
        </w:rPr>
        <w:t>2109914</w:t>
      </w:r>
    </w:p>
    <w:p w14:paraId="66D3DAB2" w14:textId="26C70E82" w:rsidR="00015C0A" w:rsidRDefault="00015C0A" w:rsidP="5546A6E7">
      <w:pPr>
        <w:spacing w:before="450" w:after="0"/>
        <w:jc w:val="center"/>
        <w:rPr>
          <w:rFonts w:ascii="Roboto" w:eastAsia="Roboto" w:hAnsi="Roboto" w:cs="Roboto"/>
          <w:b/>
          <w:bCs/>
          <w:color w:val="003087"/>
        </w:rPr>
      </w:pPr>
    </w:p>
    <w:p w14:paraId="2E983F93" w14:textId="7AFAFBA9" w:rsidR="00015C0A" w:rsidRDefault="6576C613" w:rsidP="5546A6E7">
      <w:pPr>
        <w:spacing w:before="450" w:after="0"/>
        <w:jc w:val="center"/>
      </w:pPr>
      <w:r w:rsidRPr="5546A6E7">
        <w:rPr>
          <w:rFonts w:ascii="Roboto" w:eastAsia="Roboto" w:hAnsi="Roboto" w:cs="Roboto"/>
          <w:b/>
          <w:bCs/>
          <w:color w:val="003087"/>
        </w:rPr>
        <w:t>Submitted to:</w:t>
      </w:r>
    </w:p>
    <w:p w14:paraId="330DFF12" w14:textId="7F34648C" w:rsidR="00015C0A" w:rsidRDefault="6576C613" w:rsidP="5546A6E7">
      <w:pPr>
        <w:spacing w:before="75" w:after="75"/>
        <w:jc w:val="center"/>
      </w:pPr>
      <w:r w:rsidRPr="5546A6E7">
        <w:rPr>
          <w:rFonts w:ascii="Roboto" w:eastAsia="Roboto" w:hAnsi="Roboto" w:cs="Roboto"/>
          <w:color w:val="333333"/>
        </w:rPr>
        <w:t xml:space="preserve">Dian </w:t>
      </w:r>
      <w:proofErr w:type="spellStart"/>
      <w:r w:rsidRPr="5546A6E7">
        <w:rPr>
          <w:rFonts w:ascii="Roboto" w:eastAsia="Roboto" w:hAnsi="Roboto" w:cs="Roboto"/>
          <w:color w:val="333333"/>
        </w:rPr>
        <w:t>Mayasari</w:t>
      </w:r>
      <w:proofErr w:type="spellEnd"/>
      <w:r w:rsidRPr="5546A6E7">
        <w:rPr>
          <w:rFonts w:ascii="Roboto" w:eastAsia="Roboto" w:hAnsi="Roboto" w:cs="Roboto"/>
          <w:color w:val="333333"/>
        </w:rPr>
        <w:t xml:space="preserve"> (Birmingham)</w:t>
      </w:r>
    </w:p>
    <w:p w14:paraId="2C078E63" w14:textId="2BEDAE43" w:rsidR="00015C0A" w:rsidRDefault="00015C0A" w:rsidP="5546A6E7">
      <w:pPr>
        <w:spacing w:line="360" w:lineRule="auto"/>
        <w:jc w:val="both"/>
        <w:rPr>
          <w:rFonts w:ascii="Arial" w:eastAsia="Arial" w:hAnsi="Arial" w:cs="Arial"/>
          <w:color w:val="000000" w:themeColor="text1"/>
        </w:rPr>
      </w:pPr>
    </w:p>
    <w:p w14:paraId="32803724" w14:textId="2CA2EE6A" w:rsidR="5546A6E7" w:rsidRDefault="5546A6E7">
      <w:r>
        <w:br w:type="page"/>
      </w:r>
    </w:p>
    <w:sdt>
      <w:sdtPr>
        <w:id w:val="1107666983"/>
        <w:docPartObj>
          <w:docPartGallery w:val="Table of Contents"/>
          <w:docPartUnique/>
        </w:docPartObj>
      </w:sdtPr>
      <w:sdtContent>
        <w:p w14:paraId="712772E0" w14:textId="488514AC" w:rsidR="5546A6E7" w:rsidRDefault="5546A6E7" w:rsidP="5546A6E7">
          <w:pPr>
            <w:pStyle w:val="TOC3"/>
            <w:tabs>
              <w:tab w:val="right" w:leader="dot" w:pos="9360"/>
            </w:tabs>
            <w:rPr>
              <w:rStyle w:val="Hyperlink"/>
            </w:rPr>
          </w:pPr>
          <w:r>
            <w:fldChar w:fldCharType="begin"/>
          </w:r>
          <w:r>
            <w:instrText>TOC \o \z \u \h</w:instrText>
          </w:r>
          <w:r>
            <w:fldChar w:fldCharType="separate"/>
          </w:r>
          <w:hyperlink w:anchor="_Toc675461051">
            <w:r w:rsidRPr="5546A6E7">
              <w:rPr>
                <w:rStyle w:val="Hyperlink"/>
              </w:rPr>
              <w:t>1.0 Introduction</w:t>
            </w:r>
            <w:r>
              <w:tab/>
            </w:r>
            <w:r>
              <w:fldChar w:fldCharType="begin"/>
            </w:r>
            <w:r>
              <w:instrText>PAGEREF _Toc675461051 \h</w:instrText>
            </w:r>
            <w:r>
              <w:fldChar w:fldCharType="separate"/>
            </w:r>
            <w:r w:rsidRPr="5546A6E7">
              <w:rPr>
                <w:rStyle w:val="Hyperlink"/>
              </w:rPr>
              <w:t>1</w:t>
            </w:r>
            <w:r>
              <w:fldChar w:fldCharType="end"/>
            </w:r>
          </w:hyperlink>
        </w:p>
        <w:p w14:paraId="32A079E1" w14:textId="0CBDF042" w:rsidR="5546A6E7" w:rsidRDefault="5546A6E7" w:rsidP="5546A6E7">
          <w:pPr>
            <w:pStyle w:val="TOC3"/>
            <w:tabs>
              <w:tab w:val="right" w:leader="dot" w:pos="9360"/>
            </w:tabs>
            <w:rPr>
              <w:rStyle w:val="Hyperlink"/>
            </w:rPr>
          </w:pPr>
          <w:hyperlink w:anchor="_Toc1725402048">
            <w:r w:rsidRPr="5546A6E7">
              <w:rPr>
                <w:rStyle w:val="Hyperlink"/>
              </w:rPr>
              <w:t>2.0 The Macro-Marketing Environment and Strategic Positioning</w:t>
            </w:r>
            <w:r>
              <w:tab/>
            </w:r>
            <w:r>
              <w:fldChar w:fldCharType="begin"/>
            </w:r>
            <w:r>
              <w:instrText>PAGEREF _Toc1725402048 \h</w:instrText>
            </w:r>
            <w:r>
              <w:fldChar w:fldCharType="separate"/>
            </w:r>
            <w:r w:rsidRPr="5546A6E7">
              <w:rPr>
                <w:rStyle w:val="Hyperlink"/>
              </w:rPr>
              <w:t>2</w:t>
            </w:r>
            <w:r>
              <w:fldChar w:fldCharType="end"/>
            </w:r>
          </w:hyperlink>
        </w:p>
        <w:p w14:paraId="76CB2919" w14:textId="2F20B59A" w:rsidR="5546A6E7" w:rsidRDefault="5546A6E7" w:rsidP="5546A6E7">
          <w:pPr>
            <w:pStyle w:val="TOC3"/>
            <w:tabs>
              <w:tab w:val="right" w:leader="dot" w:pos="9360"/>
            </w:tabs>
            <w:rPr>
              <w:rStyle w:val="Hyperlink"/>
            </w:rPr>
          </w:pPr>
          <w:hyperlink w:anchor="_Toc873852400">
            <w:r w:rsidRPr="5546A6E7">
              <w:rPr>
                <w:rStyle w:val="Hyperlink"/>
              </w:rPr>
              <w:t>3.0 Task 1: External Macro Marketing Actors Analysis</w:t>
            </w:r>
            <w:r>
              <w:tab/>
            </w:r>
            <w:r>
              <w:fldChar w:fldCharType="begin"/>
            </w:r>
            <w:r>
              <w:instrText>PAGEREF _Toc873852400 \h</w:instrText>
            </w:r>
            <w:r>
              <w:fldChar w:fldCharType="separate"/>
            </w:r>
            <w:r w:rsidRPr="5546A6E7">
              <w:rPr>
                <w:rStyle w:val="Hyperlink"/>
              </w:rPr>
              <w:t>4</w:t>
            </w:r>
            <w:r>
              <w:fldChar w:fldCharType="end"/>
            </w:r>
          </w:hyperlink>
        </w:p>
        <w:p w14:paraId="2F824466" w14:textId="141F1184" w:rsidR="5546A6E7" w:rsidRDefault="5546A6E7" w:rsidP="5546A6E7">
          <w:pPr>
            <w:pStyle w:val="TOC4"/>
            <w:tabs>
              <w:tab w:val="right" w:leader="dot" w:pos="9360"/>
            </w:tabs>
            <w:rPr>
              <w:rStyle w:val="Hyperlink"/>
            </w:rPr>
          </w:pPr>
          <w:hyperlink w:anchor="_Toc2047976253">
            <w:r w:rsidRPr="5546A6E7">
              <w:rPr>
                <w:rStyle w:val="Hyperlink"/>
              </w:rPr>
              <w:t>3.1 Technological Factors: Opportunities and Threats</w:t>
            </w:r>
            <w:r>
              <w:tab/>
            </w:r>
            <w:r>
              <w:fldChar w:fldCharType="begin"/>
            </w:r>
            <w:r>
              <w:instrText>PAGEREF _Toc2047976253 \h</w:instrText>
            </w:r>
            <w:r>
              <w:fldChar w:fldCharType="separate"/>
            </w:r>
            <w:r w:rsidRPr="5546A6E7">
              <w:rPr>
                <w:rStyle w:val="Hyperlink"/>
              </w:rPr>
              <w:t>4</w:t>
            </w:r>
            <w:r>
              <w:fldChar w:fldCharType="end"/>
            </w:r>
          </w:hyperlink>
        </w:p>
        <w:p w14:paraId="08211056" w14:textId="1B05C39F" w:rsidR="5546A6E7" w:rsidRDefault="5546A6E7" w:rsidP="5546A6E7">
          <w:pPr>
            <w:pStyle w:val="TOC4"/>
            <w:tabs>
              <w:tab w:val="right" w:leader="dot" w:pos="9360"/>
            </w:tabs>
            <w:rPr>
              <w:rStyle w:val="Hyperlink"/>
            </w:rPr>
          </w:pPr>
          <w:hyperlink w:anchor="_Toc1977520449">
            <w:r w:rsidRPr="5546A6E7">
              <w:rPr>
                <w:rStyle w:val="Hyperlink"/>
              </w:rPr>
              <w:t>3.2 Political and Regulatory Factors: Opportunities and Threats</w:t>
            </w:r>
            <w:r>
              <w:tab/>
            </w:r>
            <w:r>
              <w:fldChar w:fldCharType="begin"/>
            </w:r>
            <w:r>
              <w:instrText>PAGEREF _Toc1977520449 \h</w:instrText>
            </w:r>
            <w:r>
              <w:fldChar w:fldCharType="separate"/>
            </w:r>
            <w:r w:rsidRPr="5546A6E7">
              <w:rPr>
                <w:rStyle w:val="Hyperlink"/>
              </w:rPr>
              <w:t>5</w:t>
            </w:r>
            <w:r>
              <w:fldChar w:fldCharType="end"/>
            </w:r>
          </w:hyperlink>
        </w:p>
        <w:p w14:paraId="1956C7E2" w14:textId="0EC6C5BB" w:rsidR="5546A6E7" w:rsidRDefault="5546A6E7" w:rsidP="5546A6E7">
          <w:pPr>
            <w:pStyle w:val="TOC3"/>
            <w:tabs>
              <w:tab w:val="right" w:leader="dot" w:pos="9360"/>
            </w:tabs>
            <w:rPr>
              <w:rStyle w:val="Hyperlink"/>
            </w:rPr>
          </w:pPr>
          <w:hyperlink w:anchor="_Toc243830712">
            <w:r w:rsidRPr="5546A6E7">
              <w:rPr>
                <w:rStyle w:val="Hyperlink"/>
              </w:rPr>
              <w:t>4.0 Task 2: Strategic Responses to Become Competitive</w:t>
            </w:r>
            <w:r>
              <w:tab/>
            </w:r>
            <w:r>
              <w:fldChar w:fldCharType="begin"/>
            </w:r>
            <w:r>
              <w:instrText>PAGEREF _Toc243830712 \h</w:instrText>
            </w:r>
            <w:r>
              <w:fldChar w:fldCharType="separate"/>
            </w:r>
            <w:r w:rsidRPr="5546A6E7">
              <w:rPr>
                <w:rStyle w:val="Hyperlink"/>
              </w:rPr>
              <w:t>6</w:t>
            </w:r>
            <w:r>
              <w:fldChar w:fldCharType="end"/>
            </w:r>
          </w:hyperlink>
        </w:p>
        <w:p w14:paraId="5163A2D1" w14:textId="0DF57757" w:rsidR="5546A6E7" w:rsidRDefault="5546A6E7" w:rsidP="5546A6E7">
          <w:pPr>
            <w:pStyle w:val="TOC4"/>
            <w:tabs>
              <w:tab w:val="right" w:leader="dot" w:pos="9360"/>
            </w:tabs>
            <w:rPr>
              <w:rStyle w:val="Hyperlink"/>
            </w:rPr>
          </w:pPr>
          <w:hyperlink w:anchor="_Toc298062835">
            <w:r w:rsidRPr="5546A6E7">
              <w:rPr>
                <w:rStyle w:val="Hyperlink"/>
              </w:rPr>
              <w:t>4.1 Tesla's Strategic Response: The Innovation Offensive</w:t>
            </w:r>
            <w:r>
              <w:tab/>
            </w:r>
            <w:r>
              <w:fldChar w:fldCharType="begin"/>
            </w:r>
            <w:r>
              <w:instrText>PAGEREF _Toc298062835 \h</w:instrText>
            </w:r>
            <w:r>
              <w:fldChar w:fldCharType="separate"/>
            </w:r>
            <w:r w:rsidRPr="5546A6E7">
              <w:rPr>
                <w:rStyle w:val="Hyperlink"/>
              </w:rPr>
              <w:t>6</w:t>
            </w:r>
            <w:r>
              <w:fldChar w:fldCharType="end"/>
            </w:r>
          </w:hyperlink>
        </w:p>
        <w:p w14:paraId="0F7064B4" w14:textId="389FBCE9" w:rsidR="5546A6E7" w:rsidRDefault="5546A6E7" w:rsidP="5546A6E7">
          <w:pPr>
            <w:pStyle w:val="TOC4"/>
            <w:tabs>
              <w:tab w:val="right" w:leader="dot" w:pos="9360"/>
            </w:tabs>
            <w:rPr>
              <w:rStyle w:val="Hyperlink"/>
            </w:rPr>
          </w:pPr>
          <w:hyperlink w:anchor="_Toc425542903">
            <w:r w:rsidRPr="5546A6E7">
              <w:rPr>
                <w:rStyle w:val="Hyperlink"/>
              </w:rPr>
              <w:t>4.2 Volkswagen's Strategic Response: The Catch-Up Through Transformation</w:t>
            </w:r>
            <w:r>
              <w:tab/>
            </w:r>
            <w:r>
              <w:fldChar w:fldCharType="begin"/>
            </w:r>
            <w:r>
              <w:instrText>PAGEREF _Toc425542903 \h</w:instrText>
            </w:r>
            <w:r>
              <w:fldChar w:fldCharType="separate"/>
            </w:r>
            <w:r w:rsidRPr="5546A6E7">
              <w:rPr>
                <w:rStyle w:val="Hyperlink"/>
              </w:rPr>
              <w:t>7</w:t>
            </w:r>
            <w:r>
              <w:fldChar w:fldCharType="end"/>
            </w:r>
          </w:hyperlink>
        </w:p>
        <w:p w14:paraId="400CDF08" w14:textId="60AC3D1F" w:rsidR="5546A6E7" w:rsidRDefault="5546A6E7" w:rsidP="5546A6E7">
          <w:pPr>
            <w:pStyle w:val="TOC3"/>
            <w:tabs>
              <w:tab w:val="right" w:leader="dot" w:pos="9360"/>
            </w:tabs>
            <w:rPr>
              <w:rStyle w:val="Hyperlink"/>
            </w:rPr>
          </w:pPr>
          <w:hyperlink w:anchor="_Toc886387596">
            <w:r w:rsidRPr="5546A6E7">
              <w:rPr>
                <w:rStyle w:val="Hyperlink"/>
              </w:rPr>
              <w:t>5.0 Conclusion</w:t>
            </w:r>
            <w:r>
              <w:tab/>
            </w:r>
            <w:r>
              <w:fldChar w:fldCharType="begin"/>
            </w:r>
            <w:r>
              <w:instrText>PAGEREF _Toc886387596 \h</w:instrText>
            </w:r>
            <w:r>
              <w:fldChar w:fldCharType="separate"/>
            </w:r>
            <w:r w:rsidRPr="5546A6E7">
              <w:rPr>
                <w:rStyle w:val="Hyperlink"/>
              </w:rPr>
              <w:t>8</w:t>
            </w:r>
            <w:r>
              <w:fldChar w:fldCharType="end"/>
            </w:r>
          </w:hyperlink>
        </w:p>
        <w:p w14:paraId="76766E3A" w14:textId="35761316" w:rsidR="5546A6E7" w:rsidRDefault="5546A6E7" w:rsidP="5546A6E7">
          <w:pPr>
            <w:pStyle w:val="TOC2"/>
            <w:tabs>
              <w:tab w:val="right" w:leader="dot" w:pos="9360"/>
            </w:tabs>
            <w:rPr>
              <w:rStyle w:val="Hyperlink"/>
            </w:rPr>
          </w:pPr>
          <w:hyperlink w:anchor="_Toc222091344">
            <w:r w:rsidRPr="5546A6E7">
              <w:rPr>
                <w:rStyle w:val="Hyperlink"/>
              </w:rPr>
              <w:t>References</w:t>
            </w:r>
            <w:r>
              <w:tab/>
            </w:r>
            <w:r>
              <w:fldChar w:fldCharType="begin"/>
            </w:r>
            <w:r>
              <w:instrText>PAGEREF _Toc222091344 \h</w:instrText>
            </w:r>
            <w:r>
              <w:fldChar w:fldCharType="separate"/>
            </w:r>
            <w:r w:rsidRPr="5546A6E7">
              <w:rPr>
                <w:rStyle w:val="Hyperlink"/>
              </w:rPr>
              <w:t>9</w:t>
            </w:r>
            <w:r>
              <w:fldChar w:fldCharType="end"/>
            </w:r>
          </w:hyperlink>
          <w:r>
            <w:fldChar w:fldCharType="end"/>
          </w:r>
        </w:p>
      </w:sdtContent>
    </w:sdt>
    <w:p w14:paraId="10B042D9" w14:textId="303DCA24" w:rsidR="5546A6E7" w:rsidRDefault="5546A6E7" w:rsidP="5546A6E7">
      <w:pPr>
        <w:spacing w:line="360" w:lineRule="auto"/>
        <w:jc w:val="both"/>
        <w:rPr>
          <w:rFonts w:ascii="Arial" w:eastAsia="Arial" w:hAnsi="Arial" w:cs="Arial"/>
          <w:color w:val="000000" w:themeColor="text1"/>
        </w:rPr>
      </w:pPr>
    </w:p>
    <w:p w14:paraId="760B5F9F" w14:textId="5B06E023" w:rsidR="5546A6E7" w:rsidRDefault="5546A6E7" w:rsidP="5546A6E7">
      <w:pPr>
        <w:spacing w:line="360" w:lineRule="auto"/>
        <w:jc w:val="both"/>
        <w:rPr>
          <w:rFonts w:ascii="Arial" w:eastAsia="Arial" w:hAnsi="Arial" w:cs="Arial"/>
          <w:color w:val="000000" w:themeColor="text1"/>
        </w:rPr>
      </w:pPr>
      <w:r w:rsidRPr="5546A6E7">
        <w:rPr>
          <w:rFonts w:ascii="Arial" w:eastAsia="Arial" w:hAnsi="Arial" w:cs="Arial"/>
          <w:color w:val="000000" w:themeColor="text1"/>
        </w:rPr>
        <w:br w:type="page"/>
      </w:r>
    </w:p>
    <w:p w14:paraId="15D160D6" w14:textId="25D00C75" w:rsidR="23784458" w:rsidRDefault="23784458" w:rsidP="5546A6E7">
      <w:pPr>
        <w:pStyle w:val="Heading3"/>
        <w:spacing w:before="281" w:after="281" w:line="360" w:lineRule="auto"/>
        <w:jc w:val="both"/>
        <w:rPr>
          <w:rFonts w:ascii="Arial" w:eastAsia="Arial" w:hAnsi="Arial" w:cs="Arial"/>
          <w:color w:val="000000" w:themeColor="text1"/>
        </w:rPr>
      </w:pPr>
      <w:bookmarkStart w:id="0" w:name="_Toc675461051"/>
      <w:r w:rsidRPr="5546A6E7">
        <w:rPr>
          <w:rFonts w:ascii="Arial" w:eastAsia="Arial" w:hAnsi="Arial" w:cs="Arial"/>
          <w:color w:val="000000" w:themeColor="text1"/>
        </w:rPr>
        <w:t>1.0 Introduction</w:t>
      </w:r>
      <w:bookmarkEnd w:id="0"/>
    </w:p>
    <w:p w14:paraId="4610DF86" w14:textId="32C29C85"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Today's business environment is marked by unbridled dynamism and complexity, where external influences can determine </w:t>
      </w:r>
      <w:proofErr w:type="spellStart"/>
      <w:r w:rsidRPr="5546A6E7">
        <w:rPr>
          <w:rFonts w:ascii="Arial" w:eastAsia="Arial" w:hAnsi="Arial" w:cs="Arial"/>
          <w:color w:val="000000" w:themeColor="text1"/>
        </w:rPr>
        <w:t>organisational</w:t>
      </w:r>
      <w:proofErr w:type="spellEnd"/>
      <w:r w:rsidRPr="5546A6E7">
        <w:rPr>
          <w:rFonts w:ascii="Arial" w:eastAsia="Arial" w:hAnsi="Arial" w:cs="Arial"/>
          <w:color w:val="000000" w:themeColor="text1"/>
        </w:rPr>
        <w:t xml:space="preserve"> destiny more forcefully than ever (Grant, 2016). For strategic marketing management, ongoing and critical examination of the macro-environment is not simply a ritualistic exercise but a basic requirement for survival and long-term competitiveness (Kotler and Keller, 2016). This essay critically examines the macro-marketing environment in the context of the global Electric Vehicle (EV) industry, which is a market undergoing a paradigm revolution.</w:t>
      </w:r>
    </w:p>
    <w:p w14:paraId="538538E7" w14:textId="4231DA58"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The examination focuses on two major external macro-marketing actors—</w:t>
      </w:r>
      <w:r w:rsidRPr="5546A6E7">
        <w:rPr>
          <w:rFonts w:ascii="Arial" w:eastAsia="Arial" w:hAnsi="Arial" w:cs="Arial"/>
          <w:i/>
          <w:iCs/>
          <w:color w:val="000000" w:themeColor="text1"/>
        </w:rPr>
        <w:t>Technological</w:t>
      </w:r>
      <w:r w:rsidRPr="5546A6E7">
        <w:rPr>
          <w:rFonts w:ascii="Arial" w:eastAsia="Arial" w:hAnsi="Arial" w:cs="Arial"/>
          <w:color w:val="000000" w:themeColor="text1"/>
        </w:rPr>
        <w:t xml:space="preserve"> and </w:t>
      </w:r>
      <w:r w:rsidRPr="5546A6E7">
        <w:rPr>
          <w:rFonts w:ascii="Arial" w:eastAsia="Arial" w:hAnsi="Arial" w:cs="Arial"/>
          <w:i/>
          <w:iCs/>
          <w:color w:val="000000" w:themeColor="text1"/>
        </w:rPr>
        <w:t>Political/Regulatory forces</w:t>
      </w:r>
      <w:r w:rsidRPr="5546A6E7">
        <w:rPr>
          <w:rFonts w:ascii="Arial" w:eastAsia="Arial" w:hAnsi="Arial" w:cs="Arial"/>
          <w:color w:val="000000" w:themeColor="text1"/>
        </w:rPr>
        <w:t xml:space="preserve">—and how they contribute to the creation of opportunities and threats. </w:t>
      </w:r>
      <w:r w:rsidR="67ECCC81" w:rsidRPr="5546A6E7">
        <w:rPr>
          <w:rFonts w:ascii="Arial" w:eastAsia="Arial" w:hAnsi="Arial" w:cs="Arial"/>
          <w:color w:val="000000" w:themeColor="text1"/>
        </w:rPr>
        <w:t>To</w:t>
      </w:r>
      <w:r w:rsidRPr="5546A6E7">
        <w:rPr>
          <w:rFonts w:ascii="Arial" w:eastAsia="Arial" w:hAnsi="Arial" w:cs="Arial"/>
          <w:color w:val="000000" w:themeColor="text1"/>
        </w:rPr>
        <w:t xml:space="preserve"> emphasize the differential impact of these forces, the article will compare the experience of a pioneering market, Tesla, Inc., with that of a dominant market follower, the Volkswagen Group (VW). Tesla, as an innovation disruptor, structurally shaped the modern EV market, whereas VW, a conventional </w:t>
      </w:r>
      <w:proofErr w:type="spellStart"/>
      <w:r w:rsidRPr="5546A6E7">
        <w:rPr>
          <w:rFonts w:ascii="Arial" w:eastAsia="Arial" w:hAnsi="Arial" w:cs="Arial"/>
          <w:color w:val="000000" w:themeColor="text1"/>
        </w:rPr>
        <w:t>automaking</w:t>
      </w:r>
      <w:proofErr w:type="spellEnd"/>
      <w:r w:rsidRPr="5546A6E7">
        <w:rPr>
          <w:rFonts w:ascii="Arial" w:eastAsia="Arial" w:hAnsi="Arial" w:cs="Arial"/>
          <w:color w:val="000000" w:themeColor="text1"/>
        </w:rPr>
        <w:t xml:space="preserve"> giant, is undertaking an epochal strategic transformation to meet this new reality (</w:t>
      </w:r>
      <w:proofErr w:type="spellStart"/>
      <w:r w:rsidRPr="5546A6E7">
        <w:rPr>
          <w:rFonts w:ascii="Arial" w:eastAsia="Arial" w:hAnsi="Arial" w:cs="Arial"/>
          <w:color w:val="000000" w:themeColor="text1"/>
        </w:rPr>
        <w:t>Hopp</w:t>
      </w:r>
      <w:proofErr w:type="spellEnd"/>
      <w:r w:rsidRPr="5546A6E7">
        <w:rPr>
          <w:rFonts w:ascii="Arial" w:eastAsia="Arial" w:hAnsi="Arial" w:cs="Arial"/>
          <w:color w:val="000000" w:themeColor="text1"/>
        </w:rPr>
        <w:t xml:space="preserve"> et al., 2018).</w:t>
      </w:r>
    </w:p>
    <w:p w14:paraId="2DB39DEB" w14:textId="73BDFFAC"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From this critique, the paper will then move on to evaluate the exact marketing strategies such </w:t>
      </w:r>
      <w:proofErr w:type="spellStart"/>
      <w:r w:rsidRPr="5546A6E7">
        <w:rPr>
          <w:rFonts w:ascii="Arial" w:eastAsia="Arial" w:hAnsi="Arial" w:cs="Arial"/>
          <w:color w:val="000000" w:themeColor="text1"/>
        </w:rPr>
        <w:t>organisations</w:t>
      </w:r>
      <w:proofErr w:type="spellEnd"/>
      <w:r w:rsidRPr="5546A6E7">
        <w:rPr>
          <w:rFonts w:ascii="Arial" w:eastAsia="Arial" w:hAnsi="Arial" w:cs="Arial"/>
          <w:color w:val="000000" w:themeColor="text1"/>
        </w:rPr>
        <w:t xml:space="preserve"> have pursued in reaction to the said environmental pressures. It will argue that while pioneers like Tesla surf macro-environmental trends to give their disruptive image more depth, followers like VW need to retain such trends strategically </w:t>
      </w:r>
      <w:r w:rsidR="341767D5" w:rsidRPr="5546A6E7">
        <w:rPr>
          <w:rFonts w:ascii="Arial" w:eastAsia="Arial" w:hAnsi="Arial" w:cs="Arial"/>
          <w:color w:val="000000" w:themeColor="text1"/>
        </w:rPr>
        <w:t>to</w:t>
      </w:r>
      <w:r w:rsidRPr="5546A6E7">
        <w:rPr>
          <w:rFonts w:ascii="Arial" w:eastAsia="Arial" w:hAnsi="Arial" w:cs="Arial"/>
          <w:color w:val="000000" w:themeColor="text1"/>
        </w:rPr>
        <w:t xml:space="preserve"> translate their already established capabilities. The essay will end by synthesizing these insights to present an overview of the ongoing strategic dilemma of leading vs following in a fluctuating, technology-driven market.</w:t>
      </w:r>
    </w:p>
    <w:p w14:paraId="3E82B9C4" w14:textId="79E3F141" w:rsidR="23784458" w:rsidRDefault="23784458" w:rsidP="5546A6E7">
      <w:pPr>
        <w:pStyle w:val="Heading3"/>
        <w:spacing w:before="281" w:after="281" w:line="360" w:lineRule="auto"/>
        <w:jc w:val="both"/>
        <w:rPr>
          <w:rFonts w:ascii="Arial" w:eastAsia="Arial" w:hAnsi="Arial" w:cs="Arial"/>
          <w:color w:val="000000" w:themeColor="text1"/>
        </w:rPr>
      </w:pPr>
      <w:bookmarkStart w:id="1" w:name="_Toc1725402048"/>
      <w:r w:rsidRPr="5546A6E7">
        <w:rPr>
          <w:rFonts w:ascii="Arial" w:eastAsia="Arial" w:hAnsi="Arial" w:cs="Arial"/>
          <w:color w:val="000000" w:themeColor="text1"/>
        </w:rPr>
        <w:t>2.0 The Macro-Marketing Environment and Strategic Positioning</w:t>
      </w:r>
      <w:bookmarkEnd w:id="1"/>
    </w:p>
    <w:p w14:paraId="212BBE12" w14:textId="0A4ED3E4"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The macro-marketing environment consists of wide-ranging societal forces that not only affect the </w:t>
      </w:r>
      <w:proofErr w:type="spellStart"/>
      <w:r w:rsidRPr="5546A6E7">
        <w:rPr>
          <w:rFonts w:ascii="Arial" w:eastAsia="Arial" w:hAnsi="Arial" w:cs="Arial"/>
          <w:color w:val="000000" w:themeColor="text1"/>
        </w:rPr>
        <w:t>organisation</w:t>
      </w:r>
      <w:proofErr w:type="spellEnd"/>
      <w:r w:rsidRPr="5546A6E7">
        <w:rPr>
          <w:rFonts w:ascii="Arial" w:eastAsia="Arial" w:hAnsi="Arial" w:cs="Arial"/>
          <w:color w:val="000000" w:themeColor="text1"/>
        </w:rPr>
        <w:t xml:space="preserve"> but also all the participants in its microenvironment, including competitors, suppliers, and customers. These forces are to a large degree uncontrollable and require strategic adaptation rather than direct control (Jobber and Ellis-Chadwick, 2019). The PESTLE analysis (Political, Economic, Social, Technological, Legal, Environmental) assists in framing the complex environment from a systemic viewpoint, enabling marketers to view fundamental drivers of change (Johnson et al., 2017). But to merely enumerate factors is insufficient; effective strategic analysis requires an understanding of their speed, interdependence, and disruptiveness. Within the EV industry, the convergence of hyper-speed technological revolution with powerful political choices has rendered the environment highly turbulent, shortening product life cycles and obsolescing traditional competencies. An ineffective scanning and interpretation of such signals may lead to strategic drift and catastrophic erosion of competitive advantage (</w:t>
      </w:r>
      <w:proofErr w:type="spellStart"/>
      <w:r w:rsidRPr="5546A6E7">
        <w:rPr>
          <w:rFonts w:ascii="Arial" w:eastAsia="Arial" w:hAnsi="Arial" w:cs="Arial"/>
          <w:color w:val="000000" w:themeColor="text1"/>
        </w:rPr>
        <w:t>Aaker</w:t>
      </w:r>
      <w:proofErr w:type="spellEnd"/>
      <w:r w:rsidRPr="5546A6E7">
        <w:rPr>
          <w:rFonts w:ascii="Arial" w:eastAsia="Arial" w:hAnsi="Arial" w:cs="Arial"/>
          <w:color w:val="000000" w:themeColor="text1"/>
        </w:rPr>
        <w:t xml:space="preserve"> and Moorman, 2017).</w:t>
      </w:r>
    </w:p>
    <w:p w14:paraId="303AA8E3" w14:textId="09113096"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Such crisis creates what </w:t>
      </w:r>
      <w:proofErr w:type="spellStart"/>
      <w:r w:rsidRPr="5546A6E7">
        <w:rPr>
          <w:rFonts w:ascii="Arial" w:eastAsia="Arial" w:hAnsi="Arial" w:cs="Arial"/>
          <w:color w:val="000000" w:themeColor="text1"/>
        </w:rPr>
        <w:t>Abell</w:t>
      </w:r>
      <w:proofErr w:type="spellEnd"/>
      <w:r w:rsidRPr="5546A6E7">
        <w:rPr>
          <w:rFonts w:ascii="Arial" w:eastAsia="Arial" w:hAnsi="Arial" w:cs="Arial"/>
          <w:color w:val="000000" w:themeColor="text1"/>
        </w:rPr>
        <w:t xml:space="preserve"> (1978) referred to as "</w:t>
      </w:r>
      <w:r w:rsidRPr="5546A6E7">
        <w:rPr>
          <w:rFonts w:ascii="Arial" w:eastAsia="Arial" w:hAnsi="Arial" w:cs="Arial"/>
          <w:i/>
          <w:iCs/>
          <w:color w:val="000000" w:themeColor="text1"/>
        </w:rPr>
        <w:t>strategic windows</w:t>
      </w:r>
      <w:r w:rsidRPr="5546A6E7">
        <w:rPr>
          <w:rFonts w:ascii="Arial" w:eastAsia="Arial" w:hAnsi="Arial" w:cs="Arial"/>
          <w:color w:val="000000" w:themeColor="text1"/>
        </w:rPr>
        <w:t>"—short periods of possibility in which the external environment changes in a way which allows for fundamental resetting of market positions. It is the creation of such windows which usually dictates the difference between pioneers and followers. Market pioneers, or "first-movers," are firms that create new markets or revolutionize old ones, creating, in effect, the strategic window for themselves (Lieberman and Montgomery, 1988). They are most likely to gain sustainable advantages by way of brand leadership, pre-emption of resources, and switching costs on customers. Tesla's introduction of the Model S is a classic case, defining performance and technology standards that redefined the face of EVs (</w:t>
      </w:r>
      <w:proofErr w:type="spellStart"/>
      <w:r w:rsidRPr="5546A6E7">
        <w:rPr>
          <w:rFonts w:ascii="Arial" w:eastAsia="Arial" w:hAnsi="Arial" w:cs="Arial"/>
          <w:color w:val="000000" w:themeColor="text1"/>
        </w:rPr>
        <w:t>Bohnsack</w:t>
      </w:r>
      <w:proofErr w:type="spellEnd"/>
      <w:r w:rsidRPr="5546A6E7">
        <w:rPr>
          <w:rFonts w:ascii="Arial" w:eastAsia="Arial" w:hAnsi="Arial" w:cs="Arial"/>
          <w:color w:val="000000" w:themeColor="text1"/>
        </w:rPr>
        <w:t xml:space="preserve"> et al., 2014). But it is a dangerous strategy, sometimes known as the "</w:t>
      </w:r>
      <w:r w:rsidRPr="5546A6E7">
        <w:rPr>
          <w:rFonts w:ascii="Arial" w:eastAsia="Arial" w:hAnsi="Arial" w:cs="Arial"/>
          <w:i/>
          <w:iCs/>
          <w:color w:val="000000" w:themeColor="text1"/>
        </w:rPr>
        <w:t>pioneer's curse</w:t>
      </w:r>
      <w:r w:rsidRPr="5546A6E7">
        <w:rPr>
          <w:rFonts w:ascii="Arial" w:eastAsia="Arial" w:hAnsi="Arial" w:cs="Arial"/>
          <w:color w:val="000000" w:themeColor="text1"/>
        </w:rPr>
        <w:t>." The pioneer absorbs the whole cost of establishing the market, training customers, and conducting technology R&amp;D, without any guarantee that their selected standard will be the leader.</w:t>
      </w:r>
    </w:p>
    <w:p w14:paraId="3766CB42" w14:textId="4D8C1261"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Followers come into established markets, riding up through the strategic window that the pioneer has opened. Even if they are certainly disadvantaged in brand awareness in the early stages, they can have less uncertainty in the market, lower R&amp;D cost of duplicating or building upon existing technologies, and the chance to benefit from the pioneer's mistakes (Suarez and </w:t>
      </w:r>
      <w:proofErr w:type="spellStart"/>
      <w:r w:rsidRPr="5546A6E7">
        <w:rPr>
          <w:rFonts w:ascii="Arial" w:eastAsia="Arial" w:hAnsi="Arial" w:cs="Arial"/>
          <w:color w:val="000000" w:themeColor="text1"/>
        </w:rPr>
        <w:t>Lanzolla</w:t>
      </w:r>
      <w:proofErr w:type="spellEnd"/>
      <w:r w:rsidRPr="5546A6E7">
        <w:rPr>
          <w:rFonts w:ascii="Arial" w:eastAsia="Arial" w:hAnsi="Arial" w:cs="Arial"/>
          <w:color w:val="000000" w:themeColor="text1"/>
        </w:rPr>
        <w:t>, 2005). Volkswagen's strategy is the ultimate example of that, observing Tesla's triumphs and innovative failures first before spending billions on its own replicable EV platform. The risk of the follower, however, is one of magnitude and timing; to enter too late can be to have to face insurmountable barriers to entry, and a commitment to enter halfway is unlikely to reach the scale necessary in order to compete. The relationship between macro-environmental change and these unique strategic positions is the defining dynamic of industry evolution (</w:t>
      </w:r>
      <w:proofErr w:type="spellStart"/>
      <w:r w:rsidRPr="5546A6E7">
        <w:rPr>
          <w:rFonts w:ascii="Arial" w:eastAsia="Arial" w:hAnsi="Arial" w:cs="Arial"/>
          <w:color w:val="000000" w:themeColor="text1"/>
        </w:rPr>
        <w:t>Golder</w:t>
      </w:r>
      <w:proofErr w:type="spellEnd"/>
      <w:r w:rsidRPr="5546A6E7">
        <w:rPr>
          <w:rFonts w:ascii="Arial" w:eastAsia="Arial" w:hAnsi="Arial" w:cs="Arial"/>
          <w:color w:val="000000" w:themeColor="text1"/>
        </w:rPr>
        <w:t xml:space="preserve"> and </w:t>
      </w:r>
      <w:proofErr w:type="spellStart"/>
      <w:r w:rsidRPr="5546A6E7">
        <w:rPr>
          <w:rFonts w:ascii="Arial" w:eastAsia="Arial" w:hAnsi="Arial" w:cs="Arial"/>
          <w:color w:val="000000" w:themeColor="text1"/>
        </w:rPr>
        <w:t>Tellis</w:t>
      </w:r>
      <w:proofErr w:type="spellEnd"/>
      <w:r w:rsidRPr="5546A6E7">
        <w:rPr>
          <w:rFonts w:ascii="Arial" w:eastAsia="Arial" w:hAnsi="Arial" w:cs="Arial"/>
          <w:color w:val="000000" w:themeColor="text1"/>
        </w:rPr>
        <w:t>, 1993).</w:t>
      </w:r>
    </w:p>
    <w:p w14:paraId="7E151041" w14:textId="5447906F" w:rsidR="23784458" w:rsidRDefault="23784458" w:rsidP="5546A6E7">
      <w:pPr>
        <w:pStyle w:val="Heading3"/>
        <w:spacing w:before="281" w:after="281" w:line="360" w:lineRule="auto"/>
        <w:jc w:val="both"/>
        <w:rPr>
          <w:rFonts w:ascii="Arial" w:eastAsia="Arial" w:hAnsi="Arial" w:cs="Arial"/>
          <w:color w:val="000000" w:themeColor="text1"/>
        </w:rPr>
      </w:pPr>
      <w:bookmarkStart w:id="2" w:name="_Toc873852400"/>
      <w:r w:rsidRPr="5546A6E7">
        <w:rPr>
          <w:rFonts w:ascii="Arial" w:eastAsia="Arial" w:hAnsi="Arial" w:cs="Arial"/>
          <w:color w:val="000000" w:themeColor="text1"/>
        </w:rPr>
        <w:t>3.0 Task 1: External Macro Marketing Actors Analysis</w:t>
      </w:r>
      <w:bookmarkEnd w:id="2"/>
    </w:p>
    <w:p w14:paraId="3E0E2778" w14:textId="2859B011"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The trajectory of the EV industry is being shaped significantly through a synergistic convergence of macro-environmental drivers. Amongst these, technological change and political-regulatory imperatives are the strongest and most influential agents.</w:t>
      </w:r>
    </w:p>
    <w:p w14:paraId="0A21328C" w14:textId="06D5E8B4" w:rsidR="23784458" w:rsidRDefault="23784458" w:rsidP="5546A6E7">
      <w:pPr>
        <w:pStyle w:val="Heading4"/>
        <w:spacing w:before="319" w:after="319" w:line="360" w:lineRule="auto"/>
        <w:jc w:val="both"/>
        <w:rPr>
          <w:rFonts w:ascii="Arial" w:eastAsia="Arial" w:hAnsi="Arial" w:cs="Arial"/>
          <w:color w:val="000000" w:themeColor="text1"/>
        </w:rPr>
      </w:pPr>
      <w:bookmarkStart w:id="3" w:name="_Toc2047976253"/>
      <w:r w:rsidRPr="5546A6E7">
        <w:rPr>
          <w:rFonts w:ascii="Arial" w:eastAsia="Arial" w:hAnsi="Arial" w:cs="Arial"/>
          <w:color w:val="000000" w:themeColor="text1"/>
        </w:rPr>
        <w:t>3.1 Technological Factors: Opportunities and Threats</w:t>
      </w:r>
      <w:bookmarkEnd w:id="3"/>
    </w:p>
    <w:p w14:paraId="1746F866" w14:textId="1A50BFE2"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The relentless pace of technological progress is the primary driving force behind the EV revolution. Key breakthroughs in battery chemistry, autonomous driving through AI, and software-defined automotive architecture generate a chaotic landscape of opportunity and risk (</w:t>
      </w:r>
      <w:proofErr w:type="spellStart"/>
      <w:r w:rsidRPr="5546A6E7">
        <w:rPr>
          <w:rFonts w:ascii="Arial" w:eastAsia="Arial" w:hAnsi="Arial" w:cs="Arial"/>
          <w:color w:val="000000" w:themeColor="text1"/>
        </w:rPr>
        <w:t>Nykvist</w:t>
      </w:r>
      <w:proofErr w:type="spellEnd"/>
      <w:r w:rsidRPr="5546A6E7">
        <w:rPr>
          <w:rFonts w:ascii="Arial" w:eastAsia="Arial" w:hAnsi="Arial" w:cs="Arial"/>
          <w:color w:val="000000" w:themeColor="text1"/>
        </w:rPr>
        <w:t xml:space="preserve"> and Nilsson, 2015).</w:t>
      </w:r>
    </w:p>
    <w:p w14:paraId="3FDD3DA5" w14:textId="251EDB56"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For industry pioneer Tesla, this technological upheaval is both its greatest opportunity and greatest threat. The opportunity is to maintain its leadership in innovation. Improvements in battery technology (e.g., 4680 cells) enable greater range and cost reductions, backing its core value proposition (Oh, 2021). The development of its Full Self-Driving (FSD) software is a high-margin source of revenue and aids customer lock-in in its network. This constant innovation fuels its reputation as a </w:t>
      </w:r>
      <w:r w:rsidRPr="5546A6E7">
        <w:rPr>
          <w:rFonts w:ascii="Arial" w:eastAsia="Arial" w:hAnsi="Arial" w:cs="Arial"/>
          <w:i/>
          <w:iCs/>
          <w:color w:val="000000" w:themeColor="text1"/>
        </w:rPr>
        <w:t>tech company</w:t>
      </w:r>
      <w:r w:rsidRPr="5546A6E7">
        <w:rPr>
          <w:rFonts w:ascii="Arial" w:eastAsia="Arial" w:hAnsi="Arial" w:cs="Arial"/>
          <w:color w:val="000000" w:themeColor="text1"/>
        </w:rPr>
        <w:t>, not an automaker, creating a powerful marketing narrative (Hassan et al., 2022). But this same dynamic is risky. The revolutionary pace of innovation carries the risk of obsolescence via technology; another company's breakthrough can undermine Tesla's perceived leadership overnight. To boot, the massive R&amp;D investment required to stay ahead is an enormous expense and risk (Cohen, 2020).</w:t>
      </w:r>
    </w:p>
    <w:p w14:paraId="76B77827" w14:textId="513E499E"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For Volkswagen, the follower, the technological landscape offers a different set of opportunities and risks. The key benefit is the potential to pick up on successful technologies strategically, without having to go through the costly trial-and-error like Tesla. VW can observe what battery chemistries and charging standards gain traction and invest smarter at scale, leveraging its huge manufacturing capacity to achieve economies of scale sooner (Schmitt and </w:t>
      </w:r>
      <w:proofErr w:type="spellStart"/>
      <w:r w:rsidRPr="5546A6E7">
        <w:rPr>
          <w:rFonts w:ascii="Arial" w:eastAsia="Arial" w:hAnsi="Arial" w:cs="Arial"/>
          <w:color w:val="000000" w:themeColor="text1"/>
        </w:rPr>
        <w:t>Lall</w:t>
      </w:r>
      <w:proofErr w:type="spellEnd"/>
      <w:r w:rsidRPr="5546A6E7">
        <w:rPr>
          <w:rFonts w:ascii="Arial" w:eastAsia="Arial" w:hAnsi="Arial" w:cs="Arial"/>
          <w:color w:val="000000" w:themeColor="text1"/>
        </w:rPr>
        <w:t>, 2021). This allows VW to market its EVs as reliable and economical, backed by more than a century of engineering reputation. The difficulty for VW is the persistent and overwhelming technology disadvantage. Its software development battle has been publicly acknowledged as a gigantic challenge, providing a user experience that is lower than Tesla's high smoothness (Boston Consulting Group, 2021). This retardation not only handicaps product competitiveness but also threatens to put the VW brand on the back foot technologically, which is difficult to reverse in an innovation-dominated setting.</w:t>
      </w:r>
    </w:p>
    <w:p w14:paraId="57054269" w14:textId="401FF769" w:rsidR="23784458" w:rsidRDefault="23784458" w:rsidP="5546A6E7">
      <w:pPr>
        <w:pStyle w:val="Heading4"/>
        <w:spacing w:before="319" w:after="319" w:line="360" w:lineRule="auto"/>
        <w:jc w:val="both"/>
        <w:rPr>
          <w:rFonts w:ascii="Arial" w:eastAsia="Arial" w:hAnsi="Arial" w:cs="Arial"/>
          <w:color w:val="000000" w:themeColor="text1"/>
        </w:rPr>
      </w:pPr>
      <w:bookmarkStart w:id="4" w:name="_Toc1977520449"/>
      <w:r w:rsidRPr="5546A6E7">
        <w:rPr>
          <w:rFonts w:ascii="Arial" w:eastAsia="Arial" w:hAnsi="Arial" w:cs="Arial"/>
          <w:color w:val="000000" w:themeColor="text1"/>
        </w:rPr>
        <w:t>3.2 Political and Regulatory Factors: Opportunities and Threats</w:t>
      </w:r>
      <w:bookmarkEnd w:id="4"/>
    </w:p>
    <w:p w14:paraId="63401E00" w14:textId="4BA552A9"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Political action has been the primary catalyst of EV adoption globally. Emission control regulations due to environmental concerns, incentives to consumers, and infrastructure investment create a regulatory landscape that strongly influences corporate strategy (International Energy Agency, 2023).</w:t>
      </w:r>
    </w:p>
    <w:p w14:paraId="2CED7CF6" w14:textId="350B2BE7"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For Tesla, this regulatory push has been a support pillar of opportunity. Europeans and Chinese governments mandating strict emissions regulations essentially created a captive market for its products, penalizing legacy automakers for their reliance on internal combustion engines (ICE). Government subsidies and tax credits lowered the cost of its vehicles to buy instantly, catalyzing early adoption and market penetration (Hardman et al., 2018). As a standalone EV player, Tesla was well positioned to benefit from this regulatory tailwind by framing its mission as sympathetic to world climate goals. The biggest risk is the withdrawal of this support. At this stage of EV adoption on the verge of reaching critical mass, governments are beginning to wind down subsidies, which would cool demand, particularly for more expensive models. Moreover, geopolitical tension, i.e., US-China trade war, poses threat to the global supply chain and market access of Tesla, given that it has significant production footprints in both nations (Ma et al., 2021).</w:t>
      </w:r>
    </w:p>
    <w:p w14:paraId="291C223E" w14:textId="034D2DBC"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In the case of Volkswagen, political factors encompass a more complex duality. On the other, unambiguous regulatory timetables such as the EU's 2035 end of new ICE car sales provide it with an absolute mandate for its transformation strategy, forcing the </w:t>
      </w:r>
      <w:proofErr w:type="spellStart"/>
      <w:r w:rsidRPr="5546A6E7">
        <w:rPr>
          <w:rFonts w:ascii="Arial" w:eastAsia="Arial" w:hAnsi="Arial" w:cs="Arial"/>
          <w:color w:val="000000" w:themeColor="text1"/>
        </w:rPr>
        <w:t>organisation</w:t>
      </w:r>
      <w:proofErr w:type="spellEnd"/>
      <w:r w:rsidRPr="5546A6E7">
        <w:rPr>
          <w:rFonts w:ascii="Arial" w:eastAsia="Arial" w:hAnsi="Arial" w:cs="Arial"/>
          <w:color w:val="000000" w:themeColor="text1"/>
        </w:rPr>
        <w:t xml:space="preserve"> to eliminate internal drag (Transport &amp; Environment, 2022). The pressure of regulation presents the opportunity to leave its heritage behind and reposition as a sustainable mobility innovator. VW is also able to utilize its established political influence in Germany and the EU to assist in shaping regulation and obtaining funding for retraining workers and retooling factories. At the same time, those regulations threaten its very survival. The cost of transition is astronomical levels of capital, and failing to meet emission targets on its remaining ICE fleet equates to gigantic fines, squandering money that can be applied towards investment in EV technology (Patel, 2022). Political pressure to preserve jobs at home in this transition also prevents the necessary, and typically painful, restructuring to be able to compete levelly with more agile, non-</w:t>
      </w:r>
      <w:r w:rsidR="295657D7" w:rsidRPr="5546A6E7">
        <w:rPr>
          <w:rFonts w:ascii="Arial" w:eastAsia="Arial" w:hAnsi="Arial" w:cs="Arial"/>
          <w:color w:val="000000" w:themeColor="text1"/>
        </w:rPr>
        <w:t>unionized</w:t>
      </w:r>
      <w:r w:rsidRPr="5546A6E7">
        <w:rPr>
          <w:rFonts w:ascii="Arial" w:eastAsia="Arial" w:hAnsi="Arial" w:cs="Arial"/>
          <w:color w:val="000000" w:themeColor="text1"/>
        </w:rPr>
        <w:t xml:space="preserve"> disruptors such as Tesla.</w:t>
      </w:r>
    </w:p>
    <w:p w14:paraId="3857230A" w14:textId="41D1484F" w:rsidR="23784458" w:rsidRDefault="23784458" w:rsidP="5546A6E7">
      <w:pPr>
        <w:pStyle w:val="Heading3"/>
        <w:spacing w:before="281" w:after="281" w:line="360" w:lineRule="auto"/>
        <w:jc w:val="both"/>
        <w:rPr>
          <w:rFonts w:ascii="Arial" w:eastAsia="Arial" w:hAnsi="Arial" w:cs="Arial"/>
          <w:color w:val="000000" w:themeColor="text1"/>
        </w:rPr>
      </w:pPr>
      <w:bookmarkStart w:id="5" w:name="_Toc243830712"/>
      <w:r w:rsidRPr="5546A6E7">
        <w:rPr>
          <w:rFonts w:ascii="Arial" w:eastAsia="Arial" w:hAnsi="Arial" w:cs="Arial"/>
          <w:color w:val="000000" w:themeColor="text1"/>
        </w:rPr>
        <w:t>4.0 Task 2: Strategic Responses to Become Competitive</w:t>
      </w:r>
      <w:bookmarkEnd w:id="5"/>
    </w:p>
    <w:p w14:paraId="5EE26110" w14:textId="4F8597A2"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The differential threats and opportunities of the macro-environment call for various strategic responses from Volkswagen and Tesla. Their strategies are not first conceived in a vacuum but are real-time, measured reactions to these external influences.</w:t>
      </w:r>
    </w:p>
    <w:p w14:paraId="51B9EC83" w14:textId="0A4A81CB" w:rsidR="23784458" w:rsidRDefault="23784458" w:rsidP="5546A6E7">
      <w:pPr>
        <w:pStyle w:val="Heading4"/>
        <w:spacing w:before="319" w:after="319" w:line="360" w:lineRule="auto"/>
        <w:jc w:val="both"/>
        <w:rPr>
          <w:rFonts w:ascii="Arial" w:eastAsia="Arial" w:hAnsi="Arial" w:cs="Arial"/>
          <w:color w:val="000000" w:themeColor="text1"/>
        </w:rPr>
      </w:pPr>
      <w:bookmarkStart w:id="6" w:name="_Toc298062835"/>
      <w:r w:rsidRPr="5546A6E7">
        <w:rPr>
          <w:rFonts w:ascii="Arial" w:eastAsia="Arial" w:hAnsi="Arial" w:cs="Arial"/>
          <w:color w:val="000000" w:themeColor="text1"/>
        </w:rPr>
        <w:t>4.1 Tesla's Strategic Response: The Innovation Offensive</w:t>
      </w:r>
      <w:bookmarkEnd w:id="6"/>
    </w:p>
    <w:p w14:paraId="30AD289D" w14:textId="52135A6C"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Tesla's strategic reaction is based on an unremitting pursuit of product leadership and vertical integration, a simple strategy for mastery of the technological space rather than its mere adaptation. Its marketing strategy is therefore effectively an exercise in product and technology demonstration. Instead of traditional advertising, Tesla exploits high-profile events like "AI Day" and "Battery Day" to communicate its technology leadership directly to investors and enthusiasts, generating </w:t>
      </w:r>
      <w:r w:rsidR="7D135800" w:rsidRPr="5546A6E7">
        <w:rPr>
          <w:rFonts w:ascii="Arial" w:eastAsia="Arial" w:hAnsi="Arial" w:cs="Arial"/>
          <w:color w:val="000000" w:themeColor="text1"/>
        </w:rPr>
        <w:t>massive, earned</w:t>
      </w:r>
      <w:r w:rsidRPr="5546A6E7">
        <w:rPr>
          <w:rFonts w:ascii="Arial" w:eastAsia="Arial" w:hAnsi="Arial" w:cs="Arial"/>
          <w:color w:val="000000" w:themeColor="text1"/>
        </w:rPr>
        <w:t xml:space="preserve"> media (</w:t>
      </w:r>
      <w:proofErr w:type="spellStart"/>
      <w:r w:rsidRPr="5546A6E7">
        <w:rPr>
          <w:rFonts w:ascii="Arial" w:eastAsia="Arial" w:hAnsi="Arial" w:cs="Arial"/>
          <w:color w:val="000000" w:themeColor="text1"/>
        </w:rPr>
        <w:t>Shahan</w:t>
      </w:r>
      <w:proofErr w:type="spellEnd"/>
      <w:r w:rsidRPr="5546A6E7">
        <w:rPr>
          <w:rFonts w:ascii="Arial" w:eastAsia="Arial" w:hAnsi="Arial" w:cs="Arial"/>
          <w:color w:val="000000" w:themeColor="text1"/>
        </w:rPr>
        <w:t>, 2022). This can be interpreted as a "</w:t>
      </w:r>
      <w:r w:rsidRPr="5546A6E7">
        <w:rPr>
          <w:rFonts w:ascii="Arial" w:eastAsia="Arial" w:hAnsi="Arial" w:cs="Arial"/>
          <w:i/>
          <w:iCs/>
          <w:color w:val="000000" w:themeColor="text1"/>
        </w:rPr>
        <w:t>Blue Ocean Strategy</w:t>
      </w:r>
      <w:r w:rsidRPr="5546A6E7">
        <w:rPr>
          <w:rFonts w:ascii="Arial" w:eastAsia="Arial" w:hAnsi="Arial" w:cs="Arial"/>
          <w:color w:val="000000" w:themeColor="text1"/>
        </w:rPr>
        <w:t xml:space="preserve">" in marketing communication, where Tesla has made the traditional automobile advertising model obsolete by designing a new form of direct, event-based engagement (Kim and Mauborgne, 2005). Its CEO is its lead brand ambassador, leveraging social media to directly engage with customers, the opposite of the behind-the-scenes corporate communications of conventional automakers. This reinforces its brand as an innovator and </w:t>
      </w:r>
      <w:r w:rsidR="7674AF3D" w:rsidRPr="5546A6E7">
        <w:rPr>
          <w:rFonts w:ascii="Arial" w:eastAsia="Arial" w:hAnsi="Arial" w:cs="Arial"/>
          <w:color w:val="000000" w:themeColor="text1"/>
        </w:rPr>
        <w:t>a</w:t>
      </w:r>
      <w:r w:rsidRPr="5546A6E7">
        <w:rPr>
          <w:rFonts w:ascii="Arial" w:eastAsia="Arial" w:hAnsi="Arial" w:cs="Arial"/>
          <w:color w:val="000000" w:themeColor="text1"/>
        </w:rPr>
        <w:t xml:space="preserve"> disruptor.</w:t>
      </w:r>
    </w:p>
    <w:p w14:paraId="7D3C5B13" w14:textId="4B169D87" w:rsidR="5B27CAA2" w:rsidRDefault="5B27CAA2"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To</w:t>
      </w:r>
      <w:r w:rsidR="23784458" w:rsidRPr="5546A6E7">
        <w:rPr>
          <w:rFonts w:ascii="Arial" w:eastAsia="Arial" w:hAnsi="Arial" w:cs="Arial"/>
          <w:color w:val="000000" w:themeColor="text1"/>
        </w:rPr>
        <w:t xml:space="preserve"> fight against the threat of technological obsolescence, Tesla's vertical integration model—from battery production in its </w:t>
      </w:r>
      <w:proofErr w:type="spellStart"/>
      <w:r w:rsidR="23784458" w:rsidRPr="5546A6E7">
        <w:rPr>
          <w:rFonts w:ascii="Arial" w:eastAsia="Arial" w:hAnsi="Arial" w:cs="Arial"/>
          <w:color w:val="000000" w:themeColor="text1"/>
        </w:rPr>
        <w:t>Gigafactories</w:t>
      </w:r>
      <w:proofErr w:type="spellEnd"/>
      <w:r w:rsidR="23784458" w:rsidRPr="5546A6E7">
        <w:rPr>
          <w:rFonts w:ascii="Arial" w:eastAsia="Arial" w:hAnsi="Arial" w:cs="Arial"/>
          <w:color w:val="000000" w:themeColor="text1"/>
        </w:rPr>
        <w:t xml:space="preserve"> to its proprietary Supercharger network—gives it unmatched management over its central technology stack and supply chain (Oh, 2021). With this control comes quicker innovation cycles and a closed system that improves customer experience and creates loyalty. As a response to the political environment, Tesla's marketing always emphasizes its corporate mission to "accelerate the world's transition to sustainable energy." This positions the company with the regulatory agenda and marks it as the solution to global warming and entitling it to green credits and subsidies. The approach is offensive: to continually set the technology lead, thereby compelling competitors and regulators to keep pace with it.</w:t>
      </w:r>
    </w:p>
    <w:p w14:paraId="14D8C445" w14:textId="17E3BA02" w:rsidR="23784458" w:rsidRDefault="23784458" w:rsidP="5546A6E7">
      <w:pPr>
        <w:pStyle w:val="Heading4"/>
        <w:spacing w:before="319" w:after="319" w:line="360" w:lineRule="auto"/>
        <w:jc w:val="both"/>
        <w:rPr>
          <w:rFonts w:ascii="Arial" w:eastAsia="Arial" w:hAnsi="Arial" w:cs="Arial"/>
          <w:color w:val="000000" w:themeColor="text1"/>
        </w:rPr>
      </w:pPr>
      <w:bookmarkStart w:id="7" w:name="_Toc425542903"/>
      <w:r w:rsidRPr="5546A6E7">
        <w:rPr>
          <w:rFonts w:ascii="Arial" w:eastAsia="Arial" w:hAnsi="Arial" w:cs="Arial"/>
          <w:color w:val="000000" w:themeColor="text1"/>
        </w:rPr>
        <w:t>4.2 Volkswagen's Strategic Response: The Catch-Up Through Transformation</w:t>
      </w:r>
      <w:bookmarkEnd w:id="7"/>
    </w:p>
    <w:p w14:paraId="7FA30824" w14:textId="443D3234"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Volkswagen's reaction is a market saturation and </w:t>
      </w:r>
      <w:proofErr w:type="spellStart"/>
      <w:r w:rsidRPr="5546A6E7">
        <w:rPr>
          <w:rFonts w:ascii="Arial" w:eastAsia="Arial" w:hAnsi="Arial" w:cs="Arial"/>
          <w:color w:val="000000" w:themeColor="text1"/>
        </w:rPr>
        <w:t>organisational</w:t>
      </w:r>
      <w:proofErr w:type="spellEnd"/>
      <w:r w:rsidRPr="5546A6E7">
        <w:rPr>
          <w:rFonts w:ascii="Arial" w:eastAsia="Arial" w:hAnsi="Arial" w:cs="Arial"/>
          <w:color w:val="000000" w:themeColor="text1"/>
        </w:rPr>
        <w:t xml:space="preserve"> transformation strategy to leverage its current strengths in competing in the new EV paradigm. With vast regulatory pressure and technological deficit, VW's master strategic action was to develop the modular electric drive matrix (MEB), a shared EV platform (Volkswagen AG, 2021). This is a classic follower strategy: creating low-cost, scalable architecture to fight on multiple segments, from the small ID.3 to the ID. Buzz van. This solution finds an echo with the Resource-Based View (RBV) of the firm, contending that competitive advantage stems from the unique bundle of resources and capabilities of a firm (Barney, 1991). The most valuable assets of VW are not innovative technologies but its humongous production capacity, global distribution and servicing network, and stable portfolio of iconic brands. The MEB platform is a strategic tool to capitalize on these heritage assets in the EV era.</w:t>
      </w:r>
    </w:p>
    <w:p w14:paraId="664F1C3E" w14:textId="3E70E485"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Its marketing strategy is accordingly one of reassurance and scale. It leverages the strong brand heritage of its brands (VW, Audi, Porsche) to win over mass-market customers who would be wary of new entrants (Keller, 2013). The positioning is e-mobility </w:t>
      </w:r>
      <w:proofErr w:type="spellStart"/>
      <w:r w:rsidRPr="5546A6E7">
        <w:rPr>
          <w:rFonts w:ascii="Arial" w:eastAsia="Arial" w:hAnsi="Arial" w:cs="Arial"/>
          <w:color w:val="000000" w:themeColor="text1"/>
        </w:rPr>
        <w:t>democratisation</w:t>
      </w:r>
      <w:proofErr w:type="spellEnd"/>
      <w:r w:rsidRPr="5546A6E7">
        <w:rPr>
          <w:rFonts w:ascii="Arial" w:eastAsia="Arial" w:hAnsi="Arial" w:cs="Arial"/>
          <w:color w:val="000000" w:themeColor="text1"/>
        </w:rPr>
        <w:t xml:space="preserve">—making EVs accessible, reliable, and "for the people," a perfect copy of its historical brand heritage. In response to its technical weaknesses, particularly software-related, VW has embarked on strategic partnerships and established specialist software divisions like CARIAD (Schmitt and </w:t>
      </w:r>
      <w:proofErr w:type="spellStart"/>
      <w:r w:rsidRPr="5546A6E7">
        <w:rPr>
          <w:rFonts w:ascii="Arial" w:eastAsia="Arial" w:hAnsi="Arial" w:cs="Arial"/>
          <w:color w:val="000000" w:themeColor="text1"/>
        </w:rPr>
        <w:t>Lall</w:t>
      </w:r>
      <w:proofErr w:type="spellEnd"/>
      <w:r w:rsidRPr="5546A6E7">
        <w:rPr>
          <w:rFonts w:ascii="Arial" w:eastAsia="Arial" w:hAnsi="Arial" w:cs="Arial"/>
          <w:color w:val="000000" w:themeColor="text1"/>
        </w:rPr>
        <w:t xml:space="preserve">, 2021). This is in recognition that it will never match Tesla's vertical integration on all fronts and will thus establish a partner ecosystem. In response to political pressure, VW's solution is the outright announcement of its massive investment (£180 billion) in </w:t>
      </w:r>
      <w:proofErr w:type="spellStart"/>
      <w:r w:rsidRPr="5546A6E7">
        <w:rPr>
          <w:rFonts w:ascii="Arial" w:eastAsia="Arial" w:hAnsi="Arial" w:cs="Arial"/>
          <w:color w:val="000000" w:themeColor="text1"/>
        </w:rPr>
        <w:t>digitalisation</w:t>
      </w:r>
      <w:proofErr w:type="spellEnd"/>
      <w:r w:rsidRPr="5546A6E7">
        <w:rPr>
          <w:rFonts w:ascii="Arial" w:eastAsia="Arial" w:hAnsi="Arial" w:cs="Arial"/>
          <w:color w:val="000000" w:themeColor="text1"/>
        </w:rPr>
        <w:t xml:space="preserve"> and electrification. This is a narrative for politicians, the unions, and society at large, positioning VW as a responsible national champion that is ready to spearhead this painful shift, therefore receiving political and social backing (Volkswagen AG, 2022). The approach is adaptive: to internalize the external shocks and make its gargantuan size an area of weakness turned competitiveness driver.</w:t>
      </w:r>
    </w:p>
    <w:p w14:paraId="414C5C8F" w14:textId="35422D78" w:rsidR="23784458" w:rsidRDefault="23784458" w:rsidP="5546A6E7">
      <w:pPr>
        <w:pStyle w:val="Heading3"/>
        <w:spacing w:before="281" w:after="281" w:line="360" w:lineRule="auto"/>
        <w:jc w:val="both"/>
        <w:rPr>
          <w:rFonts w:ascii="Arial" w:eastAsia="Arial" w:hAnsi="Arial" w:cs="Arial"/>
          <w:color w:val="000000" w:themeColor="text1"/>
        </w:rPr>
      </w:pPr>
      <w:bookmarkStart w:id="8" w:name="_Toc886387596"/>
      <w:r w:rsidRPr="5546A6E7">
        <w:rPr>
          <w:rFonts w:ascii="Arial" w:eastAsia="Arial" w:hAnsi="Arial" w:cs="Arial"/>
          <w:color w:val="000000" w:themeColor="text1"/>
        </w:rPr>
        <w:t>5.0 Conclusion</w:t>
      </w:r>
      <w:bookmarkEnd w:id="8"/>
    </w:p>
    <w:p w14:paraId="7B4F80F1" w14:textId="09F9A8D8"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This review verifies that outside macro-marketing actors, in this case, technological and political factors, do not equally impact across an industry. Instead, their impact is sieved through the strategic lens of an </w:t>
      </w:r>
      <w:proofErr w:type="spellStart"/>
      <w:r w:rsidRPr="5546A6E7">
        <w:rPr>
          <w:rFonts w:ascii="Arial" w:eastAsia="Arial" w:hAnsi="Arial" w:cs="Arial"/>
          <w:color w:val="000000" w:themeColor="text1"/>
        </w:rPr>
        <w:t>organisation</w:t>
      </w:r>
      <w:proofErr w:type="spellEnd"/>
      <w:r w:rsidRPr="5546A6E7">
        <w:rPr>
          <w:rFonts w:ascii="Arial" w:eastAsia="Arial" w:hAnsi="Arial" w:cs="Arial"/>
          <w:color w:val="000000" w:themeColor="text1"/>
        </w:rPr>
        <w:t xml:space="preserve"> being a pioneer or a follower. For Tesla, the pioneer, these factors are an opportunity to widen its leadership and a threat that its competitive edge is tempered. Its marketing approach has been an aggressive one, seeking to capture the technological and storytelling leadership of the EV market through relentless innovation and a robust mission-driven brand.</w:t>
      </w:r>
    </w:p>
    <w:p w14:paraId="75BBBCC5" w14:textId="4B28D66B"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For the follower, Volkswagen, the same pressures represent a clear mandate to transform and a severe risk of being left behind. Its response has been a transformational one, leveraging its incumbent strengths in manufacturing scale and brand reputation to methodically transform in response to the new landscape. Its marketing strategy is designed to reassure mainstream consumers and demonstrate its commitment to this historic transition.</w:t>
      </w:r>
    </w:p>
    <w:p w14:paraId="79E2A647" w14:textId="4F3A5BF2" w:rsidR="23784458" w:rsidRDefault="23784458"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Lastly, the dynamic interaction between the EV market emphasizes a fundamental lesson in strategic marketing: complete understanding of the macro-environment is inadequate without an accompanying appreciation of how these forces specifically affect the strategic options to which different participants in the market are exposed. The present competition between Tesla and Volkswagen is a confirmation of the truth that in an uncertain world, there is more than one path to competitiveness, but every path must begin with a serious reflection on the world outside the walls of the company.</w:t>
      </w:r>
    </w:p>
    <w:p w14:paraId="45F56BBB" w14:textId="77DBFBC2" w:rsidR="5546A6E7" w:rsidRDefault="5546A6E7" w:rsidP="5546A6E7">
      <w:pPr>
        <w:spacing w:line="360" w:lineRule="auto"/>
        <w:jc w:val="both"/>
        <w:rPr>
          <w:rFonts w:ascii="Arial" w:eastAsia="Arial" w:hAnsi="Arial" w:cs="Arial"/>
          <w:color w:val="000000" w:themeColor="text1"/>
        </w:rPr>
      </w:pPr>
    </w:p>
    <w:p w14:paraId="287F3608" w14:textId="5F0D6467" w:rsidR="5546A6E7" w:rsidRDefault="5546A6E7" w:rsidP="5546A6E7">
      <w:pPr>
        <w:spacing w:line="360" w:lineRule="auto"/>
        <w:jc w:val="both"/>
        <w:rPr>
          <w:rFonts w:ascii="Arial" w:eastAsia="Arial" w:hAnsi="Arial" w:cs="Arial"/>
          <w:color w:val="000000" w:themeColor="text1"/>
        </w:rPr>
      </w:pPr>
      <w:r w:rsidRPr="5546A6E7">
        <w:rPr>
          <w:rFonts w:ascii="Arial" w:eastAsia="Arial" w:hAnsi="Arial" w:cs="Arial"/>
          <w:color w:val="000000" w:themeColor="text1"/>
        </w:rPr>
        <w:br w:type="page"/>
      </w:r>
    </w:p>
    <w:p w14:paraId="06AD49CF" w14:textId="25CF5D93" w:rsidR="4A9BA25B" w:rsidRDefault="4A9BA25B" w:rsidP="5546A6E7">
      <w:pPr>
        <w:pStyle w:val="Heading2"/>
        <w:spacing w:line="360" w:lineRule="auto"/>
        <w:jc w:val="both"/>
        <w:rPr>
          <w:rFonts w:ascii="Arial" w:eastAsia="Arial" w:hAnsi="Arial" w:cs="Arial"/>
          <w:color w:val="000000" w:themeColor="text1"/>
        </w:rPr>
      </w:pPr>
      <w:bookmarkStart w:id="9" w:name="_Toc222091344"/>
      <w:r w:rsidRPr="5546A6E7">
        <w:rPr>
          <w:rFonts w:ascii="Arial" w:eastAsia="Arial" w:hAnsi="Arial" w:cs="Arial"/>
          <w:color w:val="000000" w:themeColor="text1"/>
        </w:rPr>
        <w:t>References</w:t>
      </w:r>
      <w:bookmarkEnd w:id="9"/>
    </w:p>
    <w:p w14:paraId="1D2A7F97" w14:textId="4F784E26" w:rsidR="197504DD" w:rsidRDefault="197504DD" w:rsidP="5546A6E7">
      <w:pPr>
        <w:spacing w:before="240" w:after="240" w:line="360" w:lineRule="auto"/>
        <w:jc w:val="both"/>
        <w:rPr>
          <w:rFonts w:ascii="Arial" w:eastAsia="Arial" w:hAnsi="Arial" w:cs="Arial"/>
          <w:color w:val="000000" w:themeColor="text1"/>
        </w:rPr>
      </w:pPr>
      <w:proofErr w:type="spellStart"/>
      <w:r w:rsidRPr="5546A6E7">
        <w:rPr>
          <w:rFonts w:ascii="Arial" w:eastAsia="Arial" w:hAnsi="Arial" w:cs="Arial"/>
          <w:color w:val="000000" w:themeColor="text1"/>
        </w:rPr>
        <w:t>Aaker</w:t>
      </w:r>
      <w:proofErr w:type="spellEnd"/>
      <w:r w:rsidRPr="5546A6E7">
        <w:rPr>
          <w:rFonts w:ascii="Arial" w:eastAsia="Arial" w:hAnsi="Arial" w:cs="Arial"/>
          <w:color w:val="000000" w:themeColor="text1"/>
        </w:rPr>
        <w:t xml:space="preserve">, D.A. and Moorman, C. (2017) </w:t>
      </w:r>
      <w:r w:rsidRPr="5546A6E7">
        <w:rPr>
          <w:rFonts w:ascii="Arial" w:eastAsia="Arial" w:hAnsi="Arial" w:cs="Arial"/>
          <w:i/>
          <w:iCs/>
          <w:color w:val="000000" w:themeColor="text1"/>
        </w:rPr>
        <w:t>Strategic Market Management</w:t>
      </w:r>
      <w:r w:rsidRPr="5546A6E7">
        <w:rPr>
          <w:rFonts w:ascii="Arial" w:eastAsia="Arial" w:hAnsi="Arial" w:cs="Arial"/>
          <w:color w:val="000000" w:themeColor="text1"/>
        </w:rPr>
        <w:t xml:space="preserve">. 11th </w:t>
      </w:r>
      <w:proofErr w:type="spellStart"/>
      <w:r w:rsidRPr="5546A6E7">
        <w:rPr>
          <w:rFonts w:ascii="Arial" w:eastAsia="Arial" w:hAnsi="Arial" w:cs="Arial"/>
          <w:color w:val="000000" w:themeColor="text1"/>
        </w:rPr>
        <w:t>edn</w:t>
      </w:r>
      <w:proofErr w:type="spellEnd"/>
      <w:r w:rsidRPr="5546A6E7">
        <w:rPr>
          <w:rFonts w:ascii="Arial" w:eastAsia="Arial" w:hAnsi="Arial" w:cs="Arial"/>
          <w:color w:val="000000" w:themeColor="text1"/>
        </w:rPr>
        <w:t>. Hoboken, NJ: John Wiley &amp; Sons.</w:t>
      </w:r>
    </w:p>
    <w:p w14:paraId="456DAAB3" w14:textId="61E9C80E" w:rsidR="197504DD" w:rsidRDefault="197504DD" w:rsidP="5546A6E7">
      <w:pPr>
        <w:spacing w:before="240" w:after="240" w:line="360" w:lineRule="auto"/>
        <w:jc w:val="both"/>
        <w:rPr>
          <w:rFonts w:ascii="Arial" w:eastAsia="Arial" w:hAnsi="Arial" w:cs="Arial"/>
          <w:color w:val="000000" w:themeColor="text1"/>
        </w:rPr>
      </w:pPr>
      <w:proofErr w:type="spellStart"/>
      <w:r w:rsidRPr="5546A6E7">
        <w:rPr>
          <w:rFonts w:ascii="Arial" w:eastAsia="Arial" w:hAnsi="Arial" w:cs="Arial"/>
          <w:color w:val="000000" w:themeColor="text1"/>
        </w:rPr>
        <w:t>Abell</w:t>
      </w:r>
      <w:proofErr w:type="spellEnd"/>
      <w:r w:rsidRPr="5546A6E7">
        <w:rPr>
          <w:rFonts w:ascii="Arial" w:eastAsia="Arial" w:hAnsi="Arial" w:cs="Arial"/>
          <w:color w:val="000000" w:themeColor="text1"/>
        </w:rPr>
        <w:t xml:space="preserve">, D.F. (1978) ‘Strategic windows’, </w:t>
      </w:r>
      <w:r w:rsidRPr="5546A6E7">
        <w:rPr>
          <w:rFonts w:ascii="Arial" w:eastAsia="Arial" w:hAnsi="Arial" w:cs="Arial"/>
          <w:i/>
          <w:iCs/>
          <w:color w:val="000000" w:themeColor="text1"/>
        </w:rPr>
        <w:t>Journal of Marketing</w:t>
      </w:r>
      <w:r w:rsidRPr="5546A6E7">
        <w:rPr>
          <w:rFonts w:ascii="Arial" w:eastAsia="Arial" w:hAnsi="Arial" w:cs="Arial"/>
          <w:color w:val="000000" w:themeColor="text1"/>
        </w:rPr>
        <w:t>, 42(3), pp. 21–26.</w:t>
      </w:r>
    </w:p>
    <w:p w14:paraId="4A4B0297" w14:textId="26D43742"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Barney, J. (1991) ‘Firm Resources and Sustained Competitive Advantage’, </w:t>
      </w:r>
      <w:r w:rsidRPr="5546A6E7">
        <w:rPr>
          <w:rFonts w:ascii="Arial" w:eastAsia="Arial" w:hAnsi="Arial" w:cs="Arial"/>
          <w:i/>
          <w:iCs/>
          <w:color w:val="000000" w:themeColor="text1"/>
        </w:rPr>
        <w:t>Journal of Management</w:t>
      </w:r>
      <w:r w:rsidRPr="5546A6E7">
        <w:rPr>
          <w:rFonts w:ascii="Arial" w:eastAsia="Arial" w:hAnsi="Arial" w:cs="Arial"/>
          <w:color w:val="000000" w:themeColor="text1"/>
        </w:rPr>
        <w:t>, 17(1), pp. 99–120.</w:t>
      </w:r>
    </w:p>
    <w:p w14:paraId="7D67D038" w14:textId="6887C9E7" w:rsidR="197504DD" w:rsidRDefault="197504DD" w:rsidP="5546A6E7">
      <w:pPr>
        <w:spacing w:before="240" w:after="240" w:line="360" w:lineRule="auto"/>
        <w:jc w:val="both"/>
        <w:rPr>
          <w:rFonts w:ascii="Arial" w:eastAsia="Arial" w:hAnsi="Arial" w:cs="Arial"/>
          <w:color w:val="000000" w:themeColor="text1"/>
        </w:rPr>
      </w:pPr>
      <w:proofErr w:type="spellStart"/>
      <w:r w:rsidRPr="5546A6E7">
        <w:rPr>
          <w:rFonts w:ascii="Arial" w:eastAsia="Arial" w:hAnsi="Arial" w:cs="Arial"/>
          <w:color w:val="000000" w:themeColor="text1"/>
        </w:rPr>
        <w:t>Bohnsack</w:t>
      </w:r>
      <w:proofErr w:type="spellEnd"/>
      <w:r w:rsidRPr="5546A6E7">
        <w:rPr>
          <w:rFonts w:ascii="Arial" w:eastAsia="Arial" w:hAnsi="Arial" w:cs="Arial"/>
          <w:color w:val="000000" w:themeColor="text1"/>
        </w:rPr>
        <w:t xml:space="preserve">, R., </w:t>
      </w:r>
      <w:proofErr w:type="spellStart"/>
      <w:r w:rsidRPr="5546A6E7">
        <w:rPr>
          <w:rFonts w:ascii="Arial" w:eastAsia="Arial" w:hAnsi="Arial" w:cs="Arial"/>
          <w:color w:val="000000" w:themeColor="text1"/>
        </w:rPr>
        <w:t>Pinkse</w:t>
      </w:r>
      <w:proofErr w:type="spellEnd"/>
      <w:r w:rsidRPr="5546A6E7">
        <w:rPr>
          <w:rFonts w:ascii="Arial" w:eastAsia="Arial" w:hAnsi="Arial" w:cs="Arial"/>
          <w:color w:val="000000" w:themeColor="text1"/>
        </w:rPr>
        <w:t xml:space="preserve">, J. and </w:t>
      </w:r>
      <w:proofErr w:type="spellStart"/>
      <w:r w:rsidRPr="5546A6E7">
        <w:rPr>
          <w:rFonts w:ascii="Arial" w:eastAsia="Arial" w:hAnsi="Arial" w:cs="Arial"/>
          <w:color w:val="000000" w:themeColor="text1"/>
        </w:rPr>
        <w:t>Kolk</w:t>
      </w:r>
      <w:proofErr w:type="spellEnd"/>
      <w:r w:rsidRPr="5546A6E7">
        <w:rPr>
          <w:rFonts w:ascii="Arial" w:eastAsia="Arial" w:hAnsi="Arial" w:cs="Arial"/>
          <w:color w:val="000000" w:themeColor="text1"/>
        </w:rPr>
        <w:t xml:space="preserve">, A. (2014) ‘Business models for sustainable technologies: Exploring business model evolution in the case of electric vehicles’, </w:t>
      </w:r>
      <w:r w:rsidRPr="5546A6E7">
        <w:rPr>
          <w:rFonts w:ascii="Arial" w:eastAsia="Arial" w:hAnsi="Arial" w:cs="Arial"/>
          <w:i/>
          <w:iCs/>
          <w:color w:val="000000" w:themeColor="text1"/>
        </w:rPr>
        <w:t>Research Policy</w:t>
      </w:r>
      <w:r w:rsidRPr="5546A6E7">
        <w:rPr>
          <w:rFonts w:ascii="Arial" w:eastAsia="Arial" w:hAnsi="Arial" w:cs="Arial"/>
          <w:color w:val="000000" w:themeColor="text1"/>
        </w:rPr>
        <w:t>, 43(2), pp. 284–300.</w:t>
      </w:r>
    </w:p>
    <w:p w14:paraId="78C3D49B" w14:textId="74A67138"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Boston Consulting Group (2021) </w:t>
      </w:r>
      <w:r w:rsidRPr="5546A6E7">
        <w:rPr>
          <w:rFonts w:ascii="Arial" w:eastAsia="Arial" w:hAnsi="Arial" w:cs="Arial"/>
          <w:i/>
          <w:iCs/>
          <w:color w:val="000000" w:themeColor="text1"/>
        </w:rPr>
        <w:t>Chasing the software-defined dream car</w:t>
      </w:r>
      <w:r w:rsidRPr="5546A6E7">
        <w:rPr>
          <w:rFonts w:ascii="Arial" w:eastAsia="Arial" w:hAnsi="Arial" w:cs="Arial"/>
          <w:color w:val="000000" w:themeColor="text1"/>
        </w:rPr>
        <w:t xml:space="preserve">. Boston Consulting Group. Available at: </w:t>
      </w:r>
      <w:hyperlink r:id="rId6">
        <w:r w:rsidRPr="5546A6E7">
          <w:rPr>
            <w:rStyle w:val="Hyperlink"/>
            <w:rFonts w:ascii="Arial" w:eastAsia="Arial" w:hAnsi="Arial" w:cs="Arial"/>
            <w:color w:val="000000" w:themeColor="text1"/>
          </w:rPr>
          <w:t>https://www.bcg.com/publications/2021/software-transformation-in-the-automotive-industry</w:t>
        </w:r>
      </w:hyperlink>
      <w:r w:rsidRPr="5546A6E7">
        <w:rPr>
          <w:rFonts w:ascii="Arial" w:eastAsia="Arial" w:hAnsi="Arial" w:cs="Arial"/>
          <w:color w:val="000000" w:themeColor="text1"/>
        </w:rPr>
        <w:t xml:space="preserve"> (Accessed: 19 September 2025). </w:t>
      </w:r>
      <w:hyperlink r:id="rId7">
        <w:r w:rsidRPr="5546A6E7">
          <w:rPr>
            <w:rStyle w:val="Hyperlink"/>
            <w:rFonts w:ascii="Arial" w:eastAsia="Arial" w:hAnsi="Arial" w:cs="Arial"/>
            <w:color w:val="000000" w:themeColor="text1"/>
          </w:rPr>
          <w:t>BCG</w:t>
        </w:r>
      </w:hyperlink>
    </w:p>
    <w:p w14:paraId="79EEE24C" w14:textId="70FBD6CA"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Cohen, M.A. (2020) ‘Tesla’s Risky Strategy’, </w:t>
      </w:r>
      <w:r w:rsidRPr="5546A6E7">
        <w:rPr>
          <w:rFonts w:ascii="Arial" w:eastAsia="Arial" w:hAnsi="Arial" w:cs="Arial"/>
          <w:i/>
          <w:iCs/>
          <w:color w:val="000000" w:themeColor="text1"/>
        </w:rPr>
        <w:t>MIT Sloan Management Review</w:t>
      </w:r>
      <w:r w:rsidRPr="5546A6E7">
        <w:rPr>
          <w:rFonts w:ascii="Arial" w:eastAsia="Arial" w:hAnsi="Arial" w:cs="Arial"/>
          <w:color w:val="000000" w:themeColor="text1"/>
        </w:rPr>
        <w:t>, 62(1), pp. 1–4.</w:t>
      </w:r>
    </w:p>
    <w:p w14:paraId="3CC26EA9" w14:textId="6BCF54C3" w:rsidR="197504DD" w:rsidRDefault="197504DD" w:rsidP="5546A6E7">
      <w:pPr>
        <w:spacing w:before="240" w:after="240" w:line="360" w:lineRule="auto"/>
        <w:jc w:val="both"/>
        <w:rPr>
          <w:rFonts w:ascii="Arial" w:eastAsia="Arial" w:hAnsi="Arial" w:cs="Arial"/>
          <w:color w:val="000000" w:themeColor="text1"/>
        </w:rPr>
      </w:pPr>
      <w:proofErr w:type="spellStart"/>
      <w:r w:rsidRPr="5546A6E7">
        <w:rPr>
          <w:rFonts w:ascii="Arial" w:eastAsia="Arial" w:hAnsi="Arial" w:cs="Arial"/>
          <w:color w:val="000000" w:themeColor="text1"/>
        </w:rPr>
        <w:t>Golder</w:t>
      </w:r>
      <w:proofErr w:type="spellEnd"/>
      <w:r w:rsidRPr="5546A6E7">
        <w:rPr>
          <w:rFonts w:ascii="Arial" w:eastAsia="Arial" w:hAnsi="Arial" w:cs="Arial"/>
          <w:color w:val="000000" w:themeColor="text1"/>
        </w:rPr>
        <w:t xml:space="preserve">, P.N. and </w:t>
      </w:r>
      <w:proofErr w:type="spellStart"/>
      <w:r w:rsidRPr="5546A6E7">
        <w:rPr>
          <w:rFonts w:ascii="Arial" w:eastAsia="Arial" w:hAnsi="Arial" w:cs="Arial"/>
          <w:color w:val="000000" w:themeColor="text1"/>
        </w:rPr>
        <w:t>Tellis</w:t>
      </w:r>
      <w:proofErr w:type="spellEnd"/>
      <w:r w:rsidRPr="5546A6E7">
        <w:rPr>
          <w:rFonts w:ascii="Arial" w:eastAsia="Arial" w:hAnsi="Arial" w:cs="Arial"/>
          <w:color w:val="000000" w:themeColor="text1"/>
        </w:rPr>
        <w:t xml:space="preserve">, G.J. (1993) ‘Pioneer Advantage: Marketing Logic or Marketing Legend?’, </w:t>
      </w:r>
      <w:r w:rsidRPr="5546A6E7">
        <w:rPr>
          <w:rFonts w:ascii="Arial" w:eastAsia="Arial" w:hAnsi="Arial" w:cs="Arial"/>
          <w:i/>
          <w:iCs/>
          <w:color w:val="000000" w:themeColor="text1"/>
        </w:rPr>
        <w:t>Journal of Marketing Research</w:t>
      </w:r>
      <w:r w:rsidRPr="5546A6E7">
        <w:rPr>
          <w:rFonts w:ascii="Arial" w:eastAsia="Arial" w:hAnsi="Arial" w:cs="Arial"/>
          <w:color w:val="000000" w:themeColor="text1"/>
        </w:rPr>
        <w:t>, 30(2), pp. 158–170.</w:t>
      </w:r>
    </w:p>
    <w:p w14:paraId="72E61192" w14:textId="5E89B997"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Grant, R.M. (2016) </w:t>
      </w:r>
      <w:r w:rsidRPr="5546A6E7">
        <w:rPr>
          <w:rFonts w:ascii="Arial" w:eastAsia="Arial" w:hAnsi="Arial" w:cs="Arial"/>
          <w:i/>
          <w:iCs/>
          <w:color w:val="000000" w:themeColor="text1"/>
        </w:rPr>
        <w:t>Contemporary Strategy Analysis</w:t>
      </w:r>
      <w:r w:rsidRPr="5546A6E7">
        <w:rPr>
          <w:rFonts w:ascii="Arial" w:eastAsia="Arial" w:hAnsi="Arial" w:cs="Arial"/>
          <w:color w:val="000000" w:themeColor="text1"/>
        </w:rPr>
        <w:t xml:space="preserve">. 9th </w:t>
      </w:r>
      <w:proofErr w:type="spellStart"/>
      <w:r w:rsidRPr="5546A6E7">
        <w:rPr>
          <w:rFonts w:ascii="Arial" w:eastAsia="Arial" w:hAnsi="Arial" w:cs="Arial"/>
          <w:color w:val="000000" w:themeColor="text1"/>
        </w:rPr>
        <w:t>edn</w:t>
      </w:r>
      <w:proofErr w:type="spellEnd"/>
      <w:r w:rsidRPr="5546A6E7">
        <w:rPr>
          <w:rFonts w:ascii="Arial" w:eastAsia="Arial" w:hAnsi="Arial" w:cs="Arial"/>
          <w:color w:val="000000" w:themeColor="text1"/>
        </w:rPr>
        <w:t xml:space="preserve">. </w:t>
      </w:r>
      <w:proofErr w:type="spellStart"/>
      <w:r w:rsidRPr="5546A6E7">
        <w:rPr>
          <w:rFonts w:ascii="Arial" w:eastAsia="Arial" w:hAnsi="Arial" w:cs="Arial"/>
          <w:color w:val="000000" w:themeColor="text1"/>
        </w:rPr>
        <w:t>Chichester</w:t>
      </w:r>
      <w:proofErr w:type="spellEnd"/>
      <w:r w:rsidRPr="5546A6E7">
        <w:rPr>
          <w:rFonts w:ascii="Arial" w:eastAsia="Arial" w:hAnsi="Arial" w:cs="Arial"/>
          <w:color w:val="000000" w:themeColor="text1"/>
        </w:rPr>
        <w:t>: John Wiley &amp; Sons.</w:t>
      </w:r>
    </w:p>
    <w:p w14:paraId="3D60128D" w14:textId="2D7E51B8"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Hardman, S. et al. (2018) ‘A review of consumer preferences of and interactions with electric vehicle charging infrastructure’, </w:t>
      </w:r>
      <w:r w:rsidRPr="5546A6E7">
        <w:rPr>
          <w:rFonts w:ascii="Arial" w:eastAsia="Arial" w:hAnsi="Arial" w:cs="Arial"/>
          <w:i/>
          <w:iCs/>
          <w:color w:val="000000" w:themeColor="text1"/>
        </w:rPr>
        <w:t>Transportation Research Part D: Transport and Environment</w:t>
      </w:r>
      <w:r w:rsidRPr="5546A6E7">
        <w:rPr>
          <w:rFonts w:ascii="Arial" w:eastAsia="Arial" w:hAnsi="Arial" w:cs="Arial"/>
          <w:color w:val="000000" w:themeColor="text1"/>
        </w:rPr>
        <w:t>, 62, pp. 508–523.</w:t>
      </w:r>
    </w:p>
    <w:p w14:paraId="415057E8" w14:textId="335C0411"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Hassan, M.U., Ali, S. and Ahmed, S. (2022) ‘Tesla's Marketing Strategy: A Case Study of Unconventional Success’, </w:t>
      </w:r>
      <w:r w:rsidRPr="5546A6E7">
        <w:rPr>
          <w:rFonts w:ascii="Arial" w:eastAsia="Arial" w:hAnsi="Arial" w:cs="Arial"/>
          <w:i/>
          <w:iCs/>
          <w:color w:val="000000" w:themeColor="text1"/>
        </w:rPr>
        <w:t>Journal of Marketing and Consumer Research</w:t>
      </w:r>
      <w:r w:rsidRPr="5546A6E7">
        <w:rPr>
          <w:rFonts w:ascii="Arial" w:eastAsia="Arial" w:hAnsi="Arial" w:cs="Arial"/>
          <w:color w:val="000000" w:themeColor="text1"/>
        </w:rPr>
        <w:t>, 85, pp. 23–34.</w:t>
      </w:r>
    </w:p>
    <w:p w14:paraId="6073225B" w14:textId="268CC3CC" w:rsidR="197504DD" w:rsidRDefault="197504DD" w:rsidP="5546A6E7">
      <w:pPr>
        <w:spacing w:before="240" w:after="240" w:line="360" w:lineRule="auto"/>
        <w:jc w:val="both"/>
        <w:rPr>
          <w:rFonts w:ascii="Arial" w:eastAsia="Arial" w:hAnsi="Arial" w:cs="Arial"/>
          <w:color w:val="000000" w:themeColor="text1"/>
        </w:rPr>
      </w:pPr>
      <w:proofErr w:type="spellStart"/>
      <w:r w:rsidRPr="5546A6E7">
        <w:rPr>
          <w:rFonts w:ascii="Arial" w:eastAsia="Arial" w:hAnsi="Arial" w:cs="Arial"/>
          <w:color w:val="000000" w:themeColor="text1"/>
        </w:rPr>
        <w:t>Hopp</w:t>
      </w:r>
      <w:proofErr w:type="spellEnd"/>
      <w:r w:rsidRPr="5546A6E7">
        <w:rPr>
          <w:rFonts w:ascii="Arial" w:eastAsia="Arial" w:hAnsi="Arial" w:cs="Arial"/>
          <w:color w:val="000000" w:themeColor="text1"/>
        </w:rPr>
        <w:t xml:space="preserve">, C., </w:t>
      </w:r>
      <w:proofErr w:type="spellStart"/>
      <w:r w:rsidRPr="5546A6E7">
        <w:rPr>
          <w:rFonts w:ascii="Arial" w:eastAsia="Arial" w:hAnsi="Arial" w:cs="Arial"/>
          <w:color w:val="000000" w:themeColor="text1"/>
        </w:rPr>
        <w:t>Antons</w:t>
      </w:r>
      <w:proofErr w:type="spellEnd"/>
      <w:r w:rsidRPr="5546A6E7">
        <w:rPr>
          <w:rFonts w:ascii="Arial" w:eastAsia="Arial" w:hAnsi="Arial" w:cs="Arial"/>
          <w:color w:val="000000" w:themeColor="text1"/>
        </w:rPr>
        <w:t xml:space="preserve">, D., Kaminski, J. and </w:t>
      </w:r>
      <w:proofErr w:type="spellStart"/>
      <w:r w:rsidRPr="5546A6E7">
        <w:rPr>
          <w:rFonts w:ascii="Arial" w:eastAsia="Arial" w:hAnsi="Arial" w:cs="Arial"/>
          <w:color w:val="000000" w:themeColor="text1"/>
        </w:rPr>
        <w:t>Salge</w:t>
      </w:r>
      <w:proofErr w:type="spellEnd"/>
      <w:r w:rsidRPr="5546A6E7">
        <w:rPr>
          <w:rFonts w:ascii="Arial" w:eastAsia="Arial" w:hAnsi="Arial" w:cs="Arial"/>
          <w:color w:val="000000" w:themeColor="text1"/>
        </w:rPr>
        <w:t xml:space="preserve">, T.O. (2018) ‘Disruptive innovation: Conceptual foundations, empirical evidence, and research opportunities in the digital age’, </w:t>
      </w:r>
      <w:r w:rsidRPr="5546A6E7">
        <w:rPr>
          <w:rFonts w:ascii="Arial" w:eastAsia="Arial" w:hAnsi="Arial" w:cs="Arial"/>
          <w:i/>
          <w:iCs/>
          <w:color w:val="000000" w:themeColor="text1"/>
        </w:rPr>
        <w:t>Journal of Product Innovation Management</w:t>
      </w:r>
      <w:r w:rsidRPr="5546A6E7">
        <w:rPr>
          <w:rFonts w:ascii="Arial" w:eastAsia="Arial" w:hAnsi="Arial" w:cs="Arial"/>
          <w:color w:val="000000" w:themeColor="text1"/>
        </w:rPr>
        <w:t>, 35(3), pp. 447–457.</w:t>
      </w:r>
    </w:p>
    <w:p w14:paraId="2F6D11E6" w14:textId="2E5B15BD"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International Energy Agency (2023) </w:t>
      </w:r>
      <w:r w:rsidRPr="5546A6E7">
        <w:rPr>
          <w:rFonts w:ascii="Arial" w:eastAsia="Arial" w:hAnsi="Arial" w:cs="Arial"/>
          <w:i/>
          <w:iCs/>
          <w:color w:val="000000" w:themeColor="text1"/>
        </w:rPr>
        <w:t>Global EV Outlook 2023</w:t>
      </w:r>
      <w:r w:rsidRPr="5546A6E7">
        <w:rPr>
          <w:rFonts w:ascii="Arial" w:eastAsia="Arial" w:hAnsi="Arial" w:cs="Arial"/>
          <w:color w:val="000000" w:themeColor="text1"/>
        </w:rPr>
        <w:t xml:space="preserve">. IEA. Available at: </w:t>
      </w:r>
      <w:hyperlink r:id="rId8">
        <w:r w:rsidRPr="5546A6E7">
          <w:rPr>
            <w:rStyle w:val="Hyperlink"/>
            <w:rFonts w:ascii="Arial" w:eastAsia="Arial" w:hAnsi="Arial" w:cs="Arial"/>
            <w:color w:val="000000" w:themeColor="text1"/>
          </w:rPr>
          <w:t>https://www.iea.org/reports/global-ev-outlook-2023</w:t>
        </w:r>
      </w:hyperlink>
      <w:r w:rsidRPr="5546A6E7">
        <w:rPr>
          <w:rFonts w:ascii="Arial" w:eastAsia="Arial" w:hAnsi="Arial" w:cs="Arial"/>
          <w:color w:val="000000" w:themeColor="text1"/>
        </w:rPr>
        <w:t xml:space="preserve"> (Accessed: 20 September 2025).</w:t>
      </w:r>
    </w:p>
    <w:p w14:paraId="3643E1B9" w14:textId="178E4BE8"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Jobber, D. and Ellis-Chadwick, F. (2019) </w:t>
      </w:r>
      <w:r w:rsidRPr="5546A6E7">
        <w:rPr>
          <w:rFonts w:ascii="Arial" w:eastAsia="Arial" w:hAnsi="Arial" w:cs="Arial"/>
          <w:i/>
          <w:iCs/>
          <w:color w:val="000000" w:themeColor="text1"/>
        </w:rPr>
        <w:t>Principles and Practice of Marketing</w:t>
      </w:r>
      <w:r w:rsidRPr="5546A6E7">
        <w:rPr>
          <w:rFonts w:ascii="Arial" w:eastAsia="Arial" w:hAnsi="Arial" w:cs="Arial"/>
          <w:color w:val="000000" w:themeColor="text1"/>
        </w:rPr>
        <w:t xml:space="preserve">. 9th </w:t>
      </w:r>
      <w:proofErr w:type="spellStart"/>
      <w:r w:rsidRPr="5546A6E7">
        <w:rPr>
          <w:rFonts w:ascii="Arial" w:eastAsia="Arial" w:hAnsi="Arial" w:cs="Arial"/>
          <w:color w:val="000000" w:themeColor="text1"/>
        </w:rPr>
        <w:t>edn</w:t>
      </w:r>
      <w:proofErr w:type="spellEnd"/>
      <w:r w:rsidRPr="5546A6E7">
        <w:rPr>
          <w:rFonts w:ascii="Arial" w:eastAsia="Arial" w:hAnsi="Arial" w:cs="Arial"/>
          <w:color w:val="000000" w:themeColor="text1"/>
        </w:rPr>
        <w:t>. London: McGraw-Hill Education.</w:t>
      </w:r>
    </w:p>
    <w:p w14:paraId="0013949C" w14:textId="4B468CA8"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Johnson, G., Whittington, R., Scholes, K., </w:t>
      </w:r>
      <w:proofErr w:type="spellStart"/>
      <w:r w:rsidRPr="5546A6E7">
        <w:rPr>
          <w:rFonts w:ascii="Arial" w:eastAsia="Arial" w:hAnsi="Arial" w:cs="Arial"/>
          <w:color w:val="000000" w:themeColor="text1"/>
        </w:rPr>
        <w:t>Angwin</w:t>
      </w:r>
      <w:proofErr w:type="spellEnd"/>
      <w:r w:rsidRPr="5546A6E7">
        <w:rPr>
          <w:rFonts w:ascii="Arial" w:eastAsia="Arial" w:hAnsi="Arial" w:cs="Arial"/>
          <w:color w:val="000000" w:themeColor="text1"/>
        </w:rPr>
        <w:t xml:space="preserve">, D. and </w:t>
      </w:r>
      <w:proofErr w:type="spellStart"/>
      <w:r w:rsidRPr="5546A6E7">
        <w:rPr>
          <w:rFonts w:ascii="Arial" w:eastAsia="Arial" w:hAnsi="Arial" w:cs="Arial"/>
          <w:color w:val="000000" w:themeColor="text1"/>
        </w:rPr>
        <w:t>Regnér</w:t>
      </w:r>
      <w:proofErr w:type="spellEnd"/>
      <w:r w:rsidRPr="5546A6E7">
        <w:rPr>
          <w:rFonts w:ascii="Arial" w:eastAsia="Arial" w:hAnsi="Arial" w:cs="Arial"/>
          <w:color w:val="000000" w:themeColor="text1"/>
        </w:rPr>
        <w:t xml:space="preserve">, P. (2017) </w:t>
      </w:r>
      <w:r w:rsidRPr="5546A6E7">
        <w:rPr>
          <w:rFonts w:ascii="Arial" w:eastAsia="Arial" w:hAnsi="Arial" w:cs="Arial"/>
          <w:i/>
          <w:iCs/>
          <w:color w:val="000000" w:themeColor="text1"/>
        </w:rPr>
        <w:t>Exploring Strategy: Text and Cases</w:t>
      </w:r>
      <w:r w:rsidRPr="5546A6E7">
        <w:rPr>
          <w:rFonts w:ascii="Arial" w:eastAsia="Arial" w:hAnsi="Arial" w:cs="Arial"/>
          <w:color w:val="000000" w:themeColor="text1"/>
        </w:rPr>
        <w:t xml:space="preserve">. 11th </w:t>
      </w:r>
      <w:proofErr w:type="spellStart"/>
      <w:r w:rsidRPr="5546A6E7">
        <w:rPr>
          <w:rFonts w:ascii="Arial" w:eastAsia="Arial" w:hAnsi="Arial" w:cs="Arial"/>
          <w:color w:val="000000" w:themeColor="text1"/>
        </w:rPr>
        <w:t>edn</w:t>
      </w:r>
      <w:proofErr w:type="spellEnd"/>
      <w:r w:rsidRPr="5546A6E7">
        <w:rPr>
          <w:rFonts w:ascii="Arial" w:eastAsia="Arial" w:hAnsi="Arial" w:cs="Arial"/>
          <w:color w:val="000000" w:themeColor="text1"/>
        </w:rPr>
        <w:t>. Harlow: Pearson Education.</w:t>
      </w:r>
    </w:p>
    <w:p w14:paraId="059F117E" w14:textId="1FE1CC24"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Keller, K.L. (2013) </w:t>
      </w:r>
      <w:r w:rsidRPr="5546A6E7">
        <w:rPr>
          <w:rFonts w:ascii="Arial" w:eastAsia="Arial" w:hAnsi="Arial" w:cs="Arial"/>
          <w:i/>
          <w:iCs/>
          <w:color w:val="000000" w:themeColor="text1"/>
        </w:rPr>
        <w:t>Strategic Brand Management</w:t>
      </w:r>
      <w:r w:rsidRPr="5546A6E7">
        <w:rPr>
          <w:rFonts w:ascii="Arial" w:eastAsia="Arial" w:hAnsi="Arial" w:cs="Arial"/>
          <w:color w:val="000000" w:themeColor="text1"/>
        </w:rPr>
        <w:t xml:space="preserve">. 4th </w:t>
      </w:r>
      <w:proofErr w:type="spellStart"/>
      <w:r w:rsidRPr="5546A6E7">
        <w:rPr>
          <w:rFonts w:ascii="Arial" w:eastAsia="Arial" w:hAnsi="Arial" w:cs="Arial"/>
          <w:color w:val="000000" w:themeColor="text1"/>
        </w:rPr>
        <w:t>edn</w:t>
      </w:r>
      <w:proofErr w:type="spellEnd"/>
      <w:r w:rsidRPr="5546A6E7">
        <w:rPr>
          <w:rFonts w:ascii="Arial" w:eastAsia="Arial" w:hAnsi="Arial" w:cs="Arial"/>
          <w:color w:val="000000" w:themeColor="text1"/>
        </w:rPr>
        <w:t>. Harlow: Pearson Education.</w:t>
      </w:r>
    </w:p>
    <w:p w14:paraId="2DB7AB10" w14:textId="735B2C67"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Kim, W.C. and Mauborgne, R. (2005) </w:t>
      </w:r>
      <w:r w:rsidRPr="5546A6E7">
        <w:rPr>
          <w:rFonts w:ascii="Arial" w:eastAsia="Arial" w:hAnsi="Arial" w:cs="Arial"/>
          <w:i/>
          <w:iCs/>
          <w:color w:val="000000" w:themeColor="text1"/>
        </w:rPr>
        <w:t>Blue Ocean Strategy: How to Create Uncontested Market Space and Make the Competition Irrelevant</w:t>
      </w:r>
      <w:r w:rsidRPr="5546A6E7">
        <w:rPr>
          <w:rFonts w:ascii="Arial" w:eastAsia="Arial" w:hAnsi="Arial" w:cs="Arial"/>
          <w:color w:val="000000" w:themeColor="text1"/>
        </w:rPr>
        <w:t>. Boston: Harvard Business School Press.</w:t>
      </w:r>
    </w:p>
    <w:p w14:paraId="4A9AA53D" w14:textId="78D317D7"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Kotler, P. and Keller, K.L. (2016) </w:t>
      </w:r>
      <w:r w:rsidRPr="5546A6E7">
        <w:rPr>
          <w:rFonts w:ascii="Arial" w:eastAsia="Arial" w:hAnsi="Arial" w:cs="Arial"/>
          <w:i/>
          <w:iCs/>
          <w:color w:val="000000" w:themeColor="text1"/>
        </w:rPr>
        <w:t>Marketing Management</w:t>
      </w:r>
      <w:r w:rsidRPr="5546A6E7">
        <w:rPr>
          <w:rFonts w:ascii="Arial" w:eastAsia="Arial" w:hAnsi="Arial" w:cs="Arial"/>
          <w:color w:val="000000" w:themeColor="text1"/>
        </w:rPr>
        <w:t xml:space="preserve">. 15th </w:t>
      </w:r>
      <w:proofErr w:type="spellStart"/>
      <w:r w:rsidRPr="5546A6E7">
        <w:rPr>
          <w:rFonts w:ascii="Arial" w:eastAsia="Arial" w:hAnsi="Arial" w:cs="Arial"/>
          <w:color w:val="000000" w:themeColor="text1"/>
        </w:rPr>
        <w:t>edn</w:t>
      </w:r>
      <w:proofErr w:type="spellEnd"/>
      <w:r w:rsidRPr="5546A6E7">
        <w:rPr>
          <w:rFonts w:ascii="Arial" w:eastAsia="Arial" w:hAnsi="Arial" w:cs="Arial"/>
          <w:color w:val="000000" w:themeColor="text1"/>
        </w:rPr>
        <w:t>. Boston: Pearson.</w:t>
      </w:r>
    </w:p>
    <w:p w14:paraId="792A3C7F" w14:textId="555E30C1"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Lieberman, M.B. and Montgomery, D.B. (1988) ‘First-Mover Advantages’, </w:t>
      </w:r>
      <w:r w:rsidRPr="5546A6E7">
        <w:rPr>
          <w:rFonts w:ascii="Arial" w:eastAsia="Arial" w:hAnsi="Arial" w:cs="Arial"/>
          <w:i/>
          <w:iCs/>
          <w:color w:val="000000" w:themeColor="text1"/>
        </w:rPr>
        <w:t>Strategic Management Journal</w:t>
      </w:r>
      <w:r w:rsidRPr="5546A6E7">
        <w:rPr>
          <w:rFonts w:ascii="Arial" w:eastAsia="Arial" w:hAnsi="Arial" w:cs="Arial"/>
          <w:color w:val="000000" w:themeColor="text1"/>
        </w:rPr>
        <w:t>, 9(S1), pp. 41–58.</w:t>
      </w:r>
    </w:p>
    <w:p w14:paraId="0B0CA403" w14:textId="5492A492"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Ma, X. et al. (2021) ‘A review on the life-cycle environmental and economic assessment of electric vehicles’, </w:t>
      </w:r>
      <w:r w:rsidRPr="5546A6E7">
        <w:rPr>
          <w:rFonts w:ascii="Arial" w:eastAsia="Arial" w:hAnsi="Arial" w:cs="Arial"/>
          <w:i/>
          <w:iCs/>
          <w:color w:val="000000" w:themeColor="text1"/>
        </w:rPr>
        <w:t>International Journal of Environmental Research and Public Health</w:t>
      </w:r>
      <w:r w:rsidRPr="5546A6E7">
        <w:rPr>
          <w:rFonts w:ascii="Arial" w:eastAsia="Arial" w:hAnsi="Arial" w:cs="Arial"/>
          <w:color w:val="000000" w:themeColor="text1"/>
        </w:rPr>
        <w:t>, 18(12), p. 6589.</w:t>
      </w:r>
    </w:p>
    <w:p w14:paraId="6928EEEF" w14:textId="0698836D" w:rsidR="197504DD" w:rsidRDefault="197504DD" w:rsidP="5546A6E7">
      <w:pPr>
        <w:spacing w:before="240" w:after="240" w:line="360" w:lineRule="auto"/>
        <w:jc w:val="both"/>
        <w:rPr>
          <w:rFonts w:ascii="Arial" w:eastAsia="Arial" w:hAnsi="Arial" w:cs="Arial"/>
          <w:color w:val="000000" w:themeColor="text1"/>
        </w:rPr>
      </w:pPr>
      <w:proofErr w:type="spellStart"/>
      <w:r w:rsidRPr="5546A6E7">
        <w:rPr>
          <w:rFonts w:ascii="Arial" w:eastAsia="Arial" w:hAnsi="Arial" w:cs="Arial"/>
          <w:color w:val="000000" w:themeColor="text1"/>
        </w:rPr>
        <w:t>Nykvist</w:t>
      </w:r>
      <w:proofErr w:type="spellEnd"/>
      <w:r w:rsidRPr="5546A6E7">
        <w:rPr>
          <w:rFonts w:ascii="Arial" w:eastAsia="Arial" w:hAnsi="Arial" w:cs="Arial"/>
          <w:color w:val="000000" w:themeColor="text1"/>
        </w:rPr>
        <w:t xml:space="preserve">, B. and Nilsson, M. (2015) ‘Rapidly falling costs of battery packs for electric vehicles’, </w:t>
      </w:r>
      <w:r w:rsidRPr="5546A6E7">
        <w:rPr>
          <w:rFonts w:ascii="Arial" w:eastAsia="Arial" w:hAnsi="Arial" w:cs="Arial"/>
          <w:i/>
          <w:iCs/>
          <w:color w:val="000000" w:themeColor="text1"/>
        </w:rPr>
        <w:t>Nature Climate Change</w:t>
      </w:r>
      <w:r w:rsidRPr="5546A6E7">
        <w:rPr>
          <w:rFonts w:ascii="Arial" w:eastAsia="Arial" w:hAnsi="Arial" w:cs="Arial"/>
          <w:color w:val="000000" w:themeColor="text1"/>
        </w:rPr>
        <w:t>, 5(4), pp. 329–332.</w:t>
      </w:r>
    </w:p>
    <w:p w14:paraId="4BBC1F5B" w14:textId="1F19D7FA"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Oh, S. (2021) ‘Tesla's Vertical Integration Strategy: A Key to Success in the Electric Vehicle Market’, </w:t>
      </w:r>
      <w:r w:rsidRPr="5546A6E7">
        <w:rPr>
          <w:rFonts w:ascii="Arial" w:eastAsia="Arial" w:hAnsi="Arial" w:cs="Arial"/>
          <w:i/>
          <w:iCs/>
          <w:color w:val="000000" w:themeColor="text1"/>
        </w:rPr>
        <w:t>International Journal of Automotive Technology and Management</w:t>
      </w:r>
      <w:r w:rsidRPr="5546A6E7">
        <w:rPr>
          <w:rFonts w:ascii="Arial" w:eastAsia="Arial" w:hAnsi="Arial" w:cs="Arial"/>
          <w:color w:val="000000" w:themeColor="text1"/>
        </w:rPr>
        <w:t>, 21(3), pp. 245–263.</w:t>
      </w:r>
    </w:p>
    <w:p w14:paraId="0EE2A3AE" w14:textId="3F5742E2"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Patel, N. (2022) ‘Volkswagen faces massive fine for missing EU CO₂ emissions targets’, </w:t>
      </w:r>
      <w:r w:rsidRPr="5546A6E7">
        <w:rPr>
          <w:rFonts w:ascii="Arial" w:eastAsia="Arial" w:hAnsi="Arial" w:cs="Arial"/>
          <w:i/>
          <w:iCs/>
          <w:color w:val="000000" w:themeColor="text1"/>
        </w:rPr>
        <w:t>Reuters</w:t>
      </w:r>
      <w:r w:rsidRPr="5546A6E7">
        <w:rPr>
          <w:rFonts w:ascii="Arial" w:eastAsia="Arial" w:hAnsi="Arial" w:cs="Arial"/>
          <w:color w:val="000000" w:themeColor="text1"/>
        </w:rPr>
        <w:t xml:space="preserve">. Available at: </w:t>
      </w:r>
      <w:hyperlink r:id="rId9">
        <w:r w:rsidRPr="5546A6E7">
          <w:rPr>
            <w:rStyle w:val="Hyperlink"/>
            <w:rFonts w:ascii="Arial" w:eastAsia="Arial" w:hAnsi="Arial" w:cs="Arial"/>
            <w:color w:val="000000" w:themeColor="text1"/>
          </w:rPr>
          <w:t>https://www.reuters.com/business/energy/volkswagen-faces-eu-fine-missing-2020-emissions-targets-2021-01-21/</w:t>
        </w:r>
      </w:hyperlink>
      <w:r w:rsidRPr="5546A6E7">
        <w:rPr>
          <w:rFonts w:ascii="Arial" w:eastAsia="Arial" w:hAnsi="Arial" w:cs="Arial"/>
          <w:color w:val="000000" w:themeColor="text1"/>
        </w:rPr>
        <w:t xml:space="preserve"> (Accessed: 21 September 2025). </w:t>
      </w:r>
      <w:hyperlink r:id="rId10">
        <w:r w:rsidRPr="5546A6E7">
          <w:rPr>
            <w:rStyle w:val="Hyperlink"/>
            <w:rFonts w:ascii="Arial" w:eastAsia="Arial" w:hAnsi="Arial" w:cs="Arial"/>
            <w:color w:val="000000" w:themeColor="text1"/>
          </w:rPr>
          <w:t>Reuters+1</w:t>
        </w:r>
      </w:hyperlink>
    </w:p>
    <w:p w14:paraId="4CEB9FFA" w14:textId="6CEA1BEF"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Schmitt, B. and </w:t>
      </w:r>
      <w:proofErr w:type="spellStart"/>
      <w:r w:rsidRPr="5546A6E7">
        <w:rPr>
          <w:rFonts w:ascii="Arial" w:eastAsia="Arial" w:hAnsi="Arial" w:cs="Arial"/>
          <w:color w:val="000000" w:themeColor="text1"/>
        </w:rPr>
        <w:t>Lall</w:t>
      </w:r>
      <w:proofErr w:type="spellEnd"/>
      <w:r w:rsidRPr="5546A6E7">
        <w:rPr>
          <w:rFonts w:ascii="Arial" w:eastAsia="Arial" w:hAnsi="Arial" w:cs="Arial"/>
          <w:color w:val="000000" w:themeColor="text1"/>
        </w:rPr>
        <w:t xml:space="preserve">, S. (2021) ‘How Volkswagen is navigating the EV transition’, </w:t>
      </w:r>
      <w:r w:rsidRPr="5546A6E7">
        <w:rPr>
          <w:rFonts w:ascii="Arial" w:eastAsia="Arial" w:hAnsi="Arial" w:cs="Arial"/>
          <w:i/>
          <w:iCs/>
          <w:color w:val="000000" w:themeColor="text1"/>
        </w:rPr>
        <w:t>Harvard Business Review</w:t>
      </w:r>
      <w:r w:rsidRPr="5546A6E7">
        <w:rPr>
          <w:rFonts w:ascii="Arial" w:eastAsia="Arial" w:hAnsi="Arial" w:cs="Arial"/>
          <w:color w:val="000000" w:themeColor="text1"/>
        </w:rPr>
        <w:t xml:space="preserve">. Available at: </w:t>
      </w:r>
      <w:hyperlink r:id="rId11">
        <w:r w:rsidRPr="5546A6E7">
          <w:rPr>
            <w:rStyle w:val="Hyperlink"/>
            <w:rFonts w:ascii="Arial" w:eastAsia="Arial" w:hAnsi="Arial" w:cs="Arial"/>
            <w:color w:val="000000" w:themeColor="text1"/>
          </w:rPr>
          <w:t>https://hbr.org/2024/03/why-has-the-ev-market-stalled</w:t>
        </w:r>
      </w:hyperlink>
      <w:r w:rsidRPr="5546A6E7">
        <w:rPr>
          <w:rFonts w:ascii="Arial" w:eastAsia="Arial" w:hAnsi="Arial" w:cs="Arial"/>
          <w:color w:val="000000" w:themeColor="text1"/>
        </w:rPr>
        <w:t xml:space="preserve"> (Accessed: 23 September 2025).</w:t>
      </w:r>
    </w:p>
    <w:p w14:paraId="066E3DE2" w14:textId="39421AF0" w:rsidR="197504DD" w:rsidRDefault="197504DD" w:rsidP="5546A6E7">
      <w:pPr>
        <w:spacing w:before="240" w:after="240" w:line="360" w:lineRule="auto"/>
        <w:jc w:val="both"/>
        <w:rPr>
          <w:rFonts w:ascii="Arial" w:eastAsia="Arial" w:hAnsi="Arial" w:cs="Arial"/>
          <w:color w:val="000000" w:themeColor="text1"/>
        </w:rPr>
      </w:pPr>
      <w:proofErr w:type="spellStart"/>
      <w:r w:rsidRPr="5546A6E7">
        <w:rPr>
          <w:rFonts w:ascii="Arial" w:eastAsia="Arial" w:hAnsi="Arial" w:cs="Arial"/>
          <w:color w:val="000000" w:themeColor="text1"/>
        </w:rPr>
        <w:t>Shahan</w:t>
      </w:r>
      <w:proofErr w:type="spellEnd"/>
      <w:r w:rsidRPr="5546A6E7">
        <w:rPr>
          <w:rFonts w:ascii="Arial" w:eastAsia="Arial" w:hAnsi="Arial" w:cs="Arial"/>
          <w:color w:val="000000" w:themeColor="text1"/>
        </w:rPr>
        <w:t xml:space="preserve">, Z. (2022) ‘Tesla’s “No Advertising” Marketing Strategy’, </w:t>
      </w:r>
      <w:proofErr w:type="spellStart"/>
      <w:r w:rsidRPr="5546A6E7">
        <w:rPr>
          <w:rFonts w:ascii="Arial" w:eastAsia="Arial" w:hAnsi="Arial" w:cs="Arial"/>
          <w:i/>
          <w:iCs/>
          <w:color w:val="000000" w:themeColor="text1"/>
        </w:rPr>
        <w:t>CleanTechnica</w:t>
      </w:r>
      <w:proofErr w:type="spellEnd"/>
      <w:r w:rsidRPr="5546A6E7">
        <w:rPr>
          <w:rFonts w:ascii="Arial" w:eastAsia="Arial" w:hAnsi="Arial" w:cs="Arial"/>
          <w:color w:val="000000" w:themeColor="text1"/>
        </w:rPr>
        <w:t xml:space="preserve">. Available at: </w:t>
      </w:r>
      <w:hyperlink r:id="rId12">
        <w:r w:rsidRPr="5546A6E7">
          <w:rPr>
            <w:rStyle w:val="Hyperlink"/>
            <w:rFonts w:ascii="Arial" w:eastAsia="Arial" w:hAnsi="Arial" w:cs="Arial"/>
            <w:color w:val="000000" w:themeColor="text1"/>
          </w:rPr>
          <w:t>https://cleantechnica.com/2024/04/02/tesla-marketing-campaign-takes-a-slightly-traditional-turn/</w:t>
        </w:r>
      </w:hyperlink>
      <w:r w:rsidRPr="5546A6E7">
        <w:rPr>
          <w:rFonts w:ascii="Arial" w:eastAsia="Arial" w:hAnsi="Arial" w:cs="Arial"/>
          <w:color w:val="000000" w:themeColor="text1"/>
        </w:rPr>
        <w:t xml:space="preserve"> (Accessed: 23 September 2025).</w:t>
      </w:r>
    </w:p>
    <w:p w14:paraId="392FB9BC" w14:textId="3028AA39"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Suarez, F.F. and </w:t>
      </w:r>
      <w:proofErr w:type="spellStart"/>
      <w:r w:rsidRPr="5546A6E7">
        <w:rPr>
          <w:rFonts w:ascii="Arial" w:eastAsia="Arial" w:hAnsi="Arial" w:cs="Arial"/>
          <w:color w:val="000000" w:themeColor="text1"/>
        </w:rPr>
        <w:t>Lanzolla</w:t>
      </w:r>
      <w:proofErr w:type="spellEnd"/>
      <w:r w:rsidRPr="5546A6E7">
        <w:rPr>
          <w:rFonts w:ascii="Arial" w:eastAsia="Arial" w:hAnsi="Arial" w:cs="Arial"/>
          <w:color w:val="000000" w:themeColor="text1"/>
        </w:rPr>
        <w:t xml:space="preserve">, G. (2005) ‘The Half-Truth of First-Mover Advantage’, </w:t>
      </w:r>
      <w:r w:rsidRPr="5546A6E7">
        <w:rPr>
          <w:rFonts w:ascii="Arial" w:eastAsia="Arial" w:hAnsi="Arial" w:cs="Arial"/>
          <w:i/>
          <w:iCs/>
          <w:color w:val="000000" w:themeColor="text1"/>
        </w:rPr>
        <w:t>Harvard Business Review</w:t>
      </w:r>
      <w:r w:rsidRPr="5546A6E7">
        <w:rPr>
          <w:rFonts w:ascii="Arial" w:eastAsia="Arial" w:hAnsi="Arial" w:cs="Arial"/>
          <w:color w:val="000000" w:themeColor="text1"/>
        </w:rPr>
        <w:t>, 83(4), pp. 121–127.</w:t>
      </w:r>
    </w:p>
    <w:p w14:paraId="2B01DAD4" w14:textId="32A12ECC"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Transport &amp; Environment (2022) </w:t>
      </w:r>
      <w:r w:rsidRPr="5546A6E7">
        <w:rPr>
          <w:rFonts w:ascii="Arial" w:eastAsia="Arial" w:hAnsi="Arial" w:cs="Arial"/>
          <w:i/>
          <w:iCs/>
          <w:color w:val="000000" w:themeColor="text1"/>
        </w:rPr>
        <w:t>Landmark deal for climate as EU agrees 2035 cut-off for polluting cars</w:t>
      </w:r>
      <w:r w:rsidRPr="5546A6E7">
        <w:rPr>
          <w:rFonts w:ascii="Arial" w:eastAsia="Arial" w:hAnsi="Arial" w:cs="Arial"/>
          <w:color w:val="000000" w:themeColor="text1"/>
        </w:rPr>
        <w:t xml:space="preserve">. Transport &amp; Environment. Available at: </w:t>
      </w:r>
      <w:hyperlink r:id="rId13">
        <w:r w:rsidRPr="5546A6E7">
          <w:rPr>
            <w:rStyle w:val="Hyperlink"/>
            <w:rFonts w:ascii="Arial" w:eastAsia="Arial" w:hAnsi="Arial" w:cs="Arial"/>
            <w:color w:val="000000" w:themeColor="text1"/>
          </w:rPr>
          <w:t>https://www.transportenvironment.org/articles/landmark-deal-for-climate-as-eu-agrees-2035-cut-off-for-polluting-cars</w:t>
        </w:r>
      </w:hyperlink>
      <w:r w:rsidRPr="5546A6E7">
        <w:rPr>
          <w:rFonts w:ascii="Arial" w:eastAsia="Arial" w:hAnsi="Arial" w:cs="Arial"/>
          <w:color w:val="000000" w:themeColor="text1"/>
        </w:rPr>
        <w:t xml:space="preserve"> (Accessed: 21 September 2025).</w:t>
      </w:r>
    </w:p>
    <w:p w14:paraId="28EB9A7B" w14:textId="2871000E"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Volkswagen AG (2021) </w:t>
      </w:r>
      <w:r w:rsidRPr="5546A6E7">
        <w:rPr>
          <w:rFonts w:ascii="Arial" w:eastAsia="Arial" w:hAnsi="Arial" w:cs="Arial"/>
          <w:i/>
          <w:iCs/>
          <w:color w:val="000000" w:themeColor="text1"/>
        </w:rPr>
        <w:t>Modular electric drive matrix (MEB)</w:t>
      </w:r>
      <w:r w:rsidRPr="5546A6E7">
        <w:rPr>
          <w:rFonts w:ascii="Arial" w:eastAsia="Arial" w:hAnsi="Arial" w:cs="Arial"/>
          <w:color w:val="000000" w:themeColor="text1"/>
        </w:rPr>
        <w:t xml:space="preserve">. Volkswagen Newsroom. Available at: </w:t>
      </w:r>
      <w:hyperlink r:id="rId14">
        <w:r w:rsidRPr="5546A6E7">
          <w:rPr>
            <w:rStyle w:val="Hyperlink"/>
            <w:rFonts w:ascii="Arial" w:eastAsia="Arial" w:hAnsi="Arial" w:cs="Arial"/>
            <w:color w:val="000000" w:themeColor="text1"/>
          </w:rPr>
          <w:t>https://www.volkswagen-newsroom.com/en/modular-electric-drive-matrix-meb-3677</w:t>
        </w:r>
      </w:hyperlink>
      <w:r w:rsidRPr="5546A6E7">
        <w:rPr>
          <w:rFonts w:ascii="Arial" w:eastAsia="Arial" w:hAnsi="Arial" w:cs="Arial"/>
          <w:color w:val="000000" w:themeColor="text1"/>
        </w:rPr>
        <w:t xml:space="preserve"> (Accessed: 21 September 2025).</w:t>
      </w:r>
    </w:p>
    <w:p w14:paraId="31FA5229" w14:textId="203C2B4D" w:rsidR="197504DD" w:rsidRDefault="197504DD" w:rsidP="5546A6E7">
      <w:pPr>
        <w:spacing w:before="240" w:after="240" w:line="360" w:lineRule="auto"/>
        <w:jc w:val="both"/>
        <w:rPr>
          <w:rFonts w:ascii="Arial" w:eastAsia="Arial" w:hAnsi="Arial" w:cs="Arial"/>
          <w:color w:val="000000" w:themeColor="text1"/>
        </w:rPr>
      </w:pPr>
      <w:r w:rsidRPr="5546A6E7">
        <w:rPr>
          <w:rFonts w:ascii="Arial" w:eastAsia="Arial" w:hAnsi="Arial" w:cs="Arial"/>
          <w:color w:val="000000" w:themeColor="text1"/>
        </w:rPr>
        <w:t xml:space="preserve">Volkswagen Group (2022) ‘Volkswagen delivers on NEW AUTO Strategy: Planning Round 71 …’, </w:t>
      </w:r>
      <w:r w:rsidRPr="5546A6E7">
        <w:rPr>
          <w:rFonts w:ascii="Arial" w:eastAsia="Arial" w:hAnsi="Arial" w:cs="Arial"/>
          <w:i/>
          <w:iCs/>
          <w:color w:val="000000" w:themeColor="text1"/>
        </w:rPr>
        <w:t>Volkswagen Group press releases / news</w:t>
      </w:r>
      <w:r w:rsidRPr="5546A6E7">
        <w:rPr>
          <w:rFonts w:ascii="Arial" w:eastAsia="Arial" w:hAnsi="Arial" w:cs="Arial"/>
          <w:color w:val="000000" w:themeColor="text1"/>
        </w:rPr>
        <w:t xml:space="preserve">. Available at: </w:t>
      </w:r>
      <w:hyperlink r:id="rId15">
        <w:r w:rsidRPr="5546A6E7">
          <w:rPr>
            <w:rStyle w:val="Hyperlink"/>
            <w:rFonts w:ascii="Arial" w:eastAsia="Arial" w:hAnsi="Arial" w:cs="Arial"/>
            <w:color w:val="000000" w:themeColor="text1"/>
          </w:rPr>
          <w:t>https://www.volkswagen-group.com/en/press-releases/volkswagen-delivers-on-new-auto-strategy-laying-basis-for-2022-16818</w:t>
        </w:r>
      </w:hyperlink>
      <w:r w:rsidRPr="5546A6E7">
        <w:rPr>
          <w:rFonts w:ascii="Arial" w:eastAsia="Arial" w:hAnsi="Arial" w:cs="Arial"/>
          <w:color w:val="000000" w:themeColor="text1"/>
        </w:rPr>
        <w:t xml:space="preserve"> (Accessed: 22 September 2025).</w:t>
      </w:r>
    </w:p>
    <w:p w14:paraId="7A575840" w14:textId="612BB262" w:rsidR="5546A6E7" w:rsidRDefault="5546A6E7" w:rsidP="5546A6E7">
      <w:pPr>
        <w:spacing w:line="360" w:lineRule="auto"/>
        <w:jc w:val="both"/>
        <w:rPr>
          <w:rFonts w:ascii="Arial" w:eastAsia="Arial" w:hAnsi="Arial" w:cs="Arial"/>
          <w:color w:val="000000" w:themeColor="text1"/>
        </w:rPr>
      </w:pPr>
    </w:p>
    <w:sectPr w:rsidR="5546A6E7">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4A4B8C" w14:textId="77777777" w:rsidR="00F42767" w:rsidRDefault="00F42767">
      <w:pPr>
        <w:spacing w:after="0" w:line="240" w:lineRule="auto"/>
      </w:pPr>
      <w:r>
        <w:separator/>
      </w:r>
    </w:p>
  </w:endnote>
  <w:endnote w:type="continuationSeparator" w:id="0">
    <w:p w14:paraId="213B220F" w14:textId="77777777" w:rsidR="00F42767" w:rsidRDefault="00F427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2FF" w:usb1="5000217F" w:usb2="00000021" w:usb3="00000000" w:csb0="0000019F" w:csb1="00000000"/>
  </w:font>
  <w:font w:name="Playfair Display">
    <w:panose1 w:val="00000500000000000000"/>
    <w:charset w:val="00"/>
    <w:family w:val="auto"/>
    <w:pitch w:val="variable"/>
    <w:sig w:usb0="20000207" w:usb1="00000000"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546A6E7" w14:paraId="17F5566D" w14:textId="77777777" w:rsidTr="5546A6E7">
      <w:trPr>
        <w:trHeight w:val="300"/>
      </w:trPr>
      <w:tc>
        <w:tcPr>
          <w:tcW w:w="3120" w:type="dxa"/>
        </w:tcPr>
        <w:p w14:paraId="5E9E98EA" w14:textId="1E57CBAF" w:rsidR="5546A6E7" w:rsidRDefault="5546A6E7" w:rsidP="5546A6E7">
          <w:pPr>
            <w:pStyle w:val="Header"/>
            <w:ind w:left="-115"/>
          </w:pPr>
        </w:p>
      </w:tc>
      <w:tc>
        <w:tcPr>
          <w:tcW w:w="3120" w:type="dxa"/>
        </w:tcPr>
        <w:p w14:paraId="4BFC3895" w14:textId="1FC6ED6E" w:rsidR="5546A6E7" w:rsidRDefault="5546A6E7" w:rsidP="5546A6E7">
          <w:pPr>
            <w:pStyle w:val="Header"/>
            <w:jc w:val="center"/>
          </w:pPr>
          <w:r>
            <w:fldChar w:fldCharType="begin"/>
          </w:r>
          <w:r>
            <w:instrText>PAGE</w:instrText>
          </w:r>
          <w:r>
            <w:fldChar w:fldCharType="separate"/>
          </w:r>
          <w:r w:rsidR="006D213A">
            <w:rPr>
              <w:noProof/>
            </w:rPr>
            <w:t>1</w:t>
          </w:r>
          <w:r>
            <w:fldChar w:fldCharType="end"/>
          </w:r>
        </w:p>
      </w:tc>
      <w:tc>
        <w:tcPr>
          <w:tcW w:w="3120" w:type="dxa"/>
        </w:tcPr>
        <w:p w14:paraId="689AAAD2" w14:textId="5CC6E53A" w:rsidR="5546A6E7" w:rsidRDefault="5546A6E7" w:rsidP="5546A6E7">
          <w:pPr>
            <w:pStyle w:val="Header"/>
            <w:ind w:right="-115"/>
            <w:jc w:val="right"/>
          </w:pPr>
        </w:p>
      </w:tc>
    </w:tr>
  </w:tbl>
  <w:p w14:paraId="1C50C925" w14:textId="4136811F" w:rsidR="5546A6E7" w:rsidRDefault="5546A6E7" w:rsidP="5546A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1D76E" w14:textId="77777777" w:rsidR="00F42767" w:rsidRDefault="00F42767">
      <w:pPr>
        <w:spacing w:after="0" w:line="240" w:lineRule="auto"/>
      </w:pPr>
      <w:r>
        <w:separator/>
      </w:r>
    </w:p>
  </w:footnote>
  <w:footnote w:type="continuationSeparator" w:id="0">
    <w:p w14:paraId="6964449A" w14:textId="77777777" w:rsidR="00F42767" w:rsidRDefault="00F427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546A6E7" w14:paraId="59C4BA3F" w14:textId="77777777" w:rsidTr="5546A6E7">
      <w:trPr>
        <w:trHeight w:val="300"/>
      </w:trPr>
      <w:tc>
        <w:tcPr>
          <w:tcW w:w="3120" w:type="dxa"/>
        </w:tcPr>
        <w:p w14:paraId="57C92C24" w14:textId="066EE8EB" w:rsidR="5546A6E7" w:rsidRDefault="5546A6E7" w:rsidP="5546A6E7">
          <w:pPr>
            <w:pStyle w:val="Header"/>
            <w:ind w:left="-115"/>
          </w:pPr>
          <w:r>
            <w:rPr>
              <w:noProof/>
            </w:rPr>
            <w:drawing>
              <wp:inline distT="0" distB="0" distL="0" distR="0" wp14:anchorId="5C038909" wp14:editId="09A41FE0">
                <wp:extent cx="1809750" cy="723900"/>
                <wp:effectExtent l="0" t="0" r="0" b="0"/>
                <wp:docPr id="280161314" name="drawi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161314" name=""/>
                        <pic:cNvPicPr/>
                      </pic:nvPicPr>
                      <pic:blipFill>
                        <a:blip r:embed="rId1">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tc>
      <w:tc>
        <w:tcPr>
          <w:tcW w:w="3120" w:type="dxa"/>
        </w:tcPr>
        <w:p w14:paraId="18B5E222" w14:textId="19FAD375" w:rsidR="5546A6E7" w:rsidRDefault="5546A6E7" w:rsidP="5546A6E7">
          <w:pPr>
            <w:pStyle w:val="Header"/>
            <w:jc w:val="center"/>
          </w:pPr>
        </w:p>
      </w:tc>
      <w:tc>
        <w:tcPr>
          <w:tcW w:w="3120" w:type="dxa"/>
        </w:tcPr>
        <w:p w14:paraId="46D911FE" w14:textId="4478D945" w:rsidR="5546A6E7" w:rsidRDefault="5546A6E7" w:rsidP="5546A6E7">
          <w:pPr>
            <w:pStyle w:val="Header"/>
            <w:ind w:right="-115"/>
            <w:jc w:val="right"/>
          </w:pPr>
        </w:p>
      </w:tc>
    </w:tr>
  </w:tbl>
  <w:p w14:paraId="5E0375E5" w14:textId="1DD14657" w:rsidR="5546A6E7" w:rsidRDefault="5546A6E7" w:rsidP="5546A6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155"/>
    <w:rsid w:val="00015C0A"/>
    <w:rsid w:val="00160E05"/>
    <w:rsid w:val="00334155"/>
    <w:rsid w:val="006868C6"/>
    <w:rsid w:val="006D213A"/>
    <w:rsid w:val="00821EC7"/>
    <w:rsid w:val="00F42767"/>
    <w:rsid w:val="0DEC57DC"/>
    <w:rsid w:val="197504DD"/>
    <w:rsid w:val="1B0552AE"/>
    <w:rsid w:val="23784458"/>
    <w:rsid w:val="295657D7"/>
    <w:rsid w:val="341767D5"/>
    <w:rsid w:val="34BC80A1"/>
    <w:rsid w:val="4A9BA25B"/>
    <w:rsid w:val="514C3330"/>
    <w:rsid w:val="5235582F"/>
    <w:rsid w:val="54020BCE"/>
    <w:rsid w:val="5546A6E7"/>
    <w:rsid w:val="5B27CAA2"/>
    <w:rsid w:val="6576C613"/>
    <w:rsid w:val="67ECCC81"/>
    <w:rsid w:val="6CDE8BB1"/>
    <w:rsid w:val="7674AF3D"/>
    <w:rsid w:val="7B646F4F"/>
    <w:rsid w:val="7D13580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34155"/>
  <w15:chartTrackingRefBased/>
  <w15:docId w15:val="{2C162BEC-DD38-4179-9CA7-000AF1B6C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546A6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546A6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546A6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5546A6E7"/>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546A6E7"/>
    <w:rPr>
      <w:color w:val="467886"/>
      <w:u w:val="single"/>
    </w:rPr>
  </w:style>
  <w:style w:type="paragraph" w:styleId="Header">
    <w:name w:val="header"/>
    <w:basedOn w:val="Normal"/>
    <w:uiPriority w:val="99"/>
    <w:unhideWhenUsed/>
    <w:rsid w:val="5546A6E7"/>
    <w:pPr>
      <w:tabs>
        <w:tab w:val="center" w:pos="4680"/>
        <w:tab w:val="right" w:pos="9360"/>
      </w:tabs>
      <w:spacing w:after="0" w:line="240" w:lineRule="auto"/>
    </w:pPr>
  </w:style>
  <w:style w:type="paragraph" w:styleId="Footer">
    <w:name w:val="footer"/>
    <w:basedOn w:val="Normal"/>
    <w:uiPriority w:val="99"/>
    <w:unhideWhenUsed/>
    <w:rsid w:val="5546A6E7"/>
    <w:pPr>
      <w:tabs>
        <w:tab w:val="center" w:pos="4680"/>
        <w:tab w:val="right" w:pos="9360"/>
      </w:tabs>
      <w:spacing w:after="0" w:line="240" w:lineRule="auto"/>
    </w:pPr>
  </w:style>
  <w:style w:type="paragraph" w:styleId="TOC3">
    <w:name w:val="toc 3"/>
    <w:basedOn w:val="Normal"/>
    <w:next w:val="Normal"/>
    <w:uiPriority w:val="39"/>
    <w:unhideWhenUsed/>
    <w:rsid w:val="5546A6E7"/>
    <w:pPr>
      <w:spacing w:after="100"/>
      <w:ind w:left="440"/>
    </w:pPr>
  </w:style>
  <w:style w:type="paragraph" w:styleId="TOC4">
    <w:name w:val="toc 4"/>
    <w:basedOn w:val="Normal"/>
    <w:next w:val="Normal"/>
    <w:uiPriority w:val="39"/>
    <w:unhideWhenUsed/>
    <w:rsid w:val="5546A6E7"/>
    <w:pPr>
      <w:spacing w:after="100"/>
      <w:ind w:left="660"/>
    </w:pPr>
  </w:style>
  <w:style w:type="paragraph" w:styleId="TOC2">
    <w:name w:val="toc 2"/>
    <w:basedOn w:val="Normal"/>
    <w:next w:val="Normal"/>
    <w:uiPriority w:val="39"/>
    <w:unhideWhenUsed/>
    <w:rsid w:val="5546A6E7"/>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ea.org/reports/global-ev-outlook-2023?utm_source=chatgpt.com" TargetMode="External" /><Relationship Id="rId13" Type="http://schemas.openxmlformats.org/officeDocument/2006/relationships/hyperlink" Target="https://www.transportenvironment.org/articles/landmark-deal-for-climate-as-eu-agrees-2035-cut-off-for-polluting-cars?utm_source=chatgpt.com" TargetMode="External" /><Relationship Id="rId1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bcg.com/publications/2021/software-transformation-in-the-automotive-industry?utm_source=chatgpt.com" TargetMode="External" /><Relationship Id="rId12" Type="http://schemas.openxmlformats.org/officeDocument/2006/relationships/hyperlink" Target="https://cleantechnica.com/2024/04/02/tesla-marketing-campaign-takes-a-slightly-traditional-turn/?utm_source=chatgpt.com" TargetMode="External" /><Relationship Id="rId17" Type="http://schemas.openxmlformats.org/officeDocument/2006/relationships/footer" Target="footer1.xml" /><Relationship Id="rId2" Type="http://schemas.openxmlformats.org/officeDocument/2006/relationships/settings" Target="settings.xml" /><Relationship Id="rId16" Type="http://schemas.openxmlformats.org/officeDocument/2006/relationships/header" Target="header1.xml" /><Relationship Id="rId1" Type="http://schemas.openxmlformats.org/officeDocument/2006/relationships/styles" Target="styles.xml" /><Relationship Id="rId6" Type="http://schemas.openxmlformats.org/officeDocument/2006/relationships/hyperlink" Target="https://www.bcg.com/publications/2021/software-transformation-in-the-automotive-industry?utm_source=chatgpt.com" TargetMode="External" /><Relationship Id="rId11" Type="http://schemas.openxmlformats.org/officeDocument/2006/relationships/hyperlink" Target="https://hbr.org/2024/03/why-has-the-ev-market-stalled?utm_source=chatgpt.com" TargetMode="External" /><Relationship Id="rId5" Type="http://schemas.openxmlformats.org/officeDocument/2006/relationships/endnotes" Target="endnotes.xml" /><Relationship Id="rId15" Type="http://schemas.openxmlformats.org/officeDocument/2006/relationships/hyperlink" Target="https://www.volkswagen-group.com/en/press-releases/volkswagen-delivers-on-new-auto-strategy-laying-basis-for-2022-16818?utm_source=chatgpt.com" TargetMode="External" /><Relationship Id="rId10" Type="http://schemas.openxmlformats.org/officeDocument/2006/relationships/hyperlink" Target="https://www.reuters.com/business/energy/volkswagen-faces-eu-fine-missing-2020-emissions-targets-2021-01-21/?utm_source=chatgpt.com" TargetMode="External" /><Relationship Id="rId19"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hyperlink" Target="https://www.reuters.com/business/energy/volkswagen-faces-eu-fine-missing-2020-emissions-targets-2021-01-21/?utm_source=chatgpt.com" TargetMode="External" /><Relationship Id="rId14" Type="http://schemas.openxmlformats.org/officeDocument/2006/relationships/hyperlink" Target="https://www.volkswagen-newsroom.com/en/modular-electric-drive-matrix-meb-3677?utm_source=chatgpt.com"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3558</Words>
  <Characters>20287</Characters>
  <Application>Microsoft Office Word</Application>
  <DocSecurity>0</DocSecurity>
  <Lines>169</Lines>
  <Paragraphs>47</Paragraphs>
  <ScaleCrop>false</ScaleCrop>
  <Company/>
  <LinksUpToDate>false</LinksUpToDate>
  <CharactersWithSpaces>23798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Jahangir; ismail hossain</dc:creator>
  <cp:keywords/>
  <dc:description/>
  <cp:lastModifiedBy>Jahangir Khalaj Savojbolagh (2109914)</cp:lastModifiedBy>
  <cp:revision>3</cp:revision>
  <dcterms:created xsi:type="dcterms:W3CDTF">2025-10-23T13:00:00Z</dcterms:created>
  <dcterms:modified xsi:type="dcterms:W3CDTF">2025-10-23T13:01:00Z</dcterms:modified>
</cp:coreProperties>
</file>