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0C106" w14:textId="54F93C63" w:rsidR="00F97A2F" w:rsidRDefault="00F97A2F" w:rsidP="00F97A2F">
      <w:pPr>
        <w:jc w:val="center"/>
        <w:rPr>
          <w:rFonts w:ascii="Arial" w:hAnsi="Arial" w:cs="Arial"/>
          <w:b/>
          <w:sz w:val="22"/>
          <w:szCs w:val="22"/>
        </w:rPr>
      </w:pPr>
      <w:r>
        <w:rPr>
          <w:rFonts w:ascii="Arial" w:hAnsi="Arial" w:cs="Arial"/>
          <w:b/>
          <w:sz w:val="22"/>
          <w:szCs w:val="22"/>
        </w:rPr>
        <w:t xml:space="preserve">Name: Laurentiu Miron student number </w:t>
      </w:r>
      <w:r w:rsidRPr="00F97A2F">
        <w:rPr>
          <w:rFonts w:ascii="Arial" w:hAnsi="Arial" w:cs="Arial"/>
          <w:b/>
          <w:sz w:val="22"/>
          <w:szCs w:val="22"/>
        </w:rPr>
        <w:t>2407800</w:t>
      </w:r>
    </w:p>
    <w:p w14:paraId="0F8E672E" w14:textId="5F98F375" w:rsidR="00F97A2F" w:rsidRDefault="00F97A2F" w:rsidP="00F97A2F">
      <w:pPr>
        <w:jc w:val="center"/>
      </w:pPr>
      <w:r w:rsidRPr="00A406E5">
        <w:rPr>
          <w:rFonts w:ascii="Arial" w:hAnsi="Arial" w:cs="Arial"/>
          <w:b/>
          <w:sz w:val="22"/>
          <w:szCs w:val="22"/>
        </w:rPr>
        <w:t>Assignment Title:</w:t>
      </w:r>
      <w:r>
        <w:rPr>
          <w:rFonts w:ascii="Arial" w:hAnsi="Arial" w:cs="Arial"/>
          <w:b/>
          <w:sz w:val="22"/>
          <w:szCs w:val="22"/>
        </w:rPr>
        <w:t xml:space="preserve"> </w:t>
      </w:r>
      <w:r w:rsidRPr="00F97A2F">
        <w:rPr>
          <w:rFonts w:ascii="Arial" w:hAnsi="Arial" w:cs="Arial"/>
          <w:b/>
          <w:sz w:val="22"/>
          <w:szCs w:val="22"/>
        </w:rPr>
        <w:t>Component 2: Coursework: Essay</w:t>
      </w:r>
    </w:p>
    <w:p w14:paraId="14394043" w14:textId="53839CB2" w:rsidR="00F97A2F" w:rsidRDefault="00F97A2F" w:rsidP="00F97A2F">
      <w:pPr>
        <w:jc w:val="center"/>
        <w:rPr>
          <w:rFonts w:ascii="Arial" w:hAnsi="Arial" w:cs="Arial"/>
          <w:b/>
          <w:sz w:val="22"/>
          <w:szCs w:val="22"/>
        </w:rPr>
      </w:pPr>
      <w:r w:rsidRPr="00A406E5">
        <w:rPr>
          <w:rFonts w:ascii="Arial" w:hAnsi="Arial" w:cs="Arial"/>
          <w:b/>
          <w:sz w:val="22"/>
          <w:szCs w:val="22"/>
        </w:rPr>
        <w:t>Module code:</w:t>
      </w:r>
      <w:r w:rsidRPr="00F97A2F">
        <w:rPr>
          <w:rFonts w:ascii="Arial" w:hAnsi="Arial" w:cs="Arial"/>
          <w:b/>
          <w:sz w:val="22"/>
          <w:szCs w:val="22"/>
        </w:rPr>
        <w:t xml:space="preserve"> </w:t>
      </w:r>
      <w:r w:rsidRPr="009A6610">
        <w:rPr>
          <w:rFonts w:ascii="Arial" w:hAnsi="Arial" w:cs="Arial"/>
          <w:b/>
          <w:sz w:val="22"/>
          <w:szCs w:val="22"/>
        </w:rPr>
        <w:t>LCBB4007</w:t>
      </w:r>
    </w:p>
    <w:p w14:paraId="54E47927" w14:textId="77777777" w:rsidR="00F97A2F" w:rsidRDefault="00F97A2F" w:rsidP="00F97A2F">
      <w:pPr>
        <w:jc w:val="center"/>
      </w:pPr>
    </w:p>
    <w:p w14:paraId="29ACC53D" w14:textId="46DE8018" w:rsidR="00F97A2F" w:rsidRDefault="00F97A2F" w:rsidP="00F97A2F">
      <w:r>
        <w:t>Business Ethics and Corporate Social Responsibility in the Automotive Industry</w:t>
      </w:r>
    </w:p>
    <w:p w14:paraId="6417767F" w14:textId="0C8ADF9B" w:rsidR="00F97A2F" w:rsidRDefault="00F97A2F" w:rsidP="00F97A2F">
      <w:r>
        <w:t xml:space="preserve">Introduction </w:t>
      </w:r>
    </w:p>
    <w:p w14:paraId="7329CEF5" w14:textId="77777777" w:rsidR="00F97A2F" w:rsidRDefault="00F97A2F" w:rsidP="00F97A2F">
      <w:r>
        <w:t>Business ethics and corporate social responsibility (CSR) have become fundamental components of strategic management in modern organisations. As Porter and Kramer (2024) emphasise, organisations are increasingly expected to act transparently, sustainably, and with accountability to a wide range of stakeholders—including customers, employees, governments, and society at large. These expectations are especially significant in the automotive industry, a sector undergoing rapid transformation due to technological innovation, climate change pressures, and evolving regulatory requirements.</w:t>
      </w:r>
    </w:p>
    <w:p w14:paraId="32F34D35" w14:textId="550B3D2D" w:rsidR="00D366D3" w:rsidRDefault="00F97A2F" w:rsidP="00F97A2F">
      <w:r>
        <w:t>This essay examines the concepts of business ethics and CSR using established frameworks such as Carroll’s CSR Pyramid and the Triple Bottom Line. It applies these models to real examples from automotive companies, including BMW, Tesla, and Toyota, focusing on sustainability practices (such as electric vehicle production and carbon neutrality) and ethical behaviour (such as regulatory compliance and product safety). The discussion highlights how responsible business practices contribute to long-term trust, competitiveness, and strategic success within the global automotive industry.</w:t>
      </w:r>
    </w:p>
    <w:p w14:paraId="702DAE21" w14:textId="77777777" w:rsidR="00F97A2F" w:rsidRDefault="00F97A2F" w:rsidP="00F97A2F"/>
    <w:p w14:paraId="20177EC9" w14:textId="77777777" w:rsidR="00110F00" w:rsidRDefault="00110F00" w:rsidP="00F97A2F"/>
    <w:p w14:paraId="077E94D3" w14:textId="4DC1D50F" w:rsidR="00F97A2F" w:rsidRDefault="00F97A2F" w:rsidP="00F97A2F">
      <w:r>
        <w:t>Defining Business Ethics and Corporate Social Responsibility</w:t>
      </w:r>
    </w:p>
    <w:p w14:paraId="1E201322" w14:textId="77777777" w:rsidR="00F97A2F" w:rsidRDefault="00F97A2F" w:rsidP="00F97A2F">
      <w:r>
        <w:t>Business ethics refers to the application of moral principles and professional standards to organisational decision-making. It shapes how companies behave in areas such as honesty, fairness, environmental responsibility, and regulatory compliance. Crane and Matten (2016) describe business ethics as a framework guiding companies to act responsibly toward all stakeholders, not just shareholders.</w:t>
      </w:r>
    </w:p>
    <w:p w14:paraId="4F8AC6D5" w14:textId="77777777" w:rsidR="00F97A2F" w:rsidRDefault="00F97A2F" w:rsidP="00F97A2F">
      <w:r>
        <w:t>Corporate social responsibility (CSR) is a broader concept that refers to an organisation’s commitment to operating sustainably and contributing positively to society. CSR extends beyond legal requirements and includes voluntary actions aimed at social welfare, environmental protection, and stakeholder engagement. According to Carroll (1991), CSR encompasses economic, legal, ethical, and philanthropic responsibilities that organisations must balance.</w:t>
      </w:r>
    </w:p>
    <w:p w14:paraId="3A2C0DB9" w14:textId="19FABE29" w:rsidR="00F97A2F" w:rsidRDefault="00F97A2F" w:rsidP="00F97A2F">
      <w:r>
        <w:lastRenderedPageBreak/>
        <w:t>Together, business ethics and CSR guide companies toward accountability and long-term sustainability—an increasingly essential consideration for automotive firms facing criticism for emissions, resource consumption, and product safety scandals.</w:t>
      </w:r>
    </w:p>
    <w:p w14:paraId="1183FA9D" w14:textId="77777777" w:rsidR="00F97A2F" w:rsidRDefault="00F97A2F" w:rsidP="00F97A2F"/>
    <w:p w14:paraId="7790B30E" w14:textId="77777777" w:rsidR="00F97A2F" w:rsidRDefault="00F97A2F" w:rsidP="00F97A2F">
      <w:r>
        <w:t>Carroll’s CSR Pyramid in the Automotive Industry</w:t>
      </w:r>
    </w:p>
    <w:p w14:paraId="05322A42" w14:textId="77777777" w:rsidR="00F97A2F" w:rsidRDefault="00F97A2F" w:rsidP="00F97A2F">
      <w:r>
        <w:t>Carroll’s CSR Pyramid includes four dimensions: economic, legal, ethical, and philanthropic responsibilities. These elements help evaluate how automotive companies integrate CSR into their operations.</w:t>
      </w:r>
    </w:p>
    <w:p w14:paraId="708BD75A" w14:textId="77777777" w:rsidR="00F97A2F" w:rsidRDefault="00F97A2F" w:rsidP="00F97A2F">
      <w:r>
        <w:t>1. Economic and Legal Responsibilities</w:t>
      </w:r>
    </w:p>
    <w:p w14:paraId="3FD18C6F" w14:textId="77777777" w:rsidR="00F97A2F" w:rsidRDefault="00F97A2F" w:rsidP="00F97A2F">
      <w:r>
        <w:t>At the base of the pyramid, companies must remain profitable while complying with regulations.</w:t>
      </w:r>
    </w:p>
    <w:p w14:paraId="65055803" w14:textId="77777777" w:rsidR="00F97A2F" w:rsidRDefault="00F97A2F" w:rsidP="00F97A2F">
      <w:r>
        <w:t>BMW, for example, invests heavily in electric mobility to remain competitive while meeting EU emissions regulations. Their expansion of the “Neue Klasse” electric models reflects both economic strategy and legal compliance with carbon-reduction targets.</w:t>
      </w:r>
    </w:p>
    <w:p w14:paraId="190E5531" w14:textId="77777777" w:rsidR="00F97A2F" w:rsidRDefault="00F97A2F" w:rsidP="00F97A2F">
      <w:r>
        <w:t>Toyota also demonstrates economic and legal CSR elements through its hybrid leadership. The company continues to innovate in hydrogen and hybrid vehicles, balancing profitability with stricter global emissions standards.</w:t>
      </w:r>
    </w:p>
    <w:p w14:paraId="55E6F411" w14:textId="77777777" w:rsidR="00F97A2F" w:rsidRDefault="00F97A2F" w:rsidP="00F97A2F">
      <w:r>
        <w:t>2. Ethical Responsibilities</w:t>
      </w:r>
    </w:p>
    <w:p w14:paraId="182E2405" w14:textId="77777777" w:rsidR="00F97A2F" w:rsidRDefault="00F97A2F" w:rsidP="00F97A2F">
      <w:r>
        <w:t>This concerns moral behaviour beyond what the law requires.</w:t>
      </w:r>
    </w:p>
    <w:p w14:paraId="3D288040" w14:textId="77777777" w:rsidR="00F97A2F" w:rsidRDefault="00F97A2F" w:rsidP="00F97A2F">
      <w:r>
        <w:t>Tesla has faced scrutiny over battery sourcing, specifically cobalt mining in the Democratic Republic of Congo. In response, the company has increased transparency in its supply chain and invested in cobalt-free battery technologies. This demonstrates an attempt to address ethical concerns related to labour exploitation and environmental damage.</w:t>
      </w:r>
    </w:p>
    <w:p w14:paraId="55CCE613" w14:textId="77777777" w:rsidR="00F97A2F" w:rsidRDefault="00F97A2F" w:rsidP="00F97A2F">
      <w:r>
        <w:t>BMW has invested in ethically responsible battery sourcing by entering partnerships to ensure traceability of critical minerals like lithium and cobalt. The company also publishes sustainability reports outlining material-sourcing standards and environmental impacts.</w:t>
      </w:r>
    </w:p>
    <w:p w14:paraId="30A3440A" w14:textId="77777777" w:rsidR="00F97A2F" w:rsidRDefault="00F97A2F" w:rsidP="00F97A2F">
      <w:r>
        <w:t>3. Philanthropic Responsibilities</w:t>
      </w:r>
    </w:p>
    <w:p w14:paraId="02760502" w14:textId="77777777" w:rsidR="00F97A2F" w:rsidRDefault="00F97A2F" w:rsidP="00F97A2F">
      <w:r>
        <w:t>This includes voluntary contributions to society.</w:t>
      </w:r>
    </w:p>
    <w:p w14:paraId="570D3B36" w14:textId="77777777" w:rsidR="00110F00" w:rsidRDefault="00F97A2F" w:rsidP="00F97A2F">
      <w:r>
        <w:t>BMW engages in philanthropic CSR through global educational programmes and investments in local communities where its factories operate.</w:t>
      </w:r>
    </w:p>
    <w:p w14:paraId="29A9B83D" w14:textId="6543046A" w:rsidR="00F97A2F" w:rsidRDefault="00F97A2F" w:rsidP="00F97A2F">
      <w:r>
        <w:lastRenderedPageBreak/>
        <w:t>Toyota supports STEM education initiatives and disaster-relief projects worldwide, strengthening its reputation as a socially responsible organisation.</w:t>
      </w:r>
    </w:p>
    <w:p w14:paraId="0CA6DFD2" w14:textId="6F0DB70C" w:rsidR="00F97A2F" w:rsidRDefault="00F97A2F" w:rsidP="00F97A2F">
      <w:r>
        <w:t>Using Carroll’s framework reveals how these companies balance profitability with social and environmental obligations.</w:t>
      </w:r>
    </w:p>
    <w:p w14:paraId="3AF06046" w14:textId="77777777" w:rsidR="00F97A2F" w:rsidRDefault="00F97A2F" w:rsidP="00F97A2F"/>
    <w:p w14:paraId="470304A5" w14:textId="77777777" w:rsidR="00F97A2F" w:rsidRDefault="00F97A2F" w:rsidP="00F97A2F"/>
    <w:p w14:paraId="7F0A2086" w14:textId="47144084" w:rsidR="00F97A2F" w:rsidRDefault="00F97A2F" w:rsidP="00F97A2F">
      <w:r>
        <w:t>The Triple Bottom Line (TBL) Model</w:t>
      </w:r>
    </w:p>
    <w:p w14:paraId="428EA752" w14:textId="77777777" w:rsidR="00F97A2F" w:rsidRDefault="00F97A2F" w:rsidP="00F97A2F">
      <w:r>
        <w:t>The Triple Bottom Line, developed by Elkington (1997), evaluates sustainability through three dimensions: People, Planet, and Profit. It is particularly relevant to the automotive industry because of its environmental impact and global workforce.</w:t>
      </w:r>
    </w:p>
    <w:p w14:paraId="75B5CB2E" w14:textId="77777777" w:rsidR="00F97A2F" w:rsidRDefault="00F97A2F" w:rsidP="00F97A2F">
      <w:r>
        <w:t>1. People (Social Sustainability)</w:t>
      </w:r>
    </w:p>
    <w:p w14:paraId="5A408E1C" w14:textId="77777777" w:rsidR="00F97A2F" w:rsidRDefault="00F97A2F" w:rsidP="00F97A2F">
      <w:r>
        <w:t>This includes employee wellbeing, safety, and community engagement.</w:t>
      </w:r>
    </w:p>
    <w:p w14:paraId="79989F4F" w14:textId="77777777" w:rsidR="00F97A2F" w:rsidRDefault="00F97A2F" w:rsidP="00F97A2F">
      <w:r>
        <w:t>Tesla has been criticised for workplace safety issues and treatment of employees. These concerns highlight weaknesses in the “People” dimension of its TBL performance.</w:t>
      </w:r>
    </w:p>
    <w:p w14:paraId="6F24A36A" w14:textId="77777777" w:rsidR="00F97A2F" w:rsidRDefault="00F97A2F" w:rsidP="00F97A2F">
      <w:r>
        <w:t>BMW performs strongly in this area, promoting worker safety, fair labour practices, and diversity programmes across its global operations.</w:t>
      </w:r>
    </w:p>
    <w:p w14:paraId="6B9E142A" w14:textId="77777777" w:rsidR="00F97A2F" w:rsidRDefault="00F97A2F" w:rsidP="00F97A2F">
      <w:r>
        <w:t>2. Planet (Environmental Sustainability)</w:t>
      </w:r>
    </w:p>
    <w:p w14:paraId="2A787670" w14:textId="77777777" w:rsidR="00F97A2F" w:rsidRDefault="00F97A2F" w:rsidP="00F97A2F">
      <w:r>
        <w:t>This focuses on reducing ecological impact.</w:t>
      </w:r>
    </w:p>
    <w:p w14:paraId="6A645ECE" w14:textId="77777777" w:rsidR="00F97A2F" w:rsidRDefault="00F97A2F" w:rsidP="00F97A2F">
      <w:r>
        <w:t>BMW has committed to becoming fully carbon-neutral across its supply chain by 2030 and is investing in recyclable vehicle components and renewable energy for manufacturing.</w:t>
      </w:r>
    </w:p>
    <w:p w14:paraId="279606EA" w14:textId="77777777" w:rsidR="00F97A2F" w:rsidRDefault="00F97A2F" w:rsidP="00F97A2F">
      <w:r>
        <w:t>Toyota prioritises emissions reduction through hybrid technology and aims for carbon-neutral manufacturing by 2035.</w:t>
      </w:r>
    </w:p>
    <w:p w14:paraId="4193FF12" w14:textId="77777777" w:rsidR="00F97A2F" w:rsidRDefault="00F97A2F" w:rsidP="00F97A2F">
      <w:r>
        <w:t>Tesla, while known for EV innovation, faces environmental scrutiny regarding battery recycling and the ecological footprint of Gigafactory operations.</w:t>
      </w:r>
    </w:p>
    <w:p w14:paraId="65AD3AFD" w14:textId="77777777" w:rsidR="00F97A2F" w:rsidRDefault="00F97A2F" w:rsidP="00F97A2F">
      <w:r>
        <w:t>3. Profit (Economic Sustainability)</w:t>
      </w:r>
    </w:p>
    <w:p w14:paraId="41BCF9DD" w14:textId="77777777" w:rsidR="00F97A2F" w:rsidRDefault="00F97A2F" w:rsidP="00F97A2F">
      <w:r>
        <w:t>Companies must remain financially viable while promoting sustainability.</w:t>
      </w:r>
    </w:p>
    <w:p w14:paraId="09CA7A17" w14:textId="77777777" w:rsidR="00F97A2F" w:rsidRDefault="00F97A2F" w:rsidP="00F97A2F">
      <w:r>
        <w:t>Tesla’s rapid growth demonstrates profitability driven by sustainability-focused innovation.</w:t>
      </w:r>
    </w:p>
    <w:p w14:paraId="37BA7FED" w14:textId="77777777" w:rsidR="00F97A2F" w:rsidRDefault="00F97A2F" w:rsidP="00F97A2F">
      <w:r>
        <w:t>BMW continues to expand EV market share while maintaining strong financial performance.</w:t>
      </w:r>
    </w:p>
    <w:p w14:paraId="08CA6A16" w14:textId="77777777" w:rsidR="00F97A2F" w:rsidRDefault="00F97A2F" w:rsidP="00F97A2F">
      <w:r>
        <w:lastRenderedPageBreak/>
        <w:t>Toyota leverages hybrid technologies to maintain profitability in markets where full EV adoption is slower.</w:t>
      </w:r>
    </w:p>
    <w:p w14:paraId="2CBF12D2" w14:textId="5854904D" w:rsidR="00F97A2F" w:rsidRDefault="00F97A2F" w:rsidP="00F97A2F">
      <w:r>
        <w:t>The TBL model demonstrates that sustainable automotive strategy requires a holistic balance of environmental, social, and economic considerations.</w:t>
      </w:r>
    </w:p>
    <w:p w14:paraId="0D97DADB" w14:textId="77777777" w:rsidR="00F97A2F" w:rsidRDefault="00F97A2F" w:rsidP="00F97A2F"/>
    <w:p w14:paraId="01BD9E83" w14:textId="6628C72C" w:rsidR="00F97A2F" w:rsidRDefault="00F97A2F" w:rsidP="00F97A2F">
      <w:r>
        <w:t>Conclusion</w:t>
      </w:r>
      <w:r>
        <w:t>:</w:t>
      </w:r>
    </w:p>
    <w:p w14:paraId="6276A63C" w14:textId="77777777" w:rsidR="00F97A2F" w:rsidRDefault="00F97A2F" w:rsidP="00F97A2F">
      <w:r>
        <w:t>Business ethics and CSR have become central to strategic success in the automotive industry, particularly as global expectations for sustainability and transparency continue to rise. By applying frameworks such as Carroll’s CSR Pyramid and the Triple Bottom Line, it becomes clear that companies must balance economic goals with social and environmental responsibilities.</w:t>
      </w:r>
    </w:p>
    <w:p w14:paraId="7CD430CD" w14:textId="77777777" w:rsidR="00F97A2F" w:rsidRDefault="00F97A2F" w:rsidP="00F97A2F">
      <w:r>
        <w:t>Examples from BMW, Tesla, and Toyota show different approaches to ethical behaviour and CSR—ranging from sustainable vehicle development and responsible supply-chain management to regulatory compliance and community engagement. While some companies excel in certain areas, challenges remain across the industry, especially regarding battery sourcing, emissions reduction, and employee welfare.</w:t>
      </w:r>
    </w:p>
    <w:p w14:paraId="3E954359" w14:textId="7361139E" w:rsidR="00F97A2F" w:rsidRDefault="00F97A2F" w:rsidP="00F97A2F">
      <w:r>
        <w:t>Ultimately, integrating ethics and CSR into corporate strategy strengthens stakeholder trust, enhances brand reputation, and supports long-term competitiveness. For the automotive sector, responsible behaviour is not only desirable but essential for navigating technological transitions and meeting global sustainability demands.</w:t>
      </w:r>
    </w:p>
    <w:p w14:paraId="2912717E" w14:textId="77777777" w:rsidR="00110F00" w:rsidRDefault="00110F00" w:rsidP="00F97A2F"/>
    <w:p w14:paraId="54D6DD6B" w14:textId="77777777" w:rsidR="00110F00" w:rsidRDefault="00110F00" w:rsidP="00F97A2F"/>
    <w:p w14:paraId="2ACEA519" w14:textId="77777777" w:rsidR="00110F00" w:rsidRDefault="00110F00" w:rsidP="00110F00">
      <w:pPr>
        <w:rPr>
          <w:b/>
          <w:bCs/>
        </w:rPr>
      </w:pPr>
    </w:p>
    <w:p w14:paraId="2E1451B1" w14:textId="77777777" w:rsidR="00110F00" w:rsidRDefault="00110F00" w:rsidP="00110F00">
      <w:pPr>
        <w:rPr>
          <w:b/>
          <w:bCs/>
        </w:rPr>
      </w:pPr>
    </w:p>
    <w:p w14:paraId="6BD6E177" w14:textId="77777777" w:rsidR="00110F00" w:rsidRDefault="00110F00" w:rsidP="00110F00">
      <w:pPr>
        <w:rPr>
          <w:b/>
          <w:bCs/>
        </w:rPr>
      </w:pPr>
    </w:p>
    <w:p w14:paraId="36107186" w14:textId="77777777" w:rsidR="00110F00" w:rsidRDefault="00110F00" w:rsidP="00110F00">
      <w:pPr>
        <w:rPr>
          <w:b/>
          <w:bCs/>
        </w:rPr>
      </w:pPr>
    </w:p>
    <w:p w14:paraId="3FF48127" w14:textId="77777777" w:rsidR="00110F00" w:rsidRDefault="00110F00" w:rsidP="00110F00">
      <w:pPr>
        <w:rPr>
          <w:b/>
          <w:bCs/>
        </w:rPr>
      </w:pPr>
    </w:p>
    <w:p w14:paraId="2D9192E5" w14:textId="77777777" w:rsidR="00110F00" w:rsidRDefault="00110F00" w:rsidP="00110F00">
      <w:pPr>
        <w:rPr>
          <w:b/>
          <w:bCs/>
        </w:rPr>
      </w:pPr>
    </w:p>
    <w:p w14:paraId="312A31E6" w14:textId="77777777" w:rsidR="00110F00" w:rsidRDefault="00110F00" w:rsidP="00110F00">
      <w:pPr>
        <w:jc w:val="center"/>
        <w:rPr>
          <w:b/>
          <w:bCs/>
        </w:rPr>
      </w:pPr>
    </w:p>
    <w:p w14:paraId="514692DD" w14:textId="77777777" w:rsidR="00110F00" w:rsidRDefault="00110F00" w:rsidP="00110F00">
      <w:pPr>
        <w:jc w:val="center"/>
        <w:rPr>
          <w:b/>
          <w:bCs/>
        </w:rPr>
      </w:pPr>
    </w:p>
    <w:p w14:paraId="2462E756" w14:textId="77777777" w:rsidR="00110F00" w:rsidRDefault="00110F00" w:rsidP="00110F00">
      <w:pPr>
        <w:jc w:val="center"/>
        <w:rPr>
          <w:b/>
          <w:bCs/>
        </w:rPr>
      </w:pPr>
    </w:p>
    <w:p w14:paraId="30B06D15" w14:textId="77777777" w:rsidR="00110F00" w:rsidRDefault="00110F00" w:rsidP="00110F00">
      <w:pPr>
        <w:jc w:val="center"/>
        <w:rPr>
          <w:b/>
          <w:bCs/>
        </w:rPr>
      </w:pPr>
    </w:p>
    <w:p w14:paraId="7C14182E" w14:textId="01518D90" w:rsidR="00110F00" w:rsidRPr="00110F00" w:rsidRDefault="00110F00" w:rsidP="00110F00">
      <w:pPr>
        <w:jc w:val="center"/>
        <w:rPr>
          <w:b/>
          <w:bCs/>
        </w:rPr>
      </w:pPr>
      <w:r w:rsidRPr="00110F00">
        <w:rPr>
          <w:b/>
          <w:bCs/>
        </w:rPr>
        <w:lastRenderedPageBreak/>
        <w:t>Reference List</w:t>
      </w:r>
    </w:p>
    <w:p w14:paraId="29F0AA2D" w14:textId="77777777" w:rsidR="00110F00" w:rsidRPr="00110F00" w:rsidRDefault="00110F00" w:rsidP="00110F00">
      <w:r w:rsidRPr="00110F00">
        <w:t>Carroll, A.B. (1991) </w:t>
      </w:r>
      <w:r w:rsidRPr="00110F00">
        <w:rPr>
          <w:i/>
          <w:iCs/>
        </w:rPr>
        <w:t>‘The Pyramid of Corporate Social Responsibility: Toward the Moral Management of Organisational Stakeholders’</w:t>
      </w:r>
      <w:r w:rsidRPr="00110F00">
        <w:t>, </w:t>
      </w:r>
      <w:r w:rsidRPr="00110F00">
        <w:rPr>
          <w:b/>
          <w:bCs/>
        </w:rPr>
        <w:t>Business Horizons</w:t>
      </w:r>
      <w:r w:rsidRPr="00110F00">
        <w:t>, 34(4), pp. 39–48.</w:t>
      </w:r>
    </w:p>
    <w:p w14:paraId="10BD57CB" w14:textId="77777777" w:rsidR="00110F00" w:rsidRPr="00110F00" w:rsidRDefault="00110F00" w:rsidP="00110F00">
      <w:r w:rsidRPr="00110F00">
        <w:t>Crane, A. and Matten, D. (2016) </w:t>
      </w:r>
      <w:r w:rsidRPr="00110F00">
        <w:rPr>
          <w:i/>
          <w:iCs/>
        </w:rPr>
        <w:t>Business Ethics: Managing Corporate Citizenship and Sustainability in the Age of Globalisation</w:t>
      </w:r>
      <w:r w:rsidRPr="00110F00">
        <w:t xml:space="preserve">. 4th </w:t>
      </w:r>
      <w:proofErr w:type="spellStart"/>
      <w:r w:rsidRPr="00110F00">
        <w:t>edn</w:t>
      </w:r>
      <w:proofErr w:type="spellEnd"/>
      <w:r w:rsidRPr="00110F00">
        <w:t>. Oxford: Oxford University Press.</w:t>
      </w:r>
    </w:p>
    <w:p w14:paraId="4ADDB93F" w14:textId="77777777" w:rsidR="00110F00" w:rsidRPr="00110F00" w:rsidRDefault="00110F00" w:rsidP="00110F00">
      <w:r w:rsidRPr="00110F00">
        <w:t>Elkington, J. (1997) </w:t>
      </w:r>
      <w:r w:rsidRPr="00110F00">
        <w:rPr>
          <w:i/>
          <w:iCs/>
        </w:rPr>
        <w:t>Cannibals with Forks: The Triple Bottom Line of 21st Century Business</w:t>
      </w:r>
      <w:r w:rsidRPr="00110F00">
        <w:t>. Oxford: Capstone Publishing.</w:t>
      </w:r>
    </w:p>
    <w:p w14:paraId="37189010" w14:textId="77777777" w:rsidR="00110F00" w:rsidRPr="00110F00" w:rsidRDefault="00110F00" w:rsidP="00110F00">
      <w:r w:rsidRPr="00110F00">
        <w:t>Porter, M.E. and Kramer, M.R. (2024) </w:t>
      </w:r>
      <w:r w:rsidRPr="00110F00">
        <w:rPr>
          <w:i/>
          <w:iCs/>
        </w:rPr>
        <w:t>Creating Shared Value in a Changing World</w:t>
      </w:r>
      <w:r w:rsidRPr="00110F00">
        <w:t>. Harvard Business School Publishing.</w:t>
      </w:r>
    </w:p>
    <w:p w14:paraId="445B780D" w14:textId="35627409" w:rsidR="00110F00" w:rsidRPr="00110F00" w:rsidRDefault="00110F00" w:rsidP="00110F00">
      <w:r w:rsidRPr="00110F00">
        <w:t>BMW Group (2023) </w:t>
      </w:r>
      <w:r w:rsidRPr="00110F00">
        <w:rPr>
          <w:i/>
          <w:iCs/>
        </w:rPr>
        <w:t>BMW Sustainability Report</w:t>
      </w:r>
      <w:r w:rsidRPr="00110F00">
        <w:t>. Available at: </w:t>
      </w:r>
      <w:hyperlink r:id="rId4" w:tgtFrame="_new" w:history="1">
        <w:r w:rsidRPr="00110F00">
          <w:rPr>
            <w:rStyle w:val="Hyperlink"/>
          </w:rPr>
          <w:t>https://www.bmwgroup.com</w:t>
        </w:r>
      </w:hyperlink>
      <w:r w:rsidRPr="00110F00">
        <w:t> </w:t>
      </w:r>
      <w:r>
        <w:t>.</w:t>
      </w:r>
    </w:p>
    <w:p w14:paraId="04195415" w14:textId="39C77F11" w:rsidR="00110F00" w:rsidRPr="00110F00" w:rsidRDefault="00110F00" w:rsidP="00110F00">
      <w:r w:rsidRPr="00110F00">
        <w:t>Toyota Motor Corporation (2023) </w:t>
      </w:r>
      <w:r w:rsidRPr="00110F00">
        <w:rPr>
          <w:i/>
          <w:iCs/>
        </w:rPr>
        <w:t>Sustainability Data Book</w:t>
      </w:r>
      <w:r w:rsidRPr="00110F00">
        <w:t>. Available at: </w:t>
      </w:r>
      <w:hyperlink r:id="rId5" w:tgtFrame="_new" w:history="1">
        <w:r w:rsidRPr="00110F00">
          <w:rPr>
            <w:rStyle w:val="Hyperlink"/>
          </w:rPr>
          <w:t>https://global.toyota/en</w:t>
        </w:r>
      </w:hyperlink>
      <w:r w:rsidRPr="00110F00">
        <w:t> </w:t>
      </w:r>
      <w:r>
        <w:t>.</w:t>
      </w:r>
    </w:p>
    <w:p w14:paraId="5ABB566F" w14:textId="77777777" w:rsidR="00110F00" w:rsidRPr="00110F00" w:rsidRDefault="00110F00" w:rsidP="00110F00">
      <w:r w:rsidRPr="00110F00">
        <w:t>Tesla Inc. (2023) </w:t>
      </w:r>
      <w:r w:rsidRPr="00110F00">
        <w:rPr>
          <w:i/>
          <w:iCs/>
        </w:rPr>
        <w:t>Impact Report</w:t>
      </w:r>
      <w:r w:rsidRPr="00110F00">
        <w:t>. Available at: </w:t>
      </w:r>
      <w:hyperlink r:id="rId6" w:tgtFrame="_new" w:history="1">
        <w:r w:rsidRPr="00110F00">
          <w:rPr>
            <w:rStyle w:val="Hyperlink"/>
          </w:rPr>
          <w:t>https://www.tesla.com</w:t>
        </w:r>
      </w:hyperlink>
    </w:p>
    <w:p w14:paraId="5E1D41A7" w14:textId="77777777" w:rsidR="00110F00" w:rsidRDefault="00110F00" w:rsidP="00F97A2F"/>
    <w:sectPr w:rsidR="00110F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A2F"/>
    <w:rsid w:val="00030383"/>
    <w:rsid w:val="00110F00"/>
    <w:rsid w:val="0096258E"/>
    <w:rsid w:val="00A964D1"/>
    <w:rsid w:val="00D366D3"/>
    <w:rsid w:val="00F9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155686"/>
  <w15:chartTrackingRefBased/>
  <w15:docId w15:val="{AF8D311C-E6BC-0941-81F1-AC9952835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A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A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A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A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A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A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A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A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A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A2F"/>
    <w:rPr>
      <w:rFonts w:eastAsiaTheme="majorEastAsia" w:cstheme="majorBidi"/>
      <w:color w:val="272727" w:themeColor="text1" w:themeTint="D8"/>
    </w:rPr>
  </w:style>
  <w:style w:type="paragraph" w:styleId="Title">
    <w:name w:val="Title"/>
    <w:basedOn w:val="Normal"/>
    <w:next w:val="Normal"/>
    <w:link w:val="TitleChar"/>
    <w:uiPriority w:val="10"/>
    <w:qFormat/>
    <w:rsid w:val="00F97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A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A2F"/>
    <w:pPr>
      <w:spacing w:before="160"/>
      <w:jc w:val="center"/>
    </w:pPr>
    <w:rPr>
      <w:i/>
      <w:iCs/>
      <w:color w:val="404040" w:themeColor="text1" w:themeTint="BF"/>
    </w:rPr>
  </w:style>
  <w:style w:type="character" w:customStyle="1" w:styleId="QuoteChar">
    <w:name w:val="Quote Char"/>
    <w:basedOn w:val="DefaultParagraphFont"/>
    <w:link w:val="Quote"/>
    <w:uiPriority w:val="29"/>
    <w:rsid w:val="00F97A2F"/>
    <w:rPr>
      <w:i/>
      <w:iCs/>
      <w:color w:val="404040" w:themeColor="text1" w:themeTint="BF"/>
    </w:rPr>
  </w:style>
  <w:style w:type="paragraph" w:styleId="ListParagraph">
    <w:name w:val="List Paragraph"/>
    <w:basedOn w:val="Normal"/>
    <w:uiPriority w:val="34"/>
    <w:qFormat/>
    <w:rsid w:val="00F97A2F"/>
    <w:pPr>
      <w:ind w:left="720"/>
      <w:contextualSpacing/>
    </w:pPr>
  </w:style>
  <w:style w:type="character" w:styleId="IntenseEmphasis">
    <w:name w:val="Intense Emphasis"/>
    <w:basedOn w:val="DefaultParagraphFont"/>
    <w:uiPriority w:val="21"/>
    <w:qFormat/>
    <w:rsid w:val="00F97A2F"/>
    <w:rPr>
      <w:i/>
      <w:iCs/>
      <w:color w:val="0F4761" w:themeColor="accent1" w:themeShade="BF"/>
    </w:rPr>
  </w:style>
  <w:style w:type="paragraph" w:styleId="IntenseQuote">
    <w:name w:val="Intense Quote"/>
    <w:basedOn w:val="Normal"/>
    <w:next w:val="Normal"/>
    <w:link w:val="IntenseQuoteChar"/>
    <w:uiPriority w:val="30"/>
    <w:qFormat/>
    <w:rsid w:val="00F97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A2F"/>
    <w:rPr>
      <w:i/>
      <w:iCs/>
      <w:color w:val="0F4761" w:themeColor="accent1" w:themeShade="BF"/>
    </w:rPr>
  </w:style>
  <w:style w:type="character" w:styleId="IntenseReference">
    <w:name w:val="Intense Reference"/>
    <w:basedOn w:val="DefaultParagraphFont"/>
    <w:uiPriority w:val="32"/>
    <w:qFormat/>
    <w:rsid w:val="00F97A2F"/>
    <w:rPr>
      <w:b/>
      <w:bCs/>
      <w:smallCaps/>
      <w:color w:val="0F4761" w:themeColor="accent1" w:themeShade="BF"/>
      <w:spacing w:val="5"/>
    </w:rPr>
  </w:style>
  <w:style w:type="character" w:styleId="Hyperlink">
    <w:name w:val="Hyperlink"/>
    <w:basedOn w:val="DefaultParagraphFont"/>
    <w:uiPriority w:val="99"/>
    <w:unhideWhenUsed/>
    <w:rsid w:val="00110F00"/>
    <w:rPr>
      <w:color w:val="467886" w:themeColor="hyperlink"/>
      <w:u w:val="single"/>
    </w:rPr>
  </w:style>
  <w:style w:type="character" w:styleId="UnresolvedMention">
    <w:name w:val="Unresolved Mention"/>
    <w:basedOn w:val="DefaultParagraphFont"/>
    <w:uiPriority w:val="99"/>
    <w:semiHidden/>
    <w:unhideWhenUsed/>
    <w:rsid w:val="00110F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sla.com/" TargetMode="External"/><Relationship Id="rId5" Type="http://schemas.openxmlformats.org/officeDocument/2006/relationships/hyperlink" Target="https://global.toyota/en" TargetMode="External"/><Relationship Id="rId4" Type="http://schemas.openxmlformats.org/officeDocument/2006/relationships/hyperlink" Target="https://www.bmw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1266</Words>
  <Characters>7218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Miron (2407800)</dc:creator>
  <cp:keywords/>
  <dc:description/>
  <cp:lastModifiedBy>Laurentiu Miron (2407800)</cp:lastModifiedBy>
  <cp:revision>1</cp:revision>
  <dcterms:created xsi:type="dcterms:W3CDTF">2025-11-19T21:02:00Z</dcterms:created>
  <dcterms:modified xsi:type="dcterms:W3CDTF">2025-11-19T21:29:00Z</dcterms:modified>
</cp:coreProperties>
</file>