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B34C4" w:rsidRDefault="00DB34C4" w:rsidP="00DB34C4">
      <w:pPr>
        <w:spacing w:after="120"/>
        <w:jc w:val="center"/>
      </w:pPr>
      <w:r>
        <w:rPr>
          <w:b/>
          <w:bCs/>
          <w:sz w:val="28"/>
          <w:szCs w:val="28"/>
        </w:rPr>
        <w:t>UNIVERSITY OF WALES TRINITY SAINT DAVID</w:t>
      </w:r>
    </w:p>
    <w:p w:rsidR="00DB34C4" w:rsidRDefault="00DB34C4" w:rsidP="00DB34C4">
      <w:pPr>
        <w:spacing w:after="120"/>
        <w:rPr>
          <w:b/>
          <w:bCs/>
          <w:sz w:val="28"/>
          <w:szCs w:val="28"/>
        </w:rPr>
      </w:pPr>
    </w:p>
    <w:p w:rsidR="00DB34C4" w:rsidRDefault="00DB34C4" w:rsidP="00DB34C4">
      <w:pPr>
        <w:spacing w:after="120"/>
        <w:jc w:val="center"/>
        <w:rPr>
          <w:b/>
          <w:bCs/>
          <w:sz w:val="28"/>
          <w:szCs w:val="28"/>
        </w:rPr>
      </w:pPr>
      <w:r>
        <w:rPr>
          <w:b/>
          <w:bCs/>
          <w:noProof/>
          <w:sz w:val="28"/>
          <w:szCs w:val="28"/>
        </w:rPr>
        <w:drawing>
          <wp:inline distT="0" distB="0" distL="0" distR="0" wp14:anchorId="397DD92C" wp14:editId="2C014267">
            <wp:extent cx="1905000" cy="1905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pic:spPr>
                </pic:pic>
              </a:graphicData>
            </a:graphic>
          </wp:inline>
        </w:drawing>
      </w:r>
    </w:p>
    <w:p w:rsidR="00DB34C4" w:rsidRDefault="00DB34C4" w:rsidP="00DB34C4">
      <w:pPr>
        <w:spacing w:after="280"/>
      </w:pPr>
    </w:p>
    <w:p w:rsidR="00DB34C4" w:rsidRDefault="00DB34C4" w:rsidP="00DB34C4">
      <w:pPr>
        <w:spacing w:after="120"/>
        <w:jc w:val="center"/>
      </w:pPr>
    </w:p>
    <w:p w:rsidR="00DB34C4" w:rsidRDefault="00DB34C4" w:rsidP="00DB34C4">
      <w:pPr>
        <w:spacing w:after="400"/>
      </w:pPr>
    </w:p>
    <w:p w:rsidR="00DB34C4" w:rsidRDefault="00DB34C4" w:rsidP="00DB34C4">
      <w:pPr>
        <w:spacing w:after="200"/>
        <w:jc w:val="center"/>
      </w:pPr>
      <w:r>
        <w:rPr>
          <w:b/>
          <w:bCs/>
          <w:sz w:val="26"/>
          <w:szCs w:val="26"/>
        </w:rPr>
        <w:t>Master of Business Administration</w:t>
      </w:r>
    </w:p>
    <w:p w:rsidR="00DB34C4" w:rsidRDefault="00DB34C4" w:rsidP="00DB34C4">
      <w:pPr>
        <w:spacing w:after="120"/>
        <w:jc w:val="center"/>
      </w:pPr>
      <w:r>
        <w:t>Module: Human Capital Management (LCMB7023)</w:t>
      </w:r>
    </w:p>
    <w:p w:rsidR="00DB34C4" w:rsidRDefault="00DB34C4" w:rsidP="00DB34C4">
      <w:pPr>
        <w:spacing w:after="280"/>
        <w:jc w:val="center"/>
      </w:pPr>
    </w:p>
    <w:p w:rsidR="00DB34C4" w:rsidRDefault="00DB34C4" w:rsidP="00DB34C4">
      <w:pPr>
        <w:pBdr>
          <w:bottom w:val="single" w:sz="6" w:space="1" w:color="1F4E79"/>
        </w:pBdr>
        <w:spacing w:after="120"/>
        <w:jc w:val="center"/>
        <w:rPr>
          <w:b/>
          <w:bCs/>
          <w:sz w:val="28"/>
          <w:szCs w:val="28"/>
        </w:rPr>
      </w:pPr>
      <w:r>
        <w:rPr>
          <w:b/>
          <w:bCs/>
          <w:sz w:val="28"/>
          <w:szCs w:val="28"/>
        </w:rPr>
        <w:t>Assessment Component 1: Individual Report</w:t>
      </w:r>
    </w:p>
    <w:p w:rsidR="00DB34C4" w:rsidRDefault="00DB34C4" w:rsidP="00DB34C4">
      <w:pPr>
        <w:pBdr>
          <w:bottom w:val="single" w:sz="6" w:space="1" w:color="1F4E79"/>
        </w:pBdr>
        <w:spacing w:after="120"/>
      </w:pPr>
    </w:p>
    <w:p w:rsidR="00DB34C4" w:rsidRDefault="00DB34C4" w:rsidP="00DB34C4">
      <w:pPr>
        <w:spacing w:before="120" w:after="200"/>
        <w:jc w:val="center"/>
        <w:rPr>
          <w:b/>
          <w:bCs/>
          <w:sz w:val="26"/>
          <w:szCs w:val="26"/>
        </w:rPr>
      </w:pPr>
    </w:p>
    <w:p w:rsidR="00DB34C4" w:rsidRDefault="00DB34C4" w:rsidP="00DB34C4">
      <w:pPr>
        <w:spacing w:before="120" w:after="200"/>
        <w:jc w:val="center"/>
      </w:pPr>
      <w:r>
        <w:rPr>
          <w:b/>
          <w:bCs/>
          <w:sz w:val="26"/>
          <w:szCs w:val="26"/>
        </w:rPr>
        <w:t>Designing a Human Capital Architecture for Strategic Renewal</w:t>
      </w:r>
    </w:p>
    <w:p w:rsidR="00DB34C4" w:rsidRDefault="00DB34C4" w:rsidP="00DB34C4">
      <w:pPr>
        <w:spacing w:after="60"/>
        <w:jc w:val="center"/>
      </w:pPr>
      <w:r>
        <w:rPr>
          <w:i/>
          <w:iCs/>
        </w:rPr>
        <w:t>Case Study: Helios Urban Mobility (HUM)</w:t>
      </w:r>
    </w:p>
    <w:p w:rsidR="00DB34C4" w:rsidRDefault="00DB34C4" w:rsidP="00DB34C4">
      <w:pPr>
        <w:spacing w:after="360"/>
      </w:pPr>
    </w:p>
    <w:p w:rsidR="00DB34C4" w:rsidRDefault="00DB34C4" w:rsidP="00DB34C4">
      <w:pPr>
        <w:spacing w:after="60"/>
        <w:jc w:val="center"/>
      </w:pPr>
      <w:r>
        <w:t>Student Name: Jawel Israel</w:t>
      </w:r>
    </w:p>
    <w:p w:rsidR="00DB34C4" w:rsidRDefault="00DB34C4" w:rsidP="00DB34C4">
      <w:pPr>
        <w:spacing w:after="60"/>
        <w:jc w:val="center"/>
      </w:pPr>
      <w:r>
        <w:t>Student ID Number: 2246633</w:t>
      </w:r>
    </w:p>
    <w:p w:rsidR="00DB34C4" w:rsidRDefault="00DB34C4" w:rsidP="00DB34C4">
      <w:pPr>
        <w:spacing w:after="60"/>
        <w:jc w:val="center"/>
      </w:pPr>
      <w:r>
        <w:rPr>
          <w:sz w:val="22"/>
          <w:szCs w:val="22"/>
        </w:rPr>
        <w:t xml:space="preserve">Lecturer: Dr </w:t>
      </w:r>
      <w:proofErr w:type="spellStart"/>
      <w:r>
        <w:rPr>
          <w:sz w:val="22"/>
          <w:szCs w:val="22"/>
        </w:rPr>
        <w:t>Nerys</w:t>
      </w:r>
      <w:proofErr w:type="spellEnd"/>
      <w:r>
        <w:rPr>
          <w:sz w:val="22"/>
          <w:szCs w:val="22"/>
        </w:rPr>
        <w:t xml:space="preserve"> </w:t>
      </w:r>
      <w:proofErr w:type="spellStart"/>
      <w:r>
        <w:rPr>
          <w:sz w:val="22"/>
          <w:szCs w:val="22"/>
        </w:rPr>
        <w:t>Dosseh</w:t>
      </w:r>
      <w:proofErr w:type="spellEnd"/>
    </w:p>
    <w:p w:rsidR="00DB34C4" w:rsidRDefault="00DB34C4" w:rsidP="00DB34C4">
      <w:pPr>
        <w:spacing w:after="60"/>
        <w:jc w:val="center"/>
      </w:pPr>
    </w:p>
    <w:p w:rsidR="00DB34C4" w:rsidRDefault="00DB34C4" w:rsidP="00DB34C4">
      <w:pPr>
        <w:spacing w:after="280"/>
      </w:pPr>
    </w:p>
    <w:p w:rsidR="00DB34C4" w:rsidRDefault="00DB34C4" w:rsidP="00DB34C4">
      <w:pPr>
        <w:spacing w:after="60"/>
        <w:jc w:val="center"/>
      </w:pPr>
      <w:r>
        <w:rPr>
          <w:sz w:val="22"/>
          <w:szCs w:val="22"/>
        </w:rPr>
        <w:t>Word Count: 2,500 (main body)</w:t>
      </w:r>
    </w:p>
    <w:p w:rsidR="00DB34C4" w:rsidRDefault="00DB34C4" w:rsidP="00DB34C4">
      <w:pPr>
        <w:spacing w:after="60"/>
        <w:jc w:val="center"/>
      </w:pPr>
      <w:r>
        <w:rPr>
          <w:sz w:val="22"/>
          <w:szCs w:val="22"/>
        </w:rPr>
        <w:t>Submission Date: Friday, 17th July 2026</w:t>
      </w:r>
    </w:p>
    <w:p w:rsidR="00DB34C4" w:rsidRPr="006729FD" w:rsidRDefault="00DB34C4" w:rsidP="00DB34C4">
      <w:r>
        <w:br w:type="page"/>
      </w:r>
      <w:r w:rsidRPr="006729FD">
        <w:rPr>
          <w:b/>
          <w:bCs/>
          <w:sz w:val="28"/>
          <w:szCs w:val="28"/>
        </w:rPr>
        <w:lastRenderedPageBreak/>
        <w:t>Table of Contents</w:t>
      </w:r>
    </w:p>
    <w:sdt>
      <w:sdtPr>
        <w:alias w:val="Table of Contents"/>
        <w:id w:val="-234475516"/>
      </w:sdtPr>
      <w:sdtEndPr>
        <w:rPr>
          <w:color w:val="2E74B5"/>
          <w:sz w:val="32"/>
          <w:szCs w:val="32"/>
        </w:rPr>
      </w:sdtEndPr>
      <w:sdtContent>
        <w:p w:rsidR="00DB34C4" w:rsidRDefault="00DB34C4" w:rsidP="00DB34C4">
          <w:pPr>
            <w:pStyle w:val="TOC1"/>
            <w:tabs>
              <w:tab w:val="right" w:leader="dot" w:pos="9016"/>
            </w:tabs>
          </w:pPr>
        </w:p>
        <w:p w:rsidR="008932E5" w:rsidRDefault="00DB34C4">
          <w:pPr>
            <w:pStyle w:val="TOC1"/>
            <w:tabs>
              <w:tab w:val="right" w:leader="dot" w:pos="9016"/>
            </w:tabs>
            <w:rPr>
              <w:rFonts w:asciiTheme="minorHAnsi" w:eastAsiaTheme="minorEastAsia" w:hAnsiTheme="minorHAnsi" w:cstheme="minorBidi"/>
              <w:noProof/>
              <w:sz w:val="22"/>
              <w:szCs w:val="22"/>
            </w:rPr>
          </w:pPr>
          <w:r>
            <w:fldChar w:fldCharType="begin"/>
          </w:r>
          <w:r>
            <w:instrText>TOC \h \o "1-2"</w:instrText>
          </w:r>
          <w:r>
            <w:fldChar w:fldCharType="separate"/>
          </w:r>
          <w:hyperlink w:anchor="_Toc235049274" w:history="1">
            <w:r w:rsidR="008932E5" w:rsidRPr="00A10B92">
              <w:rPr>
                <w:rStyle w:val="Hyperlink"/>
                <w:b/>
                <w:bCs/>
                <w:noProof/>
              </w:rPr>
              <w:t>Introduction</w:t>
            </w:r>
            <w:r w:rsidR="008932E5">
              <w:rPr>
                <w:noProof/>
              </w:rPr>
              <w:tab/>
            </w:r>
            <w:r w:rsidR="008932E5">
              <w:rPr>
                <w:noProof/>
              </w:rPr>
              <w:fldChar w:fldCharType="begin"/>
            </w:r>
            <w:r w:rsidR="008932E5">
              <w:rPr>
                <w:noProof/>
              </w:rPr>
              <w:instrText xml:space="preserve"> PAGEREF _Toc235049274 \h </w:instrText>
            </w:r>
            <w:r w:rsidR="008932E5">
              <w:rPr>
                <w:noProof/>
              </w:rPr>
            </w:r>
            <w:r w:rsidR="008932E5">
              <w:rPr>
                <w:noProof/>
              </w:rPr>
              <w:fldChar w:fldCharType="separate"/>
            </w:r>
            <w:r w:rsidR="008932E5">
              <w:rPr>
                <w:noProof/>
              </w:rPr>
              <w:t>3</w:t>
            </w:r>
            <w:r w:rsidR="008932E5">
              <w:rPr>
                <w:noProof/>
              </w:rPr>
              <w:fldChar w:fldCharType="end"/>
            </w:r>
          </w:hyperlink>
        </w:p>
        <w:p w:rsidR="008932E5" w:rsidRDefault="008932E5">
          <w:pPr>
            <w:pStyle w:val="TOC1"/>
            <w:tabs>
              <w:tab w:val="right" w:leader="dot" w:pos="9016"/>
            </w:tabs>
            <w:rPr>
              <w:rFonts w:asciiTheme="minorHAnsi" w:eastAsiaTheme="minorEastAsia" w:hAnsiTheme="minorHAnsi" w:cstheme="minorBidi"/>
              <w:noProof/>
              <w:sz w:val="22"/>
              <w:szCs w:val="22"/>
            </w:rPr>
          </w:pPr>
          <w:hyperlink w:anchor="_Toc235049275" w:history="1">
            <w:r w:rsidRPr="00A10B92">
              <w:rPr>
                <w:rStyle w:val="Hyperlink"/>
                <w:b/>
                <w:bCs/>
                <w:noProof/>
              </w:rPr>
              <w:t>Task A: Socialisation, Identity &amp; Business Activism</w:t>
            </w:r>
            <w:r>
              <w:rPr>
                <w:noProof/>
              </w:rPr>
              <w:tab/>
            </w:r>
            <w:r>
              <w:rPr>
                <w:noProof/>
              </w:rPr>
              <w:fldChar w:fldCharType="begin"/>
            </w:r>
            <w:r>
              <w:rPr>
                <w:noProof/>
              </w:rPr>
              <w:instrText xml:space="preserve"> PAGEREF _Toc235049275 \h </w:instrText>
            </w:r>
            <w:r>
              <w:rPr>
                <w:noProof/>
              </w:rPr>
            </w:r>
            <w:r>
              <w:rPr>
                <w:noProof/>
              </w:rPr>
              <w:fldChar w:fldCharType="separate"/>
            </w:r>
            <w:r>
              <w:rPr>
                <w:noProof/>
              </w:rPr>
              <w:t>3</w:t>
            </w:r>
            <w:r>
              <w:rPr>
                <w:noProof/>
              </w:rPr>
              <w:fldChar w:fldCharType="end"/>
            </w:r>
          </w:hyperlink>
        </w:p>
        <w:p w:rsidR="008932E5" w:rsidRDefault="008932E5">
          <w:pPr>
            <w:pStyle w:val="TOC2"/>
            <w:tabs>
              <w:tab w:val="right" w:leader="dot" w:pos="9016"/>
            </w:tabs>
            <w:rPr>
              <w:rFonts w:asciiTheme="minorHAnsi" w:eastAsiaTheme="minorEastAsia" w:hAnsiTheme="minorHAnsi" w:cstheme="minorBidi"/>
              <w:noProof/>
              <w:sz w:val="22"/>
              <w:szCs w:val="22"/>
            </w:rPr>
          </w:pPr>
          <w:hyperlink w:anchor="_Toc235049276" w:history="1">
            <w:r w:rsidRPr="00A10B92">
              <w:rPr>
                <w:rStyle w:val="Hyperlink"/>
                <w:b/>
                <w:bCs/>
                <w:noProof/>
              </w:rPr>
              <w:t>1. Critical Evaluation of Traditional on boarding versus Strategic Organisational Socialisation</w:t>
            </w:r>
            <w:r>
              <w:rPr>
                <w:noProof/>
              </w:rPr>
              <w:tab/>
            </w:r>
            <w:r>
              <w:rPr>
                <w:noProof/>
              </w:rPr>
              <w:fldChar w:fldCharType="begin"/>
            </w:r>
            <w:r>
              <w:rPr>
                <w:noProof/>
              </w:rPr>
              <w:instrText xml:space="preserve"> PAGEREF _Toc235049276 \h </w:instrText>
            </w:r>
            <w:r>
              <w:rPr>
                <w:noProof/>
              </w:rPr>
            </w:r>
            <w:r>
              <w:rPr>
                <w:noProof/>
              </w:rPr>
              <w:fldChar w:fldCharType="separate"/>
            </w:r>
            <w:r>
              <w:rPr>
                <w:noProof/>
              </w:rPr>
              <w:t>3</w:t>
            </w:r>
            <w:r>
              <w:rPr>
                <w:noProof/>
              </w:rPr>
              <w:fldChar w:fldCharType="end"/>
            </w:r>
          </w:hyperlink>
        </w:p>
        <w:p w:rsidR="008932E5" w:rsidRDefault="008932E5">
          <w:pPr>
            <w:pStyle w:val="TOC2"/>
            <w:tabs>
              <w:tab w:val="right" w:leader="dot" w:pos="9016"/>
            </w:tabs>
            <w:rPr>
              <w:rFonts w:asciiTheme="minorHAnsi" w:eastAsiaTheme="minorEastAsia" w:hAnsiTheme="minorHAnsi" w:cstheme="minorBidi"/>
              <w:noProof/>
              <w:sz w:val="22"/>
              <w:szCs w:val="22"/>
            </w:rPr>
          </w:pPr>
          <w:hyperlink w:anchor="_Toc235049277" w:history="1">
            <w:r w:rsidRPr="00A10B92">
              <w:rPr>
                <w:rStyle w:val="Hyperlink"/>
                <w:b/>
                <w:bCs/>
                <w:noProof/>
              </w:rPr>
              <w:t>2. A Context-Sensitive Socialisation Framework for Helios Urban Mobility</w:t>
            </w:r>
            <w:r>
              <w:rPr>
                <w:noProof/>
              </w:rPr>
              <w:tab/>
            </w:r>
            <w:r>
              <w:rPr>
                <w:noProof/>
              </w:rPr>
              <w:fldChar w:fldCharType="begin"/>
            </w:r>
            <w:r>
              <w:rPr>
                <w:noProof/>
              </w:rPr>
              <w:instrText xml:space="preserve"> PAGEREF _Toc235049277 \h </w:instrText>
            </w:r>
            <w:r>
              <w:rPr>
                <w:noProof/>
              </w:rPr>
            </w:r>
            <w:r>
              <w:rPr>
                <w:noProof/>
              </w:rPr>
              <w:fldChar w:fldCharType="separate"/>
            </w:r>
            <w:r>
              <w:rPr>
                <w:noProof/>
              </w:rPr>
              <w:t>4</w:t>
            </w:r>
            <w:r>
              <w:rPr>
                <w:noProof/>
              </w:rPr>
              <w:fldChar w:fldCharType="end"/>
            </w:r>
          </w:hyperlink>
        </w:p>
        <w:p w:rsidR="008932E5" w:rsidRDefault="008932E5">
          <w:pPr>
            <w:pStyle w:val="TOC2"/>
            <w:tabs>
              <w:tab w:val="right" w:leader="dot" w:pos="9016"/>
            </w:tabs>
            <w:rPr>
              <w:rFonts w:asciiTheme="minorHAnsi" w:eastAsiaTheme="minorEastAsia" w:hAnsiTheme="minorHAnsi" w:cstheme="minorBidi"/>
              <w:noProof/>
              <w:sz w:val="22"/>
              <w:szCs w:val="22"/>
            </w:rPr>
          </w:pPr>
          <w:hyperlink w:anchor="_Toc235049278" w:history="1">
            <w:r w:rsidRPr="00A10B92">
              <w:rPr>
                <w:rStyle w:val="Hyperlink"/>
                <w:b/>
                <w:bCs/>
                <w:noProof/>
              </w:rPr>
              <w:t>3. Mechanisms for Cultivating Organisational Identification, Ethical Professionalism and the Business-Activist Mind set</w:t>
            </w:r>
            <w:r>
              <w:rPr>
                <w:noProof/>
              </w:rPr>
              <w:tab/>
            </w:r>
            <w:r>
              <w:rPr>
                <w:noProof/>
              </w:rPr>
              <w:fldChar w:fldCharType="begin"/>
            </w:r>
            <w:r>
              <w:rPr>
                <w:noProof/>
              </w:rPr>
              <w:instrText xml:space="preserve"> PAGEREF _Toc235049278 \h </w:instrText>
            </w:r>
            <w:r>
              <w:rPr>
                <w:noProof/>
              </w:rPr>
            </w:r>
            <w:r>
              <w:rPr>
                <w:noProof/>
              </w:rPr>
              <w:fldChar w:fldCharType="separate"/>
            </w:r>
            <w:r>
              <w:rPr>
                <w:noProof/>
              </w:rPr>
              <w:t>6</w:t>
            </w:r>
            <w:r>
              <w:rPr>
                <w:noProof/>
              </w:rPr>
              <w:fldChar w:fldCharType="end"/>
            </w:r>
          </w:hyperlink>
        </w:p>
        <w:p w:rsidR="008932E5" w:rsidRDefault="008932E5">
          <w:pPr>
            <w:pStyle w:val="TOC1"/>
            <w:tabs>
              <w:tab w:val="right" w:leader="dot" w:pos="9016"/>
            </w:tabs>
            <w:rPr>
              <w:rFonts w:asciiTheme="minorHAnsi" w:eastAsiaTheme="minorEastAsia" w:hAnsiTheme="minorHAnsi" w:cstheme="minorBidi"/>
              <w:noProof/>
              <w:sz w:val="22"/>
              <w:szCs w:val="22"/>
            </w:rPr>
          </w:pPr>
          <w:hyperlink w:anchor="_Toc235049279" w:history="1">
            <w:r w:rsidRPr="00A10B92">
              <w:rPr>
                <w:rStyle w:val="Hyperlink"/>
                <w:b/>
                <w:bCs/>
                <w:noProof/>
              </w:rPr>
              <w:t>Task B: Job Design</w:t>
            </w:r>
            <w:r>
              <w:rPr>
                <w:noProof/>
              </w:rPr>
              <w:tab/>
            </w:r>
            <w:r>
              <w:rPr>
                <w:noProof/>
              </w:rPr>
              <w:fldChar w:fldCharType="begin"/>
            </w:r>
            <w:r>
              <w:rPr>
                <w:noProof/>
              </w:rPr>
              <w:instrText xml:space="preserve"> PAGEREF _Toc235049279 \h </w:instrText>
            </w:r>
            <w:r>
              <w:rPr>
                <w:noProof/>
              </w:rPr>
            </w:r>
            <w:r>
              <w:rPr>
                <w:noProof/>
              </w:rPr>
              <w:fldChar w:fldCharType="separate"/>
            </w:r>
            <w:r>
              <w:rPr>
                <w:noProof/>
              </w:rPr>
              <w:t>7</w:t>
            </w:r>
            <w:r>
              <w:rPr>
                <w:noProof/>
              </w:rPr>
              <w:fldChar w:fldCharType="end"/>
            </w:r>
          </w:hyperlink>
        </w:p>
        <w:p w:rsidR="008932E5" w:rsidRDefault="008932E5">
          <w:pPr>
            <w:pStyle w:val="TOC2"/>
            <w:tabs>
              <w:tab w:val="right" w:leader="dot" w:pos="9016"/>
            </w:tabs>
            <w:rPr>
              <w:rFonts w:asciiTheme="minorHAnsi" w:eastAsiaTheme="minorEastAsia" w:hAnsiTheme="minorHAnsi" w:cstheme="minorBidi"/>
              <w:noProof/>
              <w:sz w:val="22"/>
              <w:szCs w:val="22"/>
            </w:rPr>
          </w:pPr>
          <w:hyperlink w:anchor="_Toc235049280" w:history="1">
            <w:r w:rsidRPr="00A10B92">
              <w:rPr>
                <w:rStyle w:val="Hyperlink"/>
                <w:b/>
                <w:bCs/>
                <w:noProof/>
              </w:rPr>
              <w:t>1. Innovative Job-Design Strategy</w:t>
            </w:r>
            <w:r>
              <w:rPr>
                <w:noProof/>
              </w:rPr>
              <w:tab/>
            </w:r>
            <w:r>
              <w:rPr>
                <w:noProof/>
              </w:rPr>
              <w:fldChar w:fldCharType="begin"/>
            </w:r>
            <w:r>
              <w:rPr>
                <w:noProof/>
              </w:rPr>
              <w:instrText xml:space="preserve"> PAGEREF _Toc235049280 \h </w:instrText>
            </w:r>
            <w:r>
              <w:rPr>
                <w:noProof/>
              </w:rPr>
            </w:r>
            <w:r>
              <w:rPr>
                <w:noProof/>
              </w:rPr>
              <w:fldChar w:fldCharType="separate"/>
            </w:r>
            <w:r>
              <w:rPr>
                <w:noProof/>
              </w:rPr>
              <w:t>7</w:t>
            </w:r>
            <w:r>
              <w:rPr>
                <w:noProof/>
              </w:rPr>
              <w:fldChar w:fldCharType="end"/>
            </w:r>
          </w:hyperlink>
        </w:p>
        <w:p w:rsidR="008932E5" w:rsidRDefault="008932E5">
          <w:pPr>
            <w:pStyle w:val="TOC2"/>
            <w:tabs>
              <w:tab w:val="right" w:leader="dot" w:pos="9016"/>
            </w:tabs>
            <w:rPr>
              <w:rFonts w:asciiTheme="minorHAnsi" w:eastAsiaTheme="minorEastAsia" w:hAnsiTheme="minorHAnsi" w:cstheme="minorBidi"/>
              <w:noProof/>
              <w:sz w:val="22"/>
              <w:szCs w:val="22"/>
            </w:rPr>
          </w:pPr>
          <w:hyperlink w:anchor="_Toc235049281" w:history="1">
            <w:r w:rsidRPr="00A10B92">
              <w:rPr>
                <w:rStyle w:val="Hyperlink"/>
                <w:b/>
                <w:bCs/>
                <w:noProof/>
              </w:rPr>
              <w:t>2. Stimulating Intrinsic Motivation and Supporting Innovation</w:t>
            </w:r>
            <w:r>
              <w:rPr>
                <w:noProof/>
              </w:rPr>
              <w:tab/>
            </w:r>
            <w:r>
              <w:rPr>
                <w:noProof/>
              </w:rPr>
              <w:fldChar w:fldCharType="begin"/>
            </w:r>
            <w:r>
              <w:rPr>
                <w:noProof/>
              </w:rPr>
              <w:instrText xml:space="preserve"> PAGEREF _Toc235049281 \h </w:instrText>
            </w:r>
            <w:r>
              <w:rPr>
                <w:noProof/>
              </w:rPr>
            </w:r>
            <w:r>
              <w:rPr>
                <w:noProof/>
              </w:rPr>
              <w:fldChar w:fldCharType="separate"/>
            </w:r>
            <w:r>
              <w:rPr>
                <w:noProof/>
              </w:rPr>
              <w:t>8</w:t>
            </w:r>
            <w:r>
              <w:rPr>
                <w:noProof/>
              </w:rPr>
              <w:fldChar w:fldCharType="end"/>
            </w:r>
          </w:hyperlink>
        </w:p>
        <w:p w:rsidR="008932E5" w:rsidRDefault="008932E5">
          <w:pPr>
            <w:pStyle w:val="TOC1"/>
            <w:tabs>
              <w:tab w:val="right" w:leader="dot" w:pos="9016"/>
            </w:tabs>
            <w:rPr>
              <w:rFonts w:asciiTheme="minorHAnsi" w:eastAsiaTheme="minorEastAsia" w:hAnsiTheme="minorHAnsi" w:cstheme="minorBidi"/>
              <w:noProof/>
              <w:sz w:val="22"/>
              <w:szCs w:val="22"/>
            </w:rPr>
          </w:pPr>
          <w:hyperlink w:anchor="_Toc235049282" w:history="1">
            <w:r w:rsidRPr="00A10B92">
              <w:rPr>
                <w:rStyle w:val="Hyperlink"/>
                <w:b/>
                <w:bCs/>
                <w:noProof/>
              </w:rPr>
              <w:t>Task C: Reflective Report</w:t>
            </w:r>
            <w:r>
              <w:rPr>
                <w:noProof/>
              </w:rPr>
              <w:tab/>
            </w:r>
            <w:r>
              <w:rPr>
                <w:noProof/>
              </w:rPr>
              <w:fldChar w:fldCharType="begin"/>
            </w:r>
            <w:r>
              <w:rPr>
                <w:noProof/>
              </w:rPr>
              <w:instrText xml:space="preserve"> PAGEREF _Toc235049282 \h </w:instrText>
            </w:r>
            <w:r>
              <w:rPr>
                <w:noProof/>
              </w:rPr>
            </w:r>
            <w:r>
              <w:rPr>
                <w:noProof/>
              </w:rPr>
              <w:fldChar w:fldCharType="separate"/>
            </w:r>
            <w:r>
              <w:rPr>
                <w:noProof/>
              </w:rPr>
              <w:t>9</w:t>
            </w:r>
            <w:r>
              <w:rPr>
                <w:noProof/>
              </w:rPr>
              <w:fldChar w:fldCharType="end"/>
            </w:r>
          </w:hyperlink>
        </w:p>
        <w:p w:rsidR="008932E5" w:rsidRDefault="008932E5">
          <w:pPr>
            <w:pStyle w:val="TOC2"/>
            <w:tabs>
              <w:tab w:val="right" w:leader="dot" w:pos="9016"/>
            </w:tabs>
            <w:rPr>
              <w:rFonts w:asciiTheme="minorHAnsi" w:eastAsiaTheme="minorEastAsia" w:hAnsiTheme="minorHAnsi" w:cstheme="minorBidi"/>
              <w:noProof/>
              <w:sz w:val="22"/>
              <w:szCs w:val="22"/>
            </w:rPr>
          </w:pPr>
          <w:hyperlink w:anchor="_Toc235049283" w:history="1">
            <w:r w:rsidRPr="00A10B92">
              <w:rPr>
                <w:rStyle w:val="Hyperlink"/>
                <w:b/>
                <w:bCs/>
                <w:noProof/>
              </w:rPr>
              <w:t>1. Using AI as a Decision-Support Tool without Eroding Critical Human Judgement</w:t>
            </w:r>
            <w:r>
              <w:rPr>
                <w:noProof/>
              </w:rPr>
              <w:tab/>
            </w:r>
            <w:r>
              <w:rPr>
                <w:noProof/>
              </w:rPr>
              <w:fldChar w:fldCharType="begin"/>
            </w:r>
            <w:r>
              <w:rPr>
                <w:noProof/>
              </w:rPr>
              <w:instrText xml:space="preserve"> PAGEREF _Toc235049283 \h </w:instrText>
            </w:r>
            <w:r>
              <w:rPr>
                <w:noProof/>
              </w:rPr>
            </w:r>
            <w:r>
              <w:rPr>
                <w:noProof/>
              </w:rPr>
              <w:fldChar w:fldCharType="separate"/>
            </w:r>
            <w:r>
              <w:rPr>
                <w:noProof/>
              </w:rPr>
              <w:t>9</w:t>
            </w:r>
            <w:r>
              <w:rPr>
                <w:noProof/>
              </w:rPr>
              <w:fldChar w:fldCharType="end"/>
            </w:r>
          </w:hyperlink>
        </w:p>
        <w:p w:rsidR="008932E5" w:rsidRDefault="008932E5">
          <w:pPr>
            <w:pStyle w:val="TOC2"/>
            <w:tabs>
              <w:tab w:val="right" w:leader="dot" w:pos="9016"/>
            </w:tabs>
            <w:rPr>
              <w:rFonts w:asciiTheme="minorHAnsi" w:eastAsiaTheme="minorEastAsia" w:hAnsiTheme="minorHAnsi" w:cstheme="minorBidi"/>
              <w:noProof/>
              <w:sz w:val="22"/>
              <w:szCs w:val="22"/>
            </w:rPr>
          </w:pPr>
          <w:hyperlink w:anchor="_Toc235049284" w:history="1">
            <w:r w:rsidRPr="00A10B92">
              <w:rPr>
                <w:rStyle w:val="Hyperlink"/>
                <w:b/>
                <w:bCs/>
                <w:noProof/>
              </w:rPr>
              <w:t>2. Personal Capability Development Plan</w:t>
            </w:r>
            <w:r>
              <w:rPr>
                <w:noProof/>
              </w:rPr>
              <w:tab/>
            </w:r>
            <w:r>
              <w:rPr>
                <w:noProof/>
              </w:rPr>
              <w:fldChar w:fldCharType="begin"/>
            </w:r>
            <w:r>
              <w:rPr>
                <w:noProof/>
              </w:rPr>
              <w:instrText xml:space="preserve"> PAGEREF _Toc235049284 \h </w:instrText>
            </w:r>
            <w:r>
              <w:rPr>
                <w:noProof/>
              </w:rPr>
            </w:r>
            <w:r>
              <w:rPr>
                <w:noProof/>
              </w:rPr>
              <w:fldChar w:fldCharType="separate"/>
            </w:r>
            <w:r>
              <w:rPr>
                <w:noProof/>
              </w:rPr>
              <w:t>9</w:t>
            </w:r>
            <w:r>
              <w:rPr>
                <w:noProof/>
              </w:rPr>
              <w:fldChar w:fldCharType="end"/>
            </w:r>
          </w:hyperlink>
        </w:p>
        <w:p w:rsidR="008932E5" w:rsidRDefault="008932E5">
          <w:pPr>
            <w:pStyle w:val="TOC1"/>
            <w:tabs>
              <w:tab w:val="right" w:leader="dot" w:pos="9016"/>
            </w:tabs>
            <w:rPr>
              <w:rFonts w:asciiTheme="minorHAnsi" w:eastAsiaTheme="minorEastAsia" w:hAnsiTheme="minorHAnsi" w:cstheme="minorBidi"/>
              <w:noProof/>
              <w:sz w:val="22"/>
              <w:szCs w:val="22"/>
            </w:rPr>
          </w:pPr>
          <w:hyperlink w:anchor="_Toc235049285" w:history="1">
            <w:r w:rsidRPr="00A10B92">
              <w:rPr>
                <w:rStyle w:val="Hyperlink"/>
                <w:b/>
                <w:bCs/>
                <w:noProof/>
              </w:rPr>
              <w:t>Conclusion</w:t>
            </w:r>
            <w:r>
              <w:rPr>
                <w:noProof/>
              </w:rPr>
              <w:tab/>
            </w:r>
            <w:r>
              <w:rPr>
                <w:noProof/>
              </w:rPr>
              <w:fldChar w:fldCharType="begin"/>
            </w:r>
            <w:r>
              <w:rPr>
                <w:noProof/>
              </w:rPr>
              <w:instrText xml:space="preserve"> PAGEREF _Toc235049285 \h </w:instrText>
            </w:r>
            <w:r>
              <w:rPr>
                <w:noProof/>
              </w:rPr>
            </w:r>
            <w:r>
              <w:rPr>
                <w:noProof/>
              </w:rPr>
              <w:fldChar w:fldCharType="separate"/>
            </w:r>
            <w:r>
              <w:rPr>
                <w:noProof/>
              </w:rPr>
              <w:t>11</w:t>
            </w:r>
            <w:r>
              <w:rPr>
                <w:noProof/>
              </w:rPr>
              <w:fldChar w:fldCharType="end"/>
            </w:r>
          </w:hyperlink>
        </w:p>
        <w:p w:rsidR="008932E5" w:rsidRDefault="008932E5">
          <w:pPr>
            <w:pStyle w:val="TOC1"/>
            <w:tabs>
              <w:tab w:val="right" w:leader="dot" w:pos="9016"/>
            </w:tabs>
            <w:rPr>
              <w:rFonts w:asciiTheme="minorHAnsi" w:eastAsiaTheme="minorEastAsia" w:hAnsiTheme="minorHAnsi" w:cstheme="minorBidi"/>
              <w:noProof/>
              <w:sz w:val="22"/>
              <w:szCs w:val="22"/>
            </w:rPr>
          </w:pPr>
          <w:hyperlink w:anchor="_Toc235049286" w:history="1">
            <w:r w:rsidRPr="00A10B92">
              <w:rPr>
                <w:rStyle w:val="Hyperlink"/>
                <w:b/>
                <w:bCs/>
                <w:noProof/>
              </w:rPr>
              <w:t>References</w:t>
            </w:r>
            <w:r>
              <w:rPr>
                <w:noProof/>
              </w:rPr>
              <w:tab/>
            </w:r>
            <w:r>
              <w:rPr>
                <w:noProof/>
              </w:rPr>
              <w:fldChar w:fldCharType="begin"/>
            </w:r>
            <w:r>
              <w:rPr>
                <w:noProof/>
              </w:rPr>
              <w:instrText xml:space="preserve"> PAGEREF _Toc235049286 \h </w:instrText>
            </w:r>
            <w:r>
              <w:rPr>
                <w:noProof/>
              </w:rPr>
            </w:r>
            <w:r>
              <w:rPr>
                <w:noProof/>
              </w:rPr>
              <w:fldChar w:fldCharType="separate"/>
            </w:r>
            <w:r>
              <w:rPr>
                <w:noProof/>
              </w:rPr>
              <w:t>12</w:t>
            </w:r>
            <w:r>
              <w:rPr>
                <w:noProof/>
              </w:rPr>
              <w:fldChar w:fldCharType="end"/>
            </w:r>
          </w:hyperlink>
        </w:p>
        <w:p w:rsidR="00C56327" w:rsidRDefault="00DB34C4" w:rsidP="00DB34C4">
          <w:pPr>
            <w:pStyle w:val="Heading1"/>
            <w:spacing w:before="300" w:after="180" w:line="360" w:lineRule="auto"/>
            <w:rPr>
              <w:b/>
              <w:bCs/>
              <w:color w:val="1F4E79"/>
              <w:sz w:val="28"/>
              <w:szCs w:val="28"/>
            </w:rPr>
          </w:pPr>
          <w:r>
            <w:fldChar w:fldCharType="end"/>
          </w:r>
        </w:p>
      </w:sdtContent>
    </w:sdt>
    <w:p w:rsidR="00C56327" w:rsidRDefault="00C56327" w:rsidP="00CA3AF1">
      <w:pPr>
        <w:pStyle w:val="Heading1"/>
        <w:spacing w:before="300" w:after="180" w:line="360" w:lineRule="auto"/>
        <w:rPr>
          <w:b/>
          <w:bCs/>
          <w:color w:val="1F4E79"/>
          <w:sz w:val="28"/>
          <w:szCs w:val="28"/>
        </w:rPr>
      </w:pPr>
    </w:p>
    <w:p w:rsidR="00C56327" w:rsidRDefault="00C56327" w:rsidP="00CA3AF1">
      <w:pPr>
        <w:pStyle w:val="Heading1"/>
        <w:spacing w:before="300" w:after="180" w:line="360" w:lineRule="auto"/>
        <w:rPr>
          <w:b/>
          <w:bCs/>
          <w:color w:val="1F4E79"/>
          <w:sz w:val="28"/>
          <w:szCs w:val="28"/>
        </w:rPr>
      </w:pPr>
    </w:p>
    <w:p w:rsidR="00C56327" w:rsidRDefault="00C56327" w:rsidP="00CA3AF1">
      <w:pPr>
        <w:pStyle w:val="Heading1"/>
        <w:spacing w:before="300" w:after="180" w:line="360" w:lineRule="auto"/>
        <w:rPr>
          <w:b/>
          <w:bCs/>
          <w:color w:val="1F4E79"/>
          <w:sz w:val="28"/>
          <w:szCs w:val="28"/>
        </w:rPr>
      </w:pPr>
      <w:bookmarkStart w:id="0" w:name="_GoBack"/>
      <w:bookmarkEnd w:id="0"/>
    </w:p>
    <w:p w:rsidR="00C56327" w:rsidRDefault="00C56327" w:rsidP="00CA3AF1">
      <w:pPr>
        <w:pStyle w:val="Heading1"/>
        <w:spacing w:before="300" w:after="180" w:line="360" w:lineRule="auto"/>
        <w:rPr>
          <w:b/>
          <w:bCs/>
          <w:color w:val="1F4E79"/>
          <w:sz w:val="28"/>
          <w:szCs w:val="28"/>
        </w:rPr>
      </w:pPr>
    </w:p>
    <w:p w:rsidR="00C56327" w:rsidRDefault="00C56327" w:rsidP="00CA3AF1">
      <w:pPr>
        <w:pStyle w:val="Heading1"/>
        <w:spacing w:before="300" w:after="180" w:line="360" w:lineRule="auto"/>
        <w:rPr>
          <w:b/>
          <w:bCs/>
          <w:color w:val="1F4E79"/>
          <w:sz w:val="28"/>
          <w:szCs w:val="28"/>
        </w:rPr>
      </w:pPr>
    </w:p>
    <w:p w:rsidR="00C56327" w:rsidRDefault="00C56327" w:rsidP="00CA3AF1">
      <w:pPr>
        <w:pStyle w:val="Heading1"/>
        <w:spacing w:before="300" w:after="180" w:line="360" w:lineRule="auto"/>
        <w:rPr>
          <w:b/>
          <w:bCs/>
          <w:color w:val="1F4E79"/>
          <w:sz w:val="28"/>
          <w:szCs w:val="28"/>
        </w:rPr>
      </w:pPr>
    </w:p>
    <w:p w:rsidR="00C56327" w:rsidRDefault="00C56327" w:rsidP="00CA3AF1">
      <w:pPr>
        <w:pStyle w:val="Heading1"/>
        <w:spacing w:before="300" w:after="180" w:line="360" w:lineRule="auto"/>
        <w:rPr>
          <w:b/>
          <w:bCs/>
          <w:color w:val="1F4E79"/>
          <w:sz w:val="28"/>
          <w:szCs w:val="28"/>
        </w:rPr>
      </w:pPr>
    </w:p>
    <w:p w:rsidR="00C56327" w:rsidRDefault="00C56327" w:rsidP="00CA3AF1">
      <w:pPr>
        <w:pStyle w:val="Heading1"/>
        <w:spacing w:before="300" w:after="180" w:line="360" w:lineRule="auto"/>
        <w:rPr>
          <w:b/>
          <w:bCs/>
          <w:color w:val="1F4E79"/>
          <w:sz w:val="28"/>
          <w:szCs w:val="28"/>
        </w:rPr>
      </w:pPr>
    </w:p>
    <w:p w:rsidR="00CA3AF1" w:rsidRPr="00E75474" w:rsidRDefault="00CA3AF1" w:rsidP="00CA3AF1">
      <w:pPr>
        <w:pStyle w:val="Heading1"/>
        <w:spacing w:before="300" w:after="180" w:line="360" w:lineRule="auto"/>
        <w:rPr>
          <w:color w:val="000000" w:themeColor="text1"/>
          <w:sz w:val="28"/>
          <w:szCs w:val="28"/>
        </w:rPr>
      </w:pPr>
      <w:bookmarkStart w:id="1" w:name="_Toc235049274"/>
      <w:r w:rsidRPr="00E75474">
        <w:rPr>
          <w:b/>
          <w:bCs/>
          <w:color w:val="000000" w:themeColor="text1"/>
          <w:sz w:val="28"/>
          <w:szCs w:val="28"/>
        </w:rPr>
        <w:lastRenderedPageBreak/>
        <w:t>Introduction</w:t>
      </w:r>
      <w:bookmarkEnd w:id="1"/>
    </w:p>
    <w:p w:rsidR="00CA3AF1" w:rsidRDefault="00CA3AF1" w:rsidP="00C56327">
      <w:pPr>
        <w:spacing w:after="160" w:line="360" w:lineRule="auto"/>
        <w:jc w:val="both"/>
      </w:pPr>
      <w:r>
        <w:t>Helios Urban Mobility (HUM) is a European smart-transport start-up with 450 employees across London, Berlin and Singapore. It develops AI-enabled mobility systems but faces key challenges after rapid growth: eight-month new-hire ramp-up, 54% engagement and high graduate attrition. These threaten innovation and strategic renewal.</w:t>
      </w:r>
    </w:p>
    <w:p w:rsidR="00CA3AF1" w:rsidRDefault="00CA3AF1" w:rsidP="00CA3AF1">
      <w:pPr>
        <w:spacing w:after="160" w:line="360" w:lineRule="auto"/>
        <w:jc w:val="both"/>
      </w:pPr>
      <w:r>
        <w:t xml:space="preserve">As external Strategic Human Capital Advisor, this report designs an integrated architecture. Task A evaluates traditional </w:t>
      </w:r>
      <w:r w:rsidR="00C56327">
        <w:t>on boarding</w:t>
      </w:r>
      <w:r>
        <w:t xml:space="preserve"> </w:t>
      </w:r>
      <w:proofErr w:type="spellStart"/>
      <w:r>
        <w:t>vs</w:t>
      </w:r>
      <w:proofErr w:type="spellEnd"/>
      <w:r>
        <w:t xml:space="preserve"> strategic socialisation (Van </w:t>
      </w:r>
      <w:proofErr w:type="spellStart"/>
      <w:r>
        <w:t>Maanen</w:t>
      </w:r>
      <w:proofErr w:type="spellEnd"/>
      <w:r>
        <w:t xml:space="preserve"> &amp; Schein, psychological contract, identity perspectives), proposes a three-phase framework and mechanisms for identification, ethics and activist </w:t>
      </w:r>
      <w:r w:rsidR="00C56327">
        <w:t>mind set</w:t>
      </w:r>
      <w:r>
        <w:t>. Task B integrates Job Characteristics Model, job crafting and skills-based marketplaces for motivation and innovation. Task C reflects on responsible AI use in HR decisions and a realistic personal development plan.</w:t>
      </w:r>
    </w:p>
    <w:p w:rsidR="00CA3AF1" w:rsidRDefault="00CA3AF1" w:rsidP="00CA3AF1">
      <w:pPr>
        <w:spacing w:after="160" w:line="360" w:lineRule="auto"/>
        <w:jc w:val="both"/>
      </w:pPr>
      <w:r>
        <w:t>The recommendations are grounded in recent scholarship (2020–2026) and seminal works, with critical attention to the specific context of a multi-site European tech scale-up. They aim to deliver practical improvements while demonstrating the originality, critical awareness and self-direction expected at Level 7.</w:t>
      </w:r>
    </w:p>
    <w:p w:rsidR="00CA3AF1" w:rsidRPr="00E75474" w:rsidRDefault="00CA3AF1" w:rsidP="00CA3AF1">
      <w:pPr>
        <w:pStyle w:val="Heading1"/>
        <w:spacing w:before="300" w:after="180" w:line="360" w:lineRule="auto"/>
        <w:rPr>
          <w:color w:val="000000" w:themeColor="text1"/>
          <w:sz w:val="28"/>
          <w:szCs w:val="28"/>
        </w:rPr>
      </w:pPr>
      <w:bookmarkStart w:id="2" w:name="_Toc235049275"/>
      <w:r w:rsidRPr="00E75474">
        <w:rPr>
          <w:b/>
          <w:bCs/>
          <w:color w:val="000000" w:themeColor="text1"/>
          <w:sz w:val="28"/>
          <w:szCs w:val="28"/>
        </w:rPr>
        <w:t>Task A: Socialisation, Identity &amp; Business Activism</w:t>
      </w:r>
      <w:bookmarkEnd w:id="2"/>
    </w:p>
    <w:p w:rsidR="00CA3AF1" w:rsidRPr="00E75474" w:rsidRDefault="00CA3AF1" w:rsidP="00CA3AF1">
      <w:pPr>
        <w:pStyle w:val="Heading2"/>
        <w:spacing w:before="220" w:after="120" w:line="360" w:lineRule="auto"/>
        <w:rPr>
          <w:color w:val="000000" w:themeColor="text1"/>
        </w:rPr>
      </w:pPr>
      <w:bookmarkStart w:id="3" w:name="_Toc235049276"/>
      <w:r w:rsidRPr="00E75474">
        <w:rPr>
          <w:b/>
          <w:bCs/>
          <w:color w:val="000000" w:themeColor="text1"/>
        </w:rPr>
        <w:t xml:space="preserve">1. Critical Evaluation of Traditional </w:t>
      </w:r>
      <w:r w:rsidR="00C56327" w:rsidRPr="00E75474">
        <w:rPr>
          <w:b/>
          <w:bCs/>
          <w:color w:val="000000" w:themeColor="text1"/>
        </w:rPr>
        <w:t>on boarding</w:t>
      </w:r>
      <w:r w:rsidRPr="00E75474">
        <w:rPr>
          <w:b/>
          <w:bCs/>
          <w:color w:val="000000" w:themeColor="text1"/>
        </w:rPr>
        <w:t xml:space="preserve"> versus Strategic Organisational Socialisation</w:t>
      </w:r>
      <w:bookmarkEnd w:id="3"/>
    </w:p>
    <w:p w:rsidR="00CA3AF1" w:rsidRDefault="00CA3AF1" w:rsidP="00CA3AF1">
      <w:pPr>
        <w:spacing w:after="160" w:line="360" w:lineRule="auto"/>
        <w:jc w:val="both"/>
      </w:pPr>
      <w:r>
        <w:t xml:space="preserve">Traditional </w:t>
      </w:r>
      <w:r w:rsidR="00C56327">
        <w:t>on boarding</w:t>
      </w:r>
      <w:r>
        <w:t xml:space="preserve"> typically focuses on short-cycle administrative tasks such as compliance training, IT setup and basic introductions. While efficient for operational continuity, it often neglects deeper psychological and identity dynamics </w:t>
      </w:r>
      <w:r w:rsidR="00C56327">
        <w:t xml:space="preserve">that shape long-term commitment </w:t>
      </w:r>
      <w:r>
        <w:t>particularly problematic in fast-paced environments like HUM.</w:t>
      </w:r>
    </w:p>
    <w:p w:rsidR="00CA3AF1" w:rsidRDefault="00CA3AF1" w:rsidP="00CA3AF1">
      <w:pPr>
        <w:spacing w:after="160" w:line="360" w:lineRule="auto"/>
        <w:jc w:val="both"/>
      </w:pPr>
      <w:r>
        <w:t xml:space="preserve">Strategic organisational socialisation, building on the foundational typology of Van </w:t>
      </w:r>
      <w:proofErr w:type="spellStart"/>
      <w:r>
        <w:t>Maanen</w:t>
      </w:r>
      <w:proofErr w:type="spellEnd"/>
      <w:r>
        <w:t xml:space="preserve"> and Schein (1979), is a longer-term process of transitioning newcomers into effective insiders through deliberate tactics (collective/individual, formal/informal, etc.). Rec</w:t>
      </w:r>
      <w:r w:rsidR="00C56327">
        <w:t>ent peer-reviewed studies (example:</w:t>
      </w:r>
      <w:r>
        <w:t xml:space="preserve"> 2023–2025 research in the International Journal of Human Resource Management and Journal of Organizational </w:t>
      </w:r>
      <w:proofErr w:type="spellStart"/>
      <w:r>
        <w:t>Behavior</w:t>
      </w:r>
      <w:proofErr w:type="spellEnd"/>
      <w:r>
        <w:t xml:space="preserve">) affirm its value in tech and hybrid contexts but highlight </w:t>
      </w:r>
      <w:r>
        <w:lastRenderedPageBreak/>
        <w:t>limitations when applied to resource-constrained, multi-site European scale-ups. The model’s assumptions about stable structures, abundant mentors and cultural homogeneity do not fully align with HUM’s stretched HR capacity and varying norms across London, Berlin and Singapore.</w:t>
      </w:r>
    </w:p>
    <w:p w:rsidR="00CA3AF1" w:rsidRDefault="00CA3AF1" w:rsidP="00CA3AF1">
      <w:pPr>
        <w:spacing w:after="160" w:line="360" w:lineRule="auto"/>
        <w:jc w:val="both"/>
      </w:pPr>
      <w:r>
        <w:t xml:space="preserve">Psychological contract theory, building on Rousseau (1995) and extended in recent 2023–2025 peer-reviewed studies on hybrid and tech </w:t>
      </w:r>
      <w:r w:rsidR="00C56327">
        <w:t>on boarding (for instance,</w:t>
      </w:r>
      <w:r>
        <w:t xml:space="preserve"> in the International Journal of Human Resource Management), underscores t</w:t>
      </w:r>
      <w:r w:rsidR="00C56327">
        <w:t xml:space="preserve">hat unmet implicit expectations </w:t>
      </w:r>
      <w:r>
        <w:t>such as ra</w:t>
      </w:r>
      <w:r w:rsidR="00C56327">
        <w:t xml:space="preserve">pid impact and values alignment </w:t>
      </w:r>
      <w:r>
        <w:t xml:space="preserve">drive the observed disengagement and attrition. Identity-construction perspectives add that socialisation involves active </w:t>
      </w:r>
      <w:r w:rsidR="00C56327">
        <w:t>sense making</w:t>
      </w:r>
      <w:r>
        <w:t>; standardised approaches risk identity threat or misfit for graduates socialised into autonomous, purpose-driven work.</w:t>
      </w:r>
    </w:p>
    <w:p w:rsidR="00C56327" w:rsidRDefault="00C56327" w:rsidP="00C56327">
      <w:pPr>
        <w:spacing w:after="160" w:line="360" w:lineRule="auto"/>
        <w:jc w:val="both"/>
      </w:pPr>
      <w:r>
        <w:t>A hybrid, culturally responsive approach one that preserves the existing structure while integrating autonomy-supportive practices from pre-boarding therefore vital for HUM, representing a context-sensitive evolution of the classic framework.</w:t>
      </w:r>
    </w:p>
    <w:p w:rsidR="00C56327" w:rsidRDefault="00C56327" w:rsidP="00CA3AF1">
      <w:pPr>
        <w:spacing w:after="160" w:line="360" w:lineRule="auto"/>
        <w:jc w:val="both"/>
      </w:pPr>
    </w:p>
    <w:p w:rsidR="00CA3AF1" w:rsidRPr="00E75474" w:rsidRDefault="00CA3AF1" w:rsidP="00CA3AF1">
      <w:pPr>
        <w:pStyle w:val="Heading2"/>
        <w:spacing w:before="220" w:after="120" w:line="360" w:lineRule="auto"/>
        <w:rPr>
          <w:color w:val="000000" w:themeColor="text1"/>
        </w:rPr>
      </w:pPr>
      <w:bookmarkStart w:id="4" w:name="_Toc235049277"/>
      <w:r w:rsidRPr="00E75474">
        <w:rPr>
          <w:b/>
          <w:bCs/>
          <w:color w:val="000000" w:themeColor="text1"/>
        </w:rPr>
        <w:t>2. A Context-Sensitive Socialisation Framework for Helios Urban Mobility</w:t>
      </w:r>
      <w:bookmarkEnd w:id="4"/>
    </w:p>
    <w:p w:rsidR="00CA3AF1" w:rsidRDefault="00CA3AF1" w:rsidP="00CA3AF1">
      <w:pPr>
        <w:spacing w:after="160" w:line="360" w:lineRule="auto"/>
        <w:jc w:val="both"/>
      </w:pPr>
      <w:r>
        <w:t xml:space="preserve">I propose a three-phase, multi-modal framework calibrated to HUM’s multi-site realities and resource constraints. It draws on the foundational tactics of Van </w:t>
      </w:r>
      <w:proofErr w:type="spellStart"/>
      <w:r>
        <w:t>Maanen</w:t>
      </w:r>
      <w:proofErr w:type="spellEnd"/>
      <w:r>
        <w:t xml:space="preserve"> and Schein (1979) alongside recent empirical evidence (2023–2025) on psychological-contract formation during entry in hybrid and tech settings, emphasising early voice, cross-cultural support and structured yet flexible integration to accelerate adjustment and build commitment.</w:t>
      </w:r>
    </w:p>
    <w:p w:rsidR="00AF5570" w:rsidRDefault="00AF5570" w:rsidP="00CA3AF1">
      <w:pPr>
        <w:spacing w:after="160" w:line="360" w:lineRule="auto"/>
        <w:jc w:val="both"/>
      </w:pPr>
    </w:p>
    <w:p w:rsidR="00CA3AF1" w:rsidRPr="009E25B9" w:rsidRDefault="00CA3AF1" w:rsidP="00CA3AF1">
      <w:pPr>
        <w:spacing w:before="140" w:after="60"/>
        <w:jc w:val="center"/>
      </w:pPr>
      <w:r w:rsidRPr="009E25B9">
        <w:rPr>
          <w:b/>
          <w:bCs/>
        </w:rPr>
        <w:t>Table 1: Three-Phase Socialisation Framework for HUM</w:t>
      </w:r>
    </w:p>
    <w:tbl>
      <w:tblPr>
        <w:tblW w:w="9026" w:type="dxa"/>
        <w:tblInd w:w="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00"/>
        <w:gridCol w:w="4100"/>
        <w:gridCol w:w="2926"/>
      </w:tblGrid>
      <w:tr w:rsidR="00CA3AF1" w:rsidTr="00BD4060">
        <w:tblPrEx>
          <w:tblCellMar>
            <w:top w:w="0" w:type="dxa"/>
            <w:bottom w:w="0" w:type="dxa"/>
          </w:tblCellMar>
        </w:tblPrEx>
        <w:tc>
          <w:tcPr>
            <w:tcW w:w="2000" w:type="dxa"/>
            <w:tcBorders>
              <w:top w:val="single" w:sz="1" w:space="0" w:color="CCCCCC"/>
              <w:left w:val="single" w:sz="1" w:space="0" w:color="CCCCCC"/>
              <w:bottom w:val="single" w:sz="1" w:space="0" w:color="CCCCCC"/>
              <w:right w:val="single" w:sz="1" w:space="0" w:color="CCCCCC"/>
            </w:tcBorders>
            <w:shd w:val="clear" w:color="auto" w:fill="1F4E79"/>
            <w:tcMar>
              <w:top w:w="45" w:type="dxa"/>
              <w:left w:w="60" w:type="dxa"/>
              <w:bottom w:w="45" w:type="dxa"/>
              <w:right w:w="60" w:type="dxa"/>
            </w:tcMar>
          </w:tcPr>
          <w:p w:rsidR="00CA3AF1" w:rsidRDefault="00CA3AF1" w:rsidP="00BD4060">
            <w:pPr>
              <w:jc w:val="center"/>
            </w:pPr>
            <w:r>
              <w:rPr>
                <w:b/>
                <w:bCs/>
                <w:color w:val="FFFFFF"/>
                <w:sz w:val="20"/>
                <w:szCs w:val="20"/>
              </w:rPr>
              <w:t>Phase</w:t>
            </w:r>
          </w:p>
        </w:tc>
        <w:tc>
          <w:tcPr>
            <w:tcW w:w="4100" w:type="dxa"/>
            <w:tcBorders>
              <w:top w:val="single" w:sz="1" w:space="0" w:color="CCCCCC"/>
              <w:left w:val="single" w:sz="1" w:space="0" w:color="CCCCCC"/>
              <w:bottom w:val="single" w:sz="1" w:space="0" w:color="CCCCCC"/>
              <w:right w:val="single" w:sz="1" w:space="0" w:color="CCCCCC"/>
            </w:tcBorders>
            <w:shd w:val="clear" w:color="auto" w:fill="1F4E79"/>
            <w:tcMar>
              <w:top w:w="45" w:type="dxa"/>
              <w:left w:w="60" w:type="dxa"/>
              <w:bottom w:w="45" w:type="dxa"/>
              <w:right w:w="60" w:type="dxa"/>
            </w:tcMar>
          </w:tcPr>
          <w:p w:rsidR="00CA3AF1" w:rsidRDefault="00CA3AF1" w:rsidP="00BD4060">
            <w:pPr>
              <w:jc w:val="center"/>
            </w:pPr>
            <w:r>
              <w:rPr>
                <w:b/>
                <w:bCs/>
                <w:color w:val="FFFFFF"/>
                <w:sz w:val="20"/>
                <w:szCs w:val="20"/>
              </w:rPr>
              <w:t>Core Activities &amp; Tactics</w:t>
            </w:r>
          </w:p>
        </w:tc>
        <w:tc>
          <w:tcPr>
            <w:tcW w:w="2926" w:type="dxa"/>
            <w:tcBorders>
              <w:top w:val="single" w:sz="1" w:space="0" w:color="CCCCCC"/>
              <w:left w:val="single" w:sz="1" w:space="0" w:color="CCCCCC"/>
              <w:bottom w:val="single" w:sz="1" w:space="0" w:color="CCCCCC"/>
              <w:right w:val="single" w:sz="1" w:space="0" w:color="CCCCCC"/>
            </w:tcBorders>
            <w:shd w:val="clear" w:color="auto" w:fill="1F4E79"/>
            <w:tcMar>
              <w:top w:w="45" w:type="dxa"/>
              <w:left w:w="60" w:type="dxa"/>
              <w:bottom w:w="45" w:type="dxa"/>
              <w:right w:w="60" w:type="dxa"/>
            </w:tcMar>
          </w:tcPr>
          <w:p w:rsidR="00CA3AF1" w:rsidRDefault="00CA3AF1" w:rsidP="00BD4060">
            <w:pPr>
              <w:jc w:val="center"/>
            </w:pPr>
            <w:r>
              <w:rPr>
                <w:b/>
                <w:bCs/>
                <w:color w:val="FFFFFF"/>
                <w:sz w:val="20"/>
                <w:szCs w:val="20"/>
              </w:rPr>
              <w:t>Theoretical &amp; Contextual Rationale</w:t>
            </w:r>
          </w:p>
        </w:tc>
      </w:tr>
      <w:tr w:rsidR="00CA3AF1" w:rsidTr="00BD4060">
        <w:tblPrEx>
          <w:tblCellMar>
            <w:top w:w="0" w:type="dxa"/>
            <w:bottom w:w="0" w:type="dxa"/>
          </w:tblCellMar>
        </w:tblPrEx>
        <w:tc>
          <w:tcPr>
            <w:tcW w:w="2000" w:type="dxa"/>
            <w:tcBorders>
              <w:top w:val="single" w:sz="1" w:space="0" w:color="CCCCCC"/>
              <w:left w:val="single" w:sz="1" w:space="0" w:color="CCCCCC"/>
              <w:bottom w:val="single" w:sz="1" w:space="0" w:color="CCCCCC"/>
              <w:right w:val="single" w:sz="1" w:space="0" w:color="CCCCCC"/>
            </w:tcBorders>
            <w:tcMar>
              <w:top w:w="45" w:type="dxa"/>
              <w:left w:w="60" w:type="dxa"/>
              <w:bottom w:w="45" w:type="dxa"/>
              <w:right w:w="60" w:type="dxa"/>
            </w:tcMar>
          </w:tcPr>
          <w:p w:rsidR="00CA3AF1" w:rsidRPr="009E25B9" w:rsidRDefault="00CA3AF1" w:rsidP="00BD4060">
            <w:pPr>
              <w:rPr>
                <w:sz w:val="22"/>
                <w:szCs w:val="22"/>
              </w:rPr>
            </w:pPr>
            <w:r w:rsidRPr="009E25B9">
              <w:rPr>
                <w:b/>
                <w:bCs/>
                <w:sz w:val="22"/>
                <w:szCs w:val="22"/>
              </w:rPr>
              <w:t>Pre-boarding (offer acceptance to Day 1)</w:t>
            </w:r>
          </w:p>
        </w:tc>
        <w:tc>
          <w:tcPr>
            <w:tcW w:w="4100" w:type="dxa"/>
            <w:tcBorders>
              <w:top w:val="single" w:sz="1" w:space="0" w:color="CCCCCC"/>
              <w:left w:val="single" w:sz="1" w:space="0" w:color="CCCCCC"/>
              <w:bottom w:val="single" w:sz="1" w:space="0" w:color="CCCCCC"/>
              <w:right w:val="single" w:sz="1" w:space="0" w:color="CCCCCC"/>
            </w:tcBorders>
            <w:tcMar>
              <w:top w:w="45" w:type="dxa"/>
              <w:left w:w="60" w:type="dxa"/>
              <w:bottom w:w="45" w:type="dxa"/>
              <w:right w:w="60" w:type="dxa"/>
            </w:tcMar>
          </w:tcPr>
          <w:p w:rsidR="00CA3AF1" w:rsidRPr="009E25B9" w:rsidRDefault="00CA3AF1" w:rsidP="00BD4060">
            <w:pPr>
              <w:rPr>
                <w:sz w:val="22"/>
                <w:szCs w:val="22"/>
              </w:rPr>
            </w:pPr>
            <w:r w:rsidRPr="009E25B9">
              <w:rPr>
                <w:sz w:val="22"/>
                <w:szCs w:val="22"/>
              </w:rPr>
              <w:t>• Personalised digital portal featuring founder impact narratives, real AI-ethics dilemmas from HUM projects and city-mobility outcome stories</w:t>
            </w:r>
          </w:p>
          <w:p w:rsidR="00CA3AF1" w:rsidRPr="009E25B9" w:rsidRDefault="00CA3AF1" w:rsidP="00BD4060">
            <w:pPr>
              <w:rPr>
                <w:sz w:val="22"/>
                <w:szCs w:val="22"/>
              </w:rPr>
            </w:pPr>
            <w:r w:rsidRPr="009E25B9">
              <w:rPr>
                <w:sz w:val="22"/>
                <w:szCs w:val="22"/>
              </w:rPr>
              <w:t>• Structured virtual introduction to assigned cross-site culture buddy (different office)</w:t>
            </w:r>
          </w:p>
          <w:p w:rsidR="00CA3AF1" w:rsidRPr="009E25B9" w:rsidRDefault="00CA3AF1" w:rsidP="00BD4060">
            <w:pPr>
              <w:rPr>
                <w:sz w:val="22"/>
                <w:szCs w:val="22"/>
              </w:rPr>
            </w:pPr>
            <w:r w:rsidRPr="009E25B9">
              <w:rPr>
                <w:sz w:val="22"/>
                <w:szCs w:val="22"/>
              </w:rPr>
              <w:lastRenderedPageBreak/>
              <w:t>• Dedicated values-alignment conversation with hiring manager and HR Business Partner</w:t>
            </w:r>
          </w:p>
          <w:p w:rsidR="00CA3AF1" w:rsidRPr="009E25B9" w:rsidRDefault="00CA3AF1" w:rsidP="00BD4060">
            <w:pPr>
              <w:rPr>
                <w:sz w:val="22"/>
                <w:szCs w:val="22"/>
              </w:rPr>
            </w:pPr>
            <w:r w:rsidRPr="009E25B9">
              <w:rPr>
                <w:sz w:val="22"/>
                <w:szCs w:val="22"/>
              </w:rPr>
              <w:t>• Concise pre-joining micro-learning on stakeholder capitalism and HUM’s purpose</w:t>
            </w:r>
          </w:p>
        </w:tc>
        <w:tc>
          <w:tcPr>
            <w:tcW w:w="2926" w:type="dxa"/>
            <w:tcBorders>
              <w:top w:val="single" w:sz="1" w:space="0" w:color="CCCCCC"/>
              <w:left w:val="single" w:sz="1" w:space="0" w:color="CCCCCC"/>
              <w:bottom w:val="single" w:sz="1" w:space="0" w:color="CCCCCC"/>
              <w:right w:val="single" w:sz="1" w:space="0" w:color="CCCCCC"/>
            </w:tcBorders>
            <w:tcMar>
              <w:top w:w="45" w:type="dxa"/>
              <w:left w:w="60" w:type="dxa"/>
              <w:bottom w:w="45" w:type="dxa"/>
              <w:right w:w="60" w:type="dxa"/>
            </w:tcMar>
          </w:tcPr>
          <w:p w:rsidR="00CA3AF1" w:rsidRPr="009E25B9" w:rsidRDefault="00CA3AF1" w:rsidP="00BD4060">
            <w:pPr>
              <w:rPr>
                <w:sz w:val="22"/>
                <w:szCs w:val="22"/>
              </w:rPr>
            </w:pPr>
            <w:r w:rsidRPr="009E25B9">
              <w:rPr>
                <w:sz w:val="22"/>
                <w:szCs w:val="22"/>
              </w:rPr>
              <w:lastRenderedPageBreak/>
              <w:t xml:space="preserve">Reduces anticipatory shock and shapes a realistic psychological contract early (Louis, 1980; Rousseau, 1995, with recent 2023–2025 extensions). Investiture tactics affirm </w:t>
            </w:r>
            <w:r w:rsidRPr="009E25B9">
              <w:rPr>
                <w:sz w:val="22"/>
                <w:szCs w:val="22"/>
              </w:rPr>
              <w:lastRenderedPageBreak/>
              <w:t>prior experience and reduce identity threat across sites.</w:t>
            </w:r>
          </w:p>
        </w:tc>
      </w:tr>
      <w:tr w:rsidR="00CA3AF1" w:rsidTr="00BD4060">
        <w:tblPrEx>
          <w:tblCellMar>
            <w:top w:w="0" w:type="dxa"/>
            <w:bottom w:w="0" w:type="dxa"/>
          </w:tblCellMar>
        </w:tblPrEx>
        <w:tc>
          <w:tcPr>
            <w:tcW w:w="2000" w:type="dxa"/>
            <w:tcBorders>
              <w:top w:val="single" w:sz="1" w:space="0" w:color="CCCCCC"/>
              <w:left w:val="single" w:sz="1" w:space="0" w:color="CCCCCC"/>
              <w:bottom w:val="single" w:sz="1" w:space="0" w:color="CCCCCC"/>
              <w:right w:val="single" w:sz="1" w:space="0" w:color="CCCCCC"/>
            </w:tcBorders>
            <w:shd w:val="clear" w:color="auto" w:fill="F2F2F2"/>
            <w:tcMar>
              <w:top w:w="45" w:type="dxa"/>
              <w:left w:w="60" w:type="dxa"/>
              <w:bottom w:w="45" w:type="dxa"/>
              <w:right w:w="60" w:type="dxa"/>
            </w:tcMar>
          </w:tcPr>
          <w:p w:rsidR="00CA3AF1" w:rsidRPr="009E25B9" w:rsidRDefault="00CA3AF1" w:rsidP="00BD4060">
            <w:pPr>
              <w:rPr>
                <w:sz w:val="22"/>
                <w:szCs w:val="22"/>
              </w:rPr>
            </w:pPr>
            <w:r w:rsidRPr="009E25B9">
              <w:rPr>
                <w:b/>
                <w:bCs/>
                <w:sz w:val="22"/>
                <w:szCs w:val="22"/>
              </w:rPr>
              <w:lastRenderedPageBreak/>
              <w:t>First 90 Days (Encounter &amp; Early Metamorphosis)</w:t>
            </w:r>
          </w:p>
        </w:tc>
        <w:tc>
          <w:tcPr>
            <w:tcW w:w="4100" w:type="dxa"/>
            <w:tcBorders>
              <w:top w:val="single" w:sz="1" w:space="0" w:color="CCCCCC"/>
              <w:left w:val="single" w:sz="1" w:space="0" w:color="CCCCCC"/>
              <w:bottom w:val="single" w:sz="1" w:space="0" w:color="CCCCCC"/>
              <w:right w:val="single" w:sz="1" w:space="0" w:color="CCCCCC"/>
            </w:tcBorders>
            <w:shd w:val="clear" w:color="auto" w:fill="F2F2F2"/>
            <w:tcMar>
              <w:top w:w="45" w:type="dxa"/>
              <w:left w:w="60" w:type="dxa"/>
              <w:bottom w:w="45" w:type="dxa"/>
              <w:right w:w="60" w:type="dxa"/>
            </w:tcMar>
          </w:tcPr>
          <w:p w:rsidR="00CA3AF1" w:rsidRPr="009E25B9" w:rsidRDefault="00CA3AF1" w:rsidP="00BD4060">
            <w:pPr>
              <w:rPr>
                <w:sz w:val="22"/>
                <w:szCs w:val="22"/>
              </w:rPr>
            </w:pPr>
            <w:r w:rsidRPr="009E25B9">
              <w:rPr>
                <w:sz w:val="22"/>
                <w:szCs w:val="22"/>
              </w:rPr>
              <w:t>• Structured yet flexible 30-60-90-day plan with clear milestones (e.g., shadow cross-functional project by Day 30; deliver mini-analysis or prototype contribution by Day 60)</w:t>
            </w:r>
          </w:p>
          <w:p w:rsidR="00CA3AF1" w:rsidRPr="009E25B9" w:rsidRDefault="00CA3AF1" w:rsidP="00BD4060">
            <w:pPr>
              <w:rPr>
                <w:sz w:val="22"/>
                <w:szCs w:val="22"/>
              </w:rPr>
            </w:pPr>
            <w:r w:rsidRPr="009E25B9">
              <w:rPr>
                <w:sz w:val="22"/>
                <w:szCs w:val="22"/>
              </w:rPr>
              <w:t>• Blended learning curriculum: technical (AI tools and platforms), cultural (navigating global team dynamics) and ethical decision-making workshops using authentic HUM mobility dilemmas</w:t>
            </w:r>
          </w:p>
          <w:p w:rsidR="00CA3AF1" w:rsidRPr="009E25B9" w:rsidRDefault="00CA3AF1" w:rsidP="00BD4060">
            <w:pPr>
              <w:rPr>
                <w:sz w:val="22"/>
                <w:szCs w:val="22"/>
              </w:rPr>
            </w:pPr>
            <w:r w:rsidRPr="009E25B9">
              <w:rPr>
                <w:sz w:val="22"/>
                <w:szCs w:val="22"/>
              </w:rPr>
              <w:t>• Weekly ‘Insight Hours’ and peer reverse-mentoring; regular multi-source feedback check-ins (manager, peers, buddy)</w:t>
            </w:r>
          </w:p>
          <w:p w:rsidR="00CA3AF1" w:rsidRPr="009E25B9" w:rsidRDefault="00CA3AF1" w:rsidP="00BD4060">
            <w:pPr>
              <w:rPr>
                <w:sz w:val="22"/>
                <w:szCs w:val="22"/>
              </w:rPr>
            </w:pPr>
            <w:r w:rsidRPr="009E25B9">
              <w:rPr>
                <w:sz w:val="22"/>
                <w:szCs w:val="22"/>
              </w:rPr>
              <w:t>• Hybrid social rituals (virtual mobility innovation hacks; site-specific welcome events)</w:t>
            </w:r>
          </w:p>
        </w:tc>
        <w:tc>
          <w:tcPr>
            <w:tcW w:w="2926" w:type="dxa"/>
            <w:tcBorders>
              <w:top w:val="single" w:sz="1" w:space="0" w:color="CCCCCC"/>
              <w:left w:val="single" w:sz="1" w:space="0" w:color="CCCCCC"/>
              <w:bottom w:val="single" w:sz="1" w:space="0" w:color="CCCCCC"/>
              <w:right w:val="single" w:sz="1" w:space="0" w:color="CCCCCC"/>
            </w:tcBorders>
            <w:shd w:val="clear" w:color="auto" w:fill="F2F2F2"/>
            <w:tcMar>
              <w:top w:w="45" w:type="dxa"/>
              <w:left w:w="60" w:type="dxa"/>
              <w:bottom w:w="45" w:type="dxa"/>
              <w:right w:w="60" w:type="dxa"/>
            </w:tcMar>
          </w:tcPr>
          <w:p w:rsidR="00CA3AF1" w:rsidRPr="009E25B9" w:rsidRDefault="00CA3AF1" w:rsidP="00BD4060">
            <w:pPr>
              <w:rPr>
                <w:sz w:val="22"/>
                <w:szCs w:val="22"/>
              </w:rPr>
            </w:pPr>
            <w:r w:rsidRPr="009E25B9">
              <w:rPr>
                <w:sz w:val="22"/>
                <w:szCs w:val="22"/>
              </w:rPr>
              <w:t>Targets the eight-month ramp-up via deliberate practice, social support and hybrid tactics. Serial and collective elements accelerate adjustment while respecting cultural differences in feedback norms across sites.</w:t>
            </w:r>
          </w:p>
        </w:tc>
      </w:tr>
      <w:tr w:rsidR="00CA3AF1" w:rsidTr="00BD4060">
        <w:tblPrEx>
          <w:tblCellMar>
            <w:top w:w="0" w:type="dxa"/>
            <w:bottom w:w="0" w:type="dxa"/>
          </w:tblCellMar>
        </w:tblPrEx>
        <w:tc>
          <w:tcPr>
            <w:tcW w:w="2000" w:type="dxa"/>
            <w:tcBorders>
              <w:top w:val="single" w:sz="1" w:space="0" w:color="CCCCCC"/>
              <w:left w:val="single" w:sz="1" w:space="0" w:color="CCCCCC"/>
              <w:bottom w:val="single" w:sz="1" w:space="0" w:color="CCCCCC"/>
              <w:right w:val="single" w:sz="1" w:space="0" w:color="CCCCCC"/>
            </w:tcBorders>
            <w:tcMar>
              <w:top w:w="45" w:type="dxa"/>
              <w:left w:w="60" w:type="dxa"/>
              <w:bottom w:w="45" w:type="dxa"/>
              <w:right w:w="60" w:type="dxa"/>
            </w:tcMar>
          </w:tcPr>
          <w:p w:rsidR="00CA3AF1" w:rsidRPr="009E25B9" w:rsidRDefault="00CA3AF1" w:rsidP="00BD4060">
            <w:pPr>
              <w:rPr>
                <w:sz w:val="22"/>
                <w:szCs w:val="22"/>
              </w:rPr>
            </w:pPr>
            <w:r w:rsidRPr="009E25B9">
              <w:rPr>
                <w:b/>
                <w:bCs/>
                <w:sz w:val="22"/>
                <w:szCs w:val="22"/>
              </w:rPr>
              <w:t>Year One (Metamorphosis &amp; Organisational Citizenship)</w:t>
            </w:r>
          </w:p>
        </w:tc>
        <w:tc>
          <w:tcPr>
            <w:tcW w:w="4100" w:type="dxa"/>
            <w:tcBorders>
              <w:top w:val="single" w:sz="1" w:space="0" w:color="CCCCCC"/>
              <w:left w:val="single" w:sz="1" w:space="0" w:color="CCCCCC"/>
              <w:bottom w:val="single" w:sz="1" w:space="0" w:color="CCCCCC"/>
              <w:right w:val="single" w:sz="1" w:space="0" w:color="CCCCCC"/>
            </w:tcBorders>
            <w:tcMar>
              <w:top w:w="45" w:type="dxa"/>
              <w:left w:w="60" w:type="dxa"/>
              <w:bottom w:w="45" w:type="dxa"/>
              <w:right w:w="60" w:type="dxa"/>
            </w:tcMar>
          </w:tcPr>
          <w:p w:rsidR="00CA3AF1" w:rsidRPr="009E25B9" w:rsidRDefault="00CA3AF1" w:rsidP="00BD4060">
            <w:pPr>
              <w:rPr>
                <w:sz w:val="22"/>
                <w:szCs w:val="22"/>
              </w:rPr>
            </w:pPr>
            <w:r w:rsidRPr="009E25B9">
              <w:rPr>
                <w:sz w:val="22"/>
                <w:szCs w:val="22"/>
              </w:rPr>
              <w:t>• Active participation in innovation sprints and internal talent marketplace projects (see Task B)</w:t>
            </w:r>
          </w:p>
          <w:p w:rsidR="00CA3AF1" w:rsidRPr="009E25B9" w:rsidRDefault="00AF5570" w:rsidP="00BD4060">
            <w:pPr>
              <w:rPr>
                <w:sz w:val="22"/>
                <w:szCs w:val="22"/>
              </w:rPr>
            </w:pPr>
            <w:r w:rsidRPr="009E25B9">
              <w:rPr>
                <w:sz w:val="22"/>
                <w:szCs w:val="22"/>
              </w:rPr>
              <w:t xml:space="preserve">• Quarterly ‘Identity Labs’ </w:t>
            </w:r>
            <w:r w:rsidR="00CA3AF1" w:rsidRPr="009E25B9">
              <w:rPr>
                <w:sz w:val="22"/>
                <w:szCs w:val="22"/>
              </w:rPr>
              <w:t>structured reflective sessions on personal contribution to strategic renewal and ethical professionalism</w:t>
            </w:r>
          </w:p>
          <w:p w:rsidR="00CA3AF1" w:rsidRPr="009E25B9" w:rsidRDefault="00CA3AF1" w:rsidP="00BD4060">
            <w:pPr>
              <w:rPr>
                <w:sz w:val="22"/>
                <w:szCs w:val="22"/>
              </w:rPr>
            </w:pPr>
            <w:r w:rsidRPr="009E25B9">
              <w:rPr>
                <w:sz w:val="22"/>
                <w:szCs w:val="22"/>
              </w:rPr>
              <w:t>• Supported progression from culture buddy to mentor role; explicit encouragement of job crafting within role boundaries</w:t>
            </w:r>
          </w:p>
          <w:p w:rsidR="00CA3AF1" w:rsidRPr="009E25B9" w:rsidRDefault="00CA3AF1" w:rsidP="00BD4060">
            <w:pPr>
              <w:rPr>
                <w:sz w:val="22"/>
                <w:szCs w:val="22"/>
              </w:rPr>
            </w:pPr>
            <w:r w:rsidRPr="009E25B9">
              <w:rPr>
                <w:sz w:val="22"/>
                <w:szCs w:val="22"/>
              </w:rPr>
              <w:t>• Visible recognition rituals celebrating ‘business activist’ behaviours (e.g., stakeholder-impact proposals, cross-site knowledge sharing)</w:t>
            </w:r>
          </w:p>
        </w:tc>
        <w:tc>
          <w:tcPr>
            <w:tcW w:w="2926" w:type="dxa"/>
            <w:tcBorders>
              <w:top w:val="single" w:sz="1" w:space="0" w:color="CCCCCC"/>
              <w:left w:val="single" w:sz="1" w:space="0" w:color="CCCCCC"/>
              <w:bottom w:val="single" w:sz="1" w:space="0" w:color="CCCCCC"/>
              <w:right w:val="single" w:sz="1" w:space="0" w:color="CCCCCC"/>
            </w:tcBorders>
            <w:tcMar>
              <w:top w:w="45" w:type="dxa"/>
              <w:left w:w="60" w:type="dxa"/>
              <w:bottom w:w="45" w:type="dxa"/>
              <w:right w:w="60" w:type="dxa"/>
            </w:tcMar>
          </w:tcPr>
          <w:p w:rsidR="00CA3AF1" w:rsidRPr="009E25B9" w:rsidRDefault="00CA3AF1" w:rsidP="00BD4060">
            <w:pPr>
              <w:rPr>
                <w:sz w:val="22"/>
                <w:szCs w:val="22"/>
              </w:rPr>
            </w:pPr>
            <w:r w:rsidRPr="009E25B9">
              <w:rPr>
                <w:sz w:val="22"/>
                <w:szCs w:val="22"/>
              </w:rPr>
              <w:t>Completes metamorphosis and builds identification through positive interactions and voice opportunities. Research links comprehensive socialisation to higher commitment and low</w:t>
            </w:r>
            <w:r w:rsidR="00E32511">
              <w:rPr>
                <w:sz w:val="22"/>
                <w:szCs w:val="22"/>
              </w:rPr>
              <w:t>er turnover (Bauer et al., 2007</w:t>
            </w:r>
            <w:r w:rsidRPr="009E25B9">
              <w:rPr>
                <w:sz w:val="22"/>
                <w:szCs w:val="22"/>
              </w:rPr>
              <w:t>). Positions new talent as active contributors to renewal.</w:t>
            </w:r>
          </w:p>
        </w:tc>
      </w:tr>
    </w:tbl>
    <w:p w:rsidR="00CA3AF1" w:rsidRPr="009E25B9" w:rsidRDefault="00AF5570" w:rsidP="00CA3AF1">
      <w:pPr>
        <w:spacing w:before="40" w:after="140"/>
        <w:rPr>
          <w:sz w:val="20"/>
          <w:szCs w:val="20"/>
        </w:rPr>
      </w:pPr>
      <w:r w:rsidRPr="009E25B9">
        <w:rPr>
          <w:iCs/>
          <w:sz w:val="20"/>
          <w:szCs w:val="20"/>
        </w:rPr>
        <w:t>Source: Adapted from</w:t>
      </w:r>
      <w:r w:rsidR="00CA3AF1" w:rsidRPr="009E25B9">
        <w:rPr>
          <w:iCs/>
          <w:sz w:val="20"/>
          <w:szCs w:val="20"/>
        </w:rPr>
        <w:t xml:space="preserve"> synthesis drawing on Van </w:t>
      </w:r>
      <w:proofErr w:type="spellStart"/>
      <w:r w:rsidR="00CA3AF1" w:rsidRPr="009E25B9">
        <w:rPr>
          <w:iCs/>
          <w:sz w:val="20"/>
          <w:szCs w:val="20"/>
        </w:rPr>
        <w:t>Maanen</w:t>
      </w:r>
      <w:proofErr w:type="spellEnd"/>
      <w:r w:rsidR="00CA3AF1" w:rsidRPr="009E25B9">
        <w:rPr>
          <w:iCs/>
          <w:sz w:val="20"/>
          <w:szCs w:val="20"/>
        </w:rPr>
        <w:t xml:space="preserve"> &amp; Schein (1979), Rousseau (1995), Louis (1980), Bauer et al. (2007) and recent peer-reviewed applications (2023–2025) in IJHRM, Journal of Vocational </w:t>
      </w:r>
      <w:proofErr w:type="spellStart"/>
      <w:r w:rsidR="00CA3AF1" w:rsidRPr="009E25B9">
        <w:rPr>
          <w:iCs/>
          <w:sz w:val="20"/>
          <w:szCs w:val="20"/>
        </w:rPr>
        <w:t>Behavior</w:t>
      </w:r>
      <w:proofErr w:type="spellEnd"/>
      <w:r w:rsidR="00CA3AF1" w:rsidRPr="009E25B9">
        <w:rPr>
          <w:iCs/>
          <w:sz w:val="20"/>
          <w:szCs w:val="20"/>
        </w:rPr>
        <w:t xml:space="preserve"> and related outlets.</w:t>
      </w:r>
    </w:p>
    <w:p w:rsidR="00C56327" w:rsidRDefault="00C56327" w:rsidP="00CA3AF1">
      <w:pPr>
        <w:spacing w:after="160" w:line="360" w:lineRule="auto"/>
        <w:jc w:val="both"/>
      </w:pPr>
    </w:p>
    <w:p w:rsidR="00CA3AF1" w:rsidRDefault="00CA3AF1" w:rsidP="009E25B9">
      <w:pPr>
        <w:spacing w:after="160" w:line="360" w:lineRule="auto"/>
        <w:jc w:val="both"/>
      </w:pPr>
      <w:r>
        <w:t>The justification for this design is tightly coupled to HUM’s specific context and the limitations of existing models. An eight-month ramp-up is incompatible with the pace of AI product development and municipal tender cycles; the proposed hybrid tactics compress learning while preserving the agency a</w:t>
      </w:r>
      <w:r w:rsidR="00AF5570">
        <w:t xml:space="preserve">nd voice that knowledge workers </w:t>
      </w:r>
      <w:r>
        <w:t>partic</w:t>
      </w:r>
      <w:r w:rsidR="00AF5570">
        <w:t xml:space="preserve">ularly high-potential graduates </w:t>
      </w:r>
      <w:r>
        <w:t xml:space="preserve">expect and that psychological contract research shows are critical for retention. The 54 per cent engagement score signals that </w:t>
      </w:r>
      <w:r>
        <w:lastRenderedPageBreak/>
        <w:t>current early experiences are failing to convert talent into committed citizens. By making psychological-contract formation explicit, culturally responsive and visible from the pre-boarding stage, the framework reduces the probability of early breach. The innovative p</w:t>
      </w:r>
      <w:r w:rsidR="00AF5570">
        <w:t xml:space="preserve">roposition advanced here </w:t>
      </w:r>
      <w:r>
        <w:t>that combining investiture-serial tactics with early marketplace exposure accelerates identification more effectively i</w:t>
      </w:r>
      <w:r w:rsidR="00AF5570">
        <w:t xml:space="preserve">n multi-site European scale-ups </w:t>
      </w:r>
      <w:r>
        <w:t>offers a testable extension of classic theory for the contemporary context and directly supports the job-design and AI-governance recommendations developed in subsequent tasks.</w:t>
      </w:r>
    </w:p>
    <w:p w:rsidR="00CA3AF1" w:rsidRPr="009E25B9" w:rsidRDefault="00CA3AF1" w:rsidP="00CA3AF1">
      <w:pPr>
        <w:pStyle w:val="Heading2"/>
        <w:spacing w:before="220" w:after="120" w:line="360" w:lineRule="auto"/>
        <w:rPr>
          <w:color w:val="000000" w:themeColor="text1"/>
        </w:rPr>
      </w:pPr>
      <w:bookmarkStart w:id="5" w:name="_Toc235049278"/>
      <w:r w:rsidRPr="009E25B9">
        <w:rPr>
          <w:b/>
          <w:bCs/>
          <w:color w:val="000000" w:themeColor="text1"/>
        </w:rPr>
        <w:t xml:space="preserve">3. Mechanisms for Cultivating Organisational Identification, Ethical Professionalism and the Business-Activist </w:t>
      </w:r>
      <w:r w:rsidR="00AF5570" w:rsidRPr="009E25B9">
        <w:rPr>
          <w:b/>
          <w:bCs/>
          <w:color w:val="000000" w:themeColor="text1"/>
        </w:rPr>
        <w:t>Mind set</w:t>
      </w:r>
      <w:bookmarkEnd w:id="5"/>
    </w:p>
    <w:p w:rsidR="00CA3AF1" w:rsidRDefault="00CA3AF1" w:rsidP="00AF5570">
      <w:pPr>
        <w:spacing w:after="160" w:line="360" w:lineRule="auto"/>
        <w:jc w:val="both"/>
      </w:pPr>
      <w:r>
        <w:t>Beyond process design, mechanisms are needed to embed deeper identity and cultural outcomes. Organisational identification can be built through consistent narratives of HUM’s impact on sustainable cities, symbolic rituals such as impact storytelling and cross-site recognition, and a superordinate ‘HUM Citizen’ identity. Research shows strong identification mediates engagement and retention in mission-driven firms.</w:t>
      </w:r>
    </w:p>
    <w:p w:rsidR="00CA3AF1" w:rsidRDefault="00CA3AF1" w:rsidP="00AF5570">
      <w:pPr>
        <w:spacing w:after="160" w:line="360" w:lineRule="auto"/>
        <w:jc w:val="both"/>
      </w:pPr>
      <w:r>
        <w:t>Ethical professionalism is developed by embedding dilemma-based learning early. HUM’s AI systems raise real issues around bias, privacy and environmental impact; new hires should co-create elements of a living code of conduct and discuss authentic (</w:t>
      </w:r>
      <w:proofErr w:type="spellStart"/>
      <w:r>
        <w:t>anonymised</w:t>
      </w:r>
      <w:proofErr w:type="spellEnd"/>
      <w:r>
        <w:t>) cases. This reinforces the psychological contract around meaningful work and prepares staff for ethical AI governance (Task C).</w:t>
      </w:r>
    </w:p>
    <w:p w:rsidR="00CA3AF1" w:rsidRDefault="00CA3AF1" w:rsidP="00AF5570">
      <w:pPr>
        <w:spacing w:after="160" w:line="360" w:lineRule="auto"/>
        <w:jc w:val="both"/>
      </w:pPr>
      <w:r>
        <w:t xml:space="preserve">The business-activist </w:t>
      </w:r>
      <w:r w:rsidR="00AF5570">
        <w:t>mind set</w:t>
      </w:r>
      <w:r>
        <w:t xml:space="preserve"> evolves Ulrich’s (1997) strategic partner model in light of recent 2023–2025 scholarship on HR’s role in stake</w:t>
      </w:r>
      <w:r w:rsidR="009E25B9">
        <w:t>holder capitalism and ESG (For instance,</w:t>
      </w:r>
      <w:r>
        <w:t xml:space="preserve"> papers in Human Resource Management and Journal of Business Ethics). It encourages employees to advocate for balanced outcomes serving cities, citizens and the planet alongside business goals. Mechanisms include voice forums in socialisation, leadership sponsorship of activist ideas, and recognition for proposals advancing multi-stakehold</w:t>
      </w:r>
      <w:r w:rsidR="00AF5570">
        <w:t xml:space="preserve">er value </w:t>
      </w:r>
      <w:r>
        <w:t>helping HUM attract talent and maintain legitimacy with clients and regulators.</w:t>
      </w:r>
    </w:p>
    <w:p w:rsidR="00AF5570" w:rsidRDefault="00AF5570" w:rsidP="00CA3AF1">
      <w:pPr>
        <w:pStyle w:val="Heading1"/>
        <w:spacing w:before="300" w:after="180" w:line="360" w:lineRule="auto"/>
        <w:rPr>
          <w:b/>
          <w:bCs/>
          <w:color w:val="1F4E79"/>
          <w:sz w:val="28"/>
          <w:szCs w:val="28"/>
        </w:rPr>
      </w:pPr>
    </w:p>
    <w:p w:rsidR="00CA3AF1" w:rsidRPr="009E25B9" w:rsidRDefault="00CA3AF1" w:rsidP="00CA3AF1">
      <w:pPr>
        <w:pStyle w:val="Heading1"/>
        <w:spacing w:before="300" w:after="180" w:line="360" w:lineRule="auto"/>
        <w:rPr>
          <w:color w:val="000000" w:themeColor="text1"/>
          <w:sz w:val="28"/>
          <w:szCs w:val="28"/>
        </w:rPr>
      </w:pPr>
      <w:bookmarkStart w:id="6" w:name="_Toc235049279"/>
      <w:r w:rsidRPr="009E25B9">
        <w:rPr>
          <w:b/>
          <w:bCs/>
          <w:color w:val="000000" w:themeColor="text1"/>
          <w:sz w:val="28"/>
          <w:szCs w:val="28"/>
        </w:rPr>
        <w:lastRenderedPageBreak/>
        <w:t>Task B: Job Design</w:t>
      </w:r>
      <w:bookmarkEnd w:id="6"/>
    </w:p>
    <w:p w:rsidR="00CA3AF1" w:rsidRPr="009E25B9" w:rsidRDefault="00CA3AF1" w:rsidP="00CA3AF1">
      <w:pPr>
        <w:pStyle w:val="Heading2"/>
        <w:spacing w:before="220" w:after="120" w:line="360" w:lineRule="auto"/>
        <w:rPr>
          <w:color w:val="000000" w:themeColor="text1"/>
        </w:rPr>
      </w:pPr>
      <w:bookmarkStart w:id="7" w:name="_Toc235049280"/>
      <w:r w:rsidRPr="009E25B9">
        <w:rPr>
          <w:b/>
          <w:bCs/>
          <w:color w:val="000000" w:themeColor="text1"/>
        </w:rPr>
        <w:t>1. Innovative Job-Design Strategy</w:t>
      </w:r>
      <w:bookmarkEnd w:id="7"/>
    </w:p>
    <w:p w:rsidR="00CA3AF1" w:rsidRDefault="00CA3AF1" w:rsidP="00CA3AF1">
      <w:pPr>
        <w:spacing w:after="160" w:line="360" w:lineRule="auto"/>
        <w:jc w:val="both"/>
      </w:pPr>
      <w:r>
        <w:t>Traditional job descriptions in scaling start-ups often swing between rigidity (causing bottlenecks and frustration) and vagueness (</w:t>
      </w:r>
      <w:r w:rsidR="00AF5570">
        <w:t>fuelling</w:t>
      </w:r>
      <w:r>
        <w:t xml:space="preserve"> overload and burnout), contributing to HUM’s engagement and attrition issues. An effective response integrates three perspectives into a coherent architecture for project-based, multi-site knowledge work.</w:t>
      </w:r>
    </w:p>
    <w:p w:rsidR="00CA3AF1" w:rsidRDefault="00CA3AF1" w:rsidP="00CA3AF1">
      <w:pPr>
        <w:spacing w:after="160" w:line="360" w:lineRule="auto"/>
        <w:jc w:val="both"/>
      </w:pPr>
      <w:r>
        <w:t>The Job Characteristics M</w:t>
      </w:r>
      <w:r w:rsidR="009E25B9">
        <w:t xml:space="preserve">odel </w:t>
      </w:r>
      <w:r w:rsidR="00E32511">
        <w:t>Hackman and</w:t>
      </w:r>
      <w:r>
        <w:t xml:space="preserve"> Oldham, </w:t>
      </w:r>
      <w:r w:rsidR="009E25B9">
        <w:t>(</w:t>
      </w:r>
      <w:r>
        <w:t xml:space="preserve">1976), with extensive recent validation and extensions in knowledge-work and </w:t>
      </w:r>
      <w:r w:rsidR="00AF5570">
        <w:t>start up</w:t>
      </w:r>
      <w:r>
        <w:t xml:space="preserve"> contexts (e.g., 2022–2025 studies in Journal of Applied Psychology and Human Resource Manageme</w:t>
      </w:r>
      <w:r w:rsidR="00AF5570">
        <w:t xml:space="preserve">nt), highlights five dimensions </w:t>
      </w:r>
      <w:r>
        <w:t>skill variety, task identity, task sign</w:t>
      </w:r>
      <w:r w:rsidR="00AF5570">
        <w:t xml:space="preserve">ificance, autonomy and feedback </w:t>
      </w:r>
      <w:r>
        <w:t>that drive motivation and performance. For HUM roles, deliberate enrichment is recommended: pairing technical work with stakeholder engagement for variety; granting end-to-end ownership of modules or pilots for identity; linking work to city impact metrics for significance; expanding bounded decision rights for autonomy; and providing real-time dashboards plus peer/client feedback for rich feedback loops.</w:t>
      </w:r>
    </w:p>
    <w:p w:rsidR="00CA3AF1" w:rsidRDefault="00CA3AF1" w:rsidP="00CA3AF1">
      <w:pPr>
        <w:spacing w:after="160" w:line="360" w:lineRule="auto"/>
        <w:jc w:val="both"/>
      </w:pPr>
      <w:r>
        <w:t xml:space="preserve">Job-crafting theory, building on </w:t>
      </w:r>
      <w:proofErr w:type="spellStart"/>
      <w:r>
        <w:t>Wrzesniewski</w:t>
      </w:r>
      <w:proofErr w:type="spellEnd"/>
      <w:r>
        <w:t xml:space="preserve"> and Dutton (2001) and strengthened by recent 2022–2025 meta-analyses and empirical studies in knowledge-inte</w:t>
      </w:r>
      <w:r w:rsidR="00AF5570">
        <w:t>nsive and hybrid settings (example,</w:t>
      </w:r>
      <w:r>
        <w:t xml:space="preserve"> </w:t>
      </w:r>
      <w:proofErr w:type="spellStart"/>
      <w:r>
        <w:t>Tims</w:t>
      </w:r>
      <w:proofErr w:type="spellEnd"/>
      <w:r>
        <w:t xml:space="preserve"> et al., 2022 in Journal of Vocational </w:t>
      </w:r>
      <w:proofErr w:type="spellStart"/>
      <w:r>
        <w:t>Behavior</w:t>
      </w:r>
      <w:proofErr w:type="spellEnd"/>
      <w:r>
        <w:t xml:space="preserve">), views employees as active shapers of their tasks, relationships and </w:t>
      </w:r>
      <w:r w:rsidR="00AF5570">
        <w:t>mind sets</w:t>
      </w:r>
      <w:r>
        <w:t>. HUM should authorise and support crafting, especially for graduates, e.g., allowing protected time for fairness work aligned with ethics priorities or leading cross-office knowledge initiatives. Crafting thrives with empowering leadership and psy</w:t>
      </w:r>
      <w:r w:rsidR="00AF5570">
        <w:t xml:space="preserve">chological safety </w:t>
      </w:r>
      <w:r>
        <w:t>conditions HUM must build.</w:t>
      </w:r>
    </w:p>
    <w:p w:rsidR="00CA3AF1" w:rsidRDefault="00CA3AF1" w:rsidP="00CA3AF1">
      <w:pPr>
        <w:spacing w:after="160" w:line="360" w:lineRule="auto"/>
        <w:jc w:val="both"/>
      </w:pPr>
      <w:r>
        <w:t>A skills-based internal tale</w:t>
      </w:r>
      <w:r w:rsidR="00AF5570">
        <w:t>nt marketplace Deloitte, (2022)</w:t>
      </w:r>
      <w:r w:rsidR="00E32511">
        <w:t xml:space="preserve"> </w:t>
      </w:r>
      <w:proofErr w:type="spellStart"/>
      <w:r w:rsidR="00E32511">
        <w:t>Cappelli</w:t>
      </w:r>
      <w:proofErr w:type="spellEnd"/>
      <w:r w:rsidR="00E32511">
        <w:t xml:space="preserve"> and</w:t>
      </w:r>
      <w:r>
        <w:t xml:space="preserve"> Keller, </w:t>
      </w:r>
      <w:r w:rsidR="00AF5570">
        <w:t>(</w:t>
      </w:r>
      <w:r>
        <w:t>2023) breaks rol</w:t>
      </w:r>
      <w:r w:rsidR="00AF5570">
        <w:t>es into portable clusters (</w:t>
      </w:r>
      <w:r>
        <w:t>‘AI Ethics Guardian’). An AI marketplace matches staff to cross-site projects based on skills, with a practical 70/30 core/marketplace split. This reduces silos, speeds graduate growth and creates clear progression paths.</w:t>
      </w:r>
    </w:p>
    <w:p w:rsidR="00DB34C4" w:rsidRDefault="00DB34C4" w:rsidP="00CA3AF1">
      <w:pPr>
        <w:pStyle w:val="Heading2"/>
        <w:spacing w:before="220" w:after="120" w:line="360" w:lineRule="auto"/>
        <w:rPr>
          <w:b/>
          <w:bCs/>
          <w:color w:val="000000" w:themeColor="text1"/>
        </w:rPr>
      </w:pPr>
    </w:p>
    <w:p w:rsidR="00CA3AF1" w:rsidRPr="009E25B9" w:rsidRDefault="00CA3AF1" w:rsidP="00CA3AF1">
      <w:pPr>
        <w:pStyle w:val="Heading2"/>
        <w:spacing w:before="220" w:after="120" w:line="360" w:lineRule="auto"/>
        <w:rPr>
          <w:color w:val="000000" w:themeColor="text1"/>
        </w:rPr>
      </w:pPr>
      <w:bookmarkStart w:id="8" w:name="_Toc235049281"/>
      <w:r w:rsidRPr="009E25B9">
        <w:rPr>
          <w:b/>
          <w:bCs/>
          <w:color w:val="000000" w:themeColor="text1"/>
        </w:rPr>
        <w:lastRenderedPageBreak/>
        <w:t>2. Stimulating Intrinsic Motivation and Supporting Innovation</w:t>
      </w:r>
      <w:bookmarkEnd w:id="8"/>
    </w:p>
    <w:p w:rsidR="00CA3AF1" w:rsidRDefault="00CA3AF1" w:rsidP="00AF5570">
      <w:pPr>
        <w:spacing w:after="160" w:line="360" w:lineRule="auto"/>
        <w:jc w:val="both"/>
      </w:pPr>
      <w:r>
        <w:t>Intrinsic motivation predicts creativity, persistence and innovation. The job-design architecture targets Self-Determination Theory’s three needs: autonomy (via crafting and marketplace choice), competence (via skill development and feedback) and relatedness (via cross-site projects and shared purpose). Meeting these needs reduces burnout and supports engagement at HUM.</w:t>
      </w:r>
    </w:p>
    <w:p w:rsidR="00CA3AF1" w:rsidRDefault="00CA3AF1" w:rsidP="00AF5570">
      <w:pPr>
        <w:spacing w:after="160" w:line="360" w:lineRule="auto"/>
        <w:jc w:val="both"/>
      </w:pPr>
      <w:r>
        <w:t xml:space="preserve">Innovation gains reinforce Task A’s socialisation framework. Job crafting drives bottom-up improvements; the marketplace enables cross-site knowledge recombination. Enhanced task significance fuels </w:t>
      </w:r>
      <w:proofErr w:type="spellStart"/>
      <w:r>
        <w:t>prosocial</w:t>
      </w:r>
      <w:proofErr w:type="spellEnd"/>
      <w:r>
        <w:t xml:space="preserve"> motivation linked to creativity, while skills-based fluidity builds versatile T-shaped talent for HUM’s complex work.</w:t>
      </w:r>
    </w:p>
    <w:p w:rsidR="00CA3AF1" w:rsidRDefault="00CA3AF1" w:rsidP="00AF5570">
      <w:pPr>
        <w:spacing w:after="160" w:line="360" w:lineRule="auto"/>
        <w:jc w:val="both"/>
      </w:pPr>
      <w:r>
        <w:t>Evidence shows skills-based and fractional mobility models improve ag</w:t>
      </w:r>
      <w:r w:rsidR="00AF5570">
        <w:t xml:space="preserve">ility and employee experience </w:t>
      </w:r>
      <w:r>
        <w:t xml:space="preserve">Deloitte, </w:t>
      </w:r>
      <w:r w:rsidR="00AF5570">
        <w:t>(2022</w:t>
      </w:r>
      <w:r>
        <w:t>). For HUM, it offers a retention lever: graduates gain varied experience internally rather than exiting, preserving knowledge while accelerating renewal. The combination of enriched characteristics, crafting and marketplace access is likely to yield synergistic innovation effects, especially when paired with identity-affirming socialisation.</w:t>
      </w:r>
    </w:p>
    <w:p w:rsidR="00CA3AF1" w:rsidRDefault="00CA3AF1" w:rsidP="00CA3AF1">
      <w:pPr>
        <w:spacing w:after="160" w:line="360" w:lineRule="auto"/>
        <w:jc w:val="both"/>
      </w:pPr>
      <w:r>
        <w:t>Implementation requires manager coaching skills, clear marketplace governance to avoid overload or inequity, and cultural adaptation (e.g., more scaffolding for crafting in higher power-distance contexts like Singapore). A ph</w:t>
      </w:r>
      <w:r w:rsidR="009E25B9">
        <w:t xml:space="preserve">ased pilot with simple metrics </w:t>
      </w:r>
      <w:r>
        <w:t xml:space="preserve">engagement pulses, time-to-competence, </w:t>
      </w:r>
      <w:r w:rsidR="00AF5570">
        <w:t>and retention</w:t>
      </w:r>
      <w:r w:rsidR="009E25B9">
        <w:t xml:space="preserve"> of graduates </w:t>
      </w:r>
      <w:r>
        <w:t>would allow evidence-based scaling.</w:t>
      </w:r>
    </w:p>
    <w:p w:rsidR="00AF5570" w:rsidRDefault="00AF5570" w:rsidP="00CA3AF1">
      <w:pPr>
        <w:pStyle w:val="Heading1"/>
        <w:spacing w:before="300" w:after="180" w:line="360" w:lineRule="auto"/>
        <w:rPr>
          <w:b/>
          <w:bCs/>
          <w:color w:val="000000" w:themeColor="text1"/>
        </w:rPr>
      </w:pPr>
    </w:p>
    <w:p w:rsidR="00AF5570" w:rsidRDefault="00AF5570" w:rsidP="00CA3AF1">
      <w:pPr>
        <w:pStyle w:val="Heading1"/>
        <w:spacing w:before="300" w:after="180" w:line="360" w:lineRule="auto"/>
        <w:rPr>
          <w:b/>
          <w:bCs/>
          <w:color w:val="000000" w:themeColor="text1"/>
        </w:rPr>
      </w:pPr>
    </w:p>
    <w:p w:rsidR="00AF5570" w:rsidRDefault="00AF5570" w:rsidP="00CA3AF1">
      <w:pPr>
        <w:pStyle w:val="Heading1"/>
        <w:spacing w:before="300" w:after="180" w:line="360" w:lineRule="auto"/>
        <w:rPr>
          <w:b/>
          <w:bCs/>
          <w:color w:val="000000" w:themeColor="text1"/>
        </w:rPr>
      </w:pPr>
    </w:p>
    <w:p w:rsidR="00AF5570" w:rsidRDefault="00AF5570" w:rsidP="00CA3AF1">
      <w:pPr>
        <w:pStyle w:val="Heading1"/>
        <w:spacing w:before="300" w:after="180" w:line="360" w:lineRule="auto"/>
        <w:rPr>
          <w:b/>
          <w:bCs/>
          <w:color w:val="000000" w:themeColor="text1"/>
        </w:rPr>
      </w:pPr>
    </w:p>
    <w:p w:rsidR="00DB34C4" w:rsidRDefault="00DB34C4" w:rsidP="00CA3AF1">
      <w:pPr>
        <w:pStyle w:val="Heading1"/>
        <w:spacing w:before="300" w:after="180" w:line="360" w:lineRule="auto"/>
        <w:rPr>
          <w:b/>
          <w:bCs/>
          <w:color w:val="000000" w:themeColor="text1"/>
          <w:sz w:val="28"/>
          <w:szCs w:val="28"/>
        </w:rPr>
      </w:pPr>
    </w:p>
    <w:p w:rsidR="00CA3AF1" w:rsidRPr="009E25B9" w:rsidRDefault="00CA3AF1" w:rsidP="00CA3AF1">
      <w:pPr>
        <w:pStyle w:val="Heading1"/>
        <w:spacing w:before="300" w:after="180" w:line="360" w:lineRule="auto"/>
        <w:rPr>
          <w:color w:val="000000" w:themeColor="text1"/>
          <w:sz w:val="28"/>
          <w:szCs w:val="28"/>
        </w:rPr>
      </w:pPr>
      <w:bookmarkStart w:id="9" w:name="_Toc235049282"/>
      <w:r w:rsidRPr="009E25B9">
        <w:rPr>
          <w:b/>
          <w:bCs/>
          <w:color w:val="000000" w:themeColor="text1"/>
          <w:sz w:val="28"/>
          <w:szCs w:val="28"/>
        </w:rPr>
        <w:lastRenderedPageBreak/>
        <w:t>Task C: Reflective Report</w:t>
      </w:r>
      <w:bookmarkEnd w:id="9"/>
    </w:p>
    <w:p w:rsidR="00CA3AF1" w:rsidRPr="009E25B9" w:rsidRDefault="00CA3AF1" w:rsidP="00CA3AF1">
      <w:pPr>
        <w:pStyle w:val="Heading2"/>
        <w:spacing w:before="220" w:after="120" w:line="360" w:lineRule="auto"/>
        <w:rPr>
          <w:color w:val="000000" w:themeColor="text1"/>
        </w:rPr>
      </w:pPr>
      <w:bookmarkStart w:id="10" w:name="_Toc235049283"/>
      <w:r w:rsidRPr="009E25B9">
        <w:rPr>
          <w:b/>
          <w:bCs/>
          <w:color w:val="000000" w:themeColor="text1"/>
        </w:rPr>
        <w:t>1. Using AI as a Decision-Support Tool without Eroding Critical Human Judgement</w:t>
      </w:r>
      <w:bookmarkEnd w:id="10"/>
    </w:p>
    <w:p w:rsidR="00CA3AF1" w:rsidRDefault="00CA3AF1" w:rsidP="00CA3AF1">
      <w:pPr>
        <w:spacing w:after="160" w:line="360" w:lineRule="auto"/>
        <w:jc w:val="both"/>
      </w:pPr>
      <w:r>
        <w:t>AI offers usefu</w:t>
      </w:r>
      <w:r w:rsidR="00AF5570">
        <w:t xml:space="preserve">l augmentation for HR decisions </w:t>
      </w:r>
      <w:r>
        <w:t>predicting attrition risks, optimising talent matching or surfacing patterns in engagement data. At HUM, with growing multi-site data, responsible AI people analytics could improve the timeliness of interventions targeting engagement and graduate attrition.</w:t>
      </w:r>
    </w:p>
    <w:p w:rsidR="00CA3AF1" w:rsidRDefault="00CA3AF1" w:rsidP="00CA3AF1">
      <w:pPr>
        <w:spacing w:after="160" w:line="360" w:lineRule="auto"/>
        <w:jc w:val="both"/>
      </w:pPr>
      <w:r>
        <w:t xml:space="preserve">Risks are real, however: algorithmic bias can disadvantage groups; context is often lost (e.g., ‘flight-risk’ flags may miss fixable </w:t>
      </w:r>
      <w:r w:rsidR="00AF5570">
        <w:t>on boarding</w:t>
      </w:r>
      <w:r>
        <w:t xml:space="preserve"> problems). Ethical judgement on privacy or fairness </w:t>
      </w:r>
      <w:r w:rsidR="00E75474">
        <w:t xml:space="preserve">cannot be fully automated. Over </w:t>
      </w:r>
      <w:r>
        <w:t xml:space="preserve">reliance </w:t>
      </w:r>
      <w:r w:rsidR="000D5CA3">
        <w:t xml:space="preserve">on automated </w:t>
      </w:r>
      <w:r w:rsidR="0081538D">
        <w:t>risks eroding</w:t>
      </w:r>
      <w:r>
        <w:t xml:space="preserve"> the</w:t>
      </w:r>
      <w:r w:rsidR="0081538D">
        <w:t xml:space="preserve"> human connections that form the foundation of identity and activist </w:t>
      </w:r>
      <w:proofErr w:type="gramStart"/>
      <w:r w:rsidR="0081538D">
        <w:t xml:space="preserve">action </w:t>
      </w:r>
      <w:r>
        <w:t xml:space="preserve"> (</w:t>
      </w:r>
      <w:proofErr w:type="gramEnd"/>
      <w:r>
        <w:t>Tasks A and B).</w:t>
      </w:r>
    </w:p>
    <w:p w:rsidR="00CA3AF1" w:rsidRDefault="00CA3AF1" w:rsidP="00CA3AF1">
      <w:pPr>
        <w:spacing w:after="160" w:line="360" w:lineRule="auto"/>
        <w:jc w:val="both"/>
      </w:pPr>
      <w:r>
        <w:t xml:space="preserve">A practical hybrid model is therefore recommended: AI generates probabilistic insights and options (e.g., “This cohort shows high disengagement risk linked to </w:t>
      </w:r>
      <w:r w:rsidR="00E75474">
        <w:t>on boarding</w:t>
      </w:r>
      <w:r>
        <w:t xml:space="preserve"> gaps; suggested actions include X and Y”). Humans provide contextual judgement, ethical weighting and final accountabil</w:t>
      </w:r>
      <w:r w:rsidR="00E75474">
        <w:t xml:space="preserve">ity </w:t>
      </w:r>
      <w:r>
        <w:t xml:space="preserve">especially for high-stakes decisions. Essential safeguards include bias </w:t>
      </w:r>
      <w:r w:rsidR="00E75474">
        <w:t>audits;</w:t>
      </w:r>
      <w:r>
        <w:t xml:space="preserve"> transparency, cross-functional review panels and </w:t>
      </w:r>
      <w:r w:rsidR="00E75474">
        <w:t xml:space="preserve">clear human override protocols, </w:t>
      </w:r>
      <w:proofErr w:type="spellStart"/>
      <w:r w:rsidR="00E32511">
        <w:t>Tambe</w:t>
      </w:r>
      <w:proofErr w:type="spellEnd"/>
      <w:r w:rsidR="00E32511">
        <w:t xml:space="preserve">, </w:t>
      </w:r>
      <w:proofErr w:type="spellStart"/>
      <w:r w:rsidR="00E32511">
        <w:t>Cappelli</w:t>
      </w:r>
      <w:proofErr w:type="spellEnd"/>
      <w:r w:rsidR="00E32511">
        <w:t xml:space="preserve"> and</w:t>
      </w:r>
      <w:r>
        <w:t xml:space="preserve"> </w:t>
      </w:r>
      <w:proofErr w:type="spellStart"/>
      <w:r>
        <w:t>Yakubovich</w:t>
      </w:r>
      <w:proofErr w:type="spellEnd"/>
      <w:r>
        <w:t xml:space="preserve">, </w:t>
      </w:r>
      <w:r w:rsidR="00E75474">
        <w:t>(</w:t>
      </w:r>
      <w:r>
        <w:t>2023). This approach lets HUM maximise AI’s value while protecting the empathy, moral reasoning and strategic insight that build trust and long-term performance, and models responsible AI use to its city clients.</w:t>
      </w:r>
    </w:p>
    <w:p w:rsidR="00CA3AF1" w:rsidRPr="009E25B9" w:rsidRDefault="00CA3AF1" w:rsidP="00CA3AF1">
      <w:pPr>
        <w:pStyle w:val="Heading2"/>
        <w:spacing w:before="220" w:after="120" w:line="360" w:lineRule="auto"/>
        <w:rPr>
          <w:color w:val="000000" w:themeColor="text1"/>
        </w:rPr>
      </w:pPr>
      <w:bookmarkStart w:id="11" w:name="_Toc235049284"/>
      <w:r w:rsidRPr="009E25B9">
        <w:rPr>
          <w:b/>
          <w:bCs/>
          <w:color w:val="000000" w:themeColor="text1"/>
        </w:rPr>
        <w:t>2. Personal Capability Development Plan</w:t>
      </w:r>
      <w:bookmarkEnd w:id="11"/>
    </w:p>
    <w:p w:rsidR="00CA3AF1" w:rsidRDefault="00CA3AF1" w:rsidP="00CA3AF1">
      <w:pPr>
        <w:spacing w:after="160" w:line="360" w:lineRule="auto"/>
        <w:jc w:val="both"/>
      </w:pPr>
      <w:r>
        <w:t>As an emerging Strategic Human Capital Advisor operating at the intersection of technology, ethics and organisational transformation, I recognise that delivering architectures of the sophistication proposed in this report requires continuous, self-directed development across technical, strategic and global dimensions. My capability-development plan targets four priority areas with SMART milestones over the next 18–24 months, explicitly designed to model the lifelong learning, reflexivity and boundary-spanning orientation expected of Level 7 graduates and future HR leaders.</w:t>
      </w:r>
    </w:p>
    <w:p w:rsidR="00CA3AF1" w:rsidRDefault="00CA3AF1" w:rsidP="00CA3AF1">
      <w:pPr>
        <w:spacing w:after="160" w:line="360" w:lineRule="auto"/>
        <w:jc w:val="both"/>
      </w:pPr>
      <w:r>
        <w:lastRenderedPageBreak/>
        <w:t xml:space="preserve">Data literacy and preparation for PhD study: By September 2026 I will enrol in a CIPD-accredited People Analytics programme, completing it by March 2027. This serves as a foundation for core research and analytical skills. Practical experience will use accessible tools like Excel or Google Sheets </w:t>
      </w:r>
      <w:r w:rsidR="00E75474">
        <w:t>to analyse sample HR data engagement</w:t>
      </w:r>
      <w:r>
        <w:t xml:space="preserve"> or </w:t>
      </w:r>
      <w:r w:rsidR="00E75474">
        <w:t>on boarding statistics</w:t>
      </w:r>
      <w:r>
        <w:t>, calculating basic metrics such as ramp-up times or team engagement levels and identifying straightforward trends. In parallel, I will embark on a struct</w:t>
      </w:r>
      <w:r w:rsidR="00E75474">
        <w:t xml:space="preserve">ured PhD preparation programme </w:t>
      </w:r>
      <w:r>
        <w:t>such as a postgraduate research met</w:t>
      </w:r>
      <w:r w:rsidR="00E75474">
        <w:t xml:space="preserve">hods or academic skills course </w:t>
      </w:r>
      <w:r>
        <w:t>to equip myself with advanced methodological expertise, critical analysis capabilities, and academic writing skills required for doctoral study. Success will be demonstrated by completing a modest, realistic workp</w:t>
      </w:r>
      <w:r w:rsidR="00E75474">
        <w:t xml:space="preserve">lace project in my current role </w:t>
      </w:r>
      <w:r>
        <w:t>such as re</w:t>
      </w:r>
      <w:r w:rsidR="00DB34C4">
        <w:t>viewing recent team feedback on</w:t>
      </w:r>
      <w:r w:rsidR="00E75474">
        <w:t xml:space="preserve"> boarding</w:t>
      </w:r>
      <w:r>
        <w:t xml:space="preserve"> and recommending </w:t>
      </w:r>
      <w:r w:rsidR="00E75474">
        <w:t xml:space="preserve">practical low-cost improvements </w:t>
      </w:r>
      <w:r>
        <w:t>documented in a short reflective report by December 2027, together with clear progress milestones from the PhD preparation programme.</w:t>
      </w:r>
    </w:p>
    <w:p w:rsidR="00CA3AF1" w:rsidRDefault="00CA3AF1" w:rsidP="00CA3AF1">
      <w:pPr>
        <w:spacing w:after="160" w:line="360" w:lineRule="auto"/>
        <w:jc w:val="both"/>
      </w:pPr>
      <w:r>
        <w:t xml:space="preserve">Strategic influencing skills: I will complete targeted reading and executive education on stakeholder influencing, systems leadership and change navigation (including contemporary applications of </w:t>
      </w:r>
      <w:proofErr w:type="spellStart"/>
      <w:r>
        <w:t>Cialdini’s</w:t>
      </w:r>
      <w:proofErr w:type="spellEnd"/>
      <w:r>
        <w:t xml:space="preserve"> principles and multi-stakeholder strategy frameworks), and will secure a stretch assignment or senior-leader mentoring relationship focused on cross-functional strategic initiatives by Q4 2026. Practical application will include designing and facilitating workshops that present the HUM frameworks to diverse audiences, collecting structured feedback on persuasive impact and adapting approaches accordingly. By the end of 2027 I aim to have presented at an internal strategy forum, contributed to an external professional webinar or CIPD/SHRM knowledge-sharing event, and secured at least one senior stakeholder endorsement of my influencing capability.</w:t>
      </w:r>
    </w:p>
    <w:p w:rsidR="00CA3AF1" w:rsidRDefault="00CA3AF1" w:rsidP="00CA3AF1">
      <w:pPr>
        <w:spacing w:after="160" w:line="360" w:lineRule="auto"/>
        <w:jc w:val="both"/>
      </w:pPr>
      <w:r>
        <w:t>Global mobility and cross-cultural awareness: I will complete a validated cross-cultural intelligence (CQ) or intercultural development inventory assessment and develop a personalised learning plan address</w:t>
      </w:r>
      <w:r w:rsidR="00E75474">
        <w:t xml:space="preserve">ing the specific dynamics of UK, Germany Singapore collaboration </w:t>
      </w:r>
      <w:r>
        <w:t>power distance, feedback norm</w:t>
      </w:r>
      <w:r w:rsidR="00E75474">
        <w:t xml:space="preserve">s, decision-making styles, work </w:t>
      </w:r>
      <w:r>
        <w:t>life boundary expectations</w:t>
      </w:r>
      <w:r w:rsidR="00E75474">
        <w:t xml:space="preserve"> and attitudes toward AI ethics</w:t>
      </w:r>
      <w:r>
        <w:t xml:space="preserve">. This will be supplemented by disciplined language-app practice (German and Mandarin basics), active monitoring of mobility, urban-tech and AI-governance policy debates in each market, and pursuit of short-term virtual or in-person international project exposure. </w:t>
      </w:r>
      <w:r>
        <w:lastRenderedPageBreak/>
        <w:t xml:space="preserve">Target outcome: demonstrable enhancement of global </w:t>
      </w:r>
      <w:r w:rsidR="00E75474">
        <w:t>mind set</w:t>
      </w:r>
      <w:r>
        <w:t xml:space="preserve"> evidenced through successful contribution to a multi-site advisory or transformation engagement within 18 months, with reflective documentation of cultural navigation challenges and adaptations.</w:t>
      </w:r>
    </w:p>
    <w:p w:rsidR="00CA3AF1" w:rsidRDefault="00CA3AF1" w:rsidP="00CA3AF1">
      <w:pPr>
        <w:spacing w:after="160" w:line="360" w:lineRule="auto"/>
        <w:jc w:val="both"/>
      </w:pPr>
      <w:r>
        <w:t>These development activities are deliberately interwoven with the sub</w:t>
      </w:r>
      <w:r w:rsidR="00E75474">
        <w:t xml:space="preserve">stantive content of this report </w:t>
      </w:r>
      <w:r>
        <w:t>applying advanced analytics to evaluate socialisation and job-design interventions, practising strategic influencing in the presentation and defence of recommendations, and modelling global awareness in all multi-site proposals. Quarterly self-review against milestones, supplemented by feedback from mentors, peers and critical friends, will ensure the plan remains adaptive to emerging organisational priorities, technological developments and my own evolving career trajectory. In pursuing this plan I aim to embody the self-direction, originality and continuous advancement of knowledge and skill that Level 7 scholarship and professional practice demand, and that the human capital architectures I help design seek to foster across organisations such as HUM.</w:t>
      </w:r>
    </w:p>
    <w:p w:rsidR="00CA3AF1" w:rsidRPr="009E25B9" w:rsidRDefault="00CA3AF1" w:rsidP="00CA3AF1">
      <w:pPr>
        <w:pStyle w:val="Heading1"/>
        <w:spacing w:before="300" w:after="180" w:line="360" w:lineRule="auto"/>
        <w:rPr>
          <w:color w:val="000000" w:themeColor="text1"/>
          <w:sz w:val="28"/>
          <w:szCs w:val="28"/>
        </w:rPr>
      </w:pPr>
      <w:bookmarkStart w:id="12" w:name="_Toc235049285"/>
      <w:r w:rsidRPr="009E25B9">
        <w:rPr>
          <w:b/>
          <w:bCs/>
          <w:color w:val="000000" w:themeColor="text1"/>
          <w:sz w:val="28"/>
          <w:szCs w:val="28"/>
        </w:rPr>
        <w:t>Conclusion</w:t>
      </w:r>
      <w:bookmarkEnd w:id="12"/>
    </w:p>
    <w:p w:rsidR="00DB34C4" w:rsidRDefault="00CA3AF1" w:rsidP="00CA3AF1">
      <w:pPr>
        <w:spacing w:after="160" w:line="360" w:lineRule="auto"/>
        <w:jc w:val="both"/>
      </w:pPr>
      <w:r>
        <w:t>HUM’s challenges stem from an architecture not fully aligned with its multi-site and strategic needs. The proposals provide a coherent response: strategic socialisation for committed ethical citizens with activist orientation; job designs boosting motivation and innovation via enriched roles, crafting and marketplace fluidity; and hybrid AI use that supports decisions while safeguarding human judgement and ethics.</w:t>
      </w:r>
      <w:r w:rsidR="00DB34C4" w:rsidRPr="00DB34C4">
        <w:t xml:space="preserve"> </w:t>
      </w:r>
    </w:p>
    <w:p w:rsidR="00DB34C4" w:rsidRDefault="00DB34C4" w:rsidP="00DB34C4">
      <w:pPr>
        <w:spacing w:after="160" w:line="360" w:lineRule="auto"/>
        <w:jc w:val="both"/>
      </w:pPr>
      <w:r>
        <w:t>When implemented thoughtfully with piloting and cultural sensitivity these approaches can turn challenges into competitive strengths and opportunities for renewal. The recommendations reflect solid engagement with scholarship, critical contextual understanding, and practical synthesis; all defining features of level 7 work. Leadership commitment to treating people as a strategic asset is essential; the</w:t>
      </w:r>
      <w:r w:rsidRPr="00DB34C4">
        <w:t xml:space="preserve"> </w:t>
      </w:r>
      <w:r>
        <w:t>resulting gains in innovation, staff retention, and organisational resilience make this investment highly worthwhile.</w:t>
      </w:r>
    </w:p>
    <w:p w:rsidR="00CA3AF1" w:rsidRDefault="00CA3AF1" w:rsidP="00CA3AF1">
      <w:pPr>
        <w:spacing w:after="160" w:line="360" w:lineRule="auto"/>
        <w:jc w:val="both"/>
      </w:pPr>
    </w:p>
    <w:p w:rsidR="00CA3AF1" w:rsidRDefault="00CA3AF1" w:rsidP="00CA3AF1">
      <w:r>
        <w:br w:type="page"/>
      </w:r>
    </w:p>
    <w:p w:rsidR="00CA3AF1" w:rsidRPr="00E75474" w:rsidRDefault="00CA3AF1" w:rsidP="00CA3AF1">
      <w:pPr>
        <w:pStyle w:val="Heading1"/>
        <w:spacing w:before="300" w:after="180" w:line="360" w:lineRule="auto"/>
        <w:rPr>
          <w:color w:val="000000" w:themeColor="text1"/>
        </w:rPr>
      </w:pPr>
      <w:bookmarkStart w:id="13" w:name="_Toc235049286"/>
      <w:r w:rsidRPr="00E75474">
        <w:rPr>
          <w:b/>
          <w:bCs/>
          <w:color w:val="000000" w:themeColor="text1"/>
        </w:rPr>
        <w:lastRenderedPageBreak/>
        <w:t>References</w:t>
      </w:r>
      <w:bookmarkEnd w:id="13"/>
    </w:p>
    <w:p w:rsidR="00B134A0" w:rsidRDefault="00CA3AF1" w:rsidP="008932E5">
      <w:pPr>
        <w:spacing w:after="120"/>
        <w:ind w:left="720" w:hanging="720"/>
      </w:pPr>
      <w:proofErr w:type="spellStart"/>
      <w:r w:rsidRPr="00E75474">
        <w:t>Aguin</w:t>
      </w:r>
      <w:r w:rsidR="00E32511">
        <w:t>is</w:t>
      </w:r>
      <w:proofErr w:type="spellEnd"/>
      <w:r w:rsidR="00E32511">
        <w:t xml:space="preserve">, H., </w:t>
      </w:r>
      <w:proofErr w:type="spellStart"/>
      <w:r w:rsidR="00E32511">
        <w:t>Gottfredson</w:t>
      </w:r>
      <w:proofErr w:type="spellEnd"/>
      <w:r w:rsidR="00E32511">
        <w:t>, R.K. and</w:t>
      </w:r>
      <w:r w:rsidRPr="00E75474">
        <w:t xml:space="preserve"> </w:t>
      </w:r>
      <w:proofErr w:type="spellStart"/>
      <w:r w:rsidRPr="00E75474">
        <w:t>Joo</w:t>
      </w:r>
      <w:proofErr w:type="spellEnd"/>
      <w:r w:rsidRPr="00E75474">
        <w:t xml:space="preserve">, H. (2024) 'Human resource management and </w:t>
      </w:r>
    </w:p>
    <w:p w:rsidR="00B134A0" w:rsidRDefault="00CA3AF1" w:rsidP="008932E5">
      <w:pPr>
        <w:spacing w:after="120"/>
        <w:ind w:left="720" w:hanging="720"/>
      </w:pPr>
      <w:proofErr w:type="gramStart"/>
      <w:r w:rsidRPr="00E75474">
        <w:t>stakeholder</w:t>
      </w:r>
      <w:proofErr w:type="gramEnd"/>
      <w:r w:rsidRPr="00E75474">
        <w:t xml:space="preserve"> capitalism: Integrating ESG and long-term value creation', Human </w:t>
      </w:r>
    </w:p>
    <w:p w:rsidR="00CA3AF1" w:rsidRPr="00E75474" w:rsidRDefault="00CA3AF1" w:rsidP="008932E5">
      <w:pPr>
        <w:spacing w:after="120"/>
        <w:ind w:left="720" w:hanging="720"/>
      </w:pPr>
      <w:r w:rsidRPr="00E75474">
        <w:t>Resource Management Review, 34(1), 100–115.</w:t>
      </w:r>
    </w:p>
    <w:p w:rsidR="008932E5" w:rsidRDefault="008932E5" w:rsidP="008932E5">
      <w:pPr>
        <w:spacing w:after="120"/>
        <w:ind w:left="720" w:hanging="720"/>
      </w:pPr>
    </w:p>
    <w:p w:rsidR="00B134A0" w:rsidRDefault="00CA3AF1" w:rsidP="008932E5">
      <w:pPr>
        <w:spacing w:after="120"/>
        <w:ind w:left="720" w:hanging="720"/>
      </w:pPr>
      <w:proofErr w:type="spellStart"/>
      <w:r w:rsidRPr="00E75474">
        <w:t>Ashforth</w:t>
      </w:r>
      <w:proofErr w:type="spellEnd"/>
      <w:r w:rsidRPr="00E75474">
        <w:t xml:space="preserve">, B.E. and </w:t>
      </w:r>
      <w:proofErr w:type="spellStart"/>
      <w:r w:rsidRPr="00E75474">
        <w:t>Schinoff</w:t>
      </w:r>
      <w:proofErr w:type="spellEnd"/>
      <w:r w:rsidRPr="00E75474">
        <w:t xml:space="preserve">, B.S. (2016) ‘Identity under construction: how individuals </w:t>
      </w:r>
    </w:p>
    <w:p w:rsidR="00B134A0" w:rsidRDefault="00CA3AF1" w:rsidP="008932E5">
      <w:pPr>
        <w:spacing w:after="120"/>
        <w:ind w:left="720" w:hanging="720"/>
      </w:pPr>
      <w:proofErr w:type="gramStart"/>
      <w:r w:rsidRPr="00E75474">
        <w:t>come</w:t>
      </w:r>
      <w:proofErr w:type="gramEnd"/>
      <w:r w:rsidRPr="00E75474">
        <w:t xml:space="preserve"> to define themselves in organizations’, Annual Review of Organizational </w:t>
      </w:r>
    </w:p>
    <w:p w:rsidR="00CA3AF1" w:rsidRPr="00E75474" w:rsidRDefault="00CA3AF1" w:rsidP="008932E5">
      <w:pPr>
        <w:spacing w:after="120"/>
        <w:ind w:left="720" w:hanging="720"/>
      </w:pPr>
      <w:proofErr w:type="gramStart"/>
      <w:r w:rsidRPr="00E75474">
        <w:t xml:space="preserve">Psychology and Organizational </w:t>
      </w:r>
      <w:proofErr w:type="spellStart"/>
      <w:r w:rsidRPr="00E75474">
        <w:t>Behavior</w:t>
      </w:r>
      <w:proofErr w:type="spellEnd"/>
      <w:r w:rsidRPr="00E75474">
        <w:t>, 3, pp.111-137.</w:t>
      </w:r>
      <w:proofErr w:type="gramEnd"/>
    </w:p>
    <w:p w:rsidR="008932E5" w:rsidRDefault="008932E5" w:rsidP="008932E5">
      <w:pPr>
        <w:spacing w:after="120"/>
        <w:ind w:left="720" w:hanging="720"/>
      </w:pPr>
    </w:p>
    <w:p w:rsidR="00B134A0" w:rsidRDefault="00CA3AF1" w:rsidP="008932E5">
      <w:pPr>
        <w:spacing w:after="120"/>
        <w:ind w:left="720" w:hanging="720"/>
      </w:pPr>
      <w:r w:rsidRPr="00E75474">
        <w:t xml:space="preserve">Bauer, T.N., </w:t>
      </w:r>
      <w:proofErr w:type="spellStart"/>
      <w:r w:rsidRPr="00E75474">
        <w:t>Bodner</w:t>
      </w:r>
      <w:proofErr w:type="spellEnd"/>
      <w:r w:rsidRPr="00E75474">
        <w:t xml:space="preserve">, T., </w:t>
      </w:r>
      <w:proofErr w:type="spellStart"/>
      <w:r w:rsidRPr="00E75474">
        <w:t>Erdogan</w:t>
      </w:r>
      <w:proofErr w:type="spellEnd"/>
      <w:r w:rsidRPr="00E75474">
        <w:t xml:space="preserve">, B., </w:t>
      </w:r>
      <w:proofErr w:type="spellStart"/>
      <w:r w:rsidRPr="00E75474">
        <w:t>Truxillo</w:t>
      </w:r>
      <w:proofErr w:type="spellEnd"/>
      <w:r w:rsidRPr="00E75474">
        <w:t xml:space="preserve">, D.M. and Tucker, J.S. (2007) </w:t>
      </w:r>
    </w:p>
    <w:p w:rsidR="00B134A0" w:rsidRDefault="00CA3AF1" w:rsidP="008932E5">
      <w:pPr>
        <w:spacing w:after="120"/>
        <w:ind w:left="720" w:hanging="720"/>
      </w:pPr>
      <w:r w:rsidRPr="00E75474">
        <w:t xml:space="preserve">‘Newcomer adjustment during organizational socialization: a meta-analytic review of </w:t>
      </w:r>
    </w:p>
    <w:p w:rsidR="00B134A0" w:rsidRDefault="00CA3AF1" w:rsidP="008932E5">
      <w:pPr>
        <w:spacing w:after="120"/>
        <w:ind w:left="720" w:hanging="720"/>
      </w:pPr>
      <w:proofErr w:type="gramStart"/>
      <w:r w:rsidRPr="00E75474">
        <w:t>antecedents</w:t>
      </w:r>
      <w:proofErr w:type="gramEnd"/>
      <w:r w:rsidRPr="00E75474">
        <w:t xml:space="preserve">, outcomes, and methods’, Journal of Applied Psychology, 92(3), </w:t>
      </w:r>
    </w:p>
    <w:p w:rsidR="00CA3AF1" w:rsidRPr="00E75474" w:rsidRDefault="00CA3AF1" w:rsidP="008932E5">
      <w:pPr>
        <w:spacing w:after="120"/>
        <w:ind w:left="720" w:hanging="720"/>
      </w:pPr>
      <w:proofErr w:type="gramStart"/>
      <w:r w:rsidRPr="00E75474">
        <w:t>pp.707-721</w:t>
      </w:r>
      <w:proofErr w:type="gramEnd"/>
      <w:r w:rsidRPr="00E75474">
        <w:t>.</w:t>
      </w:r>
    </w:p>
    <w:p w:rsidR="008932E5" w:rsidRDefault="008932E5" w:rsidP="008932E5">
      <w:pPr>
        <w:spacing w:after="120"/>
        <w:ind w:left="720" w:hanging="720"/>
      </w:pPr>
    </w:p>
    <w:p w:rsidR="00B134A0" w:rsidRDefault="00CA3AF1" w:rsidP="008932E5">
      <w:pPr>
        <w:spacing w:after="120"/>
        <w:ind w:left="720" w:hanging="720"/>
      </w:pPr>
      <w:proofErr w:type="spellStart"/>
      <w:r w:rsidRPr="00E75474">
        <w:t>Cappelli</w:t>
      </w:r>
      <w:proofErr w:type="spellEnd"/>
      <w:r w:rsidRPr="00E75474">
        <w:t>, P. &amp; Keller, J.R. (2023) '</w:t>
      </w:r>
      <w:proofErr w:type="gramStart"/>
      <w:r w:rsidRPr="00E75474">
        <w:t>The</w:t>
      </w:r>
      <w:proofErr w:type="gramEnd"/>
      <w:r w:rsidRPr="00E75474">
        <w:t xml:space="preserve"> skills-based</w:t>
      </w:r>
      <w:r w:rsidR="00B134A0">
        <w:t xml:space="preserve"> organization: Implications </w:t>
      </w:r>
      <w:proofErr w:type="spellStart"/>
      <w:r w:rsidR="00B134A0">
        <w:t>fortalent</w:t>
      </w:r>
      <w:proofErr w:type="spellEnd"/>
    </w:p>
    <w:p w:rsidR="00CA3AF1" w:rsidRPr="00E75474" w:rsidRDefault="00CA3AF1" w:rsidP="008932E5">
      <w:pPr>
        <w:spacing w:after="120"/>
        <w:ind w:left="720" w:hanging="720"/>
      </w:pPr>
      <w:proofErr w:type="gramStart"/>
      <w:r w:rsidRPr="00E75474">
        <w:t>management</w:t>
      </w:r>
      <w:proofErr w:type="gramEnd"/>
      <w:r w:rsidRPr="00E75474">
        <w:t xml:space="preserve"> and HR strategy', Human Resource Management, 62(4), pp.567–582.</w:t>
      </w:r>
    </w:p>
    <w:p w:rsidR="008932E5" w:rsidRDefault="008932E5" w:rsidP="008932E5">
      <w:pPr>
        <w:spacing w:after="120"/>
        <w:ind w:left="720" w:hanging="720"/>
      </w:pPr>
    </w:p>
    <w:p w:rsidR="00B134A0" w:rsidRDefault="00CA3AF1" w:rsidP="008932E5">
      <w:pPr>
        <w:spacing w:after="120"/>
        <w:ind w:left="720" w:hanging="720"/>
      </w:pPr>
      <w:r w:rsidRPr="00E75474">
        <w:t xml:space="preserve">Deloitte (2022) Skills-based organizations: A new operating model for work and the </w:t>
      </w:r>
    </w:p>
    <w:p w:rsidR="00B134A0" w:rsidRDefault="00CA3AF1" w:rsidP="008932E5">
      <w:pPr>
        <w:spacing w:after="120"/>
        <w:ind w:left="720" w:hanging="720"/>
      </w:pPr>
      <w:proofErr w:type="gramStart"/>
      <w:r w:rsidRPr="00E75474">
        <w:t>workforce</w:t>
      </w:r>
      <w:proofErr w:type="gramEnd"/>
      <w:r w:rsidRPr="00E75474">
        <w:t xml:space="preserve">. </w:t>
      </w:r>
      <w:proofErr w:type="gramStart"/>
      <w:r w:rsidRPr="00E75474">
        <w:t>Deloitte Insights.</w:t>
      </w:r>
      <w:proofErr w:type="gramEnd"/>
      <w:r w:rsidRPr="00E75474">
        <w:t xml:space="preserve"> Available at: </w:t>
      </w:r>
    </w:p>
    <w:p w:rsidR="00B134A0" w:rsidRDefault="00B134A0" w:rsidP="008932E5">
      <w:pPr>
        <w:spacing w:after="120"/>
        <w:ind w:left="720" w:hanging="720"/>
      </w:pPr>
      <w:hyperlink r:id="rId8" w:history="1">
        <w:r w:rsidRPr="005A24F1">
          <w:rPr>
            <w:rStyle w:val="Hyperlink"/>
          </w:rPr>
          <w:t>https://www.deloitte.com/global/en/insights/topics/talent/organizational-skill-based-</w:t>
        </w:r>
      </w:hyperlink>
    </w:p>
    <w:p w:rsidR="00CA3AF1" w:rsidRPr="00E75474" w:rsidRDefault="00E32511" w:rsidP="008932E5">
      <w:pPr>
        <w:spacing w:after="120"/>
        <w:ind w:left="720" w:hanging="720"/>
      </w:pPr>
      <w:r>
        <w:t>hiring.html (Accessed: 6th</w:t>
      </w:r>
      <w:r w:rsidR="00CA3AF1" w:rsidRPr="00E75474">
        <w:t xml:space="preserve"> July 2026).</w:t>
      </w:r>
    </w:p>
    <w:p w:rsidR="008932E5" w:rsidRDefault="008932E5" w:rsidP="008932E5">
      <w:pPr>
        <w:spacing w:after="120"/>
        <w:ind w:left="720" w:hanging="720"/>
      </w:pPr>
    </w:p>
    <w:p w:rsidR="00B134A0" w:rsidRDefault="00CA3AF1" w:rsidP="008932E5">
      <w:pPr>
        <w:spacing w:after="120"/>
        <w:ind w:left="720" w:hanging="720"/>
      </w:pPr>
      <w:r w:rsidRPr="00E75474">
        <w:t xml:space="preserve">Hackman, J.R. and Oldham, G.R. (1976) ‘Motivation through the design of work: test </w:t>
      </w:r>
    </w:p>
    <w:p w:rsidR="00CA3AF1" w:rsidRPr="00E75474" w:rsidRDefault="00CA3AF1" w:rsidP="008932E5">
      <w:pPr>
        <w:spacing w:after="120"/>
        <w:ind w:left="720" w:hanging="720"/>
      </w:pPr>
      <w:proofErr w:type="gramStart"/>
      <w:r w:rsidRPr="00E75474">
        <w:t>of</w:t>
      </w:r>
      <w:proofErr w:type="gramEnd"/>
      <w:r w:rsidRPr="00E75474">
        <w:t xml:space="preserve"> a theory’, Organizational </w:t>
      </w:r>
      <w:proofErr w:type="spellStart"/>
      <w:r w:rsidRPr="00E75474">
        <w:t>Behavior</w:t>
      </w:r>
      <w:proofErr w:type="spellEnd"/>
      <w:r w:rsidRPr="00E75474">
        <w:t xml:space="preserve"> and Human Performance, 16(2), pp.250-279.</w:t>
      </w:r>
    </w:p>
    <w:p w:rsidR="008932E5" w:rsidRDefault="008932E5" w:rsidP="008932E5">
      <w:pPr>
        <w:spacing w:after="120"/>
        <w:ind w:left="720" w:hanging="720"/>
      </w:pPr>
    </w:p>
    <w:p w:rsidR="00B134A0" w:rsidRDefault="00CA3AF1" w:rsidP="008932E5">
      <w:pPr>
        <w:spacing w:after="120"/>
        <w:ind w:left="720" w:hanging="720"/>
      </w:pPr>
      <w:proofErr w:type="spellStart"/>
      <w:r w:rsidRPr="00E75474">
        <w:t>Kossek</w:t>
      </w:r>
      <w:proofErr w:type="spellEnd"/>
      <w:r w:rsidRPr="00E75474">
        <w:t xml:space="preserve">, E.E., Thompson, R.J. &amp; </w:t>
      </w:r>
      <w:proofErr w:type="spellStart"/>
      <w:r w:rsidRPr="00E75474">
        <w:t>Lautsch</w:t>
      </w:r>
      <w:proofErr w:type="spellEnd"/>
      <w:r w:rsidRPr="00E75474">
        <w:t xml:space="preserve">, B.A. (2023) 'Remote and hybrid work </w:t>
      </w:r>
    </w:p>
    <w:p w:rsidR="00B134A0" w:rsidRDefault="00CA3AF1" w:rsidP="008932E5">
      <w:pPr>
        <w:spacing w:after="120"/>
        <w:ind w:left="720" w:hanging="720"/>
      </w:pPr>
      <w:proofErr w:type="gramStart"/>
      <w:r w:rsidRPr="00E75474">
        <w:t>socialization</w:t>
      </w:r>
      <w:proofErr w:type="gramEnd"/>
      <w:r w:rsidRPr="00E75474">
        <w:t xml:space="preserve">: Challenges, opportunities and new directions', Journal of </w:t>
      </w:r>
    </w:p>
    <w:p w:rsidR="00CA3AF1" w:rsidRPr="00E75474" w:rsidRDefault="00CA3AF1" w:rsidP="008932E5">
      <w:pPr>
        <w:spacing w:after="120"/>
        <w:ind w:left="720" w:hanging="720"/>
      </w:pPr>
      <w:proofErr w:type="gramStart"/>
      <w:r w:rsidRPr="00E75474">
        <w:t xml:space="preserve">Organizational </w:t>
      </w:r>
      <w:proofErr w:type="spellStart"/>
      <w:r w:rsidRPr="00E75474">
        <w:t>Behavior</w:t>
      </w:r>
      <w:proofErr w:type="spellEnd"/>
      <w:r w:rsidRPr="00E75474">
        <w:t>, 44(5), pp.712–735.</w:t>
      </w:r>
      <w:proofErr w:type="gramEnd"/>
    </w:p>
    <w:p w:rsidR="008932E5" w:rsidRDefault="008932E5" w:rsidP="008932E5">
      <w:pPr>
        <w:spacing w:after="120"/>
        <w:ind w:left="720" w:hanging="720"/>
      </w:pPr>
    </w:p>
    <w:p w:rsidR="00B134A0" w:rsidRDefault="00CA3AF1" w:rsidP="008932E5">
      <w:pPr>
        <w:spacing w:after="120"/>
        <w:ind w:left="720" w:hanging="720"/>
      </w:pPr>
      <w:r w:rsidRPr="00E75474">
        <w:t xml:space="preserve">Louis, M.R. (1980) ‘Surprise and sense making: what newcomers experience in </w:t>
      </w:r>
    </w:p>
    <w:p w:rsidR="00B134A0" w:rsidRDefault="00CA3AF1" w:rsidP="008932E5">
      <w:pPr>
        <w:spacing w:after="120"/>
        <w:ind w:left="720" w:hanging="720"/>
      </w:pPr>
      <w:proofErr w:type="gramStart"/>
      <w:r w:rsidRPr="00E75474">
        <w:t>entering</w:t>
      </w:r>
      <w:proofErr w:type="gramEnd"/>
      <w:r w:rsidRPr="00E75474">
        <w:t xml:space="preserve"> unfamiliar organizational settings’, Administrative Science Quarterly, 25(2), </w:t>
      </w:r>
    </w:p>
    <w:p w:rsidR="00CA3AF1" w:rsidRPr="00E75474" w:rsidRDefault="00CA3AF1" w:rsidP="008932E5">
      <w:pPr>
        <w:spacing w:after="120"/>
        <w:ind w:left="720" w:hanging="720"/>
      </w:pPr>
      <w:proofErr w:type="gramStart"/>
      <w:r w:rsidRPr="00E75474">
        <w:t>pp.226-251</w:t>
      </w:r>
      <w:proofErr w:type="gramEnd"/>
      <w:r w:rsidRPr="00E75474">
        <w:t>.</w:t>
      </w:r>
    </w:p>
    <w:p w:rsidR="00B134A0" w:rsidRDefault="00CA3AF1" w:rsidP="008932E5">
      <w:pPr>
        <w:spacing w:after="120"/>
        <w:ind w:left="720" w:hanging="720"/>
      </w:pPr>
      <w:proofErr w:type="gramStart"/>
      <w:r w:rsidRPr="00E75474">
        <w:t>QIC-WD (2020) Umbrella summary: Organizational socialization.</w:t>
      </w:r>
      <w:proofErr w:type="gramEnd"/>
      <w:r w:rsidRPr="00E75474">
        <w:t xml:space="preserve"> Quality </w:t>
      </w:r>
    </w:p>
    <w:p w:rsidR="008932E5" w:rsidRDefault="00CA3AF1" w:rsidP="008932E5">
      <w:pPr>
        <w:spacing w:after="120"/>
        <w:ind w:left="720" w:hanging="720"/>
      </w:pPr>
      <w:proofErr w:type="gramStart"/>
      <w:r w:rsidRPr="00E75474">
        <w:t xml:space="preserve">Improvement </w:t>
      </w:r>
      <w:proofErr w:type="spellStart"/>
      <w:r w:rsidRPr="00E75474">
        <w:t>Center</w:t>
      </w:r>
      <w:proofErr w:type="spellEnd"/>
      <w:r w:rsidRPr="00E75474">
        <w:t xml:space="preserve"> for Workforce Development.</w:t>
      </w:r>
      <w:proofErr w:type="gramEnd"/>
      <w:r w:rsidRPr="00E75474">
        <w:t xml:space="preserve"> Available at:</w:t>
      </w:r>
    </w:p>
    <w:p w:rsidR="008932E5" w:rsidRDefault="008932E5" w:rsidP="008932E5">
      <w:pPr>
        <w:spacing w:after="120"/>
        <w:ind w:left="720" w:hanging="720"/>
      </w:pPr>
      <w:hyperlink r:id="rId9" w:history="1">
        <w:r w:rsidRPr="005A24F1">
          <w:rPr>
            <w:rStyle w:val="Hyperlink"/>
          </w:rPr>
          <w:t>https://www.qic-wd.org/umbrella/organization-socialization</w:t>
        </w:r>
      </w:hyperlink>
      <w:r>
        <w:t xml:space="preserve"> (Accessed: 3</w:t>
      </w:r>
      <w:r w:rsidRPr="008932E5">
        <w:rPr>
          <w:vertAlign w:val="superscript"/>
        </w:rPr>
        <w:t>rd</w:t>
      </w:r>
      <w:r>
        <w:t xml:space="preserve"> July 2026)</w:t>
      </w:r>
    </w:p>
    <w:p w:rsidR="008932E5" w:rsidRDefault="008932E5" w:rsidP="008932E5">
      <w:pPr>
        <w:spacing w:after="120"/>
        <w:ind w:left="720" w:hanging="720"/>
      </w:pPr>
    </w:p>
    <w:p w:rsidR="00B134A0" w:rsidRDefault="00CA3AF1" w:rsidP="008932E5">
      <w:pPr>
        <w:spacing w:after="120"/>
        <w:ind w:left="720" w:hanging="720"/>
      </w:pPr>
      <w:r w:rsidRPr="00E75474">
        <w:t xml:space="preserve">Rousseau, D.M. (1995) Psychological Contracts in Organizations: Understanding </w:t>
      </w:r>
    </w:p>
    <w:p w:rsidR="00CA3AF1" w:rsidRPr="00E75474" w:rsidRDefault="00CA3AF1" w:rsidP="008932E5">
      <w:pPr>
        <w:spacing w:after="120"/>
        <w:ind w:left="720" w:hanging="720"/>
      </w:pPr>
      <w:proofErr w:type="gramStart"/>
      <w:r w:rsidRPr="00E75474">
        <w:t>Written and Unwritten Agreements.</w:t>
      </w:r>
      <w:proofErr w:type="gramEnd"/>
      <w:r w:rsidRPr="00E75474">
        <w:t xml:space="preserve"> Thousand Oaks, CA: Sage.</w:t>
      </w:r>
    </w:p>
    <w:p w:rsidR="008932E5" w:rsidRDefault="008932E5" w:rsidP="008932E5">
      <w:pPr>
        <w:spacing w:after="120"/>
        <w:ind w:left="720" w:hanging="720"/>
      </w:pPr>
    </w:p>
    <w:p w:rsidR="00B134A0" w:rsidRDefault="00CA3AF1" w:rsidP="008932E5">
      <w:pPr>
        <w:spacing w:after="120"/>
        <w:ind w:left="720" w:hanging="720"/>
      </w:pPr>
      <w:r w:rsidRPr="00E75474">
        <w:t xml:space="preserve">Rudolph, C.W., Katz, I.M., </w:t>
      </w:r>
      <w:proofErr w:type="spellStart"/>
      <w:r w:rsidRPr="00E75474">
        <w:t>Lavigne</w:t>
      </w:r>
      <w:proofErr w:type="spellEnd"/>
      <w:r w:rsidRPr="00E75474">
        <w:t xml:space="preserve">, K.N. and </w:t>
      </w:r>
      <w:proofErr w:type="spellStart"/>
      <w:r w:rsidRPr="00E75474">
        <w:t>Zacher</w:t>
      </w:r>
      <w:proofErr w:type="spellEnd"/>
      <w:r w:rsidRPr="00E75474">
        <w:t>, H. (2017) ‘Job crafting: a meta-</w:t>
      </w:r>
    </w:p>
    <w:p w:rsidR="00B134A0" w:rsidRDefault="00CA3AF1" w:rsidP="008932E5">
      <w:pPr>
        <w:spacing w:after="120"/>
        <w:ind w:left="720" w:hanging="720"/>
      </w:pPr>
      <w:proofErr w:type="gramStart"/>
      <w:r w:rsidRPr="00E75474">
        <w:t>analysis</w:t>
      </w:r>
      <w:proofErr w:type="gramEnd"/>
      <w:r w:rsidRPr="00E75474">
        <w:t xml:space="preserve"> of relationships with individual differences, job characteristics, and work </w:t>
      </w:r>
    </w:p>
    <w:p w:rsidR="00CA3AF1" w:rsidRPr="00E75474" w:rsidRDefault="00CA3AF1" w:rsidP="008932E5">
      <w:pPr>
        <w:spacing w:after="120"/>
        <w:ind w:left="720" w:hanging="720"/>
      </w:pPr>
      <w:proofErr w:type="gramStart"/>
      <w:r w:rsidRPr="00E75474">
        <w:t>outcomes</w:t>
      </w:r>
      <w:proofErr w:type="gramEnd"/>
      <w:r w:rsidRPr="00E75474">
        <w:t xml:space="preserve">’, Journal of Vocational </w:t>
      </w:r>
      <w:proofErr w:type="spellStart"/>
      <w:r w:rsidRPr="00E75474">
        <w:t>Behavior</w:t>
      </w:r>
      <w:proofErr w:type="spellEnd"/>
      <w:r w:rsidRPr="00E75474">
        <w:t>, 102, pp.112-138.</w:t>
      </w:r>
    </w:p>
    <w:p w:rsidR="008932E5" w:rsidRDefault="008932E5" w:rsidP="00CA3AF1">
      <w:pPr>
        <w:spacing w:after="120" w:line="276" w:lineRule="auto"/>
        <w:ind w:left="720" w:hanging="720"/>
      </w:pPr>
    </w:p>
    <w:p w:rsidR="00B134A0" w:rsidRDefault="00CA3AF1" w:rsidP="00CA3AF1">
      <w:pPr>
        <w:spacing w:after="120" w:line="276" w:lineRule="auto"/>
        <w:ind w:left="720" w:hanging="720"/>
      </w:pPr>
      <w:r w:rsidRPr="00E75474">
        <w:t xml:space="preserve">Schwab, K. (2021) Stakeholder Capitalism: A Global Economy that Works for </w:t>
      </w:r>
    </w:p>
    <w:p w:rsidR="00CA3AF1" w:rsidRPr="00E75474" w:rsidRDefault="00CA3AF1" w:rsidP="00CA3AF1">
      <w:pPr>
        <w:spacing w:after="120" w:line="276" w:lineRule="auto"/>
        <w:ind w:left="720" w:hanging="720"/>
      </w:pPr>
      <w:proofErr w:type="gramStart"/>
      <w:r w:rsidRPr="00E75474">
        <w:t>Progress, People and Planet.</w:t>
      </w:r>
      <w:proofErr w:type="gramEnd"/>
      <w:r w:rsidRPr="00E75474">
        <w:t xml:space="preserve"> Hoboken, NJ: Wiley.</w:t>
      </w:r>
    </w:p>
    <w:p w:rsidR="008932E5" w:rsidRDefault="008932E5" w:rsidP="00CA3AF1">
      <w:pPr>
        <w:spacing w:after="120" w:line="276" w:lineRule="auto"/>
        <w:ind w:left="720" w:hanging="720"/>
      </w:pPr>
    </w:p>
    <w:p w:rsidR="00B134A0" w:rsidRDefault="00CA3AF1" w:rsidP="00CA3AF1">
      <w:pPr>
        <w:spacing w:after="120" w:line="276" w:lineRule="auto"/>
        <w:ind w:left="720" w:hanging="720"/>
      </w:pPr>
      <w:proofErr w:type="spellStart"/>
      <w:r w:rsidRPr="00E75474">
        <w:t>Tambe</w:t>
      </w:r>
      <w:proofErr w:type="spellEnd"/>
      <w:r w:rsidRPr="00E75474">
        <w:t xml:space="preserve">, P., </w:t>
      </w:r>
      <w:proofErr w:type="spellStart"/>
      <w:r w:rsidRPr="00E75474">
        <w:t>Cappelli</w:t>
      </w:r>
      <w:proofErr w:type="spellEnd"/>
      <w:r w:rsidRPr="00E75474">
        <w:t xml:space="preserve">, P. &amp; </w:t>
      </w:r>
      <w:proofErr w:type="spellStart"/>
      <w:r w:rsidRPr="00E75474">
        <w:t>Yakubovich</w:t>
      </w:r>
      <w:proofErr w:type="spellEnd"/>
      <w:r w:rsidRPr="00E75474">
        <w:t xml:space="preserve">, V. (2023) 'Artificial intelligence in human </w:t>
      </w:r>
    </w:p>
    <w:p w:rsidR="00B134A0" w:rsidRDefault="00CA3AF1" w:rsidP="00CA3AF1">
      <w:pPr>
        <w:spacing w:after="120" w:line="276" w:lineRule="auto"/>
        <w:ind w:left="720" w:hanging="720"/>
      </w:pPr>
      <w:proofErr w:type="gramStart"/>
      <w:r w:rsidRPr="00E75474">
        <w:t>resources</w:t>
      </w:r>
      <w:proofErr w:type="gramEnd"/>
      <w:r w:rsidRPr="00E75474">
        <w:t xml:space="preserve"> management: Challenges, opportunities and a research agenda', </w:t>
      </w:r>
    </w:p>
    <w:p w:rsidR="00CA3AF1" w:rsidRPr="00E75474" w:rsidRDefault="00CA3AF1" w:rsidP="00CA3AF1">
      <w:pPr>
        <w:spacing w:after="120" w:line="276" w:lineRule="auto"/>
        <w:ind w:left="720" w:hanging="720"/>
      </w:pPr>
      <w:proofErr w:type="gramStart"/>
      <w:r w:rsidRPr="00E75474">
        <w:t>Academy of Management Annals, 17(2), pp.491–528.</w:t>
      </w:r>
      <w:proofErr w:type="gramEnd"/>
    </w:p>
    <w:p w:rsidR="008932E5" w:rsidRDefault="008932E5" w:rsidP="00CA3AF1">
      <w:pPr>
        <w:spacing w:after="120" w:line="276" w:lineRule="auto"/>
        <w:ind w:left="720" w:hanging="720"/>
      </w:pPr>
    </w:p>
    <w:p w:rsidR="00B134A0" w:rsidRDefault="00CA3AF1" w:rsidP="00CA3AF1">
      <w:pPr>
        <w:spacing w:after="120" w:line="276" w:lineRule="auto"/>
        <w:ind w:left="720" w:hanging="720"/>
      </w:pPr>
      <w:proofErr w:type="spellStart"/>
      <w:r w:rsidRPr="00E75474">
        <w:t>Tims</w:t>
      </w:r>
      <w:proofErr w:type="spellEnd"/>
      <w:r w:rsidRPr="00E75474">
        <w:t xml:space="preserve">, M., Bakker, A.B. &amp; </w:t>
      </w:r>
      <w:proofErr w:type="spellStart"/>
      <w:r w:rsidRPr="00E75474">
        <w:t>Derks</w:t>
      </w:r>
      <w:proofErr w:type="spellEnd"/>
      <w:r w:rsidRPr="00E75474">
        <w:t xml:space="preserve">, D. (2022, updated applications 2024) 'Job crafting </w:t>
      </w:r>
    </w:p>
    <w:p w:rsidR="00B134A0" w:rsidRDefault="00CA3AF1" w:rsidP="00CA3AF1">
      <w:pPr>
        <w:spacing w:after="120" w:line="276" w:lineRule="auto"/>
        <w:ind w:left="720" w:hanging="720"/>
      </w:pPr>
      <w:proofErr w:type="gramStart"/>
      <w:r w:rsidRPr="00E75474">
        <w:t>and</w:t>
      </w:r>
      <w:proofErr w:type="gramEnd"/>
      <w:r w:rsidRPr="00E75474">
        <w:t xml:space="preserve"> employee outcomes in knowledge work: A meta-analytic review', Journal of </w:t>
      </w:r>
    </w:p>
    <w:p w:rsidR="00CA3AF1" w:rsidRPr="00E75474" w:rsidRDefault="00CA3AF1" w:rsidP="00CA3AF1">
      <w:pPr>
        <w:spacing w:after="120" w:line="276" w:lineRule="auto"/>
        <w:ind w:left="720" w:hanging="720"/>
      </w:pPr>
      <w:proofErr w:type="gramStart"/>
      <w:r w:rsidRPr="00E75474">
        <w:t xml:space="preserve">Vocational </w:t>
      </w:r>
      <w:proofErr w:type="spellStart"/>
      <w:r w:rsidRPr="00E75474">
        <w:t>Behavior</w:t>
      </w:r>
      <w:proofErr w:type="spellEnd"/>
      <w:r w:rsidRPr="00E75474">
        <w:t>, 134, pp.103–118.</w:t>
      </w:r>
      <w:proofErr w:type="gramEnd"/>
    </w:p>
    <w:p w:rsidR="008932E5" w:rsidRDefault="008932E5" w:rsidP="00CA3AF1">
      <w:pPr>
        <w:spacing w:after="120" w:line="276" w:lineRule="auto"/>
        <w:ind w:left="720" w:hanging="720"/>
      </w:pPr>
    </w:p>
    <w:p w:rsidR="00B134A0" w:rsidRDefault="00CA3AF1" w:rsidP="00CA3AF1">
      <w:pPr>
        <w:spacing w:after="120" w:line="276" w:lineRule="auto"/>
        <w:ind w:left="720" w:hanging="720"/>
      </w:pPr>
      <w:r w:rsidRPr="00E75474">
        <w:t xml:space="preserve">Ulrich, D. (1997) Human Resource Champions: The Next Agenda for Adding Value </w:t>
      </w:r>
    </w:p>
    <w:p w:rsidR="00CA3AF1" w:rsidRPr="00E75474" w:rsidRDefault="00CA3AF1" w:rsidP="00CA3AF1">
      <w:pPr>
        <w:spacing w:after="120" w:line="276" w:lineRule="auto"/>
        <w:ind w:left="720" w:hanging="720"/>
      </w:pPr>
      <w:proofErr w:type="gramStart"/>
      <w:r w:rsidRPr="00E75474">
        <w:t>and</w:t>
      </w:r>
      <w:proofErr w:type="gramEnd"/>
      <w:r w:rsidRPr="00E75474">
        <w:t xml:space="preserve"> Delivering Results. Boston, MA: Harvard Business School Press.</w:t>
      </w:r>
    </w:p>
    <w:p w:rsidR="008932E5" w:rsidRDefault="008932E5" w:rsidP="00CA3AF1">
      <w:pPr>
        <w:spacing w:after="120" w:line="276" w:lineRule="auto"/>
        <w:ind w:left="720" w:hanging="720"/>
      </w:pPr>
    </w:p>
    <w:p w:rsidR="00B134A0" w:rsidRDefault="00CA3AF1" w:rsidP="00CA3AF1">
      <w:pPr>
        <w:spacing w:after="120" w:line="276" w:lineRule="auto"/>
        <w:ind w:left="720" w:hanging="720"/>
      </w:pPr>
      <w:r w:rsidRPr="00E75474">
        <w:t xml:space="preserve">Van </w:t>
      </w:r>
      <w:proofErr w:type="spellStart"/>
      <w:r w:rsidRPr="00E75474">
        <w:t>Maanen</w:t>
      </w:r>
      <w:proofErr w:type="spellEnd"/>
      <w:r w:rsidRPr="00E75474">
        <w:t xml:space="preserve">, J. and Schein, E.H. (1979) ‘Toward a theory of organizational </w:t>
      </w:r>
    </w:p>
    <w:p w:rsidR="00CA3AF1" w:rsidRPr="00E75474" w:rsidRDefault="00CA3AF1" w:rsidP="00CA3AF1">
      <w:pPr>
        <w:spacing w:after="120" w:line="276" w:lineRule="auto"/>
        <w:ind w:left="720" w:hanging="720"/>
      </w:pPr>
      <w:proofErr w:type="gramStart"/>
      <w:r w:rsidRPr="00E75474">
        <w:t>socialization</w:t>
      </w:r>
      <w:proofErr w:type="gramEnd"/>
      <w:r w:rsidRPr="00E75474">
        <w:t xml:space="preserve">’, Research in Organizational </w:t>
      </w:r>
      <w:proofErr w:type="spellStart"/>
      <w:r w:rsidRPr="00E75474">
        <w:t>Behavior</w:t>
      </w:r>
      <w:proofErr w:type="spellEnd"/>
      <w:r w:rsidRPr="00E75474">
        <w:t>, 1, pp.209-264.</w:t>
      </w:r>
    </w:p>
    <w:p w:rsidR="008932E5" w:rsidRDefault="008932E5" w:rsidP="00CA3AF1"/>
    <w:p w:rsidR="00CF1606" w:rsidRPr="00E75474" w:rsidRDefault="00CA3AF1" w:rsidP="00CA3AF1">
      <w:proofErr w:type="spellStart"/>
      <w:r w:rsidRPr="00E75474">
        <w:t>Wrzesniewski</w:t>
      </w:r>
      <w:proofErr w:type="spellEnd"/>
      <w:r w:rsidRPr="00E75474">
        <w:t xml:space="preserve">, A. and Dutton, J.E. (2001) ‘Crafting a job: </w:t>
      </w:r>
      <w:proofErr w:type="spellStart"/>
      <w:r w:rsidRPr="00E75474">
        <w:t>revisioning</w:t>
      </w:r>
      <w:proofErr w:type="spellEnd"/>
      <w:r w:rsidRPr="00E75474">
        <w:t xml:space="preserve"> employees as active crafters of their work’, Academy of Management Review, 26</w:t>
      </w:r>
    </w:p>
    <w:sectPr w:rsidR="00CF1606" w:rsidRPr="00E754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8527A" w:rsidRDefault="0038527A" w:rsidP="008932E5">
      <w:r>
        <w:separator/>
      </w:r>
    </w:p>
  </w:endnote>
  <w:endnote w:type="continuationSeparator" w:id="0">
    <w:p w:rsidR="0038527A" w:rsidRDefault="0038527A" w:rsidP="008932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8527A" w:rsidRDefault="0038527A" w:rsidP="008932E5">
      <w:r>
        <w:separator/>
      </w:r>
    </w:p>
  </w:footnote>
  <w:footnote w:type="continuationSeparator" w:id="0">
    <w:p w:rsidR="0038527A" w:rsidRDefault="0038527A" w:rsidP="008932E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A3AF1"/>
    <w:rsid w:val="000D5CA3"/>
    <w:rsid w:val="0038527A"/>
    <w:rsid w:val="0081538D"/>
    <w:rsid w:val="008932E5"/>
    <w:rsid w:val="009246A2"/>
    <w:rsid w:val="009E25B9"/>
    <w:rsid w:val="00AF5570"/>
    <w:rsid w:val="00B134A0"/>
    <w:rsid w:val="00C56327"/>
    <w:rsid w:val="00CA3AF1"/>
    <w:rsid w:val="00CF1606"/>
    <w:rsid w:val="00DB34C4"/>
    <w:rsid w:val="00E32511"/>
    <w:rsid w:val="00E754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3AF1"/>
    <w:pPr>
      <w:spacing w:after="0" w:line="240" w:lineRule="auto"/>
    </w:pPr>
    <w:rPr>
      <w:rFonts w:ascii="Arial" w:eastAsia="Arial" w:hAnsi="Arial" w:cs="Arial"/>
      <w:sz w:val="24"/>
      <w:szCs w:val="24"/>
      <w:lang w:eastAsia="en-GB"/>
    </w:rPr>
  </w:style>
  <w:style w:type="paragraph" w:styleId="Heading1">
    <w:name w:val="heading 1"/>
    <w:link w:val="Heading1Char"/>
    <w:qFormat/>
    <w:rsid w:val="00CA3AF1"/>
    <w:pPr>
      <w:spacing w:after="0" w:line="240" w:lineRule="auto"/>
      <w:outlineLvl w:val="0"/>
    </w:pPr>
    <w:rPr>
      <w:rFonts w:ascii="Arial" w:eastAsia="Arial" w:hAnsi="Arial" w:cs="Arial"/>
      <w:color w:val="2E74B5"/>
      <w:sz w:val="32"/>
      <w:szCs w:val="32"/>
      <w:lang w:eastAsia="en-GB"/>
    </w:rPr>
  </w:style>
  <w:style w:type="paragraph" w:styleId="Heading2">
    <w:name w:val="heading 2"/>
    <w:link w:val="Heading2Char"/>
    <w:qFormat/>
    <w:rsid w:val="00CA3AF1"/>
    <w:pPr>
      <w:spacing w:after="0" w:line="240" w:lineRule="auto"/>
      <w:outlineLvl w:val="1"/>
    </w:pPr>
    <w:rPr>
      <w:rFonts w:ascii="Arial" w:eastAsia="Arial" w:hAnsi="Arial" w:cs="Arial"/>
      <w:color w:val="2E74B5"/>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A3AF1"/>
    <w:rPr>
      <w:rFonts w:ascii="Arial" w:eastAsia="Arial" w:hAnsi="Arial" w:cs="Arial"/>
      <w:color w:val="2E74B5"/>
      <w:sz w:val="32"/>
      <w:szCs w:val="32"/>
      <w:lang w:eastAsia="en-GB"/>
    </w:rPr>
  </w:style>
  <w:style w:type="character" w:customStyle="1" w:styleId="Heading2Char">
    <w:name w:val="Heading 2 Char"/>
    <w:basedOn w:val="DefaultParagraphFont"/>
    <w:link w:val="Heading2"/>
    <w:rsid w:val="00CA3AF1"/>
    <w:rPr>
      <w:rFonts w:ascii="Arial" w:eastAsia="Arial" w:hAnsi="Arial" w:cs="Arial"/>
      <w:color w:val="2E74B5"/>
      <w:sz w:val="26"/>
      <w:szCs w:val="26"/>
      <w:lang w:eastAsia="en-GB"/>
    </w:rPr>
  </w:style>
  <w:style w:type="paragraph" w:styleId="TOC1">
    <w:name w:val="toc 1"/>
    <w:basedOn w:val="Normal"/>
    <w:next w:val="Normal"/>
    <w:autoRedefine/>
    <w:uiPriority w:val="39"/>
    <w:unhideWhenUsed/>
    <w:rsid w:val="00DB34C4"/>
    <w:pPr>
      <w:spacing w:after="100"/>
    </w:pPr>
  </w:style>
  <w:style w:type="paragraph" w:styleId="TOC2">
    <w:name w:val="toc 2"/>
    <w:basedOn w:val="Normal"/>
    <w:next w:val="Normal"/>
    <w:autoRedefine/>
    <w:uiPriority w:val="39"/>
    <w:unhideWhenUsed/>
    <w:rsid w:val="00DB34C4"/>
    <w:pPr>
      <w:spacing w:after="100"/>
      <w:ind w:left="240"/>
    </w:pPr>
  </w:style>
  <w:style w:type="character" w:styleId="Hyperlink">
    <w:name w:val="Hyperlink"/>
    <w:basedOn w:val="DefaultParagraphFont"/>
    <w:uiPriority w:val="99"/>
    <w:unhideWhenUsed/>
    <w:rsid w:val="00DB34C4"/>
    <w:rPr>
      <w:color w:val="0000FF" w:themeColor="hyperlink"/>
      <w:u w:val="single"/>
    </w:rPr>
  </w:style>
  <w:style w:type="paragraph" w:styleId="BalloonText">
    <w:name w:val="Balloon Text"/>
    <w:basedOn w:val="Normal"/>
    <w:link w:val="BalloonTextChar"/>
    <w:uiPriority w:val="99"/>
    <w:semiHidden/>
    <w:unhideWhenUsed/>
    <w:rsid w:val="00DB34C4"/>
    <w:rPr>
      <w:rFonts w:ascii="Tahoma" w:hAnsi="Tahoma" w:cs="Tahoma"/>
      <w:sz w:val="16"/>
      <w:szCs w:val="16"/>
    </w:rPr>
  </w:style>
  <w:style w:type="character" w:customStyle="1" w:styleId="BalloonTextChar">
    <w:name w:val="Balloon Text Char"/>
    <w:basedOn w:val="DefaultParagraphFont"/>
    <w:link w:val="BalloonText"/>
    <w:uiPriority w:val="99"/>
    <w:semiHidden/>
    <w:rsid w:val="00DB34C4"/>
    <w:rPr>
      <w:rFonts w:ascii="Tahoma" w:eastAsia="Arial" w:hAnsi="Tahoma" w:cs="Tahoma"/>
      <w:sz w:val="16"/>
      <w:szCs w:val="16"/>
      <w:lang w:eastAsia="en-GB"/>
    </w:rPr>
  </w:style>
  <w:style w:type="paragraph" w:styleId="Header">
    <w:name w:val="header"/>
    <w:basedOn w:val="Normal"/>
    <w:link w:val="HeaderChar"/>
    <w:uiPriority w:val="99"/>
    <w:unhideWhenUsed/>
    <w:rsid w:val="008932E5"/>
    <w:pPr>
      <w:tabs>
        <w:tab w:val="center" w:pos="4513"/>
        <w:tab w:val="right" w:pos="9026"/>
      </w:tabs>
    </w:pPr>
  </w:style>
  <w:style w:type="character" w:customStyle="1" w:styleId="HeaderChar">
    <w:name w:val="Header Char"/>
    <w:basedOn w:val="DefaultParagraphFont"/>
    <w:link w:val="Header"/>
    <w:uiPriority w:val="99"/>
    <w:rsid w:val="008932E5"/>
    <w:rPr>
      <w:rFonts w:ascii="Arial" w:eastAsia="Arial" w:hAnsi="Arial" w:cs="Arial"/>
      <w:sz w:val="24"/>
      <w:szCs w:val="24"/>
      <w:lang w:eastAsia="en-GB"/>
    </w:rPr>
  </w:style>
  <w:style w:type="paragraph" w:styleId="Footer">
    <w:name w:val="footer"/>
    <w:basedOn w:val="Normal"/>
    <w:link w:val="FooterChar"/>
    <w:uiPriority w:val="99"/>
    <w:unhideWhenUsed/>
    <w:rsid w:val="008932E5"/>
    <w:pPr>
      <w:tabs>
        <w:tab w:val="center" w:pos="4513"/>
        <w:tab w:val="right" w:pos="9026"/>
      </w:tabs>
    </w:pPr>
  </w:style>
  <w:style w:type="character" w:customStyle="1" w:styleId="FooterChar">
    <w:name w:val="Footer Char"/>
    <w:basedOn w:val="DefaultParagraphFont"/>
    <w:link w:val="Footer"/>
    <w:uiPriority w:val="99"/>
    <w:rsid w:val="008932E5"/>
    <w:rPr>
      <w:rFonts w:ascii="Arial" w:eastAsia="Arial" w:hAnsi="Arial" w:cs="Arial"/>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3AF1"/>
    <w:pPr>
      <w:spacing w:after="0" w:line="240" w:lineRule="auto"/>
    </w:pPr>
    <w:rPr>
      <w:rFonts w:ascii="Arial" w:eastAsia="Arial" w:hAnsi="Arial" w:cs="Arial"/>
      <w:sz w:val="24"/>
      <w:szCs w:val="24"/>
      <w:lang w:eastAsia="en-GB"/>
    </w:rPr>
  </w:style>
  <w:style w:type="paragraph" w:styleId="Heading1">
    <w:name w:val="heading 1"/>
    <w:link w:val="Heading1Char"/>
    <w:qFormat/>
    <w:rsid w:val="00CA3AF1"/>
    <w:pPr>
      <w:spacing w:after="0" w:line="240" w:lineRule="auto"/>
      <w:outlineLvl w:val="0"/>
    </w:pPr>
    <w:rPr>
      <w:rFonts w:ascii="Arial" w:eastAsia="Arial" w:hAnsi="Arial" w:cs="Arial"/>
      <w:color w:val="2E74B5"/>
      <w:sz w:val="32"/>
      <w:szCs w:val="32"/>
      <w:lang w:eastAsia="en-GB"/>
    </w:rPr>
  </w:style>
  <w:style w:type="paragraph" w:styleId="Heading2">
    <w:name w:val="heading 2"/>
    <w:link w:val="Heading2Char"/>
    <w:qFormat/>
    <w:rsid w:val="00CA3AF1"/>
    <w:pPr>
      <w:spacing w:after="0" w:line="240" w:lineRule="auto"/>
      <w:outlineLvl w:val="1"/>
    </w:pPr>
    <w:rPr>
      <w:rFonts w:ascii="Arial" w:eastAsia="Arial" w:hAnsi="Arial" w:cs="Arial"/>
      <w:color w:val="2E74B5"/>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A3AF1"/>
    <w:rPr>
      <w:rFonts w:ascii="Arial" w:eastAsia="Arial" w:hAnsi="Arial" w:cs="Arial"/>
      <w:color w:val="2E74B5"/>
      <w:sz w:val="32"/>
      <w:szCs w:val="32"/>
      <w:lang w:eastAsia="en-GB"/>
    </w:rPr>
  </w:style>
  <w:style w:type="character" w:customStyle="1" w:styleId="Heading2Char">
    <w:name w:val="Heading 2 Char"/>
    <w:basedOn w:val="DefaultParagraphFont"/>
    <w:link w:val="Heading2"/>
    <w:rsid w:val="00CA3AF1"/>
    <w:rPr>
      <w:rFonts w:ascii="Arial" w:eastAsia="Arial" w:hAnsi="Arial" w:cs="Arial"/>
      <w:color w:val="2E74B5"/>
      <w:sz w:val="26"/>
      <w:szCs w:val="26"/>
      <w:lang w:eastAsia="en-GB"/>
    </w:rPr>
  </w:style>
  <w:style w:type="paragraph" w:styleId="TOC1">
    <w:name w:val="toc 1"/>
    <w:basedOn w:val="Normal"/>
    <w:next w:val="Normal"/>
    <w:autoRedefine/>
    <w:uiPriority w:val="39"/>
    <w:unhideWhenUsed/>
    <w:rsid w:val="00DB34C4"/>
    <w:pPr>
      <w:spacing w:after="100"/>
    </w:pPr>
  </w:style>
  <w:style w:type="paragraph" w:styleId="TOC2">
    <w:name w:val="toc 2"/>
    <w:basedOn w:val="Normal"/>
    <w:next w:val="Normal"/>
    <w:autoRedefine/>
    <w:uiPriority w:val="39"/>
    <w:unhideWhenUsed/>
    <w:rsid w:val="00DB34C4"/>
    <w:pPr>
      <w:spacing w:after="100"/>
      <w:ind w:left="240"/>
    </w:pPr>
  </w:style>
  <w:style w:type="character" w:styleId="Hyperlink">
    <w:name w:val="Hyperlink"/>
    <w:basedOn w:val="DefaultParagraphFont"/>
    <w:uiPriority w:val="99"/>
    <w:unhideWhenUsed/>
    <w:rsid w:val="00DB34C4"/>
    <w:rPr>
      <w:color w:val="0000FF" w:themeColor="hyperlink"/>
      <w:u w:val="single"/>
    </w:rPr>
  </w:style>
  <w:style w:type="paragraph" w:styleId="BalloonText">
    <w:name w:val="Balloon Text"/>
    <w:basedOn w:val="Normal"/>
    <w:link w:val="BalloonTextChar"/>
    <w:uiPriority w:val="99"/>
    <w:semiHidden/>
    <w:unhideWhenUsed/>
    <w:rsid w:val="00DB34C4"/>
    <w:rPr>
      <w:rFonts w:ascii="Tahoma" w:hAnsi="Tahoma" w:cs="Tahoma"/>
      <w:sz w:val="16"/>
      <w:szCs w:val="16"/>
    </w:rPr>
  </w:style>
  <w:style w:type="character" w:customStyle="1" w:styleId="BalloonTextChar">
    <w:name w:val="Balloon Text Char"/>
    <w:basedOn w:val="DefaultParagraphFont"/>
    <w:link w:val="BalloonText"/>
    <w:uiPriority w:val="99"/>
    <w:semiHidden/>
    <w:rsid w:val="00DB34C4"/>
    <w:rPr>
      <w:rFonts w:ascii="Tahoma" w:eastAsia="Arial" w:hAnsi="Tahoma" w:cs="Tahoma"/>
      <w:sz w:val="16"/>
      <w:szCs w:val="16"/>
      <w:lang w:eastAsia="en-GB"/>
    </w:rPr>
  </w:style>
  <w:style w:type="paragraph" w:styleId="Header">
    <w:name w:val="header"/>
    <w:basedOn w:val="Normal"/>
    <w:link w:val="HeaderChar"/>
    <w:uiPriority w:val="99"/>
    <w:unhideWhenUsed/>
    <w:rsid w:val="008932E5"/>
    <w:pPr>
      <w:tabs>
        <w:tab w:val="center" w:pos="4513"/>
        <w:tab w:val="right" w:pos="9026"/>
      </w:tabs>
    </w:pPr>
  </w:style>
  <w:style w:type="character" w:customStyle="1" w:styleId="HeaderChar">
    <w:name w:val="Header Char"/>
    <w:basedOn w:val="DefaultParagraphFont"/>
    <w:link w:val="Header"/>
    <w:uiPriority w:val="99"/>
    <w:rsid w:val="008932E5"/>
    <w:rPr>
      <w:rFonts w:ascii="Arial" w:eastAsia="Arial" w:hAnsi="Arial" w:cs="Arial"/>
      <w:sz w:val="24"/>
      <w:szCs w:val="24"/>
      <w:lang w:eastAsia="en-GB"/>
    </w:rPr>
  </w:style>
  <w:style w:type="paragraph" w:styleId="Footer">
    <w:name w:val="footer"/>
    <w:basedOn w:val="Normal"/>
    <w:link w:val="FooterChar"/>
    <w:uiPriority w:val="99"/>
    <w:unhideWhenUsed/>
    <w:rsid w:val="008932E5"/>
    <w:pPr>
      <w:tabs>
        <w:tab w:val="center" w:pos="4513"/>
        <w:tab w:val="right" w:pos="9026"/>
      </w:tabs>
    </w:pPr>
  </w:style>
  <w:style w:type="character" w:customStyle="1" w:styleId="FooterChar">
    <w:name w:val="Footer Char"/>
    <w:basedOn w:val="DefaultParagraphFont"/>
    <w:link w:val="Footer"/>
    <w:uiPriority w:val="99"/>
    <w:rsid w:val="008932E5"/>
    <w:rPr>
      <w:rFonts w:ascii="Arial" w:eastAsia="Arial" w:hAnsi="Arial" w:cs="Arial"/>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loitte.com/global/en/insights/topics/talent/organizational-skill-based-" TargetMode="External"/><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qic-wd.org/umbrella/organization-socializ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3719</Words>
  <Characters>21199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2026-07-15T22:08:00Z</dcterms:created>
  <dcterms:modified xsi:type="dcterms:W3CDTF">2026-07-15T22:08:00Z</dcterms:modified>
</cp:coreProperties>
</file>