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4A8774" w14:textId="77777777" w:rsidR="00D56E8F" w:rsidRPr="00D56E8F" w:rsidRDefault="00D56E8F" w:rsidP="00D56E8F">
      <w:pPr>
        <w:jc w:val="center"/>
        <w:rPr>
          <w:rFonts w:asciiTheme="majorHAnsi" w:eastAsia="Times New Roman" w:hAnsiTheme="majorHAnsi" w:cstheme="majorHAnsi"/>
          <w:b/>
          <w:bCs/>
          <w:sz w:val="22"/>
          <w:szCs w:val="22"/>
          <w:lang w:eastAsia="en-GB"/>
        </w:rPr>
      </w:pPr>
    </w:p>
    <w:p w14:paraId="103B5119" w14:textId="77777777" w:rsidR="001D61EE" w:rsidRDefault="001D61EE" w:rsidP="00D56E8F">
      <w:pPr>
        <w:jc w:val="center"/>
        <w:rPr>
          <w:rFonts w:asciiTheme="majorHAnsi" w:eastAsia="Times New Roman" w:hAnsiTheme="majorHAnsi" w:cstheme="majorHAnsi"/>
          <w:b/>
          <w:bCs/>
          <w:sz w:val="22"/>
          <w:szCs w:val="22"/>
          <w:lang w:eastAsia="en-GB"/>
        </w:rPr>
      </w:pPr>
    </w:p>
    <w:p w14:paraId="4EA2EB65" w14:textId="77777777" w:rsidR="001D61EE" w:rsidRDefault="001D61EE" w:rsidP="00D56E8F">
      <w:pPr>
        <w:jc w:val="center"/>
        <w:rPr>
          <w:rFonts w:asciiTheme="majorHAnsi" w:eastAsia="Times New Roman" w:hAnsiTheme="majorHAnsi" w:cstheme="majorHAnsi"/>
          <w:b/>
          <w:bCs/>
          <w:sz w:val="22"/>
          <w:szCs w:val="22"/>
          <w:lang w:eastAsia="en-GB"/>
        </w:rPr>
      </w:pPr>
    </w:p>
    <w:p w14:paraId="5B2D6E30" w14:textId="77777777" w:rsidR="001D61EE" w:rsidRDefault="001D61EE" w:rsidP="00D56E8F">
      <w:pPr>
        <w:jc w:val="center"/>
        <w:rPr>
          <w:rFonts w:asciiTheme="majorHAnsi" w:eastAsia="Times New Roman" w:hAnsiTheme="majorHAnsi" w:cstheme="majorHAnsi"/>
          <w:b/>
          <w:bCs/>
          <w:sz w:val="22"/>
          <w:szCs w:val="22"/>
          <w:lang w:eastAsia="en-GB"/>
        </w:rPr>
      </w:pPr>
    </w:p>
    <w:p w14:paraId="78E901DF" w14:textId="77777777" w:rsidR="00986994" w:rsidRDefault="00986994" w:rsidP="00D56E8F">
      <w:pPr>
        <w:jc w:val="center"/>
        <w:rPr>
          <w:rFonts w:asciiTheme="majorHAnsi" w:eastAsia="Times New Roman" w:hAnsiTheme="majorHAnsi" w:cstheme="majorHAnsi"/>
          <w:b/>
          <w:bCs/>
          <w:sz w:val="22"/>
          <w:szCs w:val="22"/>
          <w:lang w:eastAsia="en-GB"/>
        </w:rPr>
      </w:pPr>
    </w:p>
    <w:p w14:paraId="1DF9D16F" w14:textId="77777777" w:rsidR="00986994" w:rsidRDefault="00986994" w:rsidP="00D56E8F">
      <w:pPr>
        <w:jc w:val="center"/>
        <w:rPr>
          <w:rFonts w:asciiTheme="majorHAnsi" w:eastAsia="Times New Roman" w:hAnsiTheme="majorHAnsi" w:cstheme="majorHAnsi"/>
          <w:b/>
          <w:bCs/>
          <w:sz w:val="22"/>
          <w:szCs w:val="22"/>
          <w:lang w:eastAsia="en-GB"/>
        </w:rPr>
      </w:pPr>
    </w:p>
    <w:p w14:paraId="13E447E6" w14:textId="77777777" w:rsidR="001D61EE" w:rsidRDefault="001D61EE" w:rsidP="00D56E8F">
      <w:pPr>
        <w:jc w:val="center"/>
        <w:rPr>
          <w:rFonts w:asciiTheme="majorHAnsi" w:eastAsia="Times New Roman" w:hAnsiTheme="majorHAnsi" w:cstheme="majorHAnsi"/>
          <w:b/>
          <w:bCs/>
          <w:sz w:val="22"/>
          <w:szCs w:val="22"/>
          <w:lang w:eastAsia="en-GB"/>
        </w:rPr>
      </w:pPr>
    </w:p>
    <w:p w14:paraId="37A6FB5A" w14:textId="77777777" w:rsidR="001D61EE" w:rsidRDefault="001D61EE" w:rsidP="00D56E8F">
      <w:pPr>
        <w:jc w:val="center"/>
        <w:rPr>
          <w:rFonts w:asciiTheme="majorHAnsi" w:eastAsia="Times New Roman" w:hAnsiTheme="majorHAnsi" w:cstheme="majorHAnsi"/>
          <w:b/>
          <w:bCs/>
          <w:sz w:val="22"/>
          <w:szCs w:val="22"/>
          <w:lang w:eastAsia="en-GB"/>
        </w:rPr>
      </w:pPr>
      <w:bookmarkStart w:id="0" w:name="_GoBack"/>
      <w:bookmarkEnd w:id="0"/>
    </w:p>
    <w:p w14:paraId="1C057966" w14:textId="77777777" w:rsidR="00986994" w:rsidRDefault="00986994" w:rsidP="00D56E8F">
      <w:pPr>
        <w:jc w:val="center"/>
        <w:rPr>
          <w:rFonts w:asciiTheme="majorHAnsi" w:eastAsia="Times New Roman" w:hAnsiTheme="majorHAnsi" w:cstheme="majorHAnsi"/>
          <w:b/>
          <w:bCs/>
          <w:sz w:val="22"/>
          <w:szCs w:val="22"/>
          <w:lang w:eastAsia="en-GB"/>
        </w:rPr>
      </w:pPr>
    </w:p>
    <w:p w14:paraId="190EFF65" w14:textId="77777777" w:rsidR="00986994" w:rsidRDefault="00986994" w:rsidP="00D56E8F">
      <w:pPr>
        <w:jc w:val="center"/>
        <w:rPr>
          <w:rFonts w:asciiTheme="majorHAnsi" w:eastAsia="Times New Roman" w:hAnsiTheme="majorHAnsi" w:cstheme="majorHAnsi"/>
          <w:b/>
          <w:bCs/>
          <w:sz w:val="22"/>
          <w:szCs w:val="22"/>
          <w:lang w:eastAsia="en-GB"/>
        </w:rPr>
      </w:pPr>
    </w:p>
    <w:p w14:paraId="6F688826" w14:textId="77777777" w:rsidR="00986994" w:rsidRDefault="001D61EE" w:rsidP="00D56E8F">
      <w:pPr>
        <w:jc w:val="center"/>
        <w:rPr>
          <w:rFonts w:asciiTheme="majorHAnsi" w:eastAsia="Times New Roman" w:hAnsiTheme="majorHAnsi" w:cstheme="majorHAnsi"/>
          <w:b/>
          <w:bCs/>
          <w:sz w:val="22"/>
          <w:szCs w:val="22"/>
          <w:lang w:eastAsia="en-GB"/>
        </w:rPr>
      </w:pPr>
      <w:r>
        <w:rPr>
          <w:rFonts w:asciiTheme="majorHAnsi" w:eastAsia="Times New Roman" w:hAnsiTheme="majorHAnsi" w:cstheme="majorHAnsi"/>
          <w:b/>
          <w:bCs/>
          <w:sz w:val="22"/>
          <w:szCs w:val="22"/>
          <w:lang w:eastAsia="en-GB"/>
        </w:rPr>
        <w:t xml:space="preserve">A critical analysis of a case study based on an observed critical incident, including next steps for teaching and learning in line with the new Welsh curriculum. </w:t>
      </w:r>
    </w:p>
    <w:p w14:paraId="183C1E6E" w14:textId="6C4601BC" w:rsidR="00986994" w:rsidRDefault="001D61EE" w:rsidP="00D56E8F">
      <w:pPr>
        <w:jc w:val="center"/>
        <w:rPr>
          <w:rFonts w:asciiTheme="majorHAnsi" w:eastAsia="Times New Roman" w:hAnsiTheme="majorHAnsi" w:cstheme="majorHAnsi"/>
          <w:b/>
          <w:bCs/>
          <w:sz w:val="22"/>
          <w:szCs w:val="22"/>
          <w:lang w:eastAsia="en-GB"/>
        </w:rPr>
      </w:pPr>
      <w:r>
        <w:rPr>
          <w:rFonts w:asciiTheme="majorHAnsi" w:eastAsia="Times New Roman" w:hAnsiTheme="majorHAnsi" w:cstheme="majorHAnsi"/>
          <w:b/>
          <w:bCs/>
          <w:sz w:val="22"/>
          <w:szCs w:val="22"/>
          <w:lang w:eastAsia="en-GB"/>
        </w:rPr>
        <w:t xml:space="preserve">Word count </w:t>
      </w:r>
      <w:r w:rsidR="00D20429">
        <w:rPr>
          <w:rFonts w:asciiTheme="majorHAnsi" w:eastAsia="Times New Roman" w:hAnsiTheme="majorHAnsi" w:cstheme="majorHAnsi"/>
          <w:b/>
          <w:bCs/>
          <w:sz w:val="22"/>
          <w:szCs w:val="22"/>
          <w:lang w:eastAsia="en-GB"/>
        </w:rPr>
        <w:t>–</w:t>
      </w:r>
      <w:r>
        <w:rPr>
          <w:rFonts w:asciiTheme="majorHAnsi" w:eastAsia="Times New Roman" w:hAnsiTheme="majorHAnsi" w:cstheme="majorHAnsi"/>
          <w:b/>
          <w:bCs/>
          <w:sz w:val="22"/>
          <w:szCs w:val="22"/>
          <w:lang w:eastAsia="en-GB"/>
        </w:rPr>
        <w:t xml:space="preserve"> </w:t>
      </w:r>
      <w:r w:rsidR="001E1E8E">
        <w:rPr>
          <w:rFonts w:asciiTheme="majorHAnsi" w:eastAsia="Times New Roman" w:hAnsiTheme="majorHAnsi" w:cstheme="majorHAnsi"/>
          <w:b/>
          <w:bCs/>
          <w:sz w:val="22"/>
          <w:szCs w:val="22"/>
          <w:lang w:eastAsia="en-GB"/>
        </w:rPr>
        <w:t>3995</w:t>
      </w:r>
    </w:p>
    <w:p w14:paraId="44153599" w14:textId="39050F83" w:rsidR="00D20429" w:rsidRDefault="00D20429" w:rsidP="00D56E8F">
      <w:pPr>
        <w:jc w:val="center"/>
        <w:rPr>
          <w:rFonts w:asciiTheme="majorHAnsi" w:eastAsia="Times New Roman" w:hAnsiTheme="majorHAnsi" w:cstheme="majorHAnsi"/>
          <w:b/>
          <w:bCs/>
          <w:sz w:val="22"/>
          <w:szCs w:val="22"/>
          <w:lang w:eastAsia="en-GB"/>
        </w:rPr>
      </w:pPr>
      <w:r>
        <w:rPr>
          <w:rFonts w:asciiTheme="majorHAnsi" w:eastAsia="Times New Roman" w:hAnsiTheme="majorHAnsi" w:cstheme="majorHAnsi"/>
          <w:b/>
          <w:bCs/>
          <w:sz w:val="22"/>
          <w:szCs w:val="22"/>
          <w:lang w:eastAsia="en-GB"/>
        </w:rPr>
        <w:t>Miss Eleanor Hodgson (2304415)</w:t>
      </w:r>
    </w:p>
    <w:p w14:paraId="556828EB" w14:textId="77777777" w:rsidR="00986994" w:rsidRDefault="00986994" w:rsidP="00D56E8F">
      <w:pPr>
        <w:jc w:val="center"/>
        <w:rPr>
          <w:rFonts w:asciiTheme="majorHAnsi" w:eastAsia="Times New Roman" w:hAnsiTheme="majorHAnsi" w:cstheme="majorHAnsi"/>
          <w:b/>
          <w:bCs/>
          <w:sz w:val="22"/>
          <w:szCs w:val="22"/>
          <w:lang w:eastAsia="en-GB"/>
        </w:rPr>
      </w:pPr>
    </w:p>
    <w:p w14:paraId="17F699BD" w14:textId="77777777" w:rsidR="00986994" w:rsidRDefault="00986994" w:rsidP="00D56E8F">
      <w:pPr>
        <w:jc w:val="center"/>
        <w:rPr>
          <w:rFonts w:asciiTheme="majorHAnsi" w:eastAsia="Times New Roman" w:hAnsiTheme="majorHAnsi" w:cstheme="majorHAnsi"/>
          <w:b/>
          <w:bCs/>
          <w:sz w:val="22"/>
          <w:szCs w:val="22"/>
          <w:lang w:eastAsia="en-GB"/>
        </w:rPr>
      </w:pPr>
    </w:p>
    <w:p w14:paraId="6A749D62" w14:textId="77777777" w:rsidR="00986994" w:rsidRDefault="00986994" w:rsidP="00D56E8F">
      <w:pPr>
        <w:jc w:val="center"/>
        <w:rPr>
          <w:rFonts w:asciiTheme="majorHAnsi" w:eastAsia="Times New Roman" w:hAnsiTheme="majorHAnsi" w:cstheme="majorHAnsi"/>
          <w:b/>
          <w:bCs/>
          <w:sz w:val="22"/>
          <w:szCs w:val="22"/>
          <w:lang w:eastAsia="en-GB"/>
        </w:rPr>
      </w:pPr>
    </w:p>
    <w:p w14:paraId="16C69B82" w14:textId="77777777" w:rsidR="00986994" w:rsidRDefault="00986994" w:rsidP="00D56E8F">
      <w:pPr>
        <w:jc w:val="center"/>
        <w:rPr>
          <w:rFonts w:asciiTheme="majorHAnsi" w:eastAsia="Times New Roman" w:hAnsiTheme="majorHAnsi" w:cstheme="majorHAnsi"/>
          <w:b/>
          <w:bCs/>
          <w:sz w:val="22"/>
          <w:szCs w:val="22"/>
          <w:lang w:eastAsia="en-GB"/>
        </w:rPr>
      </w:pPr>
    </w:p>
    <w:p w14:paraId="5C489B13" w14:textId="77777777" w:rsidR="00986994" w:rsidRDefault="00986994" w:rsidP="00D56E8F">
      <w:pPr>
        <w:jc w:val="center"/>
        <w:rPr>
          <w:rFonts w:asciiTheme="majorHAnsi" w:eastAsia="Times New Roman" w:hAnsiTheme="majorHAnsi" w:cstheme="majorHAnsi"/>
          <w:b/>
          <w:bCs/>
          <w:sz w:val="22"/>
          <w:szCs w:val="22"/>
          <w:lang w:eastAsia="en-GB"/>
        </w:rPr>
      </w:pPr>
    </w:p>
    <w:p w14:paraId="6872015D" w14:textId="77777777" w:rsidR="00986994" w:rsidRDefault="00986994" w:rsidP="00D56E8F">
      <w:pPr>
        <w:jc w:val="center"/>
        <w:rPr>
          <w:rFonts w:asciiTheme="majorHAnsi" w:eastAsia="Times New Roman" w:hAnsiTheme="majorHAnsi" w:cstheme="majorHAnsi"/>
          <w:b/>
          <w:bCs/>
          <w:sz w:val="22"/>
          <w:szCs w:val="22"/>
          <w:lang w:eastAsia="en-GB"/>
        </w:rPr>
      </w:pPr>
    </w:p>
    <w:p w14:paraId="78AB4857" w14:textId="77777777" w:rsidR="00986994" w:rsidRDefault="00986994" w:rsidP="00D56E8F">
      <w:pPr>
        <w:jc w:val="center"/>
        <w:rPr>
          <w:rFonts w:asciiTheme="majorHAnsi" w:eastAsia="Times New Roman" w:hAnsiTheme="majorHAnsi" w:cstheme="majorHAnsi"/>
          <w:b/>
          <w:bCs/>
          <w:sz w:val="22"/>
          <w:szCs w:val="22"/>
          <w:lang w:eastAsia="en-GB"/>
        </w:rPr>
      </w:pPr>
    </w:p>
    <w:p w14:paraId="5E031F99" w14:textId="77777777" w:rsidR="00986994" w:rsidRDefault="00986994" w:rsidP="00D56E8F">
      <w:pPr>
        <w:jc w:val="center"/>
        <w:rPr>
          <w:rFonts w:asciiTheme="majorHAnsi" w:eastAsia="Times New Roman" w:hAnsiTheme="majorHAnsi" w:cstheme="majorHAnsi"/>
          <w:b/>
          <w:bCs/>
          <w:sz w:val="22"/>
          <w:szCs w:val="22"/>
          <w:lang w:eastAsia="en-GB"/>
        </w:rPr>
      </w:pPr>
    </w:p>
    <w:p w14:paraId="38E0234C" w14:textId="77777777" w:rsidR="00986994" w:rsidRDefault="00986994" w:rsidP="00D56E8F">
      <w:pPr>
        <w:jc w:val="center"/>
        <w:rPr>
          <w:rFonts w:asciiTheme="majorHAnsi" w:eastAsia="Times New Roman" w:hAnsiTheme="majorHAnsi" w:cstheme="majorHAnsi"/>
          <w:b/>
          <w:bCs/>
          <w:sz w:val="22"/>
          <w:szCs w:val="22"/>
          <w:lang w:eastAsia="en-GB"/>
        </w:rPr>
      </w:pPr>
    </w:p>
    <w:p w14:paraId="09B6F7F9" w14:textId="77777777" w:rsidR="00986994" w:rsidRDefault="00986994" w:rsidP="00D56E8F">
      <w:pPr>
        <w:jc w:val="center"/>
        <w:rPr>
          <w:rFonts w:asciiTheme="majorHAnsi" w:eastAsia="Times New Roman" w:hAnsiTheme="majorHAnsi" w:cstheme="majorHAnsi"/>
          <w:b/>
          <w:bCs/>
          <w:sz w:val="22"/>
          <w:szCs w:val="22"/>
          <w:lang w:eastAsia="en-GB"/>
        </w:rPr>
      </w:pPr>
    </w:p>
    <w:p w14:paraId="4B53CB5F" w14:textId="77777777" w:rsidR="00986994" w:rsidRDefault="00986994" w:rsidP="00D56E8F">
      <w:pPr>
        <w:jc w:val="center"/>
        <w:rPr>
          <w:rFonts w:asciiTheme="majorHAnsi" w:eastAsia="Times New Roman" w:hAnsiTheme="majorHAnsi" w:cstheme="majorHAnsi"/>
          <w:b/>
          <w:bCs/>
          <w:sz w:val="22"/>
          <w:szCs w:val="22"/>
          <w:lang w:eastAsia="en-GB"/>
        </w:rPr>
      </w:pPr>
    </w:p>
    <w:p w14:paraId="68ADD307" w14:textId="77777777" w:rsidR="00986994" w:rsidRDefault="00986994" w:rsidP="00D56E8F">
      <w:pPr>
        <w:jc w:val="center"/>
        <w:rPr>
          <w:rFonts w:asciiTheme="majorHAnsi" w:eastAsia="Times New Roman" w:hAnsiTheme="majorHAnsi" w:cstheme="majorHAnsi"/>
          <w:b/>
          <w:bCs/>
          <w:sz w:val="22"/>
          <w:szCs w:val="22"/>
          <w:lang w:eastAsia="en-GB"/>
        </w:rPr>
      </w:pPr>
    </w:p>
    <w:p w14:paraId="6F859360" w14:textId="77777777" w:rsidR="00986994" w:rsidRDefault="00986994" w:rsidP="00D56E8F">
      <w:pPr>
        <w:jc w:val="center"/>
        <w:rPr>
          <w:rFonts w:asciiTheme="majorHAnsi" w:eastAsia="Times New Roman" w:hAnsiTheme="majorHAnsi" w:cstheme="majorHAnsi"/>
          <w:b/>
          <w:bCs/>
          <w:sz w:val="22"/>
          <w:szCs w:val="22"/>
          <w:lang w:eastAsia="en-GB"/>
        </w:rPr>
      </w:pPr>
    </w:p>
    <w:p w14:paraId="7273AFED" w14:textId="77777777" w:rsidR="001E1E8E" w:rsidRDefault="001E1E8E">
      <w:pPr>
        <w:rPr>
          <w:rFonts w:asciiTheme="majorHAnsi" w:eastAsia="Times New Roman" w:hAnsiTheme="majorHAnsi" w:cstheme="majorHAnsi"/>
          <w:b/>
          <w:bCs/>
          <w:sz w:val="22"/>
          <w:szCs w:val="22"/>
          <w:lang w:eastAsia="en-GB"/>
        </w:rPr>
      </w:pPr>
    </w:p>
    <w:p w14:paraId="5B310039" w14:textId="77777777" w:rsidR="00205C1D" w:rsidRPr="00D56E8F" w:rsidRDefault="00D56E8F">
      <w:pPr>
        <w:rPr>
          <w:rFonts w:asciiTheme="majorHAnsi" w:hAnsiTheme="majorHAnsi" w:cstheme="majorHAnsi"/>
          <w:sz w:val="22"/>
          <w:szCs w:val="22"/>
        </w:rPr>
      </w:pPr>
      <w:r w:rsidRPr="00D56E8F">
        <w:rPr>
          <w:rFonts w:asciiTheme="majorHAnsi" w:hAnsiTheme="majorHAnsi" w:cstheme="majorHAnsi"/>
          <w:sz w:val="22"/>
          <w:szCs w:val="22"/>
        </w:rPr>
        <w:lastRenderedPageBreak/>
        <w:t xml:space="preserve">This essay will delve deeper into the use of critical incidences to gain knowledge on our teaching practice and look at the learning theories that can be linked to those critical incidences. </w:t>
      </w:r>
      <w:r>
        <w:rPr>
          <w:rFonts w:asciiTheme="majorHAnsi" w:hAnsiTheme="majorHAnsi" w:cstheme="majorHAnsi"/>
          <w:sz w:val="22"/>
          <w:szCs w:val="22"/>
        </w:rPr>
        <w:t>A single</w:t>
      </w:r>
      <w:r w:rsidRPr="00D56E8F">
        <w:rPr>
          <w:rFonts w:asciiTheme="majorHAnsi" w:hAnsiTheme="majorHAnsi" w:cstheme="majorHAnsi"/>
          <w:sz w:val="22"/>
          <w:szCs w:val="22"/>
        </w:rPr>
        <w:t xml:space="preserve"> critical incidence </w:t>
      </w:r>
      <w:r>
        <w:rPr>
          <w:rFonts w:asciiTheme="majorHAnsi" w:hAnsiTheme="majorHAnsi" w:cstheme="majorHAnsi"/>
          <w:sz w:val="22"/>
          <w:szCs w:val="22"/>
        </w:rPr>
        <w:t>that has</w:t>
      </w:r>
      <w:r w:rsidRPr="00D56E8F">
        <w:rPr>
          <w:rFonts w:asciiTheme="majorHAnsi" w:hAnsiTheme="majorHAnsi" w:cstheme="majorHAnsi"/>
          <w:sz w:val="22"/>
          <w:szCs w:val="22"/>
        </w:rPr>
        <w:t xml:space="preserve"> been observed will be analysed further and discussed in line with the new </w:t>
      </w:r>
      <w:r>
        <w:rPr>
          <w:rFonts w:asciiTheme="majorHAnsi" w:hAnsiTheme="majorHAnsi" w:cstheme="majorHAnsi"/>
          <w:sz w:val="22"/>
          <w:szCs w:val="22"/>
        </w:rPr>
        <w:t>W</w:t>
      </w:r>
      <w:r w:rsidRPr="00D56E8F">
        <w:rPr>
          <w:rFonts w:asciiTheme="majorHAnsi" w:hAnsiTheme="majorHAnsi" w:cstheme="majorHAnsi"/>
          <w:sz w:val="22"/>
          <w:szCs w:val="22"/>
        </w:rPr>
        <w:t xml:space="preserve">elsh curriculum to note what could potentially be ‘under the hood’ in these situations. A literature review will highlight learning theories connected to the critical incident chosen. A wide range of literature will be critically analysed to form arguments from a variety of opinions. Finally, a reflection on techniques and strategies I would personally action or disregard in my own teaching career and future development according to my own pedagogical choices and my own teaching philosophy. </w:t>
      </w:r>
    </w:p>
    <w:p w14:paraId="01E25E8E" w14:textId="77777777" w:rsidR="00D56E8F" w:rsidRPr="00D56E8F" w:rsidRDefault="00D56E8F">
      <w:pPr>
        <w:rPr>
          <w:rFonts w:asciiTheme="majorHAnsi" w:eastAsia="Times New Roman" w:hAnsiTheme="majorHAnsi" w:cstheme="majorHAnsi"/>
          <w:sz w:val="22"/>
          <w:szCs w:val="22"/>
          <w:lang w:eastAsia="en-GB"/>
        </w:rPr>
      </w:pPr>
      <w:r w:rsidRPr="00D56E8F">
        <w:rPr>
          <w:rFonts w:asciiTheme="majorHAnsi" w:eastAsia="Times New Roman" w:hAnsiTheme="majorHAnsi" w:cstheme="majorHAnsi"/>
          <w:sz w:val="22"/>
          <w:szCs w:val="22"/>
          <w:lang w:eastAsia="en-GB"/>
        </w:rPr>
        <w:t>Critical incidences are, for the most part, benign and seemingly inconspicuous. These incidences tend to be ‘typical’ rather than ‘critical’ at a first glance but after scrutiny and analysis they can be seen as critical (Tripp,</w:t>
      </w:r>
      <w:r w:rsidR="008A0AB2">
        <w:rPr>
          <w:rFonts w:asciiTheme="majorHAnsi" w:eastAsia="Times New Roman" w:hAnsiTheme="majorHAnsi" w:cstheme="majorHAnsi"/>
          <w:sz w:val="22"/>
          <w:szCs w:val="22"/>
          <w:lang w:eastAsia="en-GB"/>
        </w:rPr>
        <w:t xml:space="preserve"> 1993</w:t>
      </w:r>
      <w:r w:rsidRPr="00D56E8F">
        <w:rPr>
          <w:rFonts w:asciiTheme="majorHAnsi" w:eastAsia="Times New Roman" w:hAnsiTheme="majorHAnsi" w:cstheme="majorHAnsi"/>
          <w:sz w:val="22"/>
          <w:szCs w:val="22"/>
          <w:lang w:eastAsia="en-GB"/>
        </w:rPr>
        <w:t>). A critical incident could look different for everyone, it is all down to how we interpret an event, one event to me may seem small and insignificant while you might perceive it as the opposite, (Tripp,</w:t>
      </w:r>
      <w:r w:rsidR="008A0AB2">
        <w:rPr>
          <w:rFonts w:asciiTheme="majorHAnsi" w:eastAsia="Times New Roman" w:hAnsiTheme="majorHAnsi" w:cstheme="majorHAnsi"/>
          <w:sz w:val="22"/>
          <w:szCs w:val="22"/>
          <w:lang w:eastAsia="en-GB"/>
        </w:rPr>
        <w:t xml:space="preserve"> 1993</w:t>
      </w:r>
      <w:r w:rsidRPr="00D56E8F">
        <w:rPr>
          <w:rFonts w:asciiTheme="majorHAnsi" w:eastAsia="Times New Roman" w:hAnsiTheme="majorHAnsi" w:cstheme="majorHAnsi"/>
          <w:sz w:val="22"/>
          <w:szCs w:val="22"/>
          <w:lang w:eastAsia="en-GB"/>
        </w:rPr>
        <w:t xml:space="preserve">). I will be using </w:t>
      </w:r>
      <w:r w:rsidRPr="008A0AB2">
        <w:rPr>
          <w:rFonts w:asciiTheme="majorHAnsi" w:eastAsia="Times New Roman" w:hAnsiTheme="majorHAnsi" w:cstheme="majorHAnsi"/>
          <w:sz w:val="22"/>
          <w:szCs w:val="22"/>
          <w:lang w:eastAsia="en-GB"/>
        </w:rPr>
        <w:t>Tripp’s (1933)</w:t>
      </w:r>
      <w:r w:rsidRPr="00D56E8F">
        <w:rPr>
          <w:rFonts w:asciiTheme="majorHAnsi" w:eastAsia="Times New Roman" w:hAnsiTheme="majorHAnsi" w:cstheme="majorHAnsi"/>
          <w:sz w:val="22"/>
          <w:szCs w:val="22"/>
          <w:lang w:eastAsia="en-GB"/>
        </w:rPr>
        <w:t xml:space="preserve"> critical incident methodology to further analyse my own teaching practice and scrutinise incidents in a more critical way to develop my career. Tripp’s (1933) theory delves into the critical analysis of classroom situation’s that arise throughout lessons and the analysis of the teaching in this particular classroom. The theory has been developed in order to strengthen teacher’s skills, provided teachers use the critical reflections of their practices to develop their professional judgements. Also, it</w:t>
      </w:r>
      <w:r>
        <w:rPr>
          <w:rFonts w:asciiTheme="majorHAnsi" w:eastAsia="Times New Roman" w:hAnsiTheme="majorHAnsi" w:cstheme="majorHAnsi"/>
          <w:sz w:val="22"/>
          <w:szCs w:val="22"/>
          <w:lang w:eastAsia="en-GB"/>
        </w:rPr>
        <w:t xml:space="preserve"> is</w:t>
      </w:r>
      <w:r w:rsidRPr="00D56E8F">
        <w:rPr>
          <w:rFonts w:asciiTheme="majorHAnsi" w:eastAsia="Times New Roman" w:hAnsiTheme="majorHAnsi" w:cstheme="majorHAnsi"/>
          <w:sz w:val="22"/>
          <w:szCs w:val="22"/>
          <w:lang w:eastAsia="en-GB"/>
        </w:rPr>
        <w:t xml:space="preserve"> worth noting that a critical incident need not be negative, there are instances where a critical incident could be a positive one.</w:t>
      </w:r>
    </w:p>
    <w:p w14:paraId="64522AE0" w14:textId="77777777" w:rsidR="00D56E8F" w:rsidRPr="00D56E8F" w:rsidRDefault="00D56E8F" w:rsidP="00D56E8F">
      <w:pPr>
        <w:ind w:firstLine="720"/>
        <w:rPr>
          <w:rFonts w:asciiTheme="majorHAnsi" w:eastAsia="Times New Roman" w:hAnsiTheme="majorHAnsi" w:cstheme="majorHAnsi"/>
          <w:sz w:val="22"/>
          <w:szCs w:val="22"/>
          <w:lang w:eastAsia="en-GB"/>
        </w:rPr>
      </w:pPr>
      <w:r w:rsidRPr="00D56E8F">
        <w:rPr>
          <w:rFonts w:asciiTheme="majorHAnsi" w:eastAsia="Times New Roman" w:hAnsiTheme="majorHAnsi" w:cstheme="majorHAnsi"/>
          <w:sz w:val="22"/>
          <w:szCs w:val="22"/>
          <w:lang w:eastAsia="en-GB"/>
        </w:rPr>
        <w:t xml:space="preserve">A classroom is an incredibly busy environment and one in which subtle incidences take place every minute or even seconds. By taking the time to observe these incidents and critically analyse them, we become more aware as teachers and are better able to deal with these incidents when they arise. </w:t>
      </w:r>
    </w:p>
    <w:p w14:paraId="3F43C38C" w14:textId="77777777" w:rsidR="00D56E8F" w:rsidRPr="0006753C" w:rsidRDefault="00D56E8F" w:rsidP="00D56E8F">
      <w:pPr>
        <w:ind w:firstLine="720"/>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Due to the nature of this observation, it is essential that the observer/researcher in this instance must ensure confidentiality and anonymous treatment of the subjects data. Fictionalising approaches will be used when commenting on the activities within the classroom. This will be done in line with ethical guidelines from (</w:t>
      </w:r>
      <w:r w:rsidR="00401AD3" w:rsidRPr="005308D5">
        <w:rPr>
          <w:rFonts w:asciiTheme="majorHAnsi" w:eastAsia="Times New Roman" w:hAnsiTheme="majorHAnsi" w:cstheme="majorHAnsi"/>
          <w:color w:val="000000" w:themeColor="text1"/>
          <w:sz w:val="22"/>
          <w:szCs w:val="22"/>
          <w:lang w:eastAsia="en-GB"/>
        </w:rPr>
        <w:t>British Educational Research Association</w:t>
      </w:r>
      <w:r w:rsidRPr="0006753C">
        <w:rPr>
          <w:rFonts w:asciiTheme="majorHAnsi" w:eastAsia="Times New Roman" w:hAnsiTheme="majorHAnsi" w:cstheme="majorHAnsi"/>
          <w:sz w:val="22"/>
          <w:szCs w:val="22"/>
          <w:lang w:eastAsia="en-GB"/>
        </w:rPr>
        <w:t>, 2018).</w:t>
      </w:r>
    </w:p>
    <w:p w14:paraId="25B1991E" w14:textId="77777777" w:rsidR="00D56E8F" w:rsidRDefault="00D56E8F" w:rsidP="00D56E8F">
      <w:pPr>
        <w:shd w:val="clear" w:color="auto" w:fill="FFFFFF"/>
        <w:ind w:firstLine="720"/>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 xml:space="preserve">The class I observed were a year 8 maths class of mixed gender. The children came into the class one by one and the teacher told each child where to sit in the class. The classroom was organised into rows of tables and chairs and split down the middle. The children seemed to have high energy after entering the room, some of the children were messing around with each other. One child, Child A, in particular caught my attention. Child A was clearly distracted from the lesson, they were constantly turning around to make faces at their friend on the other side of the room whom was also disengaged from the lesson. They were also distracted by the observer being sat at the class as this was obviously out of routine for them. After about 10 minutes, Child A was yawning, playing with the whiteboard pens and rocking the chairs next to them. The teacher then moved on to a question and answer activity on small whiteboards. When the teacher asked a question, Child A immediately put up their hand to answer and they also answered the question correctly. This was surprising because from what could be observed, Child A was very distracted and wasn’t paying attention to the lesson. Child A got their pencil case out after 15 minutes of the lesson because the class were engaging in a starter activity where by answers were written on whiteboards. </w:t>
      </w:r>
      <w:r w:rsidRPr="0006753C">
        <w:rPr>
          <w:rFonts w:asciiTheme="majorHAnsi" w:hAnsiTheme="majorHAnsi" w:cstheme="majorHAnsi"/>
          <w:sz w:val="22"/>
          <w:szCs w:val="22"/>
        </w:rPr>
        <w:t>Vygotsky’s theory highlights how crucial it is to look at children individually as all children have different and distinct way of learning (</w:t>
      </w:r>
      <w:r w:rsidR="008A0AB2">
        <w:rPr>
          <w:rFonts w:asciiTheme="majorHAnsi" w:hAnsiTheme="majorHAnsi" w:cstheme="majorHAnsi"/>
          <w:sz w:val="22"/>
          <w:szCs w:val="22"/>
        </w:rPr>
        <w:t>Clabaugh, 2010</w:t>
      </w:r>
      <w:r w:rsidRPr="0006753C">
        <w:rPr>
          <w:rFonts w:asciiTheme="majorHAnsi" w:hAnsiTheme="majorHAnsi" w:cstheme="majorHAnsi"/>
          <w:sz w:val="22"/>
          <w:szCs w:val="22"/>
        </w:rPr>
        <w:t xml:space="preserve">). </w:t>
      </w:r>
      <w:r w:rsidRPr="0006753C">
        <w:rPr>
          <w:rFonts w:asciiTheme="majorHAnsi" w:eastAsia="Times New Roman" w:hAnsiTheme="majorHAnsi" w:cstheme="majorHAnsi"/>
          <w:sz w:val="22"/>
          <w:szCs w:val="22"/>
          <w:lang w:eastAsia="en-GB"/>
        </w:rPr>
        <w:t xml:space="preserve">This essay is </w:t>
      </w:r>
      <w:r w:rsidRPr="0006753C">
        <w:rPr>
          <w:rFonts w:asciiTheme="majorHAnsi" w:eastAsia="Times New Roman" w:hAnsiTheme="majorHAnsi" w:cstheme="majorHAnsi"/>
          <w:sz w:val="22"/>
          <w:szCs w:val="22"/>
          <w:lang w:eastAsia="en-GB"/>
        </w:rPr>
        <w:lastRenderedPageBreak/>
        <w:t>going to look deeper into the use of differentiation and the relationship it has with child engagement and conceptual development.</w:t>
      </w:r>
    </w:p>
    <w:p w14:paraId="294BE3C6" w14:textId="77777777" w:rsidR="00D56E8F" w:rsidRDefault="00D56E8F" w:rsidP="00D56E8F">
      <w:pPr>
        <w:jc w:val="center"/>
        <w:rPr>
          <w:rFonts w:asciiTheme="majorHAnsi" w:eastAsia="Times New Roman" w:hAnsiTheme="majorHAnsi" w:cstheme="majorHAnsi"/>
          <w:b/>
          <w:bCs/>
          <w:sz w:val="22"/>
          <w:szCs w:val="22"/>
          <w:u w:val="single"/>
          <w:lang w:eastAsia="en-GB"/>
        </w:rPr>
      </w:pPr>
      <w:r w:rsidRPr="00D56E8F">
        <w:rPr>
          <w:rFonts w:asciiTheme="majorHAnsi" w:eastAsia="Times New Roman" w:hAnsiTheme="majorHAnsi" w:cstheme="majorHAnsi"/>
          <w:b/>
          <w:bCs/>
          <w:sz w:val="22"/>
          <w:szCs w:val="22"/>
          <w:u w:val="single"/>
          <w:lang w:eastAsia="en-GB"/>
        </w:rPr>
        <w:t>Literature review</w:t>
      </w:r>
    </w:p>
    <w:p w14:paraId="5F6DEE88" w14:textId="77777777" w:rsidR="008A0AB2" w:rsidRDefault="00D56E8F" w:rsidP="00D56E8F">
      <w:pPr>
        <w:jc w:val="left"/>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 xml:space="preserve">Having observed several lessons over the course of the past few weeks there were many incidences I have noted and some key aspects which are worth discussing in further detail. Focussing on differentiation within the classroom and the correlation it has with engagement I will discuss these aspects using a literature review. Vygotsky developed the concept of the Zone of Proximal Development (ZPD) which explains the different levels of a child’s potential to understand. </w:t>
      </w:r>
      <w:r w:rsidRPr="0006753C">
        <w:rPr>
          <w:rFonts w:asciiTheme="majorHAnsi" w:eastAsia="Times New Roman" w:hAnsiTheme="majorHAnsi" w:cstheme="majorHAnsi"/>
          <w:sz w:val="22"/>
          <w:szCs w:val="22"/>
          <w:lang w:eastAsia="en-GB"/>
        </w:rPr>
        <w:t xml:space="preserve">The first level is where a child can </w:t>
      </w:r>
      <w:r>
        <w:rPr>
          <w:rFonts w:asciiTheme="majorHAnsi" w:eastAsia="Times New Roman" w:hAnsiTheme="majorHAnsi" w:cstheme="majorHAnsi"/>
          <w:sz w:val="22"/>
          <w:szCs w:val="22"/>
          <w:lang w:eastAsia="en-GB"/>
        </w:rPr>
        <w:t>complete</w:t>
      </w:r>
      <w:r w:rsidRPr="0006753C">
        <w:rPr>
          <w:rFonts w:asciiTheme="majorHAnsi" w:eastAsia="Times New Roman" w:hAnsiTheme="majorHAnsi" w:cstheme="majorHAnsi"/>
          <w:sz w:val="22"/>
          <w:szCs w:val="22"/>
          <w:lang w:eastAsia="en-GB"/>
        </w:rPr>
        <w:t xml:space="preserve"> tasks independently, </w:t>
      </w:r>
      <w:r>
        <w:rPr>
          <w:rFonts w:asciiTheme="majorHAnsi" w:eastAsia="Times New Roman" w:hAnsiTheme="majorHAnsi" w:cstheme="majorHAnsi"/>
          <w:sz w:val="22"/>
          <w:szCs w:val="22"/>
          <w:lang w:eastAsia="en-GB"/>
        </w:rPr>
        <w:t xml:space="preserve">the </w:t>
      </w:r>
      <w:r w:rsidRPr="0006753C">
        <w:rPr>
          <w:rFonts w:asciiTheme="majorHAnsi" w:eastAsia="Times New Roman" w:hAnsiTheme="majorHAnsi" w:cstheme="majorHAnsi"/>
          <w:sz w:val="22"/>
          <w:szCs w:val="22"/>
          <w:lang w:eastAsia="en-GB"/>
        </w:rPr>
        <w:t xml:space="preserve">second shows the level where potential is detected. This is analysed by the tasks the child </w:t>
      </w:r>
      <w:r w:rsidR="008A0AB2">
        <w:rPr>
          <w:rFonts w:asciiTheme="majorHAnsi" w:eastAsia="Times New Roman" w:hAnsiTheme="majorHAnsi" w:cstheme="majorHAnsi"/>
          <w:sz w:val="22"/>
          <w:szCs w:val="22"/>
          <w:lang w:eastAsia="en-GB"/>
        </w:rPr>
        <w:t>can</w:t>
      </w:r>
      <w:r w:rsidRPr="0006753C">
        <w:rPr>
          <w:rFonts w:asciiTheme="majorHAnsi" w:eastAsia="Times New Roman" w:hAnsiTheme="majorHAnsi" w:cstheme="majorHAnsi"/>
          <w:sz w:val="22"/>
          <w:szCs w:val="22"/>
          <w:lang w:eastAsia="en-GB"/>
        </w:rPr>
        <w:t xml:space="preserve"> complete with help from a more knowledgeable other (MKO), that</w:t>
      </w:r>
      <w:r>
        <w:rPr>
          <w:rFonts w:asciiTheme="majorHAnsi" w:eastAsia="Times New Roman" w:hAnsiTheme="majorHAnsi" w:cstheme="majorHAnsi"/>
          <w:sz w:val="22"/>
          <w:szCs w:val="22"/>
          <w:lang w:eastAsia="en-GB"/>
        </w:rPr>
        <w:t xml:space="preserve"> may</w:t>
      </w:r>
      <w:r w:rsidRPr="0006753C">
        <w:rPr>
          <w:rFonts w:asciiTheme="majorHAnsi" w:eastAsia="Times New Roman" w:hAnsiTheme="majorHAnsi" w:cstheme="majorHAnsi"/>
          <w:sz w:val="22"/>
          <w:szCs w:val="22"/>
          <w:lang w:eastAsia="en-GB"/>
        </w:rPr>
        <w:t xml:space="preserve"> be a teacher or a more competent peer (Daneshfar</w:t>
      </w:r>
      <w:r w:rsidR="001D61EE">
        <w:rPr>
          <w:rFonts w:asciiTheme="majorHAnsi" w:eastAsia="Times New Roman" w:hAnsiTheme="majorHAnsi" w:cstheme="majorHAnsi"/>
          <w:sz w:val="22"/>
          <w:szCs w:val="22"/>
          <w:lang w:eastAsia="en-GB"/>
        </w:rPr>
        <w:t xml:space="preserve"> and</w:t>
      </w:r>
      <w:r w:rsidRPr="0006753C">
        <w:rPr>
          <w:rFonts w:asciiTheme="majorHAnsi" w:eastAsia="Times New Roman" w:hAnsiTheme="majorHAnsi" w:cstheme="majorHAnsi"/>
          <w:sz w:val="22"/>
          <w:szCs w:val="22"/>
          <w:lang w:eastAsia="en-GB"/>
        </w:rPr>
        <w:t xml:space="preserve"> Moharami</w:t>
      </w:r>
      <w:r w:rsidR="001D61EE">
        <w:rPr>
          <w:rFonts w:asciiTheme="majorHAnsi" w:eastAsia="Times New Roman" w:hAnsiTheme="majorHAnsi" w:cstheme="majorHAnsi"/>
          <w:sz w:val="22"/>
          <w:szCs w:val="22"/>
          <w:lang w:eastAsia="en-GB"/>
        </w:rPr>
        <w:t>,</w:t>
      </w:r>
      <w:r w:rsidRPr="0006753C">
        <w:rPr>
          <w:rFonts w:asciiTheme="majorHAnsi" w:eastAsia="Times New Roman" w:hAnsiTheme="majorHAnsi" w:cstheme="majorHAnsi"/>
          <w:sz w:val="22"/>
          <w:szCs w:val="22"/>
          <w:lang w:eastAsia="en-GB"/>
        </w:rPr>
        <w:t xml:space="preserve"> 2018).</w:t>
      </w:r>
      <w:r>
        <w:rPr>
          <w:rFonts w:asciiTheme="majorHAnsi" w:eastAsia="Times New Roman" w:hAnsiTheme="majorHAnsi" w:cstheme="majorHAnsi"/>
          <w:sz w:val="22"/>
          <w:szCs w:val="22"/>
          <w:lang w:eastAsia="en-GB"/>
        </w:rPr>
        <w:t xml:space="preserve"> </w:t>
      </w:r>
      <w:r w:rsidRPr="0006753C">
        <w:rPr>
          <w:rFonts w:asciiTheme="majorHAnsi" w:eastAsia="Times New Roman" w:hAnsiTheme="majorHAnsi" w:cstheme="majorHAnsi"/>
          <w:sz w:val="22"/>
          <w:szCs w:val="22"/>
          <w:lang w:eastAsia="en-GB"/>
        </w:rPr>
        <w:t xml:space="preserve">The third level shows the zone in which tasks become too difficult even with collaboration with </w:t>
      </w:r>
      <w:r>
        <w:rPr>
          <w:rFonts w:asciiTheme="majorHAnsi" w:eastAsia="Times New Roman" w:hAnsiTheme="majorHAnsi" w:cstheme="majorHAnsi"/>
          <w:sz w:val="22"/>
          <w:szCs w:val="22"/>
          <w:lang w:eastAsia="en-GB"/>
        </w:rPr>
        <w:t xml:space="preserve">a </w:t>
      </w:r>
      <w:r w:rsidRPr="0006753C">
        <w:rPr>
          <w:rFonts w:asciiTheme="majorHAnsi" w:eastAsia="Times New Roman" w:hAnsiTheme="majorHAnsi" w:cstheme="majorHAnsi"/>
          <w:sz w:val="22"/>
          <w:szCs w:val="22"/>
          <w:lang w:eastAsia="en-GB"/>
        </w:rPr>
        <w:t>MKO.</w:t>
      </w:r>
      <w:r>
        <w:rPr>
          <w:rFonts w:asciiTheme="majorHAnsi" w:eastAsia="Times New Roman" w:hAnsiTheme="majorHAnsi" w:cstheme="majorHAnsi"/>
          <w:sz w:val="22"/>
          <w:szCs w:val="22"/>
          <w:lang w:eastAsia="en-GB"/>
        </w:rPr>
        <w:t xml:space="preserve"> </w:t>
      </w:r>
      <w:r w:rsidRPr="0006753C">
        <w:rPr>
          <w:rFonts w:asciiTheme="majorHAnsi" w:eastAsia="Times New Roman" w:hAnsiTheme="majorHAnsi" w:cstheme="majorHAnsi"/>
          <w:sz w:val="22"/>
          <w:szCs w:val="22"/>
          <w:lang w:eastAsia="en-GB"/>
        </w:rPr>
        <w:t>Clara (201</w:t>
      </w:r>
      <w:r w:rsidR="001D61EE">
        <w:rPr>
          <w:rFonts w:asciiTheme="majorHAnsi" w:eastAsia="Times New Roman" w:hAnsiTheme="majorHAnsi" w:cstheme="majorHAnsi"/>
          <w:sz w:val="22"/>
          <w:szCs w:val="22"/>
          <w:lang w:eastAsia="en-GB"/>
        </w:rPr>
        <w:t>7</w:t>
      </w:r>
      <w:r w:rsidRPr="0006753C">
        <w:rPr>
          <w:rFonts w:asciiTheme="majorHAnsi" w:eastAsia="Times New Roman" w:hAnsiTheme="majorHAnsi" w:cstheme="majorHAnsi"/>
          <w:sz w:val="22"/>
          <w:szCs w:val="22"/>
          <w:lang w:eastAsia="en-GB"/>
        </w:rPr>
        <w:t>) explains that Vygotsky’s ZPD is used to assess a child’s developmental maturity. Work by Eden’s and Shields (201</w:t>
      </w:r>
      <w:r w:rsidR="001D61EE">
        <w:rPr>
          <w:rFonts w:asciiTheme="majorHAnsi" w:eastAsia="Times New Roman" w:hAnsiTheme="majorHAnsi" w:cstheme="majorHAnsi"/>
          <w:sz w:val="22"/>
          <w:szCs w:val="22"/>
          <w:lang w:eastAsia="en-GB"/>
        </w:rPr>
        <w:t>5</w:t>
      </w:r>
      <w:r w:rsidRPr="0006753C">
        <w:rPr>
          <w:rFonts w:asciiTheme="majorHAnsi" w:eastAsia="Times New Roman" w:hAnsiTheme="majorHAnsi" w:cstheme="majorHAnsi"/>
          <w:sz w:val="22"/>
          <w:szCs w:val="22"/>
          <w:lang w:eastAsia="en-GB"/>
        </w:rPr>
        <w:t xml:space="preserve">) support this concept explaining that Vygotsky’s theory </w:t>
      </w:r>
      <w:r>
        <w:rPr>
          <w:rFonts w:asciiTheme="majorHAnsi" w:eastAsia="Times New Roman" w:hAnsiTheme="majorHAnsi" w:cstheme="majorHAnsi"/>
          <w:sz w:val="22"/>
          <w:szCs w:val="22"/>
          <w:lang w:eastAsia="en-GB"/>
        </w:rPr>
        <w:t>uses</w:t>
      </w:r>
      <w:r w:rsidRPr="0006753C">
        <w:rPr>
          <w:rFonts w:asciiTheme="majorHAnsi" w:eastAsia="Times New Roman" w:hAnsiTheme="majorHAnsi" w:cstheme="majorHAnsi"/>
          <w:sz w:val="22"/>
          <w:szCs w:val="22"/>
          <w:lang w:eastAsia="en-GB"/>
        </w:rPr>
        <w:t xml:space="preserve"> formative assessment </w:t>
      </w:r>
      <w:r>
        <w:rPr>
          <w:rFonts w:asciiTheme="majorHAnsi" w:eastAsia="Times New Roman" w:hAnsiTheme="majorHAnsi" w:cstheme="majorHAnsi"/>
          <w:sz w:val="22"/>
          <w:szCs w:val="22"/>
          <w:lang w:eastAsia="en-GB"/>
        </w:rPr>
        <w:t>to provide</w:t>
      </w:r>
      <w:r w:rsidRPr="0006753C">
        <w:rPr>
          <w:rFonts w:asciiTheme="majorHAnsi" w:eastAsia="Times New Roman" w:hAnsiTheme="majorHAnsi" w:cstheme="majorHAnsi"/>
          <w:sz w:val="22"/>
          <w:szCs w:val="22"/>
          <w:lang w:eastAsia="en-GB"/>
        </w:rPr>
        <w:t xml:space="preserve"> evidence to the teacher an</w:t>
      </w:r>
      <w:r>
        <w:rPr>
          <w:rFonts w:asciiTheme="majorHAnsi" w:eastAsia="Times New Roman" w:hAnsiTheme="majorHAnsi" w:cstheme="majorHAnsi"/>
          <w:sz w:val="22"/>
          <w:szCs w:val="22"/>
          <w:lang w:eastAsia="en-GB"/>
        </w:rPr>
        <w:t>d</w:t>
      </w:r>
      <w:r w:rsidRPr="0006753C">
        <w:rPr>
          <w:rFonts w:asciiTheme="majorHAnsi" w:eastAsia="Times New Roman" w:hAnsiTheme="majorHAnsi" w:cstheme="majorHAnsi"/>
          <w:sz w:val="22"/>
          <w:szCs w:val="22"/>
          <w:lang w:eastAsia="en-GB"/>
        </w:rPr>
        <w:t xml:space="preserve"> learner t</w:t>
      </w:r>
      <w:r>
        <w:rPr>
          <w:rFonts w:asciiTheme="majorHAnsi" w:eastAsia="Times New Roman" w:hAnsiTheme="majorHAnsi" w:cstheme="majorHAnsi"/>
          <w:sz w:val="22"/>
          <w:szCs w:val="22"/>
          <w:lang w:eastAsia="en-GB"/>
        </w:rPr>
        <w:t>hat</w:t>
      </w:r>
      <w:r w:rsidRPr="0006753C">
        <w:rPr>
          <w:rFonts w:asciiTheme="majorHAnsi" w:eastAsia="Times New Roman" w:hAnsiTheme="majorHAnsi" w:cstheme="majorHAnsi"/>
          <w:sz w:val="22"/>
          <w:szCs w:val="22"/>
          <w:lang w:eastAsia="en-GB"/>
        </w:rPr>
        <w:t xml:space="preserve"> the learner has understood fully the topic at hand.</w:t>
      </w:r>
      <w:r>
        <w:rPr>
          <w:rFonts w:asciiTheme="majorHAnsi" w:eastAsia="Times New Roman" w:hAnsiTheme="majorHAnsi" w:cstheme="majorHAnsi"/>
          <w:sz w:val="22"/>
          <w:szCs w:val="22"/>
          <w:lang w:eastAsia="en-GB"/>
        </w:rPr>
        <w:t xml:space="preserve"> </w:t>
      </w:r>
      <w:r w:rsidRPr="0006753C">
        <w:rPr>
          <w:rFonts w:asciiTheme="majorHAnsi" w:eastAsia="Times New Roman" w:hAnsiTheme="majorHAnsi" w:cstheme="majorHAnsi"/>
          <w:sz w:val="22"/>
          <w:szCs w:val="22"/>
          <w:lang w:eastAsia="en-GB"/>
        </w:rPr>
        <w:t>Eden and Shields (201</w:t>
      </w:r>
      <w:r w:rsidR="001D61EE">
        <w:rPr>
          <w:rFonts w:asciiTheme="majorHAnsi" w:eastAsia="Times New Roman" w:hAnsiTheme="majorHAnsi" w:cstheme="majorHAnsi"/>
          <w:sz w:val="22"/>
          <w:szCs w:val="22"/>
          <w:lang w:eastAsia="en-GB"/>
        </w:rPr>
        <w:t>5</w:t>
      </w:r>
      <w:r w:rsidRPr="0006753C">
        <w:rPr>
          <w:rFonts w:asciiTheme="majorHAnsi" w:eastAsia="Times New Roman" w:hAnsiTheme="majorHAnsi" w:cstheme="majorHAnsi"/>
          <w:sz w:val="22"/>
          <w:szCs w:val="22"/>
          <w:lang w:eastAsia="en-GB"/>
        </w:rPr>
        <w:t>) explain that Vygotsky’s theory should be used to encourage student reflection of their own conceptual understanding to promote thinking and therefore creating more depth to their understanding</w:t>
      </w:r>
      <w:r>
        <w:rPr>
          <w:rFonts w:asciiTheme="majorHAnsi" w:eastAsia="Times New Roman" w:hAnsiTheme="majorHAnsi" w:cstheme="majorHAnsi"/>
          <w:sz w:val="22"/>
          <w:szCs w:val="22"/>
          <w:lang w:eastAsia="en-GB"/>
        </w:rPr>
        <w:t xml:space="preserve">. </w:t>
      </w:r>
    </w:p>
    <w:p w14:paraId="1764BBD0" w14:textId="77777777" w:rsidR="008A0AB2" w:rsidRDefault="00D56E8F" w:rsidP="00D56E8F">
      <w:pPr>
        <w:jc w:val="left"/>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 xml:space="preserve">One limitation of Vygotsky’s ZPD is outlined by </w:t>
      </w:r>
      <w:r w:rsidR="001D61EE">
        <w:rPr>
          <w:rFonts w:asciiTheme="majorHAnsi" w:eastAsia="Times New Roman" w:hAnsiTheme="majorHAnsi" w:cstheme="majorHAnsi"/>
          <w:sz w:val="22"/>
          <w:szCs w:val="22"/>
          <w:lang w:eastAsia="en-GB"/>
        </w:rPr>
        <w:t xml:space="preserve">De </w:t>
      </w:r>
      <w:r w:rsidRPr="0006753C">
        <w:rPr>
          <w:rFonts w:asciiTheme="majorHAnsi" w:eastAsia="Times New Roman" w:hAnsiTheme="majorHAnsi" w:cstheme="majorHAnsi"/>
          <w:sz w:val="22"/>
          <w:szCs w:val="22"/>
          <w:lang w:eastAsia="en-GB"/>
        </w:rPr>
        <w:t xml:space="preserve">Bruin, et al </w:t>
      </w:r>
      <w:r w:rsidR="00135F35">
        <w:rPr>
          <w:rFonts w:asciiTheme="majorHAnsi" w:eastAsia="Times New Roman" w:hAnsiTheme="majorHAnsi" w:cstheme="majorHAnsi"/>
          <w:sz w:val="22"/>
          <w:szCs w:val="22"/>
          <w:lang w:eastAsia="en-GB"/>
        </w:rPr>
        <w:t>(</w:t>
      </w:r>
      <w:r w:rsidRPr="0006753C">
        <w:rPr>
          <w:rFonts w:asciiTheme="majorHAnsi" w:eastAsia="Times New Roman" w:hAnsiTheme="majorHAnsi" w:cstheme="majorHAnsi"/>
          <w:sz w:val="22"/>
          <w:szCs w:val="22"/>
          <w:lang w:eastAsia="en-GB"/>
        </w:rPr>
        <w:t>2023) who argue that learners don’t appreciate the benefits of desirable difficulties and find themselves reluctant to engage in desirably difficult tasks as the high effort and perceived low learning produces uncomfortable feelings.</w:t>
      </w:r>
      <w:r>
        <w:rPr>
          <w:rFonts w:asciiTheme="majorHAnsi" w:eastAsia="Times New Roman" w:hAnsiTheme="majorHAnsi" w:cstheme="majorHAnsi"/>
          <w:sz w:val="22"/>
          <w:szCs w:val="22"/>
          <w:lang w:eastAsia="en-GB"/>
        </w:rPr>
        <w:t xml:space="preserve"> </w:t>
      </w:r>
      <w:r w:rsidR="001D61EE">
        <w:rPr>
          <w:rFonts w:asciiTheme="majorHAnsi" w:eastAsia="Times New Roman" w:hAnsiTheme="majorHAnsi" w:cstheme="majorHAnsi"/>
          <w:sz w:val="22"/>
          <w:szCs w:val="22"/>
          <w:lang w:eastAsia="en-GB"/>
        </w:rPr>
        <w:t xml:space="preserve">De </w:t>
      </w:r>
      <w:r w:rsidRPr="0006753C">
        <w:rPr>
          <w:rFonts w:asciiTheme="majorHAnsi" w:eastAsia="Times New Roman" w:hAnsiTheme="majorHAnsi" w:cstheme="majorHAnsi"/>
          <w:sz w:val="22"/>
          <w:szCs w:val="22"/>
          <w:lang w:eastAsia="en-GB"/>
        </w:rPr>
        <w:t xml:space="preserve">Bruin, et al </w:t>
      </w:r>
      <w:r w:rsidR="00135F35">
        <w:rPr>
          <w:rFonts w:asciiTheme="majorHAnsi" w:eastAsia="Times New Roman" w:hAnsiTheme="majorHAnsi" w:cstheme="majorHAnsi"/>
          <w:sz w:val="22"/>
          <w:szCs w:val="22"/>
          <w:lang w:eastAsia="en-GB"/>
        </w:rPr>
        <w:t>(</w:t>
      </w:r>
      <w:r w:rsidRPr="0006753C">
        <w:rPr>
          <w:rFonts w:asciiTheme="majorHAnsi" w:eastAsia="Times New Roman" w:hAnsiTheme="majorHAnsi" w:cstheme="majorHAnsi"/>
          <w:sz w:val="22"/>
          <w:szCs w:val="22"/>
          <w:lang w:eastAsia="en-GB"/>
        </w:rPr>
        <w:t xml:space="preserve">2023) explain that further research is needed to understand how learners can stick to desirable difficulties and overcome these misconceptions.  </w:t>
      </w:r>
    </w:p>
    <w:p w14:paraId="0E85DD54" w14:textId="77777777" w:rsidR="008A0AB2" w:rsidRDefault="00D56E8F" w:rsidP="00D56E8F">
      <w:pPr>
        <w:jc w:val="left"/>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Mestad and Kolsto (201</w:t>
      </w:r>
      <w:r w:rsidR="001D61EE">
        <w:rPr>
          <w:rFonts w:asciiTheme="majorHAnsi" w:eastAsia="Times New Roman" w:hAnsiTheme="majorHAnsi" w:cstheme="majorHAnsi"/>
          <w:sz w:val="22"/>
          <w:szCs w:val="22"/>
          <w:lang w:eastAsia="en-GB"/>
        </w:rPr>
        <w:t>4</w:t>
      </w:r>
      <w:r w:rsidRPr="0006753C">
        <w:rPr>
          <w:rFonts w:asciiTheme="majorHAnsi" w:eastAsia="Times New Roman" w:hAnsiTheme="majorHAnsi" w:cstheme="majorHAnsi"/>
          <w:sz w:val="22"/>
          <w:szCs w:val="22"/>
          <w:lang w:eastAsia="en-GB"/>
        </w:rPr>
        <w:t xml:space="preserve">) also argue that ZPD has proven difficult to integrate into a classroom setting because of the practicality of designing tasks that accommodate every person in the class. Mestad and Kolsto </w:t>
      </w:r>
      <w:r w:rsidR="001D61EE">
        <w:rPr>
          <w:rFonts w:asciiTheme="majorHAnsi" w:eastAsia="Times New Roman" w:hAnsiTheme="majorHAnsi" w:cstheme="majorHAnsi"/>
          <w:sz w:val="22"/>
          <w:szCs w:val="22"/>
          <w:lang w:eastAsia="en-GB"/>
        </w:rPr>
        <w:t xml:space="preserve">(2014) </w:t>
      </w:r>
      <w:r w:rsidRPr="0006753C">
        <w:rPr>
          <w:rFonts w:asciiTheme="majorHAnsi" w:eastAsia="Times New Roman" w:hAnsiTheme="majorHAnsi" w:cstheme="majorHAnsi"/>
          <w:sz w:val="22"/>
          <w:szCs w:val="22"/>
          <w:lang w:eastAsia="en-GB"/>
        </w:rPr>
        <w:t xml:space="preserve">also suggest that the ZPD is more concentrated on social environment than the scaffolding of learners. </w:t>
      </w:r>
    </w:p>
    <w:p w14:paraId="40888CEC" w14:textId="77777777" w:rsidR="008A0AB2" w:rsidRDefault="00135F35" w:rsidP="00D56E8F">
      <w:pPr>
        <w:jc w:val="left"/>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 xml:space="preserve">Taylor (2017) </w:t>
      </w:r>
      <w:r w:rsidR="00D56E8F" w:rsidRPr="0006753C">
        <w:rPr>
          <w:rFonts w:asciiTheme="majorHAnsi" w:eastAsia="Times New Roman" w:hAnsiTheme="majorHAnsi" w:cstheme="majorHAnsi"/>
          <w:sz w:val="22"/>
          <w:szCs w:val="22"/>
          <w:lang w:eastAsia="en-GB"/>
        </w:rPr>
        <w:t>insist that highlighting the importance of participation and contribution to learners within the classroom is a much better strategy for learners academic development. Taylor</w:t>
      </w:r>
      <w:r w:rsidR="001D61EE">
        <w:rPr>
          <w:rFonts w:asciiTheme="majorHAnsi" w:eastAsia="Times New Roman" w:hAnsiTheme="majorHAnsi" w:cstheme="majorHAnsi"/>
          <w:sz w:val="22"/>
          <w:szCs w:val="22"/>
          <w:lang w:eastAsia="en-GB"/>
        </w:rPr>
        <w:t xml:space="preserve"> (2017)</w:t>
      </w:r>
      <w:r w:rsidR="00D56E8F" w:rsidRPr="0006753C">
        <w:rPr>
          <w:rFonts w:asciiTheme="majorHAnsi" w:eastAsia="Times New Roman" w:hAnsiTheme="majorHAnsi" w:cstheme="majorHAnsi"/>
          <w:sz w:val="22"/>
          <w:szCs w:val="22"/>
          <w:lang w:eastAsia="en-GB"/>
        </w:rPr>
        <w:t xml:space="preserve"> argues that, to implement the effective strategy differentiation, regular guidance, support and leadership from MKO is essential. This is backed up by Daneshfar and Moharami (2018) who explains that learning will not occur when just simply exposed to learning materials. Materials need to be adjusted for individual students by a tutor or MKO in order to unlock higher thinking by the learner.</w:t>
      </w:r>
      <w:r w:rsidR="00D56E8F">
        <w:rPr>
          <w:rFonts w:asciiTheme="majorHAnsi" w:eastAsia="Times New Roman" w:hAnsiTheme="majorHAnsi" w:cstheme="majorHAnsi"/>
          <w:sz w:val="22"/>
          <w:szCs w:val="22"/>
          <w:lang w:eastAsia="en-GB"/>
        </w:rPr>
        <w:t xml:space="preserve"> </w:t>
      </w:r>
    </w:p>
    <w:p w14:paraId="5193166C" w14:textId="77777777" w:rsidR="008A0AB2" w:rsidRDefault="00D56E8F" w:rsidP="00D56E8F">
      <w:pPr>
        <w:jc w:val="left"/>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Eden and Shields (201</w:t>
      </w:r>
      <w:r w:rsidR="001D61EE">
        <w:rPr>
          <w:rFonts w:asciiTheme="majorHAnsi" w:eastAsia="Times New Roman" w:hAnsiTheme="majorHAnsi" w:cstheme="majorHAnsi"/>
          <w:sz w:val="22"/>
          <w:szCs w:val="22"/>
          <w:lang w:eastAsia="en-GB"/>
        </w:rPr>
        <w:t>5</w:t>
      </w:r>
      <w:r w:rsidRPr="0006753C">
        <w:rPr>
          <w:rFonts w:asciiTheme="majorHAnsi" w:eastAsia="Times New Roman" w:hAnsiTheme="majorHAnsi" w:cstheme="majorHAnsi"/>
          <w:sz w:val="22"/>
          <w:szCs w:val="22"/>
          <w:lang w:eastAsia="en-GB"/>
        </w:rPr>
        <w:t>) agree with this saying that shared collaboration between a learner and MKO has potential to lead to a mutual transformation.</w:t>
      </w:r>
      <w:r>
        <w:rPr>
          <w:rFonts w:asciiTheme="majorHAnsi" w:eastAsia="Times New Roman" w:hAnsiTheme="majorHAnsi" w:cstheme="majorHAnsi"/>
          <w:sz w:val="22"/>
          <w:szCs w:val="22"/>
          <w:lang w:eastAsia="en-GB"/>
        </w:rPr>
        <w:t xml:space="preserve"> </w:t>
      </w:r>
      <w:r w:rsidRPr="0006753C">
        <w:rPr>
          <w:rFonts w:asciiTheme="majorHAnsi" w:eastAsia="Times New Roman" w:hAnsiTheme="majorHAnsi" w:cstheme="majorHAnsi"/>
          <w:sz w:val="22"/>
          <w:szCs w:val="22"/>
          <w:lang w:eastAsia="en-GB"/>
        </w:rPr>
        <w:t>Pawlak</w:t>
      </w:r>
      <w:r w:rsidR="001D61EE">
        <w:rPr>
          <w:rFonts w:asciiTheme="majorHAnsi" w:eastAsia="Times New Roman" w:hAnsiTheme="majorHAnsi" w:cstheme="majorHAnsi"/>
          <w:sz w:val="22"/>
          <w:szCs w:val="22"/>
          <w:lang w:eastAsia="en-GB"/>
        </w:rPr>
        <w:t>, Kruk and Zawdoniak</w:t>
      </w:r>
      <w:r w:rsidRPr="0006753C">
        <w:rPr>
          <w:rFonts w:asciiTheme="majorHAnsi" w:eastAsia="Times New Roman" w:hAnsiTheme="majorHAnsi" w:cstheme="majorHAnsi"/>
          <w:sz w:val="22"/>
          <w:szCs w:val="22"/>
          <w:lang w:eastAsia="en-GB"/>
        </w:rPr>
        <w:t xml:space="preserve"> (202</w:t>
      </w:r>
      <w:r w:rsidR="001D61EE">
        <w:rPr>
          <w:rFonts w:asciiTheme="majorHAnsi" w:eastAsia="Times New Roman" w:hAnsiTheme="majorHAnsi" w:cstheme="majorHAnsi"/>
          <w:sz w:val="22"/>
          <w:szCs w:val="22"/>
          <w:lang w:eastAsia="en-GB"/>
        </w:rPr>
        <w:t>2</w:t>
      </w:r>
      <w:r w:rsidRPr="0006753C">
        <w:rPr>
          <w:rFonts w:asciiTheme="majorHAnsi" w:eastAsia="Times New Roman" w:hAnsiTheme="majorHAnsi" w:cstheme="majorHAnsi"/>
          <w:sz w:val="22"/>
          <w:szCs w:val="22"/>
          <w:lang w:eastAsia="en-GB"/>
        </w:rPr>
        <w:t>) say that boredom escalates from either under-challenging or over-challenging work</w:t>
      </w:r>
      <w:r>
        <w:rPr>
          <w:rFonts w:asciiTheme="majorHAnsi" w:eastAsia="Times New Roman" w:hAnsiTheme="majorHAnsi" w:cstheme="majorHAnsi"/>
          <w:sz w:val="22"/>
          <w:szCs w:val="22"/>
          <w:lang w:eastAsia="en-GB"/>
        </w:rPr>
        <w:t xml:space="preserve"> which is where the importance of Vygotsky’s ZPD comes in. </w:t>
      </w:r>
      <w:r w:rsidRPr="0006753C">
        <w:rPr>
          <w:rFonts w:asciiTheme="majorHAnsi" w:eastAsia="Times New Roman" w:hAnsiTheme="majorHAnsi" w:cstheme="majorHAnsi"/>
          <w:sz w:val="22"/>
          <w:szCs w:val="22"/>
          <w:lang w:eastAsia="en-GB"/>
        </w:rPr>
        <w:t>Boredom is a real issue in the modern</w:t>
      </w:r>
      <w:r w:rsidR="008A0AB2">
        <w:rPr>
          <w:rFonts w:asciiTheme="majorHAnsi" w:eastAsia="Times New Roman" w:hAnsiTheme="majorHAnsi" w:cstheme="majorHAnsi"/>
          <w:sz w:val="22"/>
          <w:szCs w:val="22"/>
          <w:lang w:eastAsia="en-GB"/>
        </w:rPr>
        <w:t>-</w:t>
      </w:r>
      <w:r w:rsidRPr="0006753C">
        <w:rPr>
          <w:rFonts w:asciiTheme="majorHAnsi" w:eastAsia="Times New Roman" w:hAnsiTheme="majorHAnsi" w:cstheme="majorHAnsi"/>
          <w:sz w:val="22"/>
          <w:szCs w:val="22"/>
          <w:lang w:eastAsia="en-GB"/>
        </w:rPr>
        <w:t>day classroom as it is a silent emotion, it doesn’t cause interference within the classroom in the same way that anger, fear or anxiety does, (</w:t>
      </w:r>
      <w:r w:rsidR="001D61EE" w:rsidRPr="0006753C">
        <w:rPr>
          <w:rFonts w:asciiTheme="majorHAnsi" w:eastAsia="Times New Roman" w:hAnsiTheme="majorHAnsi" w:cstheme="majorHAnsi"/>
          <w:sz w:val="22"/>
          <w:szCs w:val="22"/>
          <w:lang w:eastAsia="en-GB"/>
        </w:rPr>
        <w:t>Pawlak</w:t>
      </w:r>
      <w:r w:rsidR="001D61EE">
        <w:rPr>
          <w:rFonts w:asciiTheme="majorHAnsi" w:eastAsia="Times New Roman" w:hAnsiTheme="majorHAnsi" w:cstheme="majorHAnsi"/>
          <w:sz w:val="22"/>
          <w:szCs w:val="22"/>
          <w:lang w:eastAsia="en-GB"/>
        </w:rPr>
        <w:t>, Kruk and</w:t>
      </w:r>
      <w:r w:rsidR="001D61EE">
        <w:rPr>
          <w:rFonts w:asciiTheme="majorHAnsi" w:eastAsia="Times New Roman" w:hAnsiTheme="majorHAnsi" w:cstheme="majorHAnsi"/>
          <w:sz w:val="22"/>
          <w:szCs w:val="22"/>
          <w:lang w:eastAsia="en-GB"/>
        </w:rPr>
        <w:t xml:space="preserve"> Zawdoniak</w:t>
      </w:r>
      <w:r w:rsidR="00135F35">
        <w:rPr>
          <w:rFonts w:asciiTheme="majorHAnsi" w:eastAsia="Times New Roman" w:hAnsiTheme="majorHAnsi" w:cstheme="majorHAnsi"/>
          <w:sz w:val="22"/>
          <w:szCs w:val="22"/>
          <w:lang w:eastAsia="en-GB"/>
        </w:rPr>
        <w:t>,</w:t>
      </w:r>
      <w:r w:rsidRPr="0006753C">
        <w:rPr>
          <w:rFonts w:asciiTheme="majorHAnsi" w:eastAsia="Times New Roman" w:hAnsiTheme="majorHAnsi" w:cstheme="majorHAnsi"/>
          <w:sz w:val="22"/>
          <w:szCs w:val="22"/>
          <w:lang w:eastAsia="en-GB"/>
        </w:rPr>
        <w:t xml:space="preserve"> 202</w:t>
      </w:r>
      <w:r w:rsidR="001D61EE">
        <w:rPr>
          <w:rFonts w:asciiTheme="majorHAnsi" w:eastAsia="Times New Roman" w:hAnsiTheme="majorHAnsi" w:cstheme="majorHAnsi"/>
          <w:sz w:val="22"/>
          <w:szCs w:val="22"/>
          <w:lang w:eastAsia="en-GB"/>
        </w:rPr>
        <w:t>2</w:t>
      </w:r>
      <w:r w:rsidRPr="0006753C">
        <w:rPr>
          <w:rFonts w:asciiTheme="majorHAnsi" w:eastAsia="Times New Roman" w:hAnsiTheme="majorHAnsi" w:cstheme="majorHAnsi"/>
          <w:sz w:val="22"/>
          <w:szCs w:val="22"/>
          <w:lang w:eastAsia="en-GB"/>
        </w:rPr>
        <w:t xml:space="preserve">). </w:t>
      </w:r>
      <w:r w:rsidR="001D61EE" w:rsidRPr="0006753C">
        <w:rPr>
          <w:rFonts w:asciiTheme="majorHAnsi" w:eastAsia="Times New Roman" w:hAnsiTheme="majorHAnsi" w:cstheme="majorHAnsi"/>
          <w:sz w:val="22"/>
          <w:szCs w:val="22"/>
          <w:lang w:eastAsia="en-GB"/>
        </w:rPr>
        <w:t>Pawlak</w:t>
      </w:r>
      <w:r w:rsidR="001D61EE">
        <w:rPr>
          <w:rFonts w:asciiTheme="majorHAnsi" w:eastAsia="Times New Roman" w:hAnsiTheme="majorHAnsi" w:cstheme="majorHAnsi"/>
          <w:sz w:val="22"/>
          <w:szCs w:val="22"/>
          <w:lang w:eastAsia="en-GB"/>
        </w:rPr>
        <w:t>, Kruk and Zawdoniak</w:t>
      </w:r>
      <w:r w:rsidRPr="0006753C">
        <w:rPr>
          <w:rFonts w:asciiTheme="majorHAnsi" w:eastAsia="Times New Roman" w:hAnsiTheme="majorHAnsi" w:cstheme="majorHAnsi"/>
          <w:sz w:val="22"/>
          <w:szCs w:val="22"/>
          <w:lang w:eastAsia="en-GB"/>
        </w:rPr>
        <w:t xml:space="preserve"> (202</w:t>
      </w:r>
      <w:r w:rsidR="001D61EE">
        <w:rPr>
          <w:rFonts w:asciiTheme="majorHAnsi" w:eastAsia="Times New Roman" w:hAnsiTheme="majorHAnsi" w:cstheme="majorHAnsi"/>
          <w:sz w:val="22"/>
          <w:szCs w:val="22"/>
          <w:lang w:eastAsia="en-GB"/>
        </w:rPr>
        <w:t>2</w:t>
      </w:r>
      <w:r w:rsidRPr="0006753C">
        <w:rPr>
          <w:rFonts w:asciiTheme="majorHAnsi" w:eastAsia="Times New Roman" w:hAnsiTheme="majorHAnsi" w:cstheme="majorHAnsi"/>
          <w:sz w:val="22"/>
          <w:szCs w:val="22"/>
          <w:lang w:eastAsia="en-GB"/>
        </w:rPr>
        <w:t>) mention that boredom festers when a task is presented to learners that is unexciting, it is met by resentment, disappointment and impassivity. Nakamura</w:t>
      </w:r>
      <w:r w:rsidR="001D61EE">
        <w:rPr>
          <w:rFonts w:asciiTheme="majorHAnsi" w:eastAsia="Times New Roman" w:hAnsiTheme="majorHAnsi" w:cstheme="majorHAnsi"/>
          <w:sz w:val="22"/>
          <w:szCs w:val="22"/>
          <w:lang w:eastAsia="en-GB"/>
        </w:rPr>
        <w:t xml:space="preserve">, Darasawang and Reinders </w:t>
      </w:r>
      <w:r w:rsidRPr="0006753C">
        <w:rPr>
          <w:rFonts w:asciiTheme="majorHAnsi" w:eastAsia="Times New Roman" w:hAnsiTheme="majorHAnsi" w:cstheme="majorHAnsi"/>
          <w:sz w:val="22"/>
          <w:szCs w:val="22"/>
          <w:lang w:eastAsia="en-GB"/>
        </w:rPr>
        <w:t xml:space="preserve">(2021) </w:t>
      </w:r>
      <w:r>
        <w:rPr>
          <w:rFonts w:asciiTheme="majorHAnsi" w:eastAsia="Times New Roman" w:hAnsiTheme="majorHAnsi" w:cstheme="majorHAnsi"/>
          <w:sz w:val="22"/>
          <w:szCs w:val="22"/>
          <w:lang w:eastAsia="en-GB"/>
        </w:rPr>
        <w:t xml:space="preserve">agree with this and </w:t>
      </w:r>
      <w:r w:rsidRPr="0006753C">
        <w:rPr>
          <w:rFonts w:asciiTheme="majorHAnsi" w:eastAsia="Times New Roman" w:hAnsiTheme="majorHAnsi" w:cstheme="majorHAnsi"/>
          <w:sz w:val="22"/>
          <w:szCs w:val="22"/>
          <w:lang w:eastAsia="en-GB"/>
        </w:rPr>
        <w:t xml:space="preserve">says </w:t>
      </w:r>
      <w:r w:rsidRPr="0006753C">
        <w:rPr>
          <w:rFonts w:asciiTheme="majorHAnsi" w:eastAsia="Times New Roman" w:hAnsiTheme="majorHAnsi" w:cstheme="majorHAnsi"/>
          <w:sz w:val="22"/>
          <w:szCs w:val="22"/>
          <w:lang w:eastAsia="en-GB"/>
        </w:rPr>
        <w:lastRenderedPageBreak/>
        <w:t>that boredom manifests when people are unwilling or unable to engage in a task.</w:t>
      </w:r>
      <w:r>
        <w:rPr>
          <w:rFonts w:asciiTheme="majorHAnsi" w:eastAsia="Times New Roman" w:hAnsiTheme="majorHAnsi" w:cstheme="majorHAnsi"/>
          <w:sz w:val="22"/>
          <w:szCs w:val="22"/>
          <w:lang w:eastAsia="en-GB"/>
        </w:rPr>
        <w:t xml:space="preserve"> </w:t>
      </w:r>
      <w:r w:rsidRPr="0006753C">
        <w:rPr>
          <w:rFonts w:asciiTheme="majorHAnsi" w:eastAsia="Times New Roman" w:hAnsiTheme="majorHAnsi" w:cstheme="majorHAnsi"/>
          <w:sz w:val="22"/>
          <w:szCs w:val="22"/>
          <w:lang w:eastAsia="en-GB"/>
        </w:rPr>
        <w:t xml:space="preserve">Following on from this, </w:t>
      </w:r>
      <w:r w:rsidR="00135F35">
        <w:rPr>
          <w:rFonts w:asciiTheme="majorHAnsi" w:eastAsia="Times New Roman" w:hAnsiTheme="majorHAnsi" w:cstheme="majorHAnsi"/>
          <w:sz w:val="22"/>
          <w:szCs w:val="22"/>
          <w:lang w:eastAsia="en-GB"/>
        </w:rPr>
        <w:t xml:space="preserve">Solhi (2021) </w:t>
      </w:r>
      <w:r w:rsidRPr="0006753C">
        <w:rPr>
          <w:rFonts w:asciiTheme="majorHAnsi" w:eastAsia="Times New Roman" w:hAnsiTheme="majorHAnsi" w:cstheme="majorHAnsi"/>
          <w:sz w:val="22"/>
          <w:szCs w:val="22"/>
          <w:lang w:eastAsia="en-GB"/>
        </w:rPr>
        <w:t xml:space="preserve">implies that boredom stems from students feeling out of control over tasks that are either too advanced or too simple for their individual ability. </w:t>
      </w:r>
    </w:p>
    <w:p w14:paraId="12CFFB2A" w14:textId="77777777" w:rsidR="008A0AB2" w:rsidRDefault="00D56E8F" w:rsidP="00D56E8F">
      <w:pPr>
        <w:jc w:val="left"/>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Boredom is associated with negative behaviour and or psychology which is negatively related to academic performance, intrinsic motivation and engagement</w:t>
      </w:r>
      <w:r w:rsidR="00135F35">
        <w:rPr>
          <w:rFonts w:asciiTheme="majorHAnsi" w:eastAsia="Times New Roman" w:hAnsiTheme="majorHAnsi" w:cstheme="majorHAnsi"/>
          <w:sz w:val="22"/>
          <w:szCs w:val="22"/>
          <w:lang w:eastAsia="en-GB"/>
        </w:rPr>
        <w:t>,</w:t>
      </w:r>
      <w:r w:rsidRPr="0006753C">
        <w:rPr>
          <w:rFonts w:asciiTheme="majorHAnsi" w:eastAsia="Times New Roman" w:hAnsiTheme="majorHAnsi" w:cstheme="majorHAnsi"/>
          <w:sz w:val="22"/>
          <w:szCs w:val="22"/>
          <w:lang w:eastAsia="en-GB"/>
        </w:rPr>
        <w:t xml:space="preserve"> (</w:t>
      </w:r>
      <w:r w:rsidR="001D61EE" w:rsidRPr="0006753C">
        <w:rPr>
          <w:rFonts w:asciiTheme="majorHAnsi" w:eastAsia="Times New Roman" w:hAnsiTheme="majorHAnsi" w:cstheme="majorHAnsi"/>
          <w:sz w:val="22"/>
          <w:szCs w:val="22"/>
          <w:lang w:eastAsia="en-GB"/>
        </w:rPr>
        <w:t>Nakamura</w:t>
      </w:r>
      <w:r w:rsidR="001D61EE">
        <w:rPr>
          <w:rFonts w:asciiTheme="majorHAnsi" w:eastAsia="Times New Roman" w:hAnsiTheme="majorHAnsi" w:cstheme="majorHAnsi"/>
          <w:sz w:val="22"/>
          <w:szCs w:val="22"/>
          <w:lang w:eastAsia="en-GB"/>
        </w:rPr>
        <w:t>, Darasawang and Reinders</w:t>
      </w:r>
      <w:r w:rsidR="001D61EE">
        <w:rPr>
          <w:rFonts w:asciiTheme="majorHAnsi" w:eastAsia="Times New Roman" w:hAnsiTheme="majorHAnsi" w:cstheme="majorHAnsi"/>
          <w:sz w:val="22"/>
          <w:szCs w:val="22"/>
          <w:lang w:eastAsia="en-GB"/>
        </w:rPr>
        <w:t>,</w:t>
      </w:r>
      <w:r w:rsidRPr="0006753C">
        <w:rPr>
          <w:rFonts w:asciiTheme="majorHAnsi" w:eastAsia="Times New Roman" w:hAnsiTheme="majorHAnsi" w:cstheme="majorHAnsi"/>
          <w:sz w:val="22"/>
          <w:szCs w:val="22"/>
          <w:lang w:eastAsia="en-GB"/>
        </w:rPr>
        <w:t xml:space="preserve"> 2021).</w:t>
      </w:r>
      <w:r>
        <w:rPr>
          <w:rFonts w:asciiTheme="majorHAnsi" w:eastAsia="Times New Roman" w:hAnsiTheme="majorHAnsi" w:cstheme="majorHAnsi"/>
          <w:sz w:val="22"/>
          <w:szCs w:val="22"/>
          <w:lang w:eastAsia="en-GB"/>
        </w:rPr>
        <w:t xml:space="preserve"> </w:t>
      </w:r>
      <w:r w:rsidRPr="0006753C">
        <w:rPr>
          <w:rFonts w:asciiTheme="majorHAnsi" w:eastAsia="Times New Roman" w:hAnsiTheme="majorHAnsi" w:cstheme="majorHAnsi"/>
          <w:sz w:val="22"/>
          <w:szCs w:val="22"/>
          <w:lang w:eastAsia="en-GB"/>
        </w:rPr>
        <w:t>The implications of boredom in education are huge, low level of academic attainment and boredom have been reportedly linked along with slow academic development, (Solhi</w:t>
      </w:r>
      <w:r w:rsidR="00135F35">
        <w:rPr>
          <w:rFonts w:asciiTheme="majorHAnsi" w:eastAsia="Times New Roman" w:hAnsiTheme="majorHAnsi" w:cstheme="majorHAnsi"/>
          <w:sz w:val="22"/>
          <w:szCs w:val="22"/>
          <w:lang w:eastAsia="en-GB"/>
        </w:rPr>
        <w:t>,</w:t>
      </w:r>
      <w:r w:rsidRPr="0006753C">
        <w:rPr>
          <w:rFonts w:asciiTheme="majorHAnsi" w:eastAsia="Times New Roman" w:hAnsiTheme="majorHAnsi" w:cstheme="majorHAnsi"/>
          <w:sz w:val="22"/>
          <w:szCs w:val="22"/>
          <w:lang w:eastAsia="en-GB"/>
        </w:rPr>
        <w:t xml:space="preserve"> 2021). However, Elpidorou (2018) disagrees with this and says that boredom can be helpful as it encourages movement which is essential for well-being and as a human with goals and projects having the ability to be bored and comfortable with it we are much better off. </w:t>
      </w:r>
    </w:p>
    <w:p w14:paraId="4FE32A23" w14:textId="77777777" w:rsidR="008A0AB2" w:rsidRDefault="00D56E8F" w:rsidP="00D56E8F">
      <w:pPr>
        <w:jc w:val="left"/>
        <w:rPr>
          <w:rFonts w:asciiTheme="majorHAnsi" w:eastAsia="Times New Roman" w:hAnsiTheme="majorHAnsi" w:cstheme="majorHAnsi"/>
          <w:sz w:val="22"/>
          <w:szCs w:val="22"/>
          <w:lang w:eastAsia="en-GB"/>
        </w:rPr>
      </w:pPr>
      <w:r w:rsidRPr="0006753C">
        <w:rPr>
          <w:rFonts w:asciiTheme="majorHAnsi" w:eastAsia="Times New Roman" w:hAnsiTheme="majorHAnsi" w:cstheme="majorHAnsi"/>
          <w:color w:val="111111"/>
          <w:sz w:val="22"/>
          <w:szCs w:val="22"/>
          <w:lang w:eastAsia="en-GB"/>
        </w:rPr>
        <w:t>Mann and Cadman (</w:t>
      </w:r>
      <w:r w:rsidRPr="0006753C">
        <w:rPr>
          <w:rFonts w:asciiTheme="majorHAnsi" w:eastAsia="Times New Roman" w:hAnsiTheme="majorHAnsi" w:cstheme="majorHAnsi"/>
          <w:color w:val="382896"/>
          <w:sz w:val="22"/>
          <w:szCs w:val="22"/>
          <w:lang w:eastAsia="en-GB"/>
        </w:rPr>
        <w:t>2014</w:t>
      </w:r>
      <w:r w:rsidRPr="0006753C">
        <w:rPr>
          <w:rFonts w:asciiTheme="majorHAnsi" w:eastAsia="Times New Roman" w:hAnsiTheme="majorHAnsi" w:cstheme="majorHAnsi"/>
          <w:color w:val="111111"/>
          <w:sz w:val="22"/>
          <w:szCs w:val="22"/>
          <w:lang w:eastAsia="en-GB"/>
        </w:rPr>
        <w:t xml:space="preserve">) argue that creativity breeds from boredom and stated that research shows that individuals subject to boring conditions vs those who were not, became more creative after the fact. </w:t>
      </w:r>
      <w:r w:rsidR="001D61EE">
        <w:rPr>
          <w:rFonts w:asciiTheme="majorHAnsi" w:eastAsia="Times New Roman" w:hAnsiTheme="majorHAnsi" w:cstheme="majorHAnsi"/>
          <w:sz w:val="22"/>
          <w:szCs w:val="22"/>
          <w:lang w:eastAsia="en-GB"/>
        </w:rPr>
        <w:t>Tze, Daniels and Klassen</w:t>
      </w:r>
      <w:r w:rsidRPr="0006753C">
        <w:rPr>
          <w:rFonts w:asciiTheme="majorHAnsi" w:eastAsia="Times New Roman" w:hAnsiTheme="majorHAnsi" w:cstheme="majorHAnsi"/>
          <w:sz w:val="22"/>
          <w:szCs w:val="22"/>
          <w:lang w:eastAsia="en-GB"/>
        </w:rPr>
        <w:t xml:space="preserve"> (201</w:t>
      </w:r>
      <w:r>
        <w:rPr>
          <w:rFonts w:asciiTheme="majorHAnsi" w:eastAsia="Times New Roman" w:hAnsiTheme="majorHAnsi" w:cstheme="majorHAnsi"/>
          <w:sz w:val="22"/>
          <w:szCs w:val="22"/>
          <w:lang w:eastAsia="en-GB"/>
        </w:rPr>
        <w:t>6)</w:t>
      </w:r>
      <w:r w:rsidRPr="0006753C">
        <w:rPr>
          <w:rFonts w:asciiTheme="majorHAnsi" w:eastAsia="Times New Roman" w:hAnsiTheme="majorHAnsi" w:cstheme="majorHAnsi"/>
          <w:sz w:val="22"/>
          <w:szCs w:val="22"/>
          <w:lang w:eastAsia="en-GB"/>
        </w:rPr>
        <w:t xml:space="preserve"> claim that there ha</w:t>
      </w:r>
      <w:r w:rsidR="008A0AB2">
        <w:rPr>
          <w:rFonts w:asciiTheme="majorHAnsi" w:eastAsia="Times New Roman" w:hAnsiTheme="majorHAnsi" w:cstheme="majorHAnsi"/>
          <w:sz w:val="22"/>
          <w:szCs w:val="22"/>
          <w:lang w:eastAsia="en-GB"/>
        </w:rPr>
        <w:t>ve</w:t>
      </w:r>
      <w:r w:rsidRPr="0006753C">
        <w:rPr>
          <w:rFonts w:asciiTheme="majorHAnsi" w:eastAsia="Times New Roman" w:hAnsiTheme="majorHAnsi" w:cstheme="majorHAnsi"/>
          <w:sz w:val="22"/>
          <w:szCs w:val="22"/>
          <w:lang w:eastAsia="en-GB"/>
        </w:rPr>
        <w:t xml:space="preserve"> not been any conclusive findings to mark the relationship between boredom and academic outcomes of secondary school children and even less in primary schools.</w:t>
      </w:r>
      <w:r>
        <w:rPr>
          <w:rFonts w:asciiTheme="majorHAnsi" w:eastAsia="Times New Roman" w:hAnsiTheme="majorHAnsi" w:cstheme="majorHAnsi"/>
          <w:sz w:val="22"/>
          <w:szCs w:val="22"/>
          <w:lang w:eastAsia="en-GB"/>
        </w:rPr>
        <w:t xml:space="preserve"> </w:t>
      </w:r>
    </w:p>
    <w:p w14:paraId="58D45D2D" w14:textId="77777777" w:rsidR="008A0AB2" w:rsidRDefault="00D56E8F" w:rsidP="00D56E8F">
      <w:pPr>
        <w:jc w:val="left"/>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Woolfolk (2016)</w:t>
      </w:r>
      <w:r>
        <w:rPr>
          <w:rFonts w:asciiTheme="majorHAnsi" w:eastAsia="Times New Roman" w:hAnsiTheme="majorHAnsi" w:cstheme="majorHAnsi"/>
          <w:sz w:val="22"/>
          <w:szCs w:val="22"/>
          <w:lang w:eastAsia="en-GB"/>
        </w:rPr>
        <w:t xml:space="preserve"> </w:t>
      </w:r>
      <w:r w:rsidRPr="0006753C">
        <w:rPr>
          <w:rFonts w:asciiTheme="majorHAnsi" w:eastAsia="Times New Roman" w:hAnsiTheme="majorHAnsi" w:cstheme="majorHAnsi"/>
          <w:sz w:val="22"/>
          <w:szCs w:val="22"/>
          <w:lang w:eastAsia="en-GB"/>
        </w:rPr>
        <w:t xml:space="preserve">suggests that attempting to increase student interest and highlighting the value of the task helped to curve boredom in school children. There is a divide between providing work that is desirably difficult for students. Tasks and activities shouldn’t be overly challenging but also need to be somewhat challenging to keep learners interested and engaged. Even though it is the responsibility of teachers to provide activities that are of appropriate nature, it is also in the hands of students to appreciate the need to change their learning strategies. </w:t>
      </w:r>
    </w:p>
    <w:p w14:paraId="660766BB" w14:textId="77777777" w:rsidR="008A0AB2" w:rsidRDefault="00D56E8F" w:rsidP="00D56E8F">
      <w:pPr>
        <w:jc w:val="left"/>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Biwer</w:t>
      </w:r>
      <w:r w:rsidR="001D61EE">
        <w:rPr>
          <w:rFonts w:asciiTheme="majorHAnsi" w:eastAsia="Times New Roman" w:hAnsiTheme="majorHAnsi" w:cstheme="majorHAnsi"/>
          <w:sz w:val="22"/>
          <w:szCs w:val="22"/>
          <w:lang w:eastAsia="en-GB"/>
        </w:rPr>
        <w:t>,</w:t>
      </w:r>
      <w:r w:rsidRPr="0006753C">
        <w:rPr>
          <w:rFonts w:asciiTheme="majorHAnsi" w:eastAsia="Times New Roman" w:hAnsiTheme="majorHAnsi" w:cstheme="majorHAnsi"/>
          <w:sz w:val="22"/>
          <w:szCs w:val="22"/>
          <w:lang w:eastAsia="en-GB"/>
        </w:rPr>
        <w:t xml:space="preserve"> </w:t>
      </w:r>
      <w:r w:rsidR="001D61EE">
        <w:rPr>
          <w:rFonts w:asciiTheme="majorHAnsi" w:eastAsia="Times New Roman" w:hAnsiTheme="majorHAnsi" w:cstheme="majorHAnsi"/>
          <w:sz w:val="22"/>
          <w:szCs w:val="22"/>
          <w:lang w:eastAsia="en-GB"/>
        </w:rPr>
        <w:t xml:space="preserve">et al </w:t>
      </w:r>
      <w:r w:rsidRPr="0006753C">
        <w:rPr>
          <w:rFonts w:asciiTheme="majorHAnsi" w:eastAsia="Times New Roman" w:hAnsiTheme="majorHAnsi" w:cstheme="majorHAnsi"/>
          <w:sz w:val="22"/>
          <w:szCs w:val="22"/>
          <w:lang w:eastAsia="en-GB"/>
        </w:rPr>
        <w:t>(2020) stated that student satisfaction and perceived success played a pivotal role in how eager students were to adapt their strategies. However, Students are reluctant to change their learning strategy due to apprehension on how the change will affect their grades (Biwer</w:t>
      </w:r>
      <w:r w:rsidR="001D61EE">
        <w:rPr>
          <w:rFonts w:asciiTheme="majorHAnsi" w:eastAsia="Times New Roman" w:hAnsiTheme="majorHAnsi" w:cstheme="majorHAnsi"/>
          <w:sz w:val="22"/>
          <w:szCs w:val="22"/>
          <w:lang w:eastAsia="en-GB"/>
        </w:rPr>
        <w:t>, et al,</w:t>
      </w:r>
      <w:r w:rsidRPr="0006753C">
        <w:rPr>
          <w:rFonts w:asciiTheme="majorHAnsi" w:eastAsia="Times New Roman" w:hAnsiTheme="majorHAnsi" w:cstheme="majorHAnsi"/>
          <w:sz w:val="22"/>
          <w:szCs w:val="22"/>
          <w:lang w:eastAsia="en-GB"/>
        </w:rPr>
        <w:t xml:space="preserve"> 2020). Burkett </w:t>
      </w:r>
      <w:r>
        <w:rPr>
          <w:rFonts w:asciiTheme="majorHAnsi" w:eastAsia="Times New Roman" w:hAnsiTheme="majorHAnsi" w:cstheme="majorHAnsi"/>
          <w:sz w:val="22"/>
          <w:szCs w:val="22"/>
          <w:lang w:eastAsia="en-GB"/>
        </w:rPr>
        <w:t xml:space="preserve">(2013) </w:t>
      </w:r>
      <w:r w:rsidRPr="0006753C">
        <w:rPr>
          <w:rFonts w:asciiTheme="majorHAnsi" w:eastAsia="Times New Roman" w:hAnsiTheme="majorHAnsi" w:cstheme="majorHAnsi"/>
          <w:sz w:val="22"/>
          <w:szCs w:val="22"/>
          <w:lang w:eastAsia="en-GB"/>
        </w:rPr>
        <w:t xml:space="preserve">highlights the importance of a positive environment for students to not fear mistakes and are confident to take risks, the differentiated classroom encourages sharing and questioning with the knowledge that they will not be judged or punished for their answers. </w:t>
      </w:r>
    </w:p>
    <w:p w14:paraId="44FCF68A" w14:textId="77777777" w:rsidR="00D56E8F" w:rsidRPr="000D33E7" w:rsidRDefault="00D56E8F" w:rsidP="00D56E8F">
      <w:pPr>
        <w:jc w:val="left"/>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Haelermans</w:t>
      </w:r>
      <w:r w:rsidR="001D61EE">
        <w:rPr>
          <w:rFonts w:asciiTheme="majorHAnsi" w:eastAsia="Times New Roman" w:hAnsiTheme="majorHAnsi" w:cstheme="majorHAnsi"/>
          <w:sz w:val="22"/>
          <w:szCs w:val="22"/>
          <w:lang w:eastAsia="en-GB"/>
        </w:rPr>
        <w:t>, Ghysels and Prince</w:t>
      </w:r>
      <w:r w:rsidRPr="0006753C">
        <w:rPr>
          <w:rFonts w:asciiTheme="majorHAnsi" w:eastAsia="Times New Roman" w:hAnsiTheme="majorHAnsi" w:cstheme="majorHAnsi"/>
          <w:sz w:val="22"/>
          <w:szCs w:val="22"/>
          <w:lang w:eastAsia="en-GB"/>
        </w:rPr>
        <w:t xml:space="preserve"> (2015) conducted experiments to observe how differentiation affected learning in a classroom, they found that with digital learning and regular tests learning tends to improve overtime. However, it is worth noting the limitations of this w</w:t>
      </w:r>
      <w:r w:rsidRPr="000D33E7">
        <w:rPr>
          <w:rFonts w:asciiTheme="majorHAnsi" w:eastAsia="Times New Roman" w:hAnsiTheme="majorHAnsi" w:cstheme="majorHAnsi"/>
          <w:sz w:val="22"/>
          <w:szCs w:val="22"/>
          <w:lang w:eastAsia="en-GB"/>
        </w:rPr>
        <w:t>hich were the costs of providing laptops/iPad to all students and the assumption that the teacher has good enough digital literacy to be able to teach to students (</w:t>
      </w:r>
      <w:r w:rsidR="001D61EE" w:rsidRPr="0006753C">
        <w:rPr>
          <w:rFonts w:asciiTheme="majorHAnsi" w:eastAsia="Times New Roman" w:hAnsiTheme="majorHAnsi" w:cstheme="majorHAnsi"/>
          <w:sz w:val="22"/>
          <w:szCs w:val="22"/>
          <w:lang w:eastAsia="en-GB"/>
        </w:rPr>
        <w:t>Haelermans</w:t>
      </w:r>
      <w:r w:rsidR="001D61EE">
        <w:rPr>
          <w:rFonts w:asciiTheme="majorHAnsi" w:eastAsia="Times New Roman" w:hAnsiTheme="majorHAnsi" w:cstheme="majorHAnsi"/>
          <w:sz w:val="22"/>
          <w:szCs w:val="22"/>
          <w:lang w:eastAsia="en-GB"/>
        </w:rPr>
        <w:t>, Ghysels and Prince</w:t>
      </w:r>
      <w:r w:rsidR="00135F35">
        <w:rPr>
          <w:rFonts w:asciiTheme="majorHAnsi" w:eastAsia="Times New Roman" w:hAnsiTheme="majorHAnsi" w:cstheme="majorHAnsi"/>
          <w:sz w:val="22"/>
          <w:szCs w:val="22"/>
          <w:lang w:eastAsia="en-GB"/>
        </w:rPr>
        <w:t>,</w:t>
      </w:r>
      <w:r w:rsidRPr="000D33E7">
        <w:rPr>
          <w:rFonts w:asciiTheme="majorHAnsi" w:eastAsia="Times New Roman" w:hAnsiTheme="majorHAnsi" w:cstheme="majorHAnsi"/>
          <w:sz w:val="22"/>
          <w:szCs w:val="22"/>
          <w:lang w:eastAsia="en-GB"/>
        </w:rPr>
        <w:t xml:space="preserve"> 2015).</w:t>
      </w:r>
    </w:p>
    <w:p w14:paraId="378AE779" w14:textId="77777777" w:rsidR="00D56E8F" w:rsidRPr="000D33E7" w:rsidRDefault="00D56E8F" w:rsidP="00D56E8F">
      <w:pPr>
        <w:jc w:val="center"/>
        <w:rPr>
          <w:rFonts w:asciiTheme="majorHAnsi" w:eastAsia="Times New Roman" w:hAnsiTheme="majorHAnsi" w:cstheme="majorHAnsi"/>
          <w:b/>
          <w:bCs/>
          <w:sz w:val="22"/>
          <w:szCs w:val="22"/>
          <w:u w:val="single"/>
          <w:lang w:eastAsia="en-GB"/>
        </w:rPr>
      </w:pPr>
      <w:r w:rsidRPr="000D33E7">
        <w:rPr>
          <w:rFonts w:asciiTheme="majorHAnsi" w:eastAsia="Times New Roman" w:hAnsiTheme="majorHAnsi" w:cstheme="majorHAnsi"/>
          <w:b/>
          <w:bCs/>
          <w:sz w:val="22"/>
          <w:szCs w:val="22"/>
          <w:u w:val="single"/>
          <w:lang w:eastAsia="en-GB"/>
        </w:rPr>
        <w:t>Case study</w:t>
      </w:r>
    </w:p>
    <w:p w14:paraId="66DED08A" w14:textId="77777777" w:rsidR="008A0AB2" w:rsidRDefault="000D33E7" w:rsidP="000D33E7">
      <w:pPr>
        <w:rPr>
          <w:rFonts w:asciiTheme="majorHAnsi" w:eastAsia="Times New Roman" w:hAnsiTheme="majorHAnsi" w:cstheme="majorHAnsi"/>
          <w:sz w:val="22"/>
          <w:szCs w:val="22"/>
          <w:lang w:eastAsia="en-GB"/>
        </w:rPr>
      </w:pPr>
      <w:r w:rsidRPr="000D33E7">
        <w:rPr>
          <w:rFonts w:asciiTheme="majorHAnsi" w:eastAsia="Times New Roman" w:hAnsiTheme="majorHAnsi" w:cstheme="majorHAnsi"/>
          <w:sz w:val="22"/>
          <w:szCs w:val="22"/>
          <w:lang w:eastAsia="en-GB"/>
        </w:rPr>
        <w:t xml:space="preserve">The lesson took place after lunch on a Friday. Pupils were required to stand outside the classroom and were invited in by the teacher. There were about 20 students in total with an event split of boys and girls. The starter activity was on the board as students entered the classroom and the children seemed to know that they were expected to work on the starter as soon as they came into class. Even so, the children seemed distracted and hyper which was probably because it was the last lesson of the day and after lunch time. Eventually they settled down and worked on the starter. The starter was marked using </w:t>
      </w:r>
      <w:r w:rsidRPr="000D33E7">
        <w:rPr>
          <w:rFonts w:asciiTheme="majorHAnsi" w:eastAsia="Times New Roman" w:hAnsiTheme="majorHAnsi" w:cstheme="majorHAnsi"/>
          <w:sz w:val="22"/>
          <w:szCs w:val="22"/>
          <w:lang w:eastAsia="en-GB"/>
        </w:rPr>
        <w:lastRenderedPageBreak/>
        <w:t xml:space="preserve">mini whiteboards to check for understanding. The learning intention was displayed on the board and students were required to write it in their book along with the date and title. </w:t>
      </w:r>
    </w:p>
    <w:p w14:paraId="0CF33832" w14:textId="77777777" w:rsidR="008A0AB2" w:rsidRDefault="000D33E7" w:rsidP="000D33E7">
      <w:pPr>
        <w:rPr>
          <w:rFonts w:asciiTheme="majorHAnsi" w:eastAsia="Times New Roman" w:hAnsiTheme="majorHAnsi" w:cstheme="majorHAnsi"/>
          <w:sz w:val="22"/>
          <w:szCs w:val="22"/>
          <w:lang w:eastAsia="en-GB"/>
        </w:rPr>
      </w:pPr>
      <w:r w:rsidRPr="000D33E7">
        <w:rPr>
          <w:rFonts w:asciiTheme="majorHAnsi" w:eastAsia="Times New Roman" w:hAnsiTheme="majorHAnsi" w:cstheme="majorHAnsi"/>
          <w:sz w:val="22"/>
          <w:szCs w:val="22"/>
          <w:lang w:eastAsia="en-GB"/>
        </w:rPr>
        <w:t xml:space="preserve">I noticed </w:t>
      </w:r>
      <w:r w:rsidR="008A0AB2">
        <w:rPr>
          <w:rFonts w:asciiTheme="majorHAnsi" w:eastAsia="Times New Roman" w:hAnsiTheme="majorHAnsi" w:cstheme="majorHAnsi"/>
          <w:sz w:val="22"/>
          <w:szCs w:val="22"/>
          <w:lang w:eastAsia="en-GB"/>
        </w:rPr>
        <w:t>C</w:t>
      </w:r>
      <w:r w:rsidRPr="000D33E7">
        <w:rPr>
          <w:rFonts w:asciiTheme="majorHAnsi" w:eastAsia="Times New Roman" w:hAnsiTheme="majorHAnsi" w:cstheme="majorHAnsi"/>
          <w:sz w:val="22"/>
          <w:szCs w:val="22"/>
          <w:lang w:eastAsia="en-GB"/>
        </w:rPr>
        <w:t xml:space="preserve">hild A hadn’t even got his pencil case out and was constantly glancing over at his friend on the other side of the classroom and pulling faces at each other. Child A’s friend finally became more focussed when the teacher started explaining the content of the lesson however Child A was still disengaged. All throughout the explanation Child A was swinging on his chair, playing with the chair next to him and biting the end of his pen. The teacher starts working through an example on the board and asks for hands up to answer questions related to the example. Child A immediately put up their hand to answer questions. When picked on for an answer they got it correct. </w:t>
      </w:r>
    </w:p>
    <w:p w14:paraId="69BF8584" w14:textId="77777777" w:rsidR="008A0AB2" w:rsidRDefault="000D33E7" w:rsidP="000D33E7">
      <w:pPr>
        <w:rPr>
          <w:rFonts w:asciiTheme="majorHAnsi" w:eastAsia="Times New Roman" w:hAnsiTheme="majorHAnsi" w:cstheme="majorHAnsi"/>
          <w:sz w:val="22"/>
          <w:szCs w:val="22"/>
          <w:lang w:eastAsia="en-GB"/>
        </w:rPr>
      </w:pPr>
      <w:r w:rsidRPr="000D33E7">
        <w:rPr>
          <w:rFonts w:asciiTheme="majorHAnsi" w:eastAsia="Times New Roman" w:hAnsiTheme="majorHAnsi" w:cstheme="majorHAnsi"/>
          <w:sz w:val="22"/>
          <w:szCs w:val="22"/>
          <w:lang w:eastAsia="en-GB"/>
        </w:rPr>
        <w:t>Once the teacher started asking questions to the class Child A seemed more engaged but still swinging on his chair and fiddling with his pen. The lesson moved on to the main activity which was individual study on a sheet of questions handed out by the teacher. The transition from worked examples to the main activity was managed effectively with minimal disruption to the class. The classroom was relatively quiet while this was going on as it was an individual task opposed to a group or pair discussion. I noticed that Child A seemed much more engaged at this point in the lesson and finished a lot quicker than everyone else. However, after he had finished his worksheet</w:t>
      </w:r>
      <w:r w:rsidR="008A0AB2">
        <w:rPr>
          <w:rFonts w:asciiTheme="majorHAnsi" w:eastAsia="Times New Roman" w:hAnsiTheme="majorHAnsi" w:cstheme="majorHAnsi"/>
          <w:sz w:val="22"/>
          <w:szCs w:val="22"/>
          <w:lang w:eastAsia="en-GB"/>
        </w:rPr>
        <w:t>,</w:t>
      </w:r>
      <w:r w:rsidRPr="000D33E7">
        <w:rPr>
          <w:rFonts w:asciiTheme="majorHAnsi" w:eastAsia="Times New Roman" w:hAnsiTheme="majorHAnsi" w:cstheme="majorHAnsi"/>
          <w:sz w:val="22"/>
          <w:szCs w:val="22"/>
          <w:lang w:eastAsia="en-GB"/>
        </w:rPr>
        <w:t xml:space="preserve"> he started messing around again and distracting other children in the class. The teacher noticed this and gave </w:t>
      </w:r>
      <w:r w:rsidR="008A0AB2">
        <w:rPr>
          <w:rFonts w:asciiTheme="majorHAnsi" w:eastAsia="Times New Roman" w:hAnsiTheme="majorHAnsi" w:cstheme="majorHAnsi"/>
          <w:sz w:val="22"/>
          <w:szCs w:val="22"/>
          <w:lang w:eastAsia="en-GB"/>
        </w:rPr>
        <w:t>C</w:t>
      </w:r>
      <w:r w:rsidRPr="000D33E7">
        <w:rPr>
          <w:rFonts w:asciiTheme="majorHAnsi" w:eastAsia="Times New Roman" w:hAnsiTheme="majorHAnsi" w:cstheme="majorHAnsi"/>
          <w:sz w:val="22"/>
          <w:szCs w:val="22"/>
          <w:lang w:eastAsia="en-GB"/>
        </w:rPr>
        <w:t xml:space="preserve">hild A an extension task to complete, along with a few other children who had finished early. Once the extension task was finished, the teacher asked the students to swap sheets and mark each other’s work. </w:t>
      </w:r>
    </w:p>
    <w:p w14:paraId="7372115C" w14:textId="77777777" w:rsidR="000D33E7" w:rsidRPr="000D33E7" w:rsidRDefault="000D33E7" w:rsidP="000D33E7">
      <w:pPr>
        <w:rPr>
          <w:rFonts w:asciiTheme="majorHAnsi" w:eastAsia="Times New Roman" w:hAnsiTheme="majorHAnsi" w:cstheme="majorHAnsi"/>
          <w:sz w:val="22"/>
          <w:szCs w:val="22"/>
          <w:lang w:eastAsia="en-GB"/>
        </w:rPr>
      </w:pPr>
      <w:r w:rsidRPr="000D33E7">
        <w:rPr>
          <w:rFonts w:asciiTheme="majorHAnsi" w:eastAsia="Times New Roman" w:hAnsiTheme="majorHAnsi" w:cstheme="majorHAnsi"/>
          <w:sz w:val="22"/>
          <w:szCs w:val="22"/>
          <w:lang w:eastAsia="en-GB"/>
        </w:rPr>
        <w:t>The teacher put a success criteri</w:t>
      </w:r>
      <w:r w:rsidR="008A0AB2">
        <w:rPr>
          <w:rFonts w:asciiTheme="majorHAnsi" w:eastAsia="Times New Roman" w:hAnsiTheme="majorHAnsi" w:cstheme="majorHAnsi"/>
          <w:sz w:val="22"/>
          <w:szCs w:val="22"/>
          <w:lang w:eastAsia="en-GB"/>
        </w:rPr>
        <w:t>on</w:t>
      </w:r>
      <w:r w:rsidRPr="000D33E7">
        <w:rPr>
          <w:rFonts w:asciiTheme="majorHAnsi" w:eastAsia="Times New Roman" w:hAnsiTheme="majorHAnsi" w:cstheme="majorHAnsi"/>
          <w:sz w:val="22"/>
          <w:szCs w:val="22"/>
          <w:lang w:eastAsia="en-GB"/>
        </w:rPr>
        <w:t xml:space="preserve"> on the board and called out the answers to the questions. Once all the questions had been marked</w:t>
      </w:r>
      <w:r w:rsidR="008A0AB2">
        <w:rPr>
          <w:rFonts w:asciiTheme="majorHAnsi" w:eastAsia="Times New Roman" w:hAnsiTheme="majorHAnsi" w:cstheme="majorHAnsi"/>
          <w:sz w:val="22"/>
          <w:szCs w:val="22"/>
          <w:lang w:eastAsia="en-GB"/>
        </w:rPr>
        <w:t>,</w:t>
      </w:r>
      <w:r w:rsidRPr="000D33E7">
        <w:rPr>
          <w:rFonts w:asciiTheme="majorHAnsi" w:eastAsia="Times New Roman" w:hAnsiTheme="majorHAnsi" w:cstheme="majorHAnsi"/>
          <w:sz w:val="22"/>
          <w:szCs w:val="22"/>
          <w:lang w:eastAsia="en-GB"/>
        </w:rPr>
        <w:t xml:space="preserve"> she asked the students to grade each other out of the total marks and then pass the sheets back to the pupil it belongs to.  To check for understanding the teacher asked students to put their hands up if they got a mark between certain numbers, this showed any students who had perhaps struggled with the task. The extension sheet was glued into the pupils book and the teacher said she would mark them herself. As this lesson was the last of the week, the pupils were clearly excited to go home, they were talking about what they would get up to on the weekend. For the </w:t>
      </w:r>
      <w:r>
        <w:rPr>
          <w:rFonts w:asciiTheme="majorHAnsi" w:eastAsia="Times New Roman" w:hAnsiTheme="majorHAnsi" w:cstheme="majorHAnsi"/>
          <w:sz w:val="22"/>
          <w:szCs w:val="22"/>
          <w:lang w:eastAsia="en-GB"/>
        </w:rPr>
        <w:t>plenary</w:t>
      </w:r>
      <w:r w:rsidRPr="000D33E7">
        <w:rPr>
          <w:rFonts w:asciiTheme="majorHAnsi" w:eastAsia="Times New Roman" w:hAnsiTheme="majorHAnsi" w:cstheme="majorHAnsi"/>
          <w:sz w:val="22"/>
          <w:szCs w:val="22"/>
          <w:lang w:eastAsia="en-GB"/>
        </w:rPr>
        <w:t xml:space="preserve"> of the lesson, the teacher asked random students the answer to questions relating to the topic they had learned in the day, and if the student got the question correct then the student could stand behind their chair ready for the bell. This was a fun was to end the lesson. </w:t>
      </w:r>
    </w:p>
    <w:p w14:paraId="7A10F2A6" w14:textId="77777777" w:rsidR="008A0AB2" w:rsidRDefault="00986994" w:rsidP="00986994">
      <w:pPr>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Child A who was seemingly not engaged in the lesson at first had in fact understood the work, which begs the question, why was the child so distracted at the start of the lesson? From the literature described above, it could have been linked to the absence of differentiation for the pupils in the starter task. This could have resulted in the pupil becoming bored with the lesson and then engaging in low level behaviour.</w:t>
      </w:r>
      <w:r w:rsidRPr="006D148F">
        <w:rPr>
          <w:rFonts w:asciiTheme="majorHAnsi" w:eastAsia="Times New Roman" w:hAnsiTheme="majorHAnsi" w:cstheme="majorHAnsi"/>
          <w:sz w:val="22"/>
          <w:szCs w:val="22"/>
          <w:lang w:eastAsia="en-GB"/>
        </w:rPr>
        <w:t xml:space="preserve"> </w:t>
      </w:r>
    </w:p>
    <w:p w14:paraId="7739D0CC" w14:textId="77777777" w:rsidR="008A0AB2" w:rsidRDefault="00986994" w:rsidP="00986994">
      <w:pPr>
        <w:rPr>
          <w:rFonts w:asciiTheme="majorHAnsi" w:eastAsia="Times New Roman" w:hAnsiTheme="majorHAnsi" w:cstheme="majorHAnsi"/>
          <w:sz w:val="22"/>
          <w:szCs w:val="22"/>
          <w:lang w:eastAsia="en-GB"/>
        </w:rPr>
      </w:pPr>
      <w:r w:rsidRPr="006D148F">
        <w:rPr>
          <w:rFonts w:asciiTheme="majorHAnsi" w:eastAsia="Times New Roman" w:hAnsiTheme="majorHAnsi" w:cstheme="majorHAnsi"/>
          <w:sz w:val="22"/>
          <w:szCs w:val="22"/>
          <w:lang w:eastAsia="en-GB"/>
        </w:rPr>
        <w:t>Pawlak</w:t>
      </w:r>
      <w:r w:rsidR="001D61EE">
        <w:rPr>
          <w:rFonts w:asciiTheme="majorHAnsi" w:eastAsia="Times New Roman" w:hAnsiTheme="majorHAnsi" w:cstheme="majorHAnsi"/>
          <w:sz w:val="22"/>
          <w:szCs w:val="22"/>
          <w:lang w:eastAsia="en-GB"/>
        </w:rPr>
        <w:t>, Kruk and Zawdoniak</w:t>
      </w:r>
      <w:r w:rsidRPr="006D148F">
        <w:rPr>
          <w:rFonts w:asciiTheme="majorHAnsi" w:eastAsia="Times New Roman" w:hAnsiTheme="majorHAnsi" w:cstheme="majorHAnsi"/>
          <w:sz w:val="22"/>
          <w:szCs w:val="22"/>
          <w:lang w:eastAsia="en-GB"/>
        </w:rPr>
        <w:t xml:space="preserve"> (202</w:t>
      </w:r>
      <w:r w:rsidR="001D61EE">
        <w:rPr>
          <w:rFonts w:asciiTheme="majorHAnsi" w:eastAsia="Times New Roman" w:hAnsiTheme="majorHAnsi" w:cstheme="majorHAnsi"/>
          <w:sz w:val="22"/>
          <w:szCs w:val="22"/>
          <w:lang w:eastAsia="en-GB"/>
        </w:rPr>
        <w:t>2</w:t>
      </w:r>
      <w:r w:rsidRPr="006D148F">
        <w:rPr>
          <w:rFonts w:asciiTheme="majorHAnsi" w:eastAsia="Times New Roman" w:hAnsiTheme="majorHAnsi" w:cstheme="majorHAnsi"/>
          <w:sz w:val="22"/>
          <w:szCs w:val="22"/>
          <w:lang w:eastAsia="en-GB"/>
        </w:rPr>
        <w:t xml:space="preserve">) say that </w:t>
      </w:r>
      <w:r>
        <w:rPr>
          <w:rFonts w:asciiTheme="majorHAnsi" w:eastAsia="Times New Roman" w:hAnsiTheme="majorHAnsi" w:cstheme="majorHAnsi"/>
          <w:sz w:val="22"/>
          <w:szCs w:val="22"/>
          <w:lang w:eastAsia="en-GB"/>
        </w:rPr>
        <w:t xml:space="preserve">children become </w:t>
      </w:r>
      <w:r w:rsidRPr="006D148F">
        <w:rPr>
          <w:rFonts w:asciiTheme="majorHAnsi" w:eastAsia="Times New Roman" w:hAnsiTheme="majorHAnsi" w:cstheme="majorHAnsi"/>
          <w:sz w:val="22"/>
          <w:szCs w:val="22"/>
          <w:lang w:eastAsia="en-GB"/>
        </w:rPr>
        <w:t xml:space="preserve">bored </w:t>
      </w:r>
      <w:r>
        <w:rPr>
          <w:rFonts w:asciiTheme="majorHAnsi" w:eastAsia="Times New Roman" w:hAnsiTheme="majorHAnsi" w:cstheme="majorHAnsi"/>
          <w:sz w:val="22"/>
          <w:szCs w:val="22"/>
          <w:lang w:eastAsia="en-GB"/>
        </w:rPr>
        <w:t xml:space="preserve">when faced with </w:t>
      </w:r>
      <w:r w:rsidRPr="006D148F">
        <w:rPr>
          <w:rFonts w:asciiTheme="majorHAnsi" w:eastAsia="Times New Roman" w:hAnsiTheme="majorHAnsi" w:cstheme="majorHAnsi"/>
          <w:sz w:val="22"/>
          <w:szCs w:val="22"/>
          <w:lang w:eastAsia="en-GB"/>
        </w:rPr>
        <w:t>either under-challenging or over-challenging work</w:t>
      </w:r>
      <w:r w:rsidRPr="0006753C">
        <w:rPr>
          <w:rFonts w:asciiTheme="majorHAnsi" w:eastAsia="Times New Roman" w:hAnsiTheme="majorHAnsi" w:cstheme="majorHAnsi"/>
          <w:sz w:val="22"/>
          <w:szCs w:val="22"/>
          <w:lang w:eastAsia="en-GB"/>
        </w:rPr>
        <w:t xml:space="preserve"> Mesta</w:t>
      </w:r>
      <w:r w:rsidR="001D61EE">
        <w:rPr>
          <w:rFonts w:asciiTheme="majorHAnsi" w:eastAsia="Times New Roman" w:hAnsiTheme="majorHAnsi" w:cstheme="majorHAnsi"/>
          <w:sz w:val="22"/>
          <w:szCs w:val="22"/>
          <w:lang w:eastAsia="en-GB"/>
        </w:rPr>
        <w:t>d</w:t>
      </w:r>
      <w:r w:rsidRPr="0006753C">
        <w:rPr>
          <w:rFonts w:asciiTheme="majorHAnsi" w:eastAsia="Times New Roman" w:hAnsiTheme="majorHAnsi" w:cstheme="majorHAnsi"/>
          <w:sz w:val="22"/>
          <w:szCs w:val="22"/>
          <w:lang w:eastAsia="en-GB"/>
        </w:rPr>
        <w:t xml:space="preserve"> and </w:t>
      </w:r>
      <w:r w:rsidR="008A0AB2">
        <w:rPr>
          <w:rFonts w:asciiTheme="majorHAnsi" w:eastAsia="Times New Roman" w:hAnsiTheme="majorHAnsi" w:cstheme="majorHAnsi"/>
          <w:sz w:val="22"/>
          <w:szCs w:val="22"/>
          <w:lang w:eastAsia="en-GB"/>
        </w:rPr>
        <w:t>K</w:t>
      </w:r>
      <w:r w:rsidRPr="0006753C">
        <w:rPr>
          <w:rFonts w:asciiTheme="majorHAnsi" w:eastAsia="Times New Roman" w:hAnsiTheme="majorHAnsi" w:cstheme="majorHAnsi"/>
          <w:sz w:val="22"/>
          <w:szCs w:val="22"/>
          <w:lang w:eastAsia="en-GB"/>
        </w:rPr>
        <w:t>olosto (201</w:t>
      </w:r>
      <w:r w:rsidR="001D61EE">
        <w:rPr>
          <w:rFonts w:asciiTheme="majorHAnsi" w:eastAsia="Times New Roman" w:hAnsiTheme="majorHAnsi" w:cstheme="majorHAnsi"/>
          <w:sz w:val="22"/>
          <w:szCs w:val="22"/>
          <w:lang w:eastAsia="en-GB"/>
        </w:rPr>
        <w:t>4</w:t>
      </w:r>
      <w:r w:rsidRPr="0006753C">
        <w:rPr>
          <w:rFonts w:asciiTheme="majorHAnsi" w:eastAsia="Times New Roman" w:hAnsiTheme="majorHAnsi" w:cstheme="majorHAnsi"/>
          <w:sz w:val="22"/>
          <w:szCs w:val="22"/>
          <w:lang w:eastAsia="en-GB"/>
        </w:rPr>
        <w:t xml:space="preserve">) mentioned that teachers often do not have the time or the facilities to be able to differentiate tasks for every learner, therefore the ZPD is often not met for a lot of students. </w:t>
      </w:r>
      <w:r>
        <w:rPr>
          <w:rFonts w:asciiTheme="majorHAnsi" w:eastAsia="Times New Roman" w:hAnsiTheme="majorHAnsi" w:cstheme="majorHAnsi"/>
          <w:sz w:val="22"/>
          <w:szCs w:val="22"/>
          <w:lang w:eastAsia="en-GB"/>
        </w:rPr>
        <w:t xml:space="preserve">This becomes problematic as the workload on teachers is already huge and then to add this on top seems to be impossible. </w:t>
      </w:r>
    </w:p>
    <w:p w14:paraId="000C241D" w14:textId="77777777" w:rsidR="008A0AB2" w:rsidRDefault="00986994" w:rsidP="00986994">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Child A was also seen to be distracted by his friend who was sat directly across from him, he was seen to be pulling faces and sticking his tongue out. This low</w:t>
      </w:r>
      <w:r w:rsidR="008A0AB2">
        <w:rPr>
          <w:rFonts w:asciiTheme="majorHAnsi" w:eastAsia="Times New Roman" w:hAnsiTheme="majorHAnsi" w:cstheme="majorHAnsi"/>
          <w:sz w:val="22"/>
          <w:szCs w:val="22"/>
          <w:lang w:eastAsia="en-GB"/>
        </w:rPr>
        <w:t>-</w:t>
      </w:r>
      <w:r>
        <w:rPr>
          <w:rFonts w:asciiTheme="majorHAnsi" w:eastAsia="Times New Roman" w:hAnsiTheme="majorHAnsi" w:cstheme="majorHAnsi"/>
          <w:sz w:val="22"/>
          <w:szCs w:val="22"/>
          <w:lang w:eastAsia="en-GB"/>
        </w:rPr>
        <w:t xml:space="preserve">level behaviour could well be to do with the </w:t>
      </w:r>
      <w:r>
        <w:rPr>
          <w:rFonts w:asciiTheme="majorHAnsi" w:eastAsia="Times New Roman" w:hAnsiTheme="majorHAnsi" w:cstheme="majorHAnsi"/>
          <w:sz w:val="22"/>
          <w:szCs w:val="22"/>
          <w:lang w:eastAsia="en-GB"/>
        </w:rPr>
        <w:lastRenderedPageBreak/>
        <w:t xml:space="preserve">timing of the lesson. It was the last lesson of the day and therefore the lesson after lunch. The students could have been quite excited for the end of the day and over energised after lunch. </w:t>
      </w:r>
    </w:p>
    <w:p w14:paraId="6CD225B4" w14:textId="77777777" w:rsidR="008A0AB2" w:rsidRDefault="00986994" w:rsidP="00986994">
      <w:pPr>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 xml:space="preserve">During the main task, the teacher had provided </w:t>
      </w:r>
      <w:r w:rsidR="008A0AB2">
        <w:rPr>
          <w:rFonts w:asciiTheme="majorHAnsi" w:eastAsia="Times New Roman" w:hAnsiTheme="majorHAnsi" w:cstheme="majorHAnsi"/>
          <w:sz w:val="22"/>
          <w:szCs w:val="22"/>
          <w:lang w:eastAsia="en-GB"/>
        </w:rPr>
        <w:t>C</w:t>
      </w:r>
      <w:r w:rsidRPr="0006753C">
        <w:rPr>
          <w:rFonts w:asciiTheme="majorHAnsi" w:eastAsia="Times New Roman" w:hAnsiTheme="majorHAnsi" w:cstheme="majorHAnsi"/>
          <w:sz w:val="22"/>
          <w:szCs w:val="22"/>
          <w:lang w:eastAsia="en-GB"/>
        </w:rPr>
        <w:t xml:space="preserve">hild A with an extension task once they had finished their main worksheet which makes me think the teacher </w:t>
      </w:r>
      <w:r w:rsidR="008A0AB2">
        <w:rPr>
          <w:rFonts w:asciiTheme="majorHAnsi" w:eastAsia="Times New Roman" w:hAnsiTheme="majorHAnsi" w:cstheme="majorHAnsi"/>
          <w:sz w:val="22"/>
          <w:szCs w:val="22"/>
          <w:lang w:eastAsia="en-GB"/>
        </w:rPr>
        <w:tab/>
        <w:t>understands</w:t>
      </w:r>
      <w:r w:rsidRPr="0006753C">
        <w:rPr>
          <w:rFonts w:asciiTheme="majorHAnsi" w:eastAsia="Times New Roman" w:hAnsiTheme="majorHAnsi" w:cstheme="majorHAnsi"/>
          <w:sz w:val="22"/>
          <w:szCs w:val="22"/>
          <w:lang w:eastAsia="en-GB"/>
        </w:rPr>
        <w:t xml:space="preserve"> </w:t>
      </w:r>
      <w:r w:rsidR="008A0AB2">
        <w:rPr>
          <w:rFonts w:asciiTheme="majorHAnsi" w:eastAsia="Times New Roman" w:hAnsiTheme="majorHAnsi" w:cstheme="majorHAnsi"/>
          <w:sz w:val="22"/>
          <w:szCs w:val="22"/>
          <w:lang w:eastAsia="en-GB"/>
        </w:rPr>
        <w:t>C</w:t>
      </w:r>
      <w:r w:rsidRPr="0006753C">
        <w:rPr>
          <w:rFonts w:asciiTheme="majorHAnsi" w:eastAsia="Times New Roman" w:hAnsiTheme="majorHAnsi" w:cstheme="majorHAnsi"/>
          <w:sz w:val="22"/>
          <w:szCs w:val="22"/>
          <w:lang w:eastAsia="en-GB"/>
        </w:rPr>
        <w:t xml:space="preserve">hild A needs a little more work to push themselves. </w:t>
      </w:r>
    </w:p>
    <w:p w14:paraId="54FD5AEF" w14:textId="77777777" w:rsidR="008A0AB2" w:rsidRDefault="00986994" w:rsidP="00986994">
      <w:pPr>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As explained in the literature above, boredom has definite negative connotations. Nakamura</w:t>
      </w:r>
      <w:r w:rsidR="001D61EE">
        <w:rPr>
          <w:rFonts w:asciiTheme="majorHAnsi" w:eastAsia="Times New Roman" w:hAnsiTheme="majorHAnsi" w:cstheme="majorHAnsi"/>
          <w:sz w:val="22"/>
          <w:szCs w:val="22"/>
          <w:lang w:eastAsia="en-GB"/>
        </w:rPr>
        <w:t>, Darasawang and Reinders</w:t>
      </w:r>
      <w:r w:rsidRPr="0006753C">
        <w:rPr>
          <w:rFonts w:asciiTheme="majorHAnsi" w:eastAsia="Times New Roman" w:hAnsiTheme="majorHAnsi" w:cstheme="majorHAnsi"/>
          <w:sz w:val="22"/>
          <w:szCs w:val="22"/>
          <w:lang w:eastAsia="en-GB"/>
        </w:rPr>
        <w:t xml:space="preserve"> (2021) confirm this idea saying that negative behaviour and psychology is closely linked to boredom which can decrease performance, motivation and engagement. This links to the critical incident being explored as </w:t>
      </w:r>
      <w:r w:rsidR="001D61EE">
        <w:rPr>
          <w:rFonts w:asciiTheme="majorHAnsi" w:eastAsia="Times New Roman" w:hAnsiTheme="majorHAnsi" w:cstheme="majorHAnsi"/>
          <w:sz w:val="22"/>
          <w:szCs w:val="22"/>
          <w:lang w:eastAsia="en-GB"/>
        </w:rPr>
        <w:t>C</w:t>
      </w:r>
      <w:r w:rsidRPr="0006753C">
        <w:rPr>
          <w:rFonts w:asciiTheme="majorHAnsi" w:eastAsia="Times New Roman" w:hAnsiTheme="majorHAnsi" w:cstheme="majorHAnsi"/>
          <w:sz w:val="22"/>
          <w:szCs w:val="22"/>
          <w:lang w:eastAsia="en-GB"/>
        </w:rPr>
        <w:t xml:space="preserve">hild A seems to have lost motivation and engagement. However, Child A is still performing in class but maybe not to their full ability. </w:t>
      </w:r>
    </w:p>
    <w:p w14:paraId="169663B6" w14:textId="77777777" w:rsidR="00986994" w:rsidRDefault="00986994" w:rsidP="00986994">
      <w:pPr>
        <w:rPr>
          <w:rFonts w:asciiTheme="majorHAnsi" w:eastAsia="Times New Roman" w:hAnsiTheme="majorHAnsi" w:cstheme="majorHAnsi"/>
          <w:sz w:val="22"/>
          <w:szCs w:val="22"/>
          <w:lang w:eastAsia="en-GB"/>
        </w:rPr>
      </w:pPr>
      <w:r w:rsidRPr="0006753C">
        <w:rPr>
          <w:rFonts w:asciiTheme="majorHAnsi" w:eastAsia="Times New Roman" w:hAnsiTheme="majorHAnsi" w:cstheme="majorHAnsi"/>
          <w:sz w:val="22"/>
          <w:szCs w:val="22"/>
          <w:lang w:eastAsia="en-GB"/>
        </w:rPr>
        <w:t>Mann and Cadman (2014) argue</w:t>
      </w:r>
      <w:r w:rsidR="001D61EE">
        <w:rPr>
          <w:rFonts w:asciiTheme="majorHAnsi" w:eastAsia="Times New Roman" w:hAnsiTheme="majorHAnsi" w:cstheme="majorHAnsi"/>
          <w:sz w:val="22"/>
          <w:szCs w:val="22"/>
          <w:lang w:eastAsia="en-GB"/>
        </w:rPr>
        <w:t xml:space="preserve"> </w:t>
      </w:r>
      <w:r w:rsidRPr="0006753C">
        <w:rPr>
          <w:rFonts w:asciiTheme="majorHAnsi" w:eastAsia="Times New Roman" w:hAnsiTheme="majorHAnsi" w:cstheme="majorHAnsi"/>
          <w:sz w:val="22"/>
          <w:szCs w:val="22"/>
          <w:lang w:eastAsia="en-GB"/>
        </w:rPr>
        <w:t>that creativity is a product of boredom and that individuals who had been immersed in boring conditions, compared to those who hadn’t, appeared to be more creative after the conditions. This would be an interesting avenue for further research to involve a group of students</w:t>
      </w:r>
      <w:r w:rsidR="008A0AB2">
        <w:rPr>
          <w:rFonts w:asciiTheme="majorHAnsi" w:eastAsia="Times New Roman" w:hAnsiTheme="majorHAnsi" w:cstheme="majorHAnsi"/>
          <w:sz w:val="22"/>
          <w:szCs w:val="22"/>
          <w:lang w:eastAsia="en-GB"/>
        </w:rPr>
        <w:t xml:space="preserve"> perhaps purposefully</w:t>
      </w:r>
      <w:r w:rsidRPr="0006753C">
        <w:rPr>
          <w:rFonts w:asciiTheme="majorHAnsi" w:eastAsia="Times New Roman" w:hAnsiTheme="majorHAnsi" w:cstheme="majorHAnsi"/>
          <w:sz w:val="22"/>
          <w:szCs w:val="22"/>
          <w:lang w:eastAsia="en-GB"/>
        </w:rPr>
        <w:t xml:space="preserve"> in boring activities and a group of students in fun activities, then present them both with a creative task and see how each group responds to the task and the quality of work produced by each group. </w:t>
      </w:r>
    </w:p>
    <w:p w14:paraId="227BEB46" w14:textId="77777777" w:rsidR="00135F35" w:rsidRDefault="00135F35" w:rsidP="00135F35">
      <w:pPr>
        <w:jc w:val="center"/>
        <w:rPr>
          <w:rFonts w:asciiTheme="majorHAnsi" w:eastAsia="Times New Roman" w:hAnsiTheme="majorHAnsi" w:cstheme="majorHAnsi"/>
          <w:b/>
          <w:bCs/>
          <w:sz w:val="22"/>
          <w:szCs w:val="22"/>
          <w:u w:val="single"/>
          <w:lang w:eastAsia="en-GB"/>
        </w:rPr>
      </w:pPr>
      <w:r w:rsidRPr="002A4DD4">
        <w:rPr>
          <w:rFonts w:asciiTheme="majorHAnsi" w:eastAsia="Times New Roman" w:hAnsiTheme="majorHAnsi" w:cstheme="majorHAnsi"/>
          <w:b/>
          <w:bCs/>
          <w:sz w:val="22"/>
          <w:szCs w:val="22"/>
          <w:u w:val="single"/>
          <w:lang w:eastAsia="en-GB"/>
        </w:rPr>
        <w:t>Teaching and learning methods</w:t>
      </w:r>
    </w:p>
    <w:p w14:paraId="06FDB214" w14:textId="77777777" w:rsidR="008A0AB2"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 xml:space="preserve">It seems clear from the critical incident that Child A is a MAT student who often finishes tasks early and perhaps finds maths easier to understand than others. While it is important to cater to students with ALN or those who don’t find school particularly easy, we also need to </w:t>
      </w:r>
      <w:r w:rsidR="008A0AB2">
        <w:rPr>
          <w:rFonts w:asciiTheme="majorHAnsi" w:eastAsia="Times New Roman" w:hAnsiTheme="majorHAnsi" w:cstheme="majorHAnsi"/>
          <w:sz w:val="22"/>
          <w:szCs w:val="22"/>
          <w:lang w:eastAsia="en-GB"/>
        </w:rPr>
        <w:t xml:space="preserve">consider </w:t>
      </w:r>
      <w:r>
        <w:rPr>
          <w:rFonts w:asciiTheme="majorHAnsi" w:eastAsia="Times New Roman" w:hAnsiTheme="majorHAnsi" w:cstheme="majorHAnsi"/>
          <w:sz w:val="22"/>
          <w:szCs w:val="22"/>
          <w:lang w:eastAsia="en-GB"/>
        </w:rPr>
        <w:t xml:space="preserve">those who are accelerating in school. </w:t>
      </w:r>
    </w:p>
    <w:p w14:paraId="4DA54DFB" w14:textId="77777777" w:rsidR="008A0AB2"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Child A was disengaged and creating low level behaviour because he was bored. In order to address this issue</w:t>
      </w:r>
      <w:r w:rsidR="008A0AB2">
        <w:rPr>
          <w:rFonts w:asciiTheme="majorHAnsi" w:eastAsia="Times New Roman" w:hAnsiTheme="majorHAnsi" w:cstheme="majorHAnsi"/>
          <w:sz w:val="22"/>
          <w:szCs w:val="22"/>
          <w:lang w:eastAsia="en-GB"/>
        </w:rPr>
        <w:t>,</w:t>
      </w:r>
      <w:r>
        <w:rPr>
          <w:rFonts w:asciiTheme="majorHAnsi" w:eastAsia="Times New Roman" w:hAnsiTheme="majorHAnsi" w:cstheme="majorHAnsi"/>
          <w:sz w:val="22"/>
          <w:szCs w:val="22"/>
          <w:lang w:eastAsia="en-GB"/>
        </w:rPr>
        <w:t xml:space="preserve"> I would ensure I was differentiating tasks for students to create more straightforward tasks for those who struggle, and more difficult tasks for those who are proficient. </w:t>
      </w:r>
    </w:p>
    <w:p w14:paraId="59AD702C" w14:textId="77777777" w:rsidR="008A0AB2" w:rsidRDefault="00135F35" w:rsidP="00135F35">
      <w:pPr>
        <w:rPr>
          <w:rFonts w:asciiTheme="majorHAnsi" w:eastAsia="Times New Roman" w:hAnsiTheme="majorHAnsi" w:cstheme="majorHAnsi"/>
          <w:color w:val="000000" w:themeColor="text1"/>
          <w:sz w:val="22"/>
          <w:szCs w:val="22"/>
          <w:lang w:eastAsia="en-GB"/>
        </w:rPr>
      </w:pPr>
      <w:r>
        <w:rPr>
          <w:rFonts w:asciiTheme="majorHAnsi" w:eastAsia="Times New Roman" w:hAnsiTheme="majorHAnsi" w:cstheme="majorHAnsi"/>
          <w:sz w:val="22"/>
          <w:szCs w:val="22"/>
          <w:lang w:eastAsia="en-GB"/>
        </w:rPr>
        <w:t>According to</w:t>
      </w:r>
      <w:r>
        <w:rPr>
          <w:rFonts w:asciiTheme="majorHAnsi" w:eastAsia="Times New Roman" w:hAnsiTheme="majorHAnsi" w:cstheme="majorHAnsi"/>
          <w:color w:val="000000" w:themeColor="text1"/>
          <w:sz w:val="22"/>
          <w:szCs w:val="22"/>
          <w:lang w:eastAsia="en-GB"/>
        </w:rPr>
        <w:t xml:space="preserve"> Tomlinson (2008), there are many ways teachers can differentiate tasks for example by using text at multiple reading levels, learning contracts, independent study and a diverse range of homework projects. </w:t>
      </w:r>
    </w:p>
    <w:p w14:paraId="6DB52797" w14:textId="77777777" w:rsidR="008A0AB2" w:rsidRDefault="00135F35" w:rsidP="00135F35">
      <w:pPr>
        <w:rPr>
          <w:rFonts w:asciiTheme="majorHAnsi" w:eastAsia="Times New Roman" w:hAnsiTheme="majorHAnsi" w:cstheme="majorHAnsi"/>
          <w:color w:val="000000" w:themeColor="text1"/>
          <w:sz w:val="22"/>
          <w:szCs w:val="22"/>
          <w:lang w:eastAsia="en-GB"/>
        </w:rPr>
      </w:pPr>
      <w:r>
        <w:rPr>
          <w:rFonts w:asciiTheme="majorHAnsi" w:eastAsia="Times New Roman" w:hAnsiTheme="majorHAnsi" w:cstheme="majorHAnsi"/>
          <w:color w:val="000000" w:themeColor="text1"/>
          <w:sz w:val="22"/>
          <w:szCs w:val="22"/>
          <w:lang w:eastAsia="en-GB"/>
        </w:rPr>
        <w:t xml:space="preserve">However, there are arguments that setting homework can cause the gap between students from lower socioeconomic backgrounds to higher socioeconomic backgrounds to increase. </w:t>
      </w:r>
    </w:p>
    <w:p w14:paraId="59BCC35D" w14:textId="77777777" w:rsidR="008A0AB2"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color w:val="000000" w:themeColor="text1"/>
          <w:sz w:val="22"/>
          <w:szCs w:val="22"/>
          <w:lang w:eastAsia="en-GB"/>
        </w:rPr>
        <w:t>Dettmers</w:t>
      </w:r>
      <w:r w:rsidR="001D61EE">
        <w:rPr>
          <w:rFonts w:asciiTheme="majorHAnsi" w:eastAsia="Times New Roman" w:hAnsiTheme="majorHAnsi" w:cstheme="majorHAnsi"/>
          <w:color w:val="000000" w:themeColor="text1"/>
          <w:sz w:val="22"/>
          <w:szCs w:val="22"/>
          <w:lang w:eastAsia="en-GB"/>
        </w:rPr>
        <w:t>, Trautwein and Ludtke</w:t>
      </w:r>
      <w:r>
        <w:rPr>
          <w:rFonts w:asciiTheme="majorHAnsi" w:eastAsia="Times New Roman" w:hAnsiTheme="majorHAnsi" w:cstheme="majorHAnsi"/>
          <w:color w:val="000000" w:themeColor="text1"/>
          <w:sz w:val="22"/>
          <w:szCs w:val="22"/>
          <w:lang w:eastAsia="en-GB"/>
        </w:rPr>
        <w:t xml:space="preserve"> (2009) say that schools that require assessments to attend (academically selective school) generally assign more homework than those less selective schools. </w:t>
      </w:r>
      <w:r>
        <w:rPr>
          <w:rFonts w:asciiTheme="majorHAnsi" w:eastAsia="Times New Roman" w:hAnsiTheme="majorHAnsi" w:cstheme="majorHAnsi"/>
          <w:color w:val="111111"/>
          <w:sz w:val="22"/>
          <w:szCs w:val="22"/>
          <w:lang w:eastAsia="en-GB"/>
        </w:rPr>
        <w:t xml:space="preserve">Some children are not supported well at home and therefore don’t complete homework or don’t complete it to a high standard. However, you have some children who will have extra tutoring and help from parents who are highly invested in their children’s </w:t>
      </w:r>
      <w:r w:rsidRPr="00135F35">
        <w:rPr>
          <w:rFonts w:asciiTheme="majorHAnsi" w:eastAsia="Times New Roman" w:hAnsiTheme="majorHAnsi" w:cstheme="majorHAnsi"/>
          <w:color w:val="111111"/>
          <w:sz w:val="22"/>
          <w:szCs w:val="22"/>
          <w:lang w:eastAsia="en-GB"/>
        </w:rPr>
        <w:t>education.</w:t>
      </w:r>
      <w:r w:rsidRPr="00135F35">
        <w:rPr>
          <w:rFonts w:asciiTheme="majorHAnsi" w:eastAsia="Times New Roman" w:hAnsiTheme="majorHAnsi" w:cstheme="majorHAnsi"/>
          <w:sz w:val="22"/>
          <w:szCs w:val="22"/>
          <w:lang w:eastAsia="en-GB"/>
        </w:rPr>
        <w:t xml:space="preserve"> </w:t>
      </w:r>
    </w:p>
    <w:p w14:paraId="399FBC33" w14:textId="77777777" w:rsidR="008A0AB2" w:rsidRDefault="00135F35" w:rsidP="00135F35">
      <w:pPr>
        <w:rPr>
          <w:rFonts w:asciiTheme="majorHAnsi" w:eastAsia="Times New Roman" w:hAnsiTheme="majorHAnsi" w:cstheme="majorHAnsi"/>
          <w:sz w:val="22"/>
          <w:szCs w:val="22"/>
          <w:lang w:eastAsia="en-GB"/>
        </w:rPr>
      </w:pPr>
      <w:r w:rsidRPr="00135F35">
        <w:rPr>
          <w:rFonts w:asciiTheme="majorHAnsi" w:eastAsia="Times New Roman" w:hAnsiTheme="majorHAnsi" w:cstheme="majorHAnsi"/>
          <w:sz w:val="22"/>
          <w:szCs w:val="22"/>
          <w:lang w:eastAsia="en-GB"/>
        </w:rPr>
        <w:t>Differentiation</w:t>
      </w:r>
      <w:r>
        <w:rPr>
          <w:rFonts w:asciiTheme="majorHAnsi" w:eastAsia="Times New Roman" w:hAnsiTheme="majorHAnsi" w:cstheme="majorHAnsi"/>
          <w:sz w:val="22"/>
          <w:szCs w:val="22"/>
          <w:lang w:eastAsia="en-GB"/>
        </w:rPr>
        <w:t xml:space="preserve"> was evident in this lesson with the teacher giving extra tasks to those MAT students who had finished before everyone else, however it seemed that differentiation was needed throughout the entirety of the lesson. </w:t>
      </w:r>
    </w:p>
    <w:p w14:paraId="4003BC35" w14:textId="77777777" w:rsidR="008A0AB2"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lastRenderedPageBreak/>
        <w:t xml:space="preserve">The questions being asked at the start of the lesson could have perhaps been adapted for each individual student when cold calling names out. So, for a student with ALN or a student who is lower in the class, asking them easier questions to consolidate knowledge and gain confidence in the subject. </w:t>
      </w:r>
    </w:p>
    <w:p w14:paraId="6A580243" w14:textId="77777777" w:rsidR="008A0AB2"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The MAT students could be asked more open</w:t>
      </w:r>
      <w:r w:rsidR="008A0AB2">
        <w:rPr>
          <w:rFonts w:asciiTheme="majorHAnsi" w:eastAsia="Times New Roman" w:hAnsiTheme="majorHAnsi" w:cstheme="majorHAnsi"/>
          <w:sz w:val="22"/>
          <w:szCs w:val="22"/>
          <w:lang w:eastAsia="en-GB"/>
        </w:rPr>
        <w:t>-</w:t>
      </w:r>
      <w:r>
        <w:rPr>
          <w:rFonts w:asciiTheme="majorHAnsi" w:eastAsia="Times New Roman" w:hAnsiTheme="majorHAnsi" w:cstheme="majorHAnsi"/>
          <w:sz w:val="22"/>
          <w:szCs w:val="22"/>
          <w:lang w:eastAsia="en-GB"/>
        </w:rPr>
        <w:t xml:space="preserve">ended questions and asked probing questions to stretch them further. I would take a constructivist approach to tackle this problem, encouraging students to build a deeper understanding on a topic being taught. Constructivist theory suggests that knowledge is built on existing learning, new learning links to existing learning and creates a web of neurons. Strategies include active learning as opposed to passive teacher explanations, this encourages students to use high order thinking and enables guided discovery. </w:t>
      </w:r>
    </w:p>
    <w:p w14:paraId="4D5BA958" w14:textId="77777777" w:rsidR="008A0AB2"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The student is much more in control of their learning as they engage in more peer teaching, group work and check and correct. Check and correct refers to the system of children peer and self-marking their work. This kind of interaction could come from group projects and debates and is said to increase involvement, knowledge sharing and therefore engagement enabling an increase in academic performance (Almulla</w:t>
      </w:r>
      <w:r w:rsidR="001D61EE">
        <w:rPr>
          <w:rFonts w:asciiTheme="majorHAnsi" w:eastAsia="Times New Roman" w:hAnsiTheme="majorHAnsi" w:cstheme="majorHAnsi"/>
          <w:sz w:val="22"/>
          <w:szCs w:val="22"/>
          <w:lang w:eastAsia="en-GB"/>
        </w:rPr>
        <w:t>,</w:t>
      </w:r>
      <w:r>
        <w:rPr>
          <w:rFonts w:asciiTheme="majorHAnsi" w:eastAsia="Times New Roman" w:hAnsiTheme="majorHAnsi" w:cstheme="majorHAnsi"/>
          <w:sz w:val="22"/>
          <w:szCs w:val="22"/>
          <w:lang w:eastAsia="en-GB"/>
        </w:rPr>
        <w:t xml:space="preserve"> 2023). </w:t>
      </w:r>
    </w:p>
    <w:p w14:paraId="507C691D" w14:textId="77777777" w:rsidR="008A0AB2"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It has also been said that academic success comes from learning motivation, critical thinking and problem</w:t>
      </w:r>
      <w:r w:rsidR="008A0AB2">
        <w:rPr>
          <w:rFonts w:asciiTheme="majorHAnsi" w:eastAsia="Times New Roman" w:hAnsiTheme="majorHAnsi" w:cstheme="majorHAnsi"/>
          <w:sz w:val="22"/>
          <w:szCs w:val="22"/>
          <w:lang w:eastAsia="en-GB"/>
        </w:rPr>
        <w:t>-</w:t>
      </w:r>
      <w:r>
        <w:rPr>
          <w:rFonts w:asciiTheme="majorHAnsi" w:eastAsia="Times New Roman" w:hAnsiTheme="majorHAnsi" w:cstheme="majorHAnsi"/>
          <w:sz w:val="22"/>
          <w:szCs w:val="22"/>
          <w:lang w:eastAsia="en-GB"/>
        </w:rPr>
        <w:t>solving skills (Almulla</w:t>
      </w:r>
      <w:r w:rsidR="001D61EE">
        <w:rPr>
          <w:rFonts w:asciiTheme="majorHAnsi" w:eastAsia="Times New Roman" w:hAnsiTheme="majorHAnsi" w:cstheme="majorHAnsi"/>
          <w:sz w:val="22"/>
          <w:szCs w:val="22"/>
          <w:lang w:eastAsia="en-GB"/>
        </w:rPr>
        <w:t>,</w:t>
      </w:r>
      <w:r>
        <w:rPr>
          <w:rFonts w:asciiTheme="majorHAnsi" w:eastAsia="Times New Roman" w:hAnsiTheme="majorHAnsi" w:cstheme="majorHAnsi"/>
          <w:sz w:val="22"/>
          <w:szCs w:val="22"/>
          <w:lang w:eastAsia="en-GB"/>
        </w:rPr>
        <w:t xml:space="preserve"> 2023). Mastering differentiation is the key challenge teachers face, matching teaching strategies to different needs, aptitudes and different styles of learning proves an impossible task especially when teachers need to do this for 30 plus students (Blatchford</w:t>
      </w:r>
      <w:r w:rsidR="001D61EE">
        <w:rPr>
          <w:rFonts w:asciiTheme="majorHAnsi" w:eastAsia="Times New Roman" w:hAnsiTheme="majorHAnsi" w:cstheme="majorHAnsi"/>
          <w:sz w:val="22"/>
          <w:szCs w:val="22"/>
          <w:lang w:eastAsia="en-GB"/>
        </w:rPr>
        <w:t>,</w:t>
      </w:r>
      <w:r>
        <w:rPr>
          <w:rFonts w:asciiTheme="majorHAnsi" w:eastAsia="Times New Roman" w:hAnsiTheme="majorHAnsi" w:cstheme="majorHAnsi"/>
          <w:sz w:val="22"/>
          <w:szCs w:val="22"/>
          <w:lang w:eastAsia="en-GB"/>
        </w:rPr>
        <w:t xml:space="preserve"> 2015).</w:t>
      </w:r>
    </w:p>
    <w:p w14:paraId="4FD956B3" w14:textId="77777777" w:rsidR="008A0AB2"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It is important not to lower expectations of what ‘less able’ students can achieve, activities shouldn’t be oversimplified because deeper learning is then removed (Blatchford</w:t>
      </w:r>
      <w:r w:rsidR="001D61EE">
        <w:rPr>
          <w:rFonts w:asciiTheme="majorHAnsi" w:eastAsia="Times New Roman" w:hAnsiTheme="majorHAnsi" w:cstheme="majorHAnsi"/>
          <w:sz w:val="22"/>
          <w:szCs w:val="22"/>
          <w:lang w:eastAsia="en-GB"/>
        </w:rPr>
        <w:t>,</w:t>
      </w:r>
      <w:r>
        <w:rPr>
          <w:rFonts w:asciiTheme="majorHAnsi" w:eastAsia="Times New Roman" w:hAnsiTheme="majorHAnsi" w:cstheme="majorHAnsi"/>
          <w:sz w:val="22"/>
          <w:szCs w:val="22"/>
          <w:lang w:eastAsia="en-GB"/>
        </w:rPr>
        <w:t xml:space="preserve"> 2015). Activity theory and development zone highlight the change in concept of learning. </w:t>
      </w:r>
    </w:p>
    <w:p w14:paraId="5FDFF0B6" w14:textId="77777777" w:rsidR="00135F35"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 xml:space="preserve">Students </w:t>
      </w:r>
      <w:r w:rsidR="008A0AB2">
        <w:rPr>
          <w:rFonts w:asciiTheme="majorHAnsi" w:eastAsia="Times New Roman" w:hAnsiTheme="majorHAnsi" w:cstheme="majorHAnsi"/>
          <w:sz w:val="22"/>
          <w:szCs w:val="22"/>
          <w:lang w:eastAsia="en-GB"/>
        </w:rPr>
        <w:t xml:space="preserve">know </w:t>
      </w:r>
      <w:r>
        <w:rPr>
          <w:rFonts w:asciiTheme="majorHAnsi" w:eastAsia="Times New Roman" w:hAnsiTheme="majorHAnsi" w:cstheme="majorHAnsi"/>
          <w:sz w:val="22"/>
          <w:szCs w:val="22"/>
          <w:lang w:eastAsia="en-GB"/>
        </w:rPr>
        <w:t>that learning is no longer just receiving information and retrieval practice and it is more about learning activity and gaining knowledge (Gao</w:t>
      </w:r>
      <w:r w:rsidR="001D61EE">
        <w:rPr>
          <w:rFonts w:asciiTheme="majorHAnsi" w:eastAsia="Times New Roman" w:hAnsiTheme="majorHAnsi" w:cstheme="majorHAnsi"/>
          <w:sz w:val="22"/>
          <w:szCs w:val="22"/>
          <w:lang w:eastAsia="en-GB"/>
        </w:rPr>
        <w:t>,</w:t>
      </w:r>
      <w:r>
        <w:rPr>
          <w:rFonts w:asciiTheme="majorHAnsi" w:eastAsia="Times New Roman" w:hAnsiTheme="majorHAnsi" w:cstheme="majorHAnsi"/>
          <w:sz w:val="22"/>
          <w:szCs w:val="22"/>
          <w:lang w:eastAsia="en-GB"/>
        </w:rPr>
        <w:t xml:space="preserve"> 2021). As noted in the case study, students who are not being stretched enough will find lessons boring and lose interest in them, and those who are finding the work too difficult will feel a sense of being out of control and hopelessness and perhaps give up on the task completely. </w:t>
      </w:r>
    </w:p>
    <w:p w14:paraId="2D224E3C" w14:textId="77777777" w:rsidR="008A0AB2"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 xml:space="preserve">Using a progressive teaching style can encourage learners to become more active in their learning rather than being passive. </w:t>
      </w:r>
    </w:p>
    <w:p w14:paraId="18201EA7" w14:textId="77777777" w:rsidR="008A0AB2"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 xml:space="preserve">Throughout my study of critical incidences and teaching and learning theories I have noticed a strong correlation between differentiation and the ZPD. If tasks that are set for students are suitably difficult, meaning they are not too hard and not too easy then learners are more likely to be engaged and interested in the task or lesson. </w:t>
      </w:r>
    </w:p>
    <w:p w14:paraId="2344B1C1" w14:textId="77777777" w:rsidR="008A0AB2" w:rsidRDefault="00135F35" w:rsidP="00135F35">
      <w:pPr>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 xml:space="preserve">Students can become bored and disinterested if they are being stretched too much or not enough, however I have learned that boredom is not always a bad thing. </w:t>
      </w:r>
    </w:p>
    <w:p w14:paraId="1D63FEB9" w14:textId="77777777" w:rsidR="008A0AB2" w:rsidRDefault="00135F35" w:rsidP="00135F35">
      <w:pPr>
        <w:rPr>
          <w:rFonts w:asciiTheme="majorHAnsi" w:eastAsia="Times New Roman" w:hAnsiTheme="majorHAnsi" w:cstheme="majorHAnsi"/>
          <w:color w:val="111111"/>
          <w:sz w:val="22"/>
          <w:szCs w:val="22"/>
          <w:lang w:eastAsia="en-GB"/>
        </w:rPr>
      </w:pPr>
      <w:r>
        <w:rPr>
          <w:rFonts w:asciiTheme="majorHAnsi" w:eastAsia="Times New Roman" w:hAnsiTheme="majorHAnsi" w:cstheme="majorHAnsi"/>
          <w:sz w:val="22"/>
          <w:szCs w:val="22"/>
          <w:lang w:eastAsia="en-GB"/>
        </w:rPr>
        <w:t xml:space="preserve">Young people of today very rarely experience boredom. They have got access to social media, video games and films which is an endless stream of entertainment so when faced with boredom they become uncomfortable as it is an unknown feeling. However, as </w:t>
      </w:r>
      <w:r w:rsidRPr="0006753C">
        <w:rPr>
          <w:rFonts w:asciiTheme="majorHAnsi" w:eastAsia="Times New Roman" w:hAnsiTheme="majorHAnsi" w:cstheme="majorHAnsi"/>
          <w:color w:val="111111"/>
          <w:sz w:val="22"/>
          <w:szCs w:val="22"/>
          <w:lang w:eastAsia="en-GB"/>
        </w:rPr>
        <w:t>Mann and Cadman (</w:t>
      </w:r>
      <w:r w:rsidRPr="0006753C">
        <w:rPr>
          <w:rFonts w:asciiTheme="majorHAnsi" w:eastAsia="Times New Roman" w:hAnsiTheme="majorHAnsi" w:cstheme="majorHAnsi"/>
          <w:color w:val="382896"/>
          <w:sz w:val="22"/>
          <w:szCs w:val="22"/>
          <w:lang w:eastAsia="en-GB"/>
        </w:rPr>
        <w:t>2014</w:t>
      </w:r>
      <w:r w:rsidRPr="0006753C">
        <w:rPr>
          <w:rFonts w:asciiTheme="majorHAnsi" w:eastAsia="Times New Roman" w:hAnsiTheme="majorHAnsi" w:cstheme="majorHAnsi"/>
          <w:color w:val="111111"/>
          <w:sz w:val="22"/>
          <w:szCs w:val="22"/>
          <w:lang w:eastAsia="en-GB"/>
        </w:rPr>
        <w:t>)</w:t>
      </w:r>
      <w:r>
        <w:rPr>
          <w:rFonts w:asciiTheme="majorHAnsi" w:eastAsia="Times New Roman" w:hAnsiTheme="majorHAnsi" w:cstheme="majorHAnsi"/>
          <w:color w:val="111111"/>
          <w:sz w:val="22"/>
          <w:szCs w:val="22"/>
          <w:lang w:eastAsia="en-GB"/>
        </w:rPr>
        <w:t xml:space="preserve"> said, experiencing boredom is important because it encourages creativity. </w:t>
      </w:r>
    </w:p>
    <w:p w14:paraId="202FCF3C" w14:textId="77777777" w:rsidR="008A0AB2" w:rsidRDefault="00135F35" w:rsidP="00135F35">
      <w:pPr>
        <w:rPr>
          <w:rFonts w:asciiTheme="majorHAnsi" w:eastAsia="Times New Roman" w:hAnsiTheme="majorHAnsi" w:cstheme="majorHAnsi"/>
          <w:color w:val="111111"/>
          <w:sz w:val="22"/>
          <w:szCs w:val="22"/>
          <w:lang w:eastAsia="en-GB"/>
        </w:rPr>
      </w:pPr>
      <w:r>
        <w:rPr>
          <w:rFonts w:asciiTheme="majorHAnsi" w:eastAsia="Times New Roman" w:hAnsiTheme="majorHAnsi" w:cstheme="majorHAnsi"/>
          <w:color w:val="111111"/>
          <w:sz w:val="22"/>
          <w:szCs w:val="22"/>
          <w:lang w:eastAsia="en-GB"/>
        </w:rPr>
        <w:lastRenderedPageBreak/>
        <w:t xml:space="preserve">Differentiation is essential within a classroom setting to adapt to each individual student, however it seems an impossible task for teachers. To meet the needs of 30 students when all students are unique in the respect that they have different abilities, different learning needs, different social backgrounds. </w:t>
      </w:r>
    </w:p>
    <w:p w14:paraId="652DE3F9" w14:textId="77777777" w:rsidR="008A0AB2" w:rsidRDefault="00135F35" w:rsidP="00135F35">
      <w:pPr>
        <w:rPr>
          <w:rFonts w:asciiTheme="majorHAnsi" w:eastAsia="Times New Roman" w:hAnsiTheme="majorHAnsi" w:cstheme="majorHAnsi"/>
          <w:color w:val="111111"/>
          <w:sz w:val="22"/>
          <w:szCs w:val="22"/>
          <w:lang w:eastAsia="en-GB"/>
        </w:rPr>
      </w:pPr>
      <w:r>
        <w:rPr>
          <w:rFonts w:asciiTheme="majorHAnsi" w:eastAsia="Times New Roman" w:hAnsiTheme="majorHAnsi" w:cstheme="majorHAnsi"/>
          <w:color w:val="111111"/>
          <w:sz w:val="22"/>
          <w:szCs w:val="22"/>
          <w:lang w:eastAsia="en-GB"/>
        </w:rPr>
        <w:t xml:space="preserve">Moving forward, I will ensure I am differentiating tasks and lessons to suit MAT and ALN students to the best of my ability. Giving MAT students extension tasks when they have completed and giving ALN students more straight forward tasks. However, I will consciously try to not over simplify tasks for ALN students or lower ability students as from my research I have found that this can take the fun and enjoyment out of learning. </w:t>
      </w:r>
      <w:r w:rsidR="00401AD3">
        <w:rPr>
          <w:rFonts w:asciiTheme="majorHAnsi" w:eastAsia="Times New Roman" w:hAnsiTheme="majorHAnsi" w:cstheme="majorHAnsi"/>
          <w:color w:val="111111"/>
          <w:sz w:val="22"/>
          <w:szCs w:val="22"/>
          <w:lang w:eastAsia="en-GB"/>
        </w:rPr>
        <w:t>Creating engaging lessons for students makes them more likely to learn and feel confident in mastering complex subject matter (Donaldson, 2015).</w:t>
      </w:r>
    </w:p>
    <w:p w14:paraId="2C8FA39F" w14:textId="77777777" w:rsidR="008A0AB2" w:rsidRDefault="00135F35" w:rsidP="00135F35">
      <w:pPr>
        <w:rPr>
          <w:rFonts w:asciiTheme="majorHAnsi" w:eastAsia="Times New Roman" w:hAnsiTheme="majorHAnsi" w:cstheme="majorHAnsi"/>
          <w:color w:val="111111"/>
          <w:sz w:val="22"/>
          <w:szCs w:val="22"/>
          <w:lang w:eastAsia="en-GB"/>
        </w:rPr>
      </w:pPr>
      <w:r>
        <w:rPr>
          <w:rFonts w:asciiTheme="majorHAnsi" w:eastAsia="Times New Roman" w:hAnsiTheme="majorHAnsi" w:cstheme="majorHAnsi"/>
          <w:color w:val="111111"/>
          <w:sz w:val="22"/>
          <w:szCs w:val="22"/>
          <w:lang w:eastAsia="en-GB"/>
        </w:rPr>
        <w:t xml:space="preserve">Students end up expecting to be told answers or methods rather than trying to work it out themselves. Teachers need support from schools and leadership teams to be able to differentiate lessons for all students, teachers will not be able to do this on their own as their workload is already so big. </w:t>
      </w:r>
    </w:p>
    <w:p w14:paraId="1D84CE46" w14:textId="77777777" w:rsidR="00135F35" w:rsidRDefault="00135F35" w:rsidP="00135F35">
      <w:pPr>
        <w:rPr>
          <w:rFonts w:asciiTheme="majorHAnsi" w:eastAsia="Times New Roman" w:hAnsiTheme="majorHAnsi" w:cstheme="majorHAnsi"/>
          <w:color w:val="111111"/>
          <w:sz w:val="22"/>
          <w:szCs w:val="22"/>
          <w:lang w:eastAsia="en-GB"/>
        </w:rPr>
      </w:pPr>
      <w:r>
        <w:rPr>
          <w:rFonts w:asciiTheme="majorHAnsi" w:eastAsia="Times New Roman" w:hAnsiTheme="majorHAnsi" w:cstheme="majorHAnsi"/>
          <w:color w:val="111111"/>
          <w:sz w:val="22"/>
          <w:szCs w:val="22"/>
          <w:lang w:eastAsia="en-GB"/>
        </w:rPr>
        <w:t>Leadership teams should acknowledge the importance of differentiation for pupils and support teachers in doing so. In my first placement I will ensure I am well prepared for lessons and have a wide range of tasks available to make my lessons accessible for all students. It will be interesting to see from my own practice the impact differentiation has on boredom and low</w:t>
      </w:r>
      <w:r w:rsidR="008A0AB2">
        <w:rPr>
          <w:rFonts w:asciiTheme="majorHAnsi" w:eastAsia="Times New Roman" w:hAnsiTheme="majorHAnsi" w:cstheme="majorHAnsi"/>
          <w:color w:val="111111"/>
          <w:sz w:val="22"/>
          <w:szCs w:val="22"/>
          <w:lang w:eastAsia="en-GB"/>
        </w:rPr>
        <w:t>-</w:t>
      </w:r>
      <w:r>
        <w:rPr>
          <w:rFonts w:asciiTheme="majorHAnsi" w:eastAsia="Times New Roman" w:hAnsiTheme="majorHAnsi" w:cstheme="majorHAnsi"/>
          <w:color w:val="111111"/>
          <w:sz w:val="22"/>
          <w:szCs w:val="22"/>
          <w:lang w:eastAsia="en-GB"/>
        </w:rPr>
        <w:t xml:space="preserve">level disruption in the classroom. </w:t>
      </w:r>
    </w:p>
    <w:p w14:paraId="0AEA2029" w14:textId="77777777" w:rsidR="00135F35" w:rsidRPr="00135F35" w:rsidRDefault="00135F35" w:rsidP="00135F35">
      <w:pPr>
        <w:jc w:val="center"/>
        <w:rPr>
          <w:rFonts w:asciiTheme="majorHAnsi" w:eastAsia="Times New Roman" w:hAnsiTheme="majorHAnsi" w:cstheme="majorHAnsi"/>
          <w:b/>
          <w:bCs/>
          <w:color w:val="111111"/>
          <w:sz w:val="22"/>
          <w:szCs w:val="22"/>
          <w:u w:val="single"/>
          <w:lang w:eastAsia="en-GB"/>
        </w:rPr>
      </w:pPr>
      <w:r w:rsidRPr="00135F35">
        <w:rPr>
          <w:rFonts w:asciiTheme="majorHAnsi" w:eastAsia="Times New Roman" w:hAnsiTheme="majorHAnsi" w:cstheme="majorHAnsi"/>
          <w:b/>
          <w:bCs/>
          <w:color w:val="111111"/>
          <w:sz w:val="22"/>
          <w:szCs w:val="22"/>
          <w:u w:val="single"/>
          <w:lang w:eastAsia="en-GB"/>
        </w:rPr>
        <w:t>Conclusion</w:t>
      </w:r>
    </w:p>
    <w:p w14:paraId="52E0785F" w14:textId="77777777" w:rsidR="00135F35" w:rsidRPr="006A1199" w:rsidRDefault="00135F35" w:rsidP="00135F35">
      <w:pPr>
        <w:jc w:val="left"/>
        <w:rPr>
          <w:rFonts w:asciiTheme="majorHAnsi" w:eastAsia="Times New Roman" w:hAnsiTheme="majorHAnsi" w:cstheme="majorHAnsi"/>
          <w:sz w:val="22"/>
          <w:szCs w:val="22"/>
          <w:lang w:eastAsia="en-GB"/>
        </w:rPr>
      </w:pPr>
      <w:r>
        <w:rPr>
          <w:rFonts w:asciiTheme="majorHAnsi" w:eastAsia="Times New Roman" w:hAnsiTheme="majorHAnsi" w:cstheme="majorHAnsi"/>
          <w:sz w:val="22"/>
          <w:szCs w:val="22"/>
          <w:lang w:eastAsia="en-GB"/>
        </w:rPr>
        <w:t>Undertaking a constructivist approach toward teaching should target many of the professional standards in Wales. Learners le</w:t>
      </w:r>
      <w:r w:rsidRPr="006A1199">
        <w:rPr>
          <w:rFonts w:asciiTheme="majorHAnsi" w:eastAsia="Times New Roman" w:hAnsiTheme="majorHAnsi" w:cstheme="majorHAnsi"/>
          <w:sz w:val="22"/>
          <w:szCs w:val="22"/>
          <w:lang w:eastAsia="en-GB"/>
        </w:rPr>
        <w:t>ading the</w:t>
      </w:r>
      <w:r>
        <w:rPr>
          <w:rFonts w:asciiTheme="majorHAnsi" w:eastAsia="Times New Roman" w:hAnsiTheme="majorHAnsi" w:cstheme="majorHAnsi"/>
          <w:sz w:val="22"/>
          <w:szCs w:val="22"/>
          <w:lang w:eastAsia="en-GB"/>
        </w:rPr>
        <w:t>ir own</w:t>
      </w:r>
      <w:r w:rsidRPr="006A1199">
        <w:rPr>
          <w:rFonts w:asciiTheme="majorHAnsi" w:eastAsia="Times New Roman" w:hAnsiTheme="majorHAnsi" w:cstheme="majorHAnsi"/>
          <w:sz w:val="22"/>
          <w:szCs w:val="22"/>
          <w:lang w:eastAsia="en-GB"/>
        </w:rPr>
        <w:t xml:space="preserve"> learning</w:t>
      </w:r>
      <w:r>
        <w:rPr>
          <w:rFonts w:asciiTheme="majorHAnsi" w:eastAsia="Times New Roman" w:hAnsiTheme="majorHAnsi" w:cstheme="majorHAnsi"/>
          <w:sz w:val="22"/>
          <w:szCs w:val="22"/>
          <w:lang w:eastAsia="en-GB"/>
        </w:rPr>
        <w:t xml:space="preserve"> will come from students having the ability to choose different levels and styles of tasks and questions.</w:t>
      </w:r>
      <w:r w:rsidRPr="006A1199">
        <w:rPr>
          <w:rFonts w:asciiTheme="majorHAnsi" w:eastAsia="Times New Roman" w:hAnsiTheme="majorHAnsi" w:cstheme="majorHAnsi"/>
          <w:sz w:val="22"/>
          <w:szCs w:val="22"/>
          <w:lang w:eastAsia="en-GB"/>
        </w:rPr>
        <w:t xml:space="preserve"> </w:t>
      </w:r>
      <w:r>
        <w:rPr>
          <w:rFonts w:asciiTheme="majorHAnsi" w:eastAsia="Times New Roman" w:hAnsiTheme="majorHAnsi" w:cstheme="majorHAnsi"/>
          <w:sz w:val="22"/>
          <w:szCs w:val="22"/>
          <w:lang w:eastAsia="en-GB"/>
        </w:rPr>
        <w:t>Focussing on routines and resources alongside learning habits and behaviours will help teachers manage the learning environment.</w:t>
      </w:r>
      <w:r w:rsidRPr="006A1199">
        <w:rPr>
          <w:rFonts w:asciiTheme="majorHAnsi" w:eastAsia="Times New Roman" w:hAnsiTheme="majorHAnsi" w:cstheme="majorHAnsi"/>
          <w:sz w:val="22"/>
          <w:szCs w:val="22"/>
          <w:lang w:eastAsia="en-GB"/>
        </w:rPr>
        <w:t xml:space="preserve"> challenge and expectations</w:t>
      </w:r>
      <w:r>
        <w:rPr>
          <w:rFonts w:asciiTheme="majorHAnsi" w:eastAsia="Times New Roman" w:hAnsiTheme="majorHAnsi" w:cstheme="majorHAnsi"/>
          <w:sz w:val="22"/>
          <w:szCs w:val="22"/>
          <w:lang w:eastAsia="en-GB"/>
        </w:rPr>
        <w:t xml:space="preserve"> will be high enough for learners to extend themselves and develop new and previous skills (Wales Gov, 2017) A constructivist approach toward differentiation could be very impactful in the respect that learners are taking control of their own learning. The people who know their limits the best are the students themselves. However, there will be limitations here as mentioned before that teachers will be the ones delivering content and some children will need more motivation than others. You cannot always expect students to push themselves to answer harder questions, some will always want to take the easy route. To ensure students are progressing in their studies it will be important to assess students along the way to gauge if the work is desirably difficult enough for them. </w:t>
      </w:r>
    </w:p>
    <w:p w14:paraId="0876A630" w14:textId="77777777" w:rsidR="00986994" w:rsidRDefault="00986994" w:rsidP="00135F35">
      <w:pPr>
        <w:rPr>
          <w:rFonts w:asciiTheme="majorHAnsi" w:eastAsia="Times New Roman" w:hAnsiTheme="majorHAnsi" w:cstheme="majorHAnsi"/>
          <w:sz w:val="22"/>
          <w:szCs w:val="22"/>
          <w:lang w:eastAsia="en-GB"/>
        </w:rPr>
      </w:pPr>
    </w:p>
    <w:p w14:paraId="4AD23277" w14:textId="77777777" w:rsidR="00986994" w:rsidRDefault="00986994" w:rsidP="00986994"/>
    <w:p w14:paraId="7CE6CD74" w14:textId="77777777" w:rsidR="00135F35" w:rsidRDefault="00135F35" w:rsidP="00986994"/>
    <w:p w14:paraId="3D64CD42" w14:textId="77777777" w:rsidR="00135F35" w:rsidRDefault="00135F35" w:rsidP="00986994"/>
    <w:p w14:paraId="5F232907" w14:textId="77777777" w:rsidR="00135F35" w:rsidRDefault="00135F35" w:rsidP="00986994"/>
    <w:p w14:paraId="62E9D964" w14:textId="77777777" w:rsidR="008A0AB2" w:rsidRDefault="008A0AB2" w:rsidP="00986994"/>
    <w:p w14:paraId="4045C817" w14:textId="77777777" w:rsidR="001E1E8E" w:rsidRDefault="001E1E8E" w:rsidP="00986994"/>
    <w:p w14:paraId="5019F05F" w14:textId="77777777" w:rsidR="008A0AB2" w:rsidRPr="008A0AB2" w:rsidRDefault="008A0AB2" w:rsidP="008A0AB2">
      <w:pPr>
        <w:tabs>
          <w:tab w:val="center" w:pos="4510"/>
          <w:tab w:val="left" w:pos="5852"/>
        </w:tabs>
        <w:jc w:val="center"/>
        <w:rPr>
          <w:rFonts w:asciiTheme="majorHAnsi" w:hAnsiTheme="majorHAnsi" w:cstheme="majorHAnsi"/>
          <w:b/>
          <w:bCs/>
          <w:sz w:val="22"/>
          <w:szCs w:val="22"/>
          <w:u w:val="single"/>
        </w:rPr>
      </w:pPr>
      <w:r w:rsidRPr="008A0AB2">
        <w:rPr>
          <w:rFonts w:asciiTheme="majorHAnsi" w:hAnsiTheme="majorHAnsi" w:cstheme="majorHAnsi"/>
          <w:b/>
          <w:bCs/>
          <w:sz w:val="22"/>
          <w:szCs w:val="22"/>
          <w:u w:val="single"/>
        </w:rPr>
        <w:lastRenderedPageBreak/>
        <w:t>Reference List</w:t>
      </w:r>
    </w:p>
    <w:p w14:paraId="0E275A6F"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 xml:space="preserve">Almulla, M.A. (2023) </w:t>
      </w:r>
      <w:r w:rsidRPr="007D39B5">
        <w:rPr>
          <w:rFonts w:asciiTheme="majorHAnsi" w:hAnsiTheme="majorHAnsi" w:cstheme="majorHAnsi"/>
          <w:i/>
          <w:iCs/>
          <w:color w:val="000000"/>
          <w:sz w:val="22"/>
          <w:szCs w:val="22"/>
        </w:rPr>
        <w:t>Constructivism learning theory: A paradigm for students' critical thinking, creativity, and problem solving to affect academic performance in higher education</w:t>
      </w:r>
      <w:r w:rsidRPr="007D39B5">
        <w:rPr>
          <w:rFonts w:asciiTheme="majorHAnsi" w:hAnsiTheme="majorHAnsi" w:cstheme="majorHAnsi"/>
          <w:color w:val="000000"/>
          <w:sz w:val="22"/>
          <w:szCs w:val="22"/>
        </w:rPr>
        <w:t>. Cogent education</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10</w:t>
      </w:r>
      <w:r w:rsidRPr="007D39B5">
        <w:rPr>
          <w:rFonts w:asciiTheme="majorHAnsi" w:hAnsiTheme="majorHAnsi" w:cstheme="majorHAnsi"/>
          <w:color w:val="000000"/>
          <w:sz w:val="22"/>
          <w:szCs w:val="22"/>
        </w:rPr>
        <w:t>(1).</w:t>
      </w:r>
    </w:p>
    <w:p w14:paraId="16C519B6"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Biwer, F</w:t>
      </w:r>
      <w:r w:rsidR="001D61EE">
        <w:rPr>
          <w:rFonts w:asciiTheme="majorHAnsi" w:hAnsiTheme="majorHAnsi" w:cstheme="majorHAnsi"/>
          <w:color w:val="000000"/>
          <w:sz w:val="22"/>
          <w:szCs w:val="22"/>
        </w:rPr>
        <w:t xml:space="preserve">. </w:t>
      </w:r>
      <w:r w:rsidR="001D61EE" w:rsidRPr="001D61EE">
        <w:rPr>
          <w:rFonts w:asciiTheme="majorHAnsi" w:hAnsiTheme="majorHAnsi" w:cstheme="majorHAnsi"/>
          <w:i/>
          <w:iCs/>
          <w:color w:val="000000"/>
          <w:sz w:val="22"/>
          <w:szCs w:val="22"/>
        </w:rPr>
        <w:t>et al</w:t>
      </w:r>
      <w:r w:rsidRPr="007D39B5">
        <w:rPr>
          <w:rFonts w:asciiTheme="majorHAnsi" w:hAnsiTheme="majorHAnsi" w:cstheme="majorHAnsi"/>
          <w:color w:val="000000"/>
          <w:sz w:val="22"/>
          <w:szCs w:val="22"/>
        </w:rPr>
        <w:t xml:space="preserve">. (2020) </w:t>
      </w:r>
      <w:r w:rsidRPr="007D39B5">
        <w:rPr>
          <w:rFonts w:asciiTheme="majorHAnsi" w:hAnsiTheme="majorHAnsi" w:cstheme="majorHAnsi"/>
          <w:i/>
          <w:iCs/>
          <w:color w:val="000000"/>
          <w:sz w:val="22"/>
          <w:szCs w:val="22"/>
        </w:rPr>
        <w:t>Future steps in teaching desirably difficult learning strategies: Reflections from the study smart program.</w:t>
      </w:r>
      <w:r w:rsidRPr="007D39B5">
        <w:rPr>
          <w:rFonts w:asciiTheme="majorHAnsi" w:hAnsiTheme="majorHAnsi" w:cstheme="majorHAnsi"/>
          <w:color w:val="000000"/>
          <w:sz w:val="22"/>
          <w:szCs w:val="22"/>
        </w:rPr>
        <w:t> Journal of applied research in memory and cognition</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9</w:t>
      </w:r>
      <w:r w:rsidRPr="007D39B5">
        <w:rPr>
          <w:rFonts w:asciiTheme="majorHAnsi" w:hAnsiTheme="majorHAnsi" w:cstheme="majorHAnsi"/>
          <w:color w:val="000000"/>
          <w:sz w:val="22"/>
          <w:szCs w:val="22"/>
        </w:rPr>
        <w:t>(4), pp. 439-446.</w:t>
      </w:r>
    </w:p>
    <w:p w14:paraId="2278163D" w14:textId="77777777" w:rsidR="008A0AB2" w:rsidRPr="005308D5" w:rsidRDefault="008A0AB2" w:rsidP="008A0AB2">
      <w:pPr>
        <w:rPr>
          <w:rFonts w:asciiTheme="majorHAnsi" w:eastAsia="Times New Roman" w:hAnsiTheme="majorHAnsi" w:cstheme="majorHAnsi"/>
          <w:color w:val="000000" w:themeColor="text1"/>
          <w:sz w:val="22"/>
          <w:szCs w:val="22"/>
          <w:lang w:eastAsia="en-GB"/>
        </w:rPr>
      </w:pPr>
      <w:r w:rsidRPr="005308D5">
        <w:rPr>
          <w:rFonts w:asciiTheme="majorHAnsi" w:eastAsia="Times New Roman" w:hAnsiTheme="majorHAnsi" w:cstheme="majorHAnsi"/>
          <w:color w:val="000000" w:themeColor="text1"/>
          <w:sz w:val="22"/>
          <w:szCs w:val="22"/>
          <w:lang w:eastAsia="en-GB"/>
        </w:rPr>
        <w:t xml:space="preserve">Blatchford, R. (2015) </w:t>
      </w:r>
      <w:r w:rsidRPr="005308D5">
        <w:rPr>
          <w:rFonts w:asciiTheme="majorHAnsi" w:eastAsia="Times New Roman" w:hAnsiTheme="majorHAnsi" w:cstheme="majorHAnsi"/>
          <w:i/>
          <w:iCs/>
          <w:color w:val="000000" w:themeColor="text1"/>
          <w:sz w:val="22"/>
          <w:szCs w:val="22"/>
          <w:lang w:eastAsia="en-GB"/>
        </w:rPr>
        <w:t xml:space="preserve">Differentiation is out. Mastery is the new classroom buzzword. </w:t>
      </w:r>
      <w:r w:rsidRPr="005308D5">
        <w:rPr>
          <w:rFonts w:asciiTheme="majorHAnsi" w:eastAsia="Times New Roman" w:hAnsiTheme="majorHAnsi" w:cstheme="majorHAnsi"/>
          <w:color w:val="000000" w:themeColor="text1"/>
          <w:sz w:val="22"/>
          <w:szCs w:val="22"/>
          <w:lang w:eastAsia="en-GB"/>
        </w:rPr>
        <w:t>The guardian. 01/10/2015. Available at: https://www.theguardian.com/teacher-network/2015/oct/01/mastery-differentiation-new-classroom-buzzword</w:t>
      </w:r>
      <w:r w:rsidR="001D61EE">
        <w:rPr>
          <w:rFonts w:asciiTheme="majorHAnsi" w:eastAsia="Times New Roman" w:hAnsiTheme="majorHAnsi" w:cstheme="majorHAnsi"/>
          <w:color w:val="000000" w:themeColor="text1"/>
          <w:sz w:val="22"/>
          <w:szCs w:val="22"/>
          <w:lang w:eastAsia="en-GB"/>
        </w:rPr>
        <w:t>.</w:t>
      </w:r>
    </w:p>
    <w:p w14:paraId="73F9E1B2" w14:textId="77777777" w:rsidR="008A0AB2" w:rsidRPr="005308D5" w:rsidRDefault="008A0AB2" w:rsidP="001D61EE">
      <w:pPr>
        <w:spacing w:before="100" w:beforeAutospacing="1" w:after="100" w:afterAutospacing="1"/>
        <w:rPr>
          <w:rFonts w:asciiTheme="majorHAnsi" w:eastAsia="Times New Roman" w:hAnsiTheme="majorHAnsi" w:cstheme="majorHAnsi"/>
          <w:color w:val="000000" w:themeColor="text1"/>
          <w:sz w:val="22"/>
          <w:szCs w:val="22"/>
          <w:lang w:eastAsia="en-GB"/>
        </w:rPr>
      </w:pPr>
      <w:r w:rsidRPr="005308D5">
        <w:rPr>
          <w:rFonts w:asciiTheme="majorHAnsi" w:eastAsia="Times New Roman" w:hAnsiTheme="majorHAnsi" w:cstheme="majorHAnsi"/>
          <w:color w:val="000000" w:themeColor="text1"/>
          <w:sz w:val="22"/>
          <w:szCs w:val="22"/>
          <w:lang w:eastAsia="en-GB"/>
        </w:rPr>
        <w:t>British Educational Research Association. (2018)</w:t>
      </w:r>
      <w:r>
        <w:rPr>
          <w:rFonts w:asciiTheme="majorHAnsi" w:eastAsia="Times New Roman" w:hAnsiTheme="majorHAnsi" w:cstheme="majorHAnsi"/>
          <w:color w:val="000000" w:themeColor="text1"/>
          <w:sz w:val="22"/>
          <w:szCs w:val="22"/>
          <w:lang w:eastAsia="en-GB"/>
        </w:rPr>
        <w:t xml:space="preserve"> </w:t>
      </w:r>
      <w:r w:rsidRPr="005308D5">
        <w:rPr>
          <w:rFonts w:asciiTheme="majorHAnsi" w:eastAsia="Times New Roman" w:hAnsiTheme="majorHAnsi" w:cstheme="majorHAnsi"/>
          <w:i/>
          <w:iCs/>
          <w:color w:val="000000" w:themeColor="text1"/>
          <w:sz w:val="22"/>
          <w:szCs w:val="22"/>
          <w:lang w:eastAsia="en-GB"/>
        </w:rPr>
        <w:t>Ethical guidelines for educational research</w:t>
      </w:r>
      <w:r w:rsidRPr="005308D5">
        <w:rPr>
          <w:rFonts w:asciiTheme="majorHAnsi" w:eastAsia="Times New Roman" w:hAnsiTheme="majorHAnsi" w:cstheme="majorHAnsi"/>
          <w:color w:val="000000" w:themeColor="text1"/>
          <w:sz w:val="22"/>
          <w:szCs w:val="22"/>
          <w:lang w:eastAsia="en-GB"/>
        </w:rPr>
        <w:t>, fourth</w:t>
      </w:r>
      <w:r>
        <w:rPr>
          <w:rFonts w:asciiTheme="majorHAnsi" w:eastAsia="Times New Roman" w:hAnsiTheme="majorHAnsi" w:cstheme="majorHAnsi"/>
          <w:color w:val="000000" w:themeColor="text1"/>
          <w:sz w:val="22"/>
          <w:szCs w:val="22"/>
          <w:lang w:eastAsia="en-GB"/>
        </w:rPr>
        <w:t xml:space="preserve"> </w:t>
      </w:r>
      <w:r w:rsidRPr="005308D5">
        <w:rPr>
          <w:rFonts w:asciiTheme="majorHAnsi" w:eastAsia="Times New Roman" w:hAnsiTheme="majorHAnsi" w:cstheme="majorHAnsi"/>
          <w:color w:val="000000" w:themeColor="text1"/>
          <w:sz w:val="22"/>
          <w:szCs w:val="22"/>
          <w:lang w:eastAsia="en-GB"/>
        </w:rPr>
        <w:t>edition,</w:t>
      </w:r>
      <w:r>
        <w:rPr>
          <w:rFonts w:asciiTheme="majorHAnsi" w:eastAsia="Times New Roman" w:hAnsiTheme="majorHAnsi" w:cstheme="majorHAnsi"/>
          <w:color w:val="000000" w:themeColor="text1"/>
          <w:sz w:val="22"/>
          <w:szCs w:val="22"/>
          <w:lang w:eastAsia="en-GB"/>
        </w:rPr>
        <w:t xml:space="preserve"> London. Available at: </w:t>
      </w:r>
      <w:r w:rsidRPr="005308D5">
        <w:rPr>
          <w:rFonts w:asciiTheme="majorHAnsi" w:eastAsia="Times New Roman" w:hAnsiTheme="majorHAnsi" w:cstheme="majorHAnsi"/>
          <w:color w:val="000000" w:themeColor="text1"/>
          <w:sz w:val="22"/>
          <w:szCs w:val="22"/>
          <w:lang w:eastAsia="en-GB"/>
        </w:rPr>
        <w:t>https://www.bera.ac.uk/publication/ethical-guidelines-for-educational-research-2018.</w:t>
      </w:r>
    </w:p>
    <w:p w14:paraId="54546B10" w14:textId="77777777" w:rsidR="008A0AB2" w:rsidRPr="005308D5" w:rsidRDefault="008A0AB2" w:rsidP="008A0AB2">
      <w:pPr>
        <w:rPr>
          <w:rFonts w:asciiTheme="majorHAnsi" w:eastAsia="Times New Roman" w:hAnsiTheme="majorHAnsi" w:cstheme="majorHAnsi"/>
          <w:color w:val="000000" w:themeColor="text1"/>
          <w:sz w:val="22"/>
          <w:szCs w:val="22"/>
          <w:lang w:eastAsia="en-GB"/>
        </w:rPr>
      </w:pPr>
      <w:r w:rsidRPr="005308D5">
        <w:rPr>
          <w:rFonts w:asciiTheme="majorHAnsi" w:eastAsia="Times New Roman" w:hAnsiTheme="majorHAnsi" w:cstheme="majorHAnsi"/>
          <w:color w:val="000000" w:themeColor="text1"/>
          <w:sz w:val="22"/>
          <w:szCs w:val="22"/>
          <w:lang w:eastAsia="en-GB"/>
        </w:rPr>
        <w:t xml:space="preserve">Burkett, J.A. (2013) </w:t>
      </w:r>
      <w:r w:rsidRPr="005308D5">
        <w:rPr>
          <w:rFonts w:asciiTheme="majorHAnsi" w:eastAsia="Times New Roman" w:hAnsiTheme="majorHAnsi" w:cstheme="majorHAnsi"/>
          <w:i/>
          <w:iCs/>
          <w:color w:val="000000" w:themeColor="text1"/>
          <w:sz w:val="22"/>
          <w:szCs w:val="22"/>
          <w:lang w:eastAsia="en-GB"/>
        </w:rPr>
        <w:t>Teacher perception on differentiated instruction and its influence on instructional practice</w:t>
      </w:r>
      <w:r w:rsidRPr="005308D5">
        <w:rPr>
          <w:rFonts w:asciiTheme="majorHAnsi" w:eastAsia="Times New Roman" w:hAnsiTheme="majorHAnsi" w:cstheme="majorHAnsi"/>
          <w:color w:val="000000" w:themeColor="text1"/>
          <w:sz w:val="22"/>
          <w:szCs w:val="22"/>
          <w:lang w:eastAsia="en-GB"/>
        </w:rPr>
        <w:t>. Oklahoma State University</w:t>
      </w:r>
      <w:r w:rsidR="001D61EE">
        <w:rPr>
          <w:rFonts w:asciiTheme="majorHAnsi" w:eastAsia="Times New Roman" w:hAnsiTheme="majorHAnsi" w:cstheme="majorHAnsi"/>
          <w:color w:val="000000" w:themeColor="text1"/>
          <w:sz w:val="22"/>
          <w:szCs w:val="22"/>
          <w:lang w:eastAsia="en-GB"/>
        </w:rPr>
        <w:t>.</w:t>
      </w:r>
    </w:p>
    <w:p w14:paraId="459C3953" w14:textId="77777777" w:rsidR="008A0AB2" w:rsidRPr="005308D5" w:rsidRDefault="008A0AB2" w:rsidP="008A0AB2">
      <w:pPr>
        <w:rPr>
          <w:rFonts w:asciiTheme="majorHAnsi" w:eastAsia="Times New Roman" w:hAnsiTheme="majorHAnsi" w:cstheme="majorHAnsi"/>
          <w:sz w:val="22"/>
          <w:szCs w:val="22"/>
          <w:lang w:eastAsia="en-GB"/>
        </w:rPr>
      </w:pPr>
      <w:r w:rsidRPr="005308D5">
        <w:rPr>
          <w:rFonts w:asciiTheme="majorHAnsi" w:eastAsia="Times New Roman" w:hAnsiTheme="majorHAnsi" w:cstheme="majorHAnsi"/>
          <w:color w:val="3A343A"/>
          <w:sz w:val="22"/>
          <w:szCs w:val="22"/>
          <w:shd w:val="clear" w:color="auto" w:fill="FFFFFF"/>
          <w:lang w:eastAsia="en-GB"/>
        </w:rPr>
        <w:t>Clabaugh, G. (2010)</w:t>
      </w:r>
      <w:r w:rsidRPr="005308D5">
        <w:rPr>
          <w:rFonts w:asciiTheme="majorHAnsi" w:eastAsia="Times New Roman" w:hAnsiTheme="majorHAnsi" w:cstheme="majorHAnsi"/>
          <w:i/>
          <w:iCs/>
          <w:color w:val="3A343A"/>
          <w:sz w:val="22"/>
          <w:szCs w:val="22"/>
          <w:shd w:val="clear" w:color="auto" w:fill="FFFFFF"/>
          <w:lang w:eastAsia="en-GB"/>
        </w:rPr>
        <w:t xml:space="preserve"> The educational theory of Lev Vygotsky: an analysis. </w:t>
      </w:r>
      <w:r w:rsidRPr="005308D5">
        <w:rPr>
          <w:rFonts w:asciiTheme="majorHAnsi" w:eastAsia="Times New Roman" w:hAnsiTheme="majorHAnsi" w:cstheme="majorHAnsi"/>
          <w:color w:val="3A343A"/>
          <w:sz w:val="22"/>
          <w:szCs w:val="22"/>
          <w:shd w:val="clear" w:color="auto" w:fill="FFFFFF"/>
          <w:lang w:eastAsia="en-GB"/>
        </w:rPr>
        <w:t>New foundations.</w:t>
      </w:r>
      <w:r w:rsidRPr="005308D5">
        <w:rPr>
          <w:rFonts w:asciiTheme="majorHAnsi" w:eastAsia="Times New Roman" w:hAnsiTheme="majorHAnsi" w:cstheme="majorHAnsi"/>
          <w:i/>
          <w:iCs/>
          <w:color w:val="3A343A"/>
          <w:sz w:val="22"/>
          <w:szCs w:val="22"/>
          <w:shd w:val="clear" w:color="auto" w:fill="FFFFFF"/>
          <w:lang w:eastAsia="en-GB"/>
        </w:rPr>
        <w:t xml:space="preserve"> </w:t>
      </w:r>
    </w:p>
    <w:p w14:paraId="1550104D"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 xml:space="preserve">Clara, M. (2017) </w:t>
      </w:r>
      <w:r w:rsidRPr="007D39B5">
        <w:rPr>
          <w:rFonts w:asciiTheme="majorHAnsi" w:hAnsiTheme="majorHAnsi" w:cstheme="majorHAnsi"/>
          <w:i/>
          <w:iCs/>
          <w:color w:val="000000"/>
          <w:sz w:val="22"/>
          <w:szCs w:val="22"/>
        </w:rPr>
        <w:t>How instruction influences conceptual development: Vygotsky's theory revisited.</w:t>
      </w:r>
      <w:r w:rsidRPr="007D39B5">
        <w:rPr>
          <w:rFonts w:asciiTheme="majorHAnsi" w:hAnsiTheme="majorHAnsi" w:cstheme="majorHAnsi"/>
          <w:color w:val="000000"/>
          <w:sz w:val="22"/>
          <w:szCs w:val="22"/>
        </w:rPr>
        <w:t> Educational psychologist</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52</w:t>
      </w:r>
      <w:r w:rsidRPr="007D39B5">
        <w:rPr>
          <w:rFonts w:asciiTheme="majorHAnsi" w:hAnsiTheme="majorHAnsi" w:cstheme="majorHAnsi"/>
          <w:color w:val="000000"/>
          <w:sz w:val="22"/>
          <w:szCs w:val="22"/>
        </w:rPr>
        <w:t>(1), pp. 50-62.</w:t>
      </w:r>
    </w:p>
    <w:p w14:paraId="3B8E2A12"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 xml:space="preserve">Daneshfar, S. and Moharami, M. (2018) </w:t>
      </w:r>
      <w:r w:rsidRPr="007D39B5">
        <w:rPr>
          <w:rFonts w:asciiTheme="majorHAnsi" w:hAnsiTheme="majorHAnsi" w:cstheme="majorHAnsi"/>
          <w:i/>
          <w:iCs/>
          <w:color w:val="000000"/>
          <w:sz w:val="22"/>
          <w:szCs w:val="22"/>
        </w:rPr>
        <w:t>Dynamic assessment in Vygotsky’s sociocultural theory: Origins and main concepts.</w:t>
      </w:r>
      <w:r w:rsidRPr="007D39B5">
        <w:rPr>
          <w:rFonts w:asciiTheme="majorHAnsi" w:hAnsiTheme="majorHAnsi" w:cstheme="majorHAnsi"/>
          <w:color w:val="000000"/>
          <w:sz w:val="22"/>
          <w:szCs w:val="22"/>
        </w:rPr>
        <w:t> Journal of Language Teaching and Research</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9</w:t>
      </w:r>
      <w:r w:rsidRPr="007D39B5">
        <w:rPr>
          <w:rFonts w:asciiTheme="majorHAnsi" w:hAnsiTheme="majorHAnsi" w:cstheme="majorHAnsi"/>
          <w:color w:val="000000"/>
          <w:sz w:val="22"/>
          <w:szCs w:val="22"/>
        </w:rPr>
        <w:t>(3), pp. 600-607.</w:t>
      </w:r>
    </w:p>
    <w:p w14:paraId="57F0D50C"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 xml:space="preserve">De Bruin, A.B.H et al. (2023) </w:t>
      </w:r>
      <w:r w:rsidRPr="007D39B5">
        <w:rPr>
          <w:rFonts w:asciiTheme="majorHAnsi" w:hAnsiTheme="majorHAnsi" w:cstheme="majorHAnsi"/>
          <w:i/>
          <w:iCs/>
          <w:color w:val="000000"/>
          <w:sz w:val="22"/>
          <w:szCs w:val="22"/>
        </w:rPr>
        <w:t>Worth the effort: The start and stick to desirable difficulties (S2D2) framework</w:t>
      </w:r>
      <w:r w:rsidRPr="007D39B5">
        <w:rPr>
          <w:rFonts w:asciiTheme="majorHAnsi" w:hAnsiTheme="majorHAnsi" w:cstheme="majorHAnsi"/>
          <w:color w:val="000000"/>
          <w:sz w:val="22"/>
          <w:szCs w:val="22"/>
        </w:rPr>
        <w:t>. Educational psychology review</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35</w:t>
      </w:r>
      <w:r w:rsidRPr="007D39B5">
        <w:rPr>
          <w:rFonts w:asciiTheme="majorHAnsi" w:hAnsiTheme="majorHAnsi" w:cstheme="majorHAnsi"/>
          <w:color w:val="000000"/>
          <w:sz w:val="22"/>
          <w:szCs w:val="22"/>
        </w:rPr>
        <w:t>(2), pp. 41.</w:t>
      </w:r>
    </w:p>
    <w:p w14:paraId="4D2A0566"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 xml:space="preserve">Dettmers, S., Trautwein, U. and Ludtke, O. (2009) </w:t>
      </w:r>
      <w:r w:rsidRPr="007D39B5">
        <w:rPr>
          <w:rFonts w:asciiTheme="majorHAnsi" w:hAnsiTheme="majorHAnsi" w:cstheme="majorHAnsi"/>
          <w:i/>
          <w:iCs/>
          <w:color w:val="000000"/>
          <w:sz w:val="22"/>
          <w:szCs w:val="22"/>
        </w:rPr>
        <w:t>The relationship between homework time and achievement is not universal.</w:t>
      </w:r>
      <w:r w:rsidRPr="007D39B5">
        <w:rPr>
          <w:rFonts w:asciiTheme="majorHAnsi" w:hAnsiTheme="majorHAnsi" w:cstheme="majorHAnsi"/>
          <w:color w:val="000000"/>
          <w:sz w:val="22"/>
          <w:szCs w:val="22"/>
        </w:rPr>
        <w:t> School effectiveness and school improvement</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20</w:t>
      </w:r>
      <w:r w:rsidRPr="007D39B5">
        <w:rPr>
          <w:rFonts w:asciiTheme="majorHAnsi" w:hAnsiTheme="majorHAnsi" w:cstheme="majorHAnsi"/>
          <w:color w:val="000000"/>
          <w:sz w:val="22"/>
          <w:szCs w:val="22"/>
        </w:rPr>
        <w:t>(4), pp. 375-405.</w:t>
      </w:r>
    </w:p>
    <w:p w14:paraId="601E044D" w14:textId="77777777" w:rsidR="008A0AB2" w:rsidRPr="005308D5" w:rsidRDefault="008A0AB2" w:rsidP="008A0AB2">
      <w:pPr>
        <w:rPr>
          <w:rFonts w:asciiTheme="majorHAnsi" w:eastAsia="Times New Roman" w:hAnsiTheme="majorHAnsi" w:cstheme="majorHAnsi"/>
          <w:i/>
          <w:iCs/>
          <w:color w:val="000000" w:themeColor="text1"/>
          <w:sz w:val="22"/>
          <w:szCs w:val="22"/>
          <w:lang w:eastAsia="en-GB"/>
        </w:rPr>
      </w:pPr>
      <w:r w:rsidRPr="005308D5">
        <w:rPr>
          <w:rFonts w:asciiTheme="majorHAnsi" w:eastAsia="Times New Roman" w:hAnsiTheme="majorHAnsi" w:cstheme="majorHAnsi"/>
          <w:color w:val="000000" w:themeColor="text1"/>
          <w:sz w:val="22"/>
          <w:szCs w:val="22"/>
          <w:lang w:eastAsia="en-GB"/>
        </w:rPr>
        <w:t>Donaldson,</w:t>
      </w:r>
      <w:r>
        <w:rPr>
          <w:rFonts w:asciiTheme="majorHAnsi" w:eastAsia="Times New Roman" w:hAnsiTheme="majorHAnsi" w:cstheme="majorHAnsi"/>
          <w:color w:val="000000" w:themeColor="text1"/>
          <w:sz w:val="22"/>
          <w:szCs w:val="22"/>
          <w:lang w:eastAsia="en-GB"/>
        </w:rPr>
        <w:t xml:space="preserve"> </w:t>
      </w:r>
      <w:r w:rsidRPr="005308D5">
        <w:rPr>
          <w:rFonts w:asciiTheme="majorHAnsi" w:eastAsia="Times New Roman" w:hAnsiTheme="majorHAnsi" w:cstheme="majorHAnsi"/>
          <w:color w:val="000000" w:themeColor="text1"/>
          <w:sz w:val="22"/>
          <w:szCs w:val="22"/>
          <w:lang w:eastAsia="en-GB"/>
        </w:rPr>
        <w:t xml:space="preserve">G. (2015) </w:t>
      </w:r>
      <w:r w:rsidRPr="005308D5">
        <w:rPr>
          <w:rFonts w:asciiTheme="majorHAnsi" w:eastAsia="Times New Roman" w:hAnsiTheme="majorHAnsi" w:cstheme="majorHAnsi"/>
          <w:i/>
          <w:iCs/>
          <w:color w:val="000000" w:themeColor="text1"/>
          <w:sz w:val="22"/>
          <w:szCs w:val="22"/>
          <w:lang w:eastAsia="en-GB"/>
        </w:rPr>
        <w:t>Successful futures</w:t>
      </w:r>
      <w:r w:rsidR="001E1E8E">
        <w:rPr>
          <w:rFonts w:asciiTheme="majorHAnsi" w:eastAsia="Times New Roman" w:hAnsiTheme="majorHAnsi" w:cstheme="majorHAnsi"/>
          <w:i/>
          <w:iCs/>
          <w:color w:val="000000" w:themeColor="text1"/>
          <w:sz w:val="22"/>
          <w:szCs w:val="22"/>
          <w:lang w:eastAsia="en-GB"/>
        </w:rPr>
        <w:t xml:space="preserve"> </w:t>
      </w:r>
      <w:r w:rsidRPr="005308D5">
        <w:rPr>
          <w:rFonts w:asciiTheme="majorHAnsi" w:eastAsia="Times New Roman" w:hAnsiTheme="majorHAnsi" w:cstheme="majorHAnsi"/>
          <w:i/>
          <w:iCs/>
          <w:color w:val="000000" w:themeColor="text1"/>
          <w:sz w:val="22"/>
          <w:szCs w:val="22"/>
          <w:lang w:eastAsia="en-GB"/>
        </w:rPr>
        <w:t>:Independent review of curriculum and assessment arrangements in Wales. Available at: https://www.gov.wales/sites/default/files/publications/2018-03/successful-futures.pdf</w:t>
      </w:r>
      <w:r w:rsidR="001D61EE">
        <w:rPr>
          <w:rFonts w:asciiTheme="majorHAnsi" w:eastAsia="Times New Roman" w:hAnsiTheme="majorHAnsi" w:cstheme="majorHAnsi"/>
          <w:i/>
          <w:iCs/>
          <w:color w:val="000000" w:themeColor="text1"/>
          <w:sz w:val="22"/>
          <w:szCs w:val="22"/>
          <w:lang w:eastAsia="en-GB"/>
        </w:rPr>
        <w:t>.</w:t>
      </w:r>
    </w:p>
    <w:p w14:paraId="7A97ED8A"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 xml:space="preserve">Edens, K. and Shields, C. (2015) </w:t>
      </w:r>
      <w:r w:rsidRPr="007D39B5">
        <w:rPr>
          <w:rFonts w:asciiTheme="majorHAnsi" w:hAnsiTheme="majorHAnsi" w:cstheme="majorHAnsi"/>
          <w:i/>
          <w:iCs/>
          <w:color w:val="000000"/>
          <w:sz w:val="22"/>
          <w:szCs w:val="22"/>
        </w:rPr>
        <w:t>A Vygotskian approach to promote and formatively assess academic concept learning.</w:t>
      </w:r>
      <w:r w:rsidRPr="007D39B5">
        <w:rPr>
          <w:rFonts w:asciiTheme="majorHAnsi" w:hAnsiTheme="majorHAnsi" w:cstheme="majorHAnsi"/>
          <w:color w:val="000000"/>
          <w:sz w:val="22"/>
          <w:szCs w:val="22"/>
        </w:rPr>
        <w:t> Assessment and evaluation in higher education</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40</w:t>
      </w:r>
      <w:r w:rsidRPr="007D39B5">
        <w:rPr>
          <w:rFonts w:asciiTheme="majorHAnsi" w:hAnsiTheme="majorHAnsi" w:cstheme="majorHAnsi"/>
          <w:color w:val="000000"/>
          <w:sz w:val="22"/>
          <w:szCs w:val="22"/>
        </w:rPr>
        <w:t>(7), pp. 928-942.</w:t>
      </w:r>
    </w:p>
    <w:p w14:paraId="3180B2BB"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 xml:space="preserve">Elpidorou, A. (2018) </w:t>
      </w:r>
      <w:r w:rsidRPr="007D39B5">
        <w:rPr>
          <w:rFonts w:asciiTheme="majorHAnsi" w:hAnsiTheme="majorHAnsi" w:cstheme="majorHAnsi"/>
          <w:i/>
          <w:iCs/>
          <w:color w:val="000000"/>
          <w:sz w:val="22"/>
          <w:szCs w:val="22"/>
        </w:rPr>
        <w:t>The good of boredom</w:t>
      </w:r>
      <w:r w:rsidRPr="007D39B5">
        <w:rPr>
          <w:rFonts w:asciiTheme="majorHAnsi" w:hAnsiTheme="majorHAnsi" w:cstheme="majorHAnsi"/>
          <w:color w:val="000000"/>
          <w:sz w:val="22"/>
          <w:szCs w:val="22"/>
        </w:rPr>
        <w:t>. Philosophical psychology</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31</w:t>
      </w:r>
      <w:r w:rsidRPr="007D39B5">
        <w:rPr>
          <w:rFonts w:asciiTheme="majorHAnsi" w:hAnsiTheme="majorHAnsi" w:cstheme="majorHAnsi"/>
          <w:color w:val="000000"/>
          <w:sz w:val="22"/>
          <w:szCs w:val="22"/>
        </w:rPr>
        <w:t>(3), pp. 323-351.</w:t>
      </w:r>
    </w:p>
    <w:p w14:paraId="3155837B"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 xml:space="preserve">Gao, R. (2021) </w:t>
      </w:r>
      <w:r w:rsidRPr="007D39B5">
        <w:rPr>
          <w:rFonts w:asciiTheme="majorHAnsi" w:hAnsiTheme="majorHAnsi" w:cstheme="majorHAnsi"/>
          <w:i/>
          <w:iCs/>
          <w:color w:val="000000"/>
          <w:sz w:val="22"/>
          <w:szCs w:val="22"/>
        </w:rPr>
        <w:t>The vocabulary teaching mode based on the theory of constructivism</w:t>
      </w:r>
      <w:r w:rsidRPr="007D39B5">
        <w:rPr>
          <w:rFonts w:asciiTheme="majorHAnsi" w:hAnsiTheme="majorHAnsi" w:cstheme="majorHAnsi"/>
          <w:color w:val="000000"/>
          <w:sz w:val="22"/>
          <w:szCs w:val="22"/>
        </w:rPr>
        <w:t>. Theory and practice in language studies,</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11</w:t>
      </w:r>
      <w:r w:rsidRPr="007D39B5">
        <w:rPr>
          <w:rFonts w:asciiTheme="majorHAnsi" w:hAnsiTheme="majorHAnsi" w:cstheme="majorHAnsi"/>
          <w:color w:val="000000"/>
          <w:sz w:val="22"/>
          <w:szCs w:val="22"/>
        </w:rPr>
        <w:t>(4), pp. 442-446.</w:t>
      </w:r>
    </w:p>
    <w:p w14:paraId="38A1CD77" w14:textId="77777777" w:rsidR="008A0AB2" w:rsidRPr="007D39B5" w:rsidRDefault="008A0AB2" w:rsidP="008A0AB2">
      <w:pPr>
        <w:rPr>
          <w:rFonts w:asciiTheme="majorHAnsi" w:hAnsiTheme="majorHAnsi" w:cstheme="majorHAnsi"/>
          <w:color w:val="000000"/>
          <w:sz w:val="22"/>
          <w:szCs w:val="22"/>
        </w:rPr>
      </w:pPr>
      <w:r w:rsidRPr="007D39B5">
        <w:rPr>
          <w:rFonts w:asciiTheme="majorHAnsi" w:hAnsiTheme="majorHAnsi" w:cstheme="majorHAnsi"/>
          <w:color w:val="000000"/>
          <w:sz w:val="22"/>
          <w:szCs w:val="22"/>
        </w:rPr>
        <w:t xml:space="preserve">Haerlermans, C., Ghysels, J. and Prince, F. (2015) </w:t>
      </w:r>
      <w:r w:rsidRPr="007D39B5">
        <w:rPr>
          <w:rFonts w:asciiTheme="majorHAnsi" w:hAnsiTheme="majorHAnsi" w:cstheme="majorHAnsi"/>
          <w:i/>
          <w:iCs/>
          <w:color w:val="000000"/>
          <w:sz w:val="22"/>
          <w:szCs w:val="22"/>
        </w:rPr>
        <w:t>Increasing performance by differentiated teaching? Experimental evidence of the student benefits of digital differentiation.</w:t>
      </w:r>
      <w:r w:rsidRPr="007D39B5">
        <w:rPr>
          <w:rFonts w:asciiTheme="majorHAnsi" w:hAnsiTheme="majorHAnsi" w:cstheme="majorHAnsi"/>
          <w:color w:val="000000"/>
          <w:sz w:val="22"/>
          <w:szCs w:val="22"/>
        </w:rPr>
        <w:t> British journal of educational technology,</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46</w:t>
      </w:r>
      <w:r w:rsidRPr="007D39B5">
        <w:rPr>
          <w:rFonts w:asciiTheme="majorHAnsi" w:hAnsiTheme="majorHAnsi" w:cstheme="majorHAnsi"/>
          <w:color w:val="000000"/>
          <w:sz w:val="22"/>
          <w:szCs w:val="22"/>
        </w:rPr>
        <w:t>(6), pp. 1161-1174</w:t>
      </w:r>
      <w:r w:rsidR="001D61EE">
        <w:rPr>
          <w:rFonts w:asciiTheme="majorHAnsi" w:hAnsiTheme="majorHAnsi" w:cstheme="majorHAnsi"/>
          <w:color w:val="000000"/>
          <w:sz w:val="22"/>
          <w:szCs w:val="22"/>
        </w:rPr>
        <w:t>.</w:t>
      </w:r>
    </w:p>
    <w:p w14:paraId="32542885"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Mann, S. and Cadman, R. (2014) Does being bored make us more creative? </w:t>
      </w:r>
      <w:r w:rsidRPr="007D39B5">
        <w:rPr>
          <w:rFonts w:asciiTheme="majorHAnsi" w:hAnsiTheme="majorHAnsi" w:cstheme="majorHAnsi"/>
          <w:i/>
          <w:iCs/>
          <w:color w:val="000000"/>
          <w:sz w:val="22"/>
          <w:szCs w:val="22"/>
        </w:rPr>
        <w:t>Creativity research journal, </w:t>
      </w:r>
      <w:r w:rsidRPr="007D39B5">
        <w:rPr>
          <w:rFonts w:asciiTheme="majorHAnsi" w:hAnsiTheme="majorHAnsi" w:cstheme="majorHAnsi"/>
          <w:b/>
          <w:bCs/>
          <w:color w:val="000000"/>
          <w:sz w:val="22"/>
          <w:szCs w:val="22"/>
        </w:rPr>
        <w:t>26</w:t>
      </w:r>
      <w:r w:rsidRPr="007D39B5">
        <w:rPr>
          <w:rFonts w:asciiTheme="majorHAnsi" w:hAnsiTheme="majorHAnsi" w:cstheme="majorHAnsi"/>
          <w:color w:val="000000"/>
          <w:sz w:val="22"/>
          <w:szCs w:val="22"/>
        </w:rPr>
        <w:t>(2), pp. 165-173.</w:t>
      </w:r>
    </w:p>
    <w:p w14:paraId="61A34B6F"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lastRenderedPageBreak/>
        <w:t>Mestad, I. and Kolsto, S.D. (2014)</w:t>
      </w:r>
      <w:r w:rsidRPr="007D39B5">
        <w:rPr>
          <w:rFonts w:asciiTheme="majorHAnsi" w:hAnsiTheme="majorHAnsi" w:cstheme="majorHAnsi"/>
          <w:i/>
          <w:iCs/>
          <w:color w:val="000000"/>
          <w:sz w:val="22"/>
          <w:szCs w:val="22"/>
        </w:rPr>
        <w:t xml:space="preserve"> Using the concept of zone of proximal development to explore the challenges of and opportunities in designing discourse activities based on practical work.</w:t>
      </w:r>
      <w:r w:rsidRPr="007D39B5">
        <w:rPr>
          <w:rFonts w:asciiTheme="majorHAnsi" w:hAnsiTheme="majorHAnsi" w:cstheme="majorHAnsi"/>
          <w:color w:val="000000"/>
          <w:sz w:val="22"/>
          <w:szCs w:val="22"/>
        </w:rPr>
        <w:t> Science education (Salem, Mass.),</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98</w:t>
      </w:r>
      <w:r w:rsidRPr="007D39B5">
        <w:rPr>
          <w:rFonts w:asciiTheme="majorHAnsi" w:hAnsiTheme="majorHAnsi" w:cstheme="majorHAnsi"/>
          <w:color w:val="000000"/>
          <w:sz w:val="22"/>
          <w:szCs w:val="22"/>
        </w:rPr>
        <w:t>(6), pp. 1054-1076.</w:t>
      </w:r>
    </w:p>
    <w:p w14:paraId="5091C85A"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Nakamura, S., Darasawang, P</w:t>
      </w:r>
      <w:r>
        <w:rPr>
          <w:rFonts w:asciiTheme="majorHAnsi" w:hAnsiTheme="majorHAnsi" w:cstheme="majorHAnsi"/>
          <w:color w:val="000000"/>
          <w:sz w:val="22"/>
          <w:szCs w:val="22"/>
        </w:rPr>
        <w:t>.</w:t>
      </w:r>
      <w:r w:rsidRPr="007D39B5">
        <w:rPr>
          <w:rFonts w:asciiTheme="majorHAnsi" w:hAnsiTheme="majorHAnsi" w:cstheme="majorHAnsi"/>
          <w:color w:val="000000"/>
          <w:sz w:val="22"/>
          <w:szCs w:val="22"/>
        </w:rPr>
        <w:t xml:space="preserve"> and Reinders, H. (2021)</w:t>
      </w:r>
      <w:r w:rsidRPr="007D39B5">
        <w:rPr>
          <w:rFonts w:asciiTheme="majorHAnsi" w:hAnsiTheme="majorHAnsi" w:cstheme="majorHAnsi"/>
          <w:i/>
          <w:iCs/>
          <w:color w:val="000000"/>
          <w:sz w:val="22"/>
          <w:szCs w:val="22"/>
        </w:rPr>
        <w:t xml:space="preserve"> The antecedents of boredom in L2 classroom learning.</w:t>
      </w:r>
      <w:r w:rsidRPr="007D39B5">
        <w:rPr>
          <w:rFonts w:asciiTheme="majorHAnsi" w:hAnsiTheme="majorHAnsi" w:cstheme="majorHAnsi"/>
          <w:color w:val="000000"/>
          <w:sz w:val="22"/>
          <w:szCs w:val="22"/>
        </w:rPr>
        <w:t> System (Linköping),</w:t>
      </w:r>
      <w:r w:rsidRPr="007D39B5">
        <w:rPr>
          <w:rFonts w:asciiTheme="majorHAnsi" w:hAnsiTheme="majorHAnsi" w:cstheme="majorHAnsi"/>
          <w:i/>
          <w:iCs/>
          <w:color w:val="000000"/>
          <w:sz w:val="22"/>
          <w:szCs w:val="22"/>
        </w:rPr>
        <w:t> </w:t>
      </w:r>
      <w:r w:rsidRPr="007D39B5">
        <w:rPr>
          <w:rFonts w:asciiTheme="majorHAnsi" w:hAnsiTheme="majorHAnsi" w:cstheme="majorHAnsi"/>
          <w:b/>
          <w:bCs/>
          <w:color w:val="000000"/>
          <w:sz w:val="22"/>
          <w:szCs w:val="22"/>
        </w:rPr>
        <w:t>98</w:t>
      </w:r>
      <w:r w:rsidRPr="007D39B5">
        <w:rPr>
          <w:rFonts w:asciiTheme="majorHAnsi" w:hAnsiTheme="majorHAnsi" w:cstheme="majorHAnsi"/>
          <w:color w:val="000000"/>
          <w:sz w:val="22"/>
          <w:szCs w:val="22"/>
        </w:rPr>
        <w:t>, pp. 102469.</w:t>
      </w:r>
    </w:p>
    <w:p w14:paraId="03BFF52C"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Pawlak, M., Kruk, M. and Zawdoniak, J. (2022) </w:t>
      </w:r>
      <w:r w:rsidRPr="007D39B5">
        <w:rPr>
          <w:rFonts w:asciiTheme="majorHAnsi" w:hAnsiTheme="majorHAnsi" w:cstheme="majorHAnsi"/>
          <w:i/>
          <w:iCs/>
          <w:color w:val="000000"/>
          <w:sz w:val="22"/>
          <w:szCs w:val="22"/>
        </w:rPr>
        <w:t>Investigating individual trajectories in experiencing boredom in the language classroom: The case of 11 Polish students of English. </w:t>
      </w:r>
      <w:r w:rsidRPr="007D39B5">
        <w:rPr>
          <w:rFonts w:asciiTheme="majorHAnsi" w:hAnsiTheme="majorHAnsi" w:cstheme="majorHAnsi"/>
          <w:color w:val="000000"/>
          <w:sz w:val="22"/>
          <w:szCs w:val="22"/>
        </w:rPr>
        <w:t>SAGE Publications.</w:t>
      </w:r>
    </w:p>
    <w:p w14:paraId="762D4F9B" w14:textId="77777777" w:rsidR="008A0AB2" w:rsidRPr="007D39B5" w:rsidRDefault="008A0AB2" w:rsidP="008A0AB2">
      <w:pPr>
        <w:pStyle w:val="NormalWeb"/>
        <w:shd w:val="clear" w:color="auto" w:fill="FFFFFF"/>
        <w:spacing w:before="0" w:beforeAutospacing="0" w:after="173" w:afterAutospacing="0"/>
        <w:rPr>
          <w:rFonts w:asciiTheme="majorHAnsi" w:hAnsiTheme="majorHAnsi" w:cstheme="majorHAnsi"/>
          <w:color w:val="000000"/>
          <w:sz w:val="22"/>
          <w:szCs w:val="22"/>
        </w:rPr>
      </w:pPr>
      <w:r w:rsidRPr="007D39B5">
        <w:rPr>
          <w:rFonts w:asciiTheme="majorHAnsi" w:hAnsiTheme="majorHAnsi" w:cstheme="majorHAnsi"/>
          <w:color w:val="000000"/>
          <w:sz w:val="22"/>
          <w:szCs w:val="22"/>
        </w:rPr>
        <w:t>Solhi, M. (2021</w:t>
      </w:r>
      <w:r w:rsidRPr="007D39B5">
        <w:rPr>
          <w:rFonts w:asciiTheme="majorHAnsi" w:hAnsiTheme="majorHAnsi" w:cstheme="majorHAnsi"/>
          <w:i/>
          <w:iCs/>
          <w:color w:val="000000"/>
          <w:sz w:val="22"/>
          <w:szCs w:val="22"/>
        </w:rPr>
        <w:t>) University students' multidimensional state boredom and strategies to cope with classroom boredom.</w:t>
      </w:r>
      <w:r w:rsidRPr="007D39B5">
        <w:rPr>
          <w:rFonts w:asciiTheme="majorHAnsi" w:hAnsiTheme="majorHAnsi" w:cstheme="majorHAnsi"/>
          <w:color w:val="000000"/>
          <w:sz w:val="22"/>
          <w:szCs w:val="22"/>
        </w:rPr>
        <w:t> Journal of language and education, </w:t>
      </w:r>
      <w:r w:rsidRPr="007D39B5">
        <w:rPr>
          <w:rFonts w:asciiTheme="majorHAnsi" w:hAnsiTheme="majorHAnsi" w:cstheme="majorHAnsi"/>
          <w:b/>
          <w:bCs/>
          <w:color w:val="000000"/>
          <w:sz w:val="22"/>
          <w:szCs w:val="22"/>
        </w:rPr>
        <w:t>7</w:t>
      </w:r>
      <w:r w:rsidRPr="007D39B5">
        <w:rPr>
          <w:rFonts w:asciiTheme="majorHAnsi" w:hAnsiTheme="majorHAnsi" w:cstheme="majorHAnsi"/>
          <w:color w:val="000000"/>
          <w:sz w:val="22"/>
          <w:szCs w:val="22"/>
        </w:rPr>
        <w:t>(2), pp. 204-222.</w:t>
      </w:r>
    </w:p>
    <w:p w14:paraId="4353D71C" w14:textId="77777777" w:rsidR="008A0AB2" w:rsidRPr="005308D5" w:rsidRDefault="008A0AB2" w:rsidP="008A0AB2">
      <w:pPr>
        <w:rPr>
          <w:rFonts w:asciiTheme="majorHAnsi" w:hAnsiTheme="majorHAnsi" w:cstheme="majorHAnsi"/>
          <w:color w:val="000000" w:themeColor="text1"/>
          <w:sz w:val="22"/>
          <w:szCs w:val="22"/>
        </w:rPr>
      </w:pPr>
      <w:r w:rsidRPr="005308D5">
        <w:rPr>
          <w:rFonts w:asciiTheme="majorHAnsi" w:hAnsiTheme="majorHAnsi" w:cstheme="majorHAnsi"/>
          <w:color w:val="000000" w:themeColor="text1"/>
          <w:sz w:val="22"/>
          <w:szCs w:val="22"/>
        </w:rPr>
        <w:t xml:space="preserve">Taylor S. (2017) </w:t>
      </w:r>
      <w:r w:rsidRPr="005308D5">
        <w:rPr>
          <w:rFonts w:asciiTheme="majorHAnsi" w:hAnsiTheme="majorHAnsi" w:cstheme="majorHAnsi"/>
          <w:i/>
          <w:iCs/>
          <w:color w:val="000000" w:themeColor="text1"/>
          <w:sz w:val="22"/>
          <w:szCs w:val="22"/>
        </w:rPr>
        <w:t>Contested knowledge:</w:t>
      </w:r>
      <w:r w:rsidR="001E1E8E">
        <w:rPr>
          <w:rFonts w:asciiTheme="majorHAnsi" w:hAnsiTheme="majorHAnsi" w:cstheme="majorHAnsi"/>
          <w:i/>
          <w:iCs/>
          <w:color w:val="000000" w:themeColor="text1"/>
          <w:sz w:val="22"/>
          <w:szCs w:val="22"/>
        </w:rPr>
        <w:t>A</w:t>
      </w:r>
      <w:r w:rsidRPr="005308D5">
        <w:rPr>
          <w:rFonts w:asciiTheme="majorHAnsi" w:hAnsiTheme="majorHAnsi" w:cstheme="majorHAnsi"/>
          <w:i/>
          <w:iCs/>
          <w:color w:val="000000" w:themeColor="text1"/>
          <w:sz w:val="22"/>
          <w:szCs w:val="22"/>
        </w:rPr>
        <w:t xml:space="preserve"> critical review of the concept of differentiation in teaching and learning. </w:t>
      </w:r>
      <w:r w:rsidRPr="005308D5">
        <w:rPr>
          <w:rFonts w:asciiTheme="majorHAnsi" w:hAnsiTheme="majorHAnsi" w:cstheme="majorHAnsi"/>
          <w:color w:val="000000" w:themeColor="text1"/>
          <w:sz w:val="22"/>
          <w:szCs w:val="22"/>
        </w:rPr>
        <w:t>Vol 1</w:t>
      </w:r>
      <w:r w:rsidRPr="005308D5">
        <w:rPr>
          <w:rFonts w:asciiTheme="majorHAnsi" w:hAnsiTheme="majorHAnsi" w:cstheme="majorHAnsi"/>
          <w:i/>
          <w:iCs/>
          <w:color w:val="000000" w:themeColor="text1"/>
          <w:sz w:val="22"/>
          <w:szCs w:val="22"/>
        </w:rPr>
        <w:t xml:space="preserve">. </w:t>
      </w:r>
      <w:r w:rsidRPr="005308D5">
        <w:rPr>
          <w:rFonts w:asciiTheme="majorHAnsi" w:hAnsiTheme="majorHAnsi" w:cstheme="majorHAnsi"/>
          <w:color w:val="000000" w:themeColor="text1"/>
          <w:sz w:val="22"/>
          <w:szCs w:val="22"/>
        </w:rPr>
        <w:t>Warwick journal of education.</w:t>
      </w:r>
    </w:p>
    <w:p w14:paraId="027012EF" w14:textId="77777777" w:rsidR="008A0AB2" w:rsidRPr="005308D5" w:rsidRDefault="008A0AB2" w:rsidP="008A0AB2">
      <w:pPr>
        <w:rPr>
          <w:rFonts w:asciiTheme="majorHAnsi" w:hAnsiTheme="majorHAnsi" w:cstheme="majorHAnsi"/>
          <w:color w:val="000000" w:themeColor="text1"/>
          <w:sz w:val="22"/>
          <w:szCs w:val="22"/>
        </w:rPr>
      </w:pPr>
      <w:r w:rsidRPr="005308D5">
        <w:rPr>
          <w:rFonts w:asciiTheme="majorHAnsi" w:hAnsiTheme="majorHAnsi" w:cstheme="majorHAnsi"/>
          <w:color w:val="000000" w:themeColor="text1"/>
          <w:sz w:val="22"/>
          <w:szCs w:val="22"/>
        </w:rPr>
        <w:t xml:space="preserve">Tomlinson C.A. (2008) </w:t>
      </w:r>
      <w:r w:rsidRPr="005308D5">
        <w:rPr>
          <w:rFonts w:asciiTheme="majorHAnsi" w:hAnsiTheme="majorHAnsi" w:cstheme="majorHAnsi"/>
          <w:i/>
          <w:iCs/>
          <w:color w:val="000000" w:themeColor="text1"/>
          <w:sz w:val="22"/>
          <w:szCs w:val="22"/>
        </w:rPr>
        <w:t>The goals of differentiation</w:t>
      </w:r>
      <w:r w:rsidRPr="005308D5">
        <w:rPr>
          <w:rFonts w:asciiTheme="majorHAnsi" w:hAnsiTheme="majorHAnsi" w:cstheme="majorHAnsi"/>
          <w:color w:val="000000" w:themeColor="text1"/>
          <w:sz w:val="22"/>
          <w:szCs w:val="22"/>
        </w:rPr>
        <w:t>. Vol 66. Educational leadership</w:t>
      </w:r>
      <w:r w:rsidR="001D61EE">
        <w:rPr>
          <w:rFonts w:asciiTheme="majorHAnsi" w:hAnsiTheme="majorHAnsi" w:cstheme="majorHAnsi"/>
          <w:color w:val="000000" w:themeColor="text1"/>
          <w:sz w:val="22"/>
          <w:szCs w:val="22"/>
        </w:rPr>
        <w:t>.</w:t>
      </w:r>
    </w:p>
    <w:p w14:paraId="2093126C" w14:textId="77777777" w:rsidR="008A0AB2" w:rsidRDefault="008A0AB2" w:rsidP="008A0AB2">
      <w:pPr>
        <w:rPr>
          <w:rFonts w:asciiTheme="majorHAnsi" w:hAnsiTheme="majorHAnsi" w:cstheme="majorHAnsi"/>
          <w:color w:val="000000" w:themeColor="text1"/>
          <w:sz w:val="22"/>
          <w:szCs w:val="22"/>
        </w:rPr>
      </w:pPr>
      <w:r w:rsidRPr="007D39B5">
        <w:rPr>
          <w:rFonts w:asciiTheme="majorHAnsi" w:hAnsiTheme="majorHAnsi" w:cstheme="majorHAnsi"/>
          <w:color w:val="000000" w:themeColor="text1"/>
          <w:sz w:val="22"/>
          <w:szCs w:val="22"/>
        </w:rPr>
        <w:t>Tripp, D. (</w:t>
      </w:r>
      <w:r>
        <w:rPr>
          <w:rFonts w:asciiTheme="majorHAnsi" w:hAnsiTheme="majorHAnsi" w:cstheme="majorHAnsi"/>
          <w:color w:val="000000" w:themeColor="text1"/>
          <w:sz w:val="22"/>
          <w:szCs w:val="22"/>
        </w:rPr>
        <w:t>1993</w:t>
      </w:r>
      <w:r w:rsidRPr="007D39B5">
        <w:rPr>
          <w:rFonts w:asciiTheme="majorHAnsi" w:hAnsiTheme="majorHAnsi" w:cstheme="majorHAnsi"/>
          <w:color w:val="000000" w:themeColor="text1"/>
          <w:sz w:val="22"/>
          <w:szCs w:val="22"/>
        </w:rPr>
        <w:t xml:space="preserve">) </w:t>
      </w:r>
      <w:r w:rsidRPr="007D39B5">
        <w:rPr>
          <w:rFonts w:asciiTheme="majorHAnsi" w:hAnsiTheme="majorHAnsi" w:cstheme="majorHAnsi"/>
          <w:i/>
          <w:iCs/>
          <w:color w:val="000000" w:themeColor="text1"/>
          <w:sz w:val="22"/>
          <w:szCs w:val="22"/>
        </w:rPr>
        <w:t xml:space="preserve">Critical incidents in teaching (Classic Edition) : </w:t>
      </w:r>
      <w:r w:rsidR="001E1E8E">
        <w:rPr>
          <w:rFonts w:asciiTheme="majorHAnsi" w:hAnsiTheme="majorHAnsi" w:cstheme="majorHAnsi"/>
          <w:i/>
          <w:iCs/>
          <w:color w:val="000000" w:themeColor="text1"/>
          <w:sz w:val="22"/>
          <w:szCs w:val="22"/>
        </w:rPr>
        <w:t>D</w:t>
      </w:r>
      <w:r w:rsidRPr="007D39B5">
        <w:rPr>
          <w:rFonts w:asciiTheme="majorHAnsi" w:hAnsiTheme="majorHAnsi" w:cstheme="majorHAnsi"/>
          <w:i/>
          <w:iCs/>
          <w:color w:val="000000" w:themeColor="text1"/>
          <w:sz w:val="22"/>
          <w:szCs w:val="22"/>
        </w:rPr>
        <w:t>eveloping professional judgement</w:t>
      </w:r>
      <w:r w:rsidRPr="007D39B5">
        <w:rPr>
          <w:rFonts w:asciiTheme="majorHAnsi" w:hAnsiTheme="majorHAnsi" w:cstheme="majorHAnsi"/>
          <w:color w:val="000000" w:themeColor="text1"/>
          <w:sz w:val="22"/>
          <w:szCs w:val="22"/>
        </w:rPr>
        <w:t>. London: Taylor &amp; Francis Group. Available from: ProQuest Ebook Central.</w:t>
      </w:r>
    </w:p>
    <w:p w14:paraId="45368A89" w14:textId="77777777" w:rsidR="001D61EE" w:rsidRPr="007D39B5" w:rsidRDefault="001D61EE" w:rsidP="008A0AB2">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 xml:space="preserve">Tze, V.M.C., Daniels, L.M. and Klassen, R.M. (2016) </w:t>
      </w:r>
      <w:r w:rsidRPr="001D61EE">
        <w:rPr>
          <w:rFonts w:asciiTheme="majorHAnsi" w:hAnsiTheme="majorHAnsi" w:cstheme="majorHAnsi"/>
          <w:i/>
          <w:iCs/>
          <w:color w:val="000000" w:themeColor="text1"/>
          <w:sz w:val="22"/>
          <w:szCs w:val="22"/>
        </w:rPr>
        <w:t>Evaluating the relationship between boredom and academic outcomes: A meta-analysis</w:t>
      </w:r>
      <w:r>
        <w:rPr>
          <w:rFonts w:asciiTheme="majorHAnsi" w:hAnsiTheme="majorHAnsi" w:cstheme="majorHAnsi"/>
          <w:color w:val="000000" w:themeColor="text1"/>
          <w:sz w:val="22"/>
          <w:szCs w:val="22"/>
        </w:rPr>
        <w:t xml:space="preserve">. Educational psychology review, </w:t>
      </w:r>
      <w:r w:rsidRPr="001D61EE">
        <w:rPr>
          <w:rFonts w:asciiTheme="majorHAnsi" w:hAnsiTheme="majorHAnsi" w:cstheme="majorHAnsi"/>
          <w:b/>
          <w:bCs/>
          <w:color w:val="000000" w:themeColor="text1"/>
          <w:sz w:val="22"/>
          <w:szCs w:val="22"/>
        </w:rPr>
        <w:t>28</w:t>
      </w:r>
      <w:r>
        <w:rPr>
          <w:rFonts w:asciiTheme="majorHAnsi" w:hAnsiTheme="majorHAnsi" w:cstheme="majorHAnsi"/>
          <w:color w:val="000000" w:themeColor="text1"/>
          <w:sz w:val="22"/>
          <w:szCs w:val="22"/>
        </w:rPr>
        <w:t>(1), pp. 119-144.</w:t>
      </w:r>
    </w:p>
    <w:p w14:paraId="586D7752" w14:textId="77777777" w:rsidR="008A0AB2" w:rsidRPr="005308D5" w:rsidRDefault="008A0AB2" w:rsidP="008A0AB2">
      <w:pPr>
        <w:spacing w:before="100" w:beforeAutospacing="1" w:after="100" w:afterAutospacing="1" w:line="240" w:lineRule="auto"/>
        <w:jc w:val="left"/>
        <w:rPr>
          <w:rFonts w:asciiTheme="majorHAnsi" w:eastAsia="Times New Roman" w:hAnsiTheme="majorHAnsi" w:cstheme="majorHAnsi"/>
          <w:color w:val="000000" w:themeColor="text1"/>
          <w:sz w:val="22"/>
          <w:szCs w:val="22"/>
          <w:lang w:eastAsia="en-GB"/>
        </w:rPr>
      </w:pPr>
      <w:r w:rsidRPr="005308D5">
        <w:rPr>
          <w:rFonts w:asciiTheme="majorHAnsi" w:eastAsia="Times New Roman" w:hAnsiTheme="majorHAnsi" w:cstheme="majorHAnsi"/>
          <w:color w:val="000000" w:themeColor="text1"/>
          <w:sz w:val="22"/>
          <w:szCs w:val="22"/>
          <w:lang w:eastAsia="en-GB"/>
        </w:rPr>
        <w:t xml:space="preserve">Wales Gov. (2017) </w:t>
      </w:r>
      <w:r w:rsidRPr="005308D5">
        <w:rPr>
          <w:rFonts w:asciiTheme="majorHAnsi" w:eastAsia="Times New Roman" w:hAnsiTheme="majorHAnsi" w:cstheme="majorHAnsi"/>
          <w:i/>
          <w:iCs/>
          <w:color w:val="000000" w:themeColor="text1"/>
          <w:sz w:val="22"/>
          <w:szCs w:val="22"/>
          <w:lang w:eastAsia="en-GB"/>
        </w:rPr>
        <w:t>Professional standards for teaching and leadership</w:t>
      </w:r>
      <w:r w:rsidRPr="005308D5">
        <w:rPr>
          <w:rFonts w:asciiTheme="majorHAnsi" w:eastAsia="Times New Roman" w:hAnsiTheme="majorHAnsi" w:cstheme="majorHAnsi"/>
          <w:color w:val="000000" w:themeColor="text1"/>
          <w:sz w:val="22"/>
          <w:szCs w:val="22"/>
          <w:lang w:eastAsia="en-GB"/>
        </w:rPr>
        <w:t>. Hwb. Available at: https://hwb.gov.wales/api/storage/19bc948b-8a3f-41e0-944a-7bf2cadf7d18/professional-standards-for-teaching-and-leadership-interactive-pdf-for-pc.pdf</w:t>
      </w:r>
      <w:r w:rsidR="001D61EE">
        <w:rPr>
          <w:rFonts w:asciiTheme="majorHAnsi" w:eastAsia="Times New Roman" w:hAnsiTheme="majorHAnsi" w:cstheme="majorHAnsi"/>
          <w:color w:val="000000" w:themeColor="text1"/>
          <w:sz w:val="22"/>
          <w:szCs w:val="22"/>
          <w:lang w:eastAsia="en-GB"/>
        </w:rPr>
        <w:t>.</w:t>
      </w:r>
    </w:p>
    <w:p w14:paraId="7A875E8D" w14:textId="77777777" w:rsidR="008A0AB2" w:rsidRPr="007D39B5" w:rsidRDefault="008A0AB2" w:rsidP="008A0AB2">
      <w:pPr>
        <w:rPr>
          <w:rFonts w:asciiTheme="majorHAnsi" w:eastAsia="Times New Roman" w:hAnsiTheme="majorHAnsi" w:cstheme="majorHAnsi"/>
          <w:color w:val="000000" w:themeColor="text1"/>
          <w:sz w:val="22"/>
          <w:szCs w:val="22"/>
          <w:lang w:eastAsia="en-GB"/>
        </w:rPr>
      </w:pPr>
      <w:r w:rsidRPr="005308D5">
        <w:rPr>
          <w:rFonts w:asciiTheme="majorHAnsi" w:eastAsia="Times New Roman" w:hAnsiTheme="majorHAnsi" w:cstheme="majorHAnsi"/>
          <w:color w:val="000000" w:themeColor="text1"/>
          <w:sz w:val="22"/>
          <w:szCs w:val="22"/>
          <w:lang w:eastAsia="en-GB"/>
        </w:rPr>
        <w:t xml:space="preserve">Woolfolk, A. (2016) </w:t>
      </w:r>
      <w:r w:rsidRPr="005308D5">
        <w:rPr>
          <w:rFonts w:asciiTheme="majorHAnsi" w:eastAsia="Times New Roman" w:hAnsiTheme="majorHAnsi" w:cstheme="majorHAnsi"/>
          <w:i/>
          <w:iCs/>
          <w:color w:val="000000" w:themeColor="text1"/>
          <w:sz w:val="22"/>
          <w:szCs w:val="22"/>
          <w:lang w:eastAsia="en-GB"/>
        </w:rPr>
        <w:t>Educational psychology</w:t>
      </w:r>
      <w:r w:rsidRPr="005308D5">
        <w:rPr>
          <w:rFonts w:asciiTheme="majorHAnsi" w:eastAsia="Times New Roman" w:hAnsiTheme="majorHAnsi" w:cstheme="majorHAnsi"/>
          <w:color w:val="000000" w:themeColor="text1"/>
          <w:sz w:val="22"/>
          <w:szCs w:val="22"/>
          <w:lang w:eastAsia="en-GB"/>
        </w:rPr>
        <w:t xml:space="preserve"> (Thirteenth, global edition.). Pearson, pp 495.</w:t>
      </w:r>
    </w:p>
    <w:p w14:paraId="3643384A" w14:textId="77777777" w:rsidR="008A0AB2" w:rsidRPr="00135F35" w:rsidRDefault="008A0AB2" w:rsidP="00986994">
      <w:pPr>
        <w:rPr>
          <w:rFonts w:asciiTheme="majorHAnsi" w:eastAsia="Times New Roman" w:hAnsiTheme="majorHAnsi" w:cstheme="majorHAnsi"/>
          <w:color w:val="000000" w:themeColor="text1"/>
          <w:lang w:eastAsia="en-GB"/>
        </w:rPr>
      </w:pPr>
    </w:p>
    <w:sectPr w:rsidR="008A0AB2" w:rsidRPr="00135F35" w:rsidSect="00132D1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E8F"/>
    <w:rsid w:val="000D33E7"/>
    <w:rsid w:val="00132D17"/>
    <w:rsid w:val="00135F35"/>
    <w:rsid w:val="001D61EE"/>
    <w:rsid w:val="001E1E8E"/>
    <w:rsid w:val="002B5CE3"/>
    <w:rsid w:val="002D0DED"/>
    <w:rsid w:val="00342D69"/>
    <w:rsid w:val="00401AD3"/>
    <w:rsid w:val="004B7443"/>
    <w:rsid w:val="006728DD"/>
    <w:rsid w:val="006D6BBE"/>
    <w:rsid w:val="007F7A2C"/>
    <w:rsid w:val="008A0AB2"/>
    <w:rsid w:val="00986994"/>
    <w:rsid w:val="00A517F8"/>
    <w:rsid w:val="00B024B9"/>
    <w:rsid w:val="00BE5931"/>
    <w:rsid w:val="00D20429"/>
    <w:rsid w:val="00D40F7F"/>
    <w:rsid w:val="00D56E8F"/>
    <w:rsid w:val="00DD2658"/>
    <w:rsid w:val="00DF4B3A"/>
    <w:rsid w:val="00E07AD6"/>
    <w:rsid w:val="00EA634F"/>
    <w:rsid w:val="00F54626"/>
    <w:rsid w:val="00FB1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D306B7"/>
  <w15:chartTrackingRefBased/>
  <w15:docId w15:val="{35CB79EB-CB60-1047-BE44-35E84BDE3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E8F"/>
    <w:pPr>
      <w:spacing w:after="200" w:line="276" w:lineRule="auto"/>
      <w:jc w:val="both"/>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5F35"/>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A0AB2"/>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A0AB2"/>
    <w:rPr>
      <w:rFonts w:ascii="Times New Roman" w:eastAsiaTheme="minorEastAsia"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7646044">
      <w:bodyDiv w:val="1"/>
      <w:marLeft w:val="0"/>
      <w:marRight w:val="0"/>
      <w:marTop w:val="0"/>
      <w:marBottom w:val="0"/>
      <w:divBdr>
        <w:top w:val="none" w:sz="0" w:space="0" w:color="auto"/>
        <w:left w:val="none" w:sz="0" w:space="0" w:color="auto"/>
        <w:bottom w:val="none" w:sz="0" w:space="0" w:color="auto"/>
        <w:right w:val="none" w:sz="0" w:space="0" w:color="auto"/>
      </w:divBdr>
      <w:divsChild>
        <w:div w:id="112478714">
          <w:marLeft w:val="0"/>
          <w:marRight w:val="0"/>
          <w:marTop w:val="0"/>
          <w:marBottom w:val="0"/>
          <w:divBdr>
            <w:top w:val="none" w:sz="0" w:space="0" w:color="auto"/>
            <w:left w:val="none" w:sz="0" w:space="0" w:color="auto"/>
            <w:bottom w:val="none" w:sz="0" w:space="0" w:color="auto"/>
            <w:right w:val="none" w:sz="0" w:space="0" w:color="auto"/>
          </w:divBdr>
          <w:divsChild>
            <w:div w:id="725446487">
              <w:marLeft w:val="0"/>
              <w:marRight w:val="0"/>
              <w:marTop w:val="0"/>
              <w:marBottom w:val="0"/>
              <w:divBdr>
                <w:top w:val="none" w:sz="0" w:space="0" w:color="auto"/>
                <w:left w:val="none" w:sz="0" w:space="0" w:color="auto"/>
                <w:bottom w:val="none" w:sz="0" w:space="0" w:color="auto"/>
                <w:right w:val="none" w:sz="0" w:space="0" w:color="auto"/>
              </w:divBdr>
              <w:divsChild>
                <w:div w:id="154463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012305">
      <w:bodyDiv w:val="1"/>
      <w:marLeft w:val="0"/>
      <w:marRight w:val="0"/>
      <w:marTop w:val="0"/>
      <w:marBottom w:val="0"/>
      <w:divBdr>
        <w:top w:val="none" w:sz="0" w:space="0" w:color="auto"/>
        <w:left w:val="none" w:sz="0" w:space="0" w:color="auto"/>
        <w:bottom w:val="none" w:sz="0" w:space="0" w:color="auto"/>
        <w:right w:val="none" w:sz="0" w:space="0" w:color="auto"/>
      </w:divBdr>
      <w:divsChild>
        <w:div w:id="1460222988">
          <w:marLeft w:val="0"/>
          <w:marRight w:val="0"/>
          <w:marTop w:val="0"/>
          <w:marBottom w:val="0"/>
          <w:divBdr>
            <w:top w:val="none" w:sz="0" w:space="0" w:color="auto"/>
            <w:left w:val="none" w:sz="0" w:space="0" w:color="auto"/>
            <w:bottom w:val="none" w:sz="0" w:space="0" w:color="auto"/>
            <w:right w:val="none" w:sz="0" w:space="0" w:color="auto"/>
          </w:divBdr>
          <w:divsChild>
            <w:div w:id="1139297531">
              <w:marLeft w:val="0"/>
              <w:marRight w:val="0"/>
              <w:marTop w:val="0"/>
              <w:marBottom w:val="0"/>
              <w:divBdr>
                <w:top w:val="none" w:sz="0" w:space="0" w:color="auto"/>
                <w:left w:val="none" w:sz="0" w:space="0" w:color="auto"/>
                <w:bottom w:val="none" w:sz="0" w:space="0" w:color="auto"/>
                <w:right w:val="none" w:sz="0" w:space="0" w:color="auto"/>
              </w:divBdr>
              <w:divsChild>
                <w:div w:id="113864070">
                  <w:marLeft w:val="0"/>
                  <w:marRight w:val="0"/>
                  <w:marTop w:val="0"/>
                  <w:marBottom w:val="0"/>
                  <w:divBdr>
                    <w:top w:val="none" w:sz="0" w:space="0" w:color="auto"/>
                    <w:left w:val="none" w:sz="0" w:space="0" w:color="auto"/>
                    <w:bottom w:val="none" w:sz="0" w:space="0" w:color="auto"/>
                    <w:right w:val="none" w:sz="0" w:space="0" w:color="auto"/>
                  </w:divBdr>
                  <w:divsChild>
                    <w:div w:id="1028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10</Pages>
  <Words>4594</Words>
  <Characters>24716</Characters>
  <Application>Microsoft Office Word</Application>
  <DocSecurity>0</DocSecurity>
  <Lines>363</Lines>
  <Paragraphs>93</Paragraphs>
  <ScaleCrop>false</ScaleCrop>
  <Company/>
  <LinksUpToDate>false</LinksUpToDate>
  <CharactersWithSpaces>29217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Hodgson (2304415)</dc:creator>
  <cp:keywords/>
  <dc:description/>
  <cp:lastModifiedBy>Eleanor Hodgson (2304415)</cp:lastModifiedBy>
  <cp:revision>6</cp:revision>
  <cp:lastPrinted>2023-11-05T17:04:00Z</cp:lastPrinted>
  <dcterms:created xsi:type="dcterms:W3CDTF">2023-11-05T16:39:00Z</dcterms:created>
  <dcterms:modified xsi:type="dcterms:W3CDTF">2023-11-05T18:00:00Z</dcterms:modified>
</cp:coreProperties>
</file>