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39A4B3" w14:textId="5407EF88" w:rsidR="00CA3617" w:rsidRDefault="00CA3617">
      <w:pPr>
        <w:spacing w:after="0" w:line="480" w:lineRule="auto"/>
        <w:jc w:val="center"/>
        <w:rPr>
          <w:rFonts w:ascii="Times New Roman" w:eastAsia="Times New Roman" w:hAnsi="Times New Roman" w:cs="Times New Roman"/>
          <w:b/>
          <w:bCs/>
          <w:color w:val="000000" w:themeColor="text1"/>
          <w:kern w:val="0"/>
          <w:sz w:val="36"/>
          <w:szCs w:val="36"/>
          <w:lang w:eastAsia="en-GB"/>
          <w14:ligatures w14:val="none"/>
        </w:rPr>
      </w:pPr>
      <w:bookmarkStart w:id="0" w:name="_Hlk213527726"/>
    </w:p>
    <w:p w14:paraId="3858EEA2" w14:textId="77777777" w:rsidR="00CA3617" w:rsidRDefault="00CA3617">
      <w:pPr>
        <w:spacing w:after="0" w:line="480" w:lineRule="auto"/>
        <w:jc w:val="center"/>
        <w:rPr>
          <w:rFonts w:ascii="Times New Roman" w:eastAsia="Times New Roman" w:hAnsi="Times New Roman" w:cs="Times New Roman"/>
          <w:b/>
          <w:bCs/>
          <w:color w:val="000000" w:themeColor="text1"/>
          <w:kern w:val="0"/>
          <w:sz w:val="36"/>
          <w:szCs w:val="36"/>
          <w:lang w:eastAsia="en-GB"/>
          <w14:ligatures w14:val="none"/>
        </w:rPr>
      </w:pPr>
    </w:p>
    <w:p w14:paraId="72FB09D0" w14:textId="77777777" w:rsidR="00CA3617" w:rsidRDefault="00CA3617">
      <w:pPr>
        <w:spacing w:after="0" w:line="480" w:lineRule="auto"/>
        <w:jc w:val="center"/>
        <w:rPr>
          <w:rFonts w:ascii="Times New Roman" w:eastAsia="Times New Roman" w:hAnsi="Times New Roman" w:cs="Times New Roman"/>
          <w:b/>
          <w:bCs/>
          <w:color w:val="000000" w:themeColor="text1"/>
          <w:kern w:val="0"/>
          <w:sz w:val="36"/>
          <w:szCs w:val="36"/>
          <w:lang w:eastAsia="en-GB"/>
          <w14:ligatures w14:val="none"/>
        </w:rPr>
      </w:pPr>
    </w:p>
    <w:p w14:paraId="5BB5E831" w14:textId="77777777" w:rsidR="00CA3617" w:rsidRDefault="00CA3617">
      <w:pPr>
        <w:spacing w:after="0" w:line="480" w:lineRule="auto"/>
        <w:jc w:val="center"/>
        <w:rPr>
          <w:rFonts w:ascii="Times New Roman" w:eastAsia="Times New Roman" w:hAnsi="Times New Roman" w:cs="Times New Roman"/>
          <w:b/>
          <w:bCs/>
          <w:color w:val="000000" w:themeColor="text1"/>
          <w:kern w:val="0"/>
          <w:sz w:val="36"/>
          <w:szCs w:val="36"/>
          <w:lang w:eastAsia="en-GB"/>
          <w14:ligatures w14:val="none"/>
        </w:rPr>
      </w:pPr>
    </w:p>
    <w:p w14:paraId="57ED6DF6" w14:textId="77777777" w:rsidR="00CA3617" w:rsidRDefault="00CA3617">
      <w:pPr>
        <w:spacing w:after="0" w:line="480" w:lineRule="auto"/>
        <w:jc w:val="center"/>
        <w:rPr>
          <w:rFonts w:ascii="Times New Roman" w:eastAsia="Times New Roman" w:hAnsi="Times New Roman" w:cs="Times New Roman"/>
          <w:b/>
          <w:bCs/>
          <w:color w:val="000000" w:themeColor="text1"/>
          <w:kern w:val="0"/>
          <w:sz w:val="36"/>
          <w:szCs w:val="36"/>
          <w:lang w:eastAsia="en-GB"/>
          <w14:ligatures w14:val="none"/>
        </w:rPr>
      </w:pPr>
    </w:p>
    <w:p w14:paraId="07B55EF1" w14:textId="77777777" w:rsidR="00CA3617" w:rsidRDefault="00CA3617">
      <w:pPr>
        <w:spacing w:after="0" w:line="480" w:lineRule="auto"/>
        <w:jc w:val="center"/>
        <w:rPr>
          <w:rFonts w:ascii="Times New Roman" w:eastAsia="Times New Roman" w:hAnsi="Times New Roman" w:cs="Times New Roman"/>
          <w:b/>
          <w:bCs/>
          <w:color w:val="000000" w:themeColor="text1"/>
          <w:kern w:val="0"/>
          <w:sz w:val="36"/>
          <w:szCs w:val="36"/>
          <w:lang w:eastAsia="en-GB"/>
          <w14:ligatures w14:val="none"/>
        </w:rPr>
      </w:pPr>
    </w:p>
    <w:p w14:paraId="18F73BF6" w14:textId="77777777" w:rsidR="00D74953" w:rsidRDefault="00000000" w:rsidP="00D74953">
      <w:pPr>
        <w:spacing w:after="0" w:line="480" w:lineRule="auto"/>
        <w:jc w:val="center"/>
        <w:rPr>
          <w:rFonts w:ascii="Times New Roman" w:eastAsia="Times New Roman" w:hAnsi="Times New Roman" w:cs="Times New Roman"/>
          <w:b/>
          <w:bCs/>
          <w:color w:val="000000" w:themeColor="text1"/>
          <w:kern w:val="0"/>
          <w:sz w:val="36"/>
          <w:szCs w:val="36"/>
          <w:lang w:eastAsia="en-GB"/>
          <w14:ligatures w14:val="none"/>
        </w:rPr>
      </w:pPr>
      <w:r w:rsidRPr="00CA3617">
        <w:rPr>
          <w:rFonts w:ascii="Times New Roman" w:eastAsia="Times New Roman" w:hAnsi="Times New Roman" w:cs="Times New Roman"/>
          <w:b/>
          <w:bCs/>
          <w:color w:val="000000" w:themeColor="text1"/>
          <w:kern w:val="0"/>
          <w:sz w:val="36"/>
          <w:szCs w:val="36"/>
          <w:lang w:eastAsia="en-GB"/>
          <w14:ligatures w14:val="none"/>
        </w:rPr>
        <w:t>Case Study: Amira</w:t>
      </w:r>
      <w:bookmarkStart w:id="1" w:name="_Toc214038595"/>
    </w:p>
    <w:p w14:paraId="245B2A21" w14:textId="77777777" w:rsidR="00D74953" w:rsidRDefault="00D74953" w:rsidP="00D74953">
      <w:pPr>
        <w:spacing w:after="0" w:line="480" w:lineRule="auto"/>
        <w:rPr>
          <w:rFonts w:ascii="Times New Roman" w:eastAsia="Times New Roman" w:hAnsi="Times New Roman" w:cs="Times New Roman"/>
          <w:b/>
          <w:bCs/>
          <w:color w:val="000000" w:themeColor="text1"/>
          <w:kern w:val="0"/>
          <w:sz w:val="36"/>
          <w:szCs w:val="36"/>
          <w:lang w:eastAsia="en-GB"/>
          <w14:ligatures w14:val="none"/>
        </w:rPr>
      </w:pPr>
    </w:p>
    <w:p w14:paraId="3F7EA7B0" w14:textId="77777777" w:rsidR="00D74953" w:rsidRDefault="00D74953" w:rsidP="00D74953">
      <w:pPr>
        <w:spacing w:after="0" w:line="480" w:lineRule="auto"/>
        <w:rPr>
          <w:rFonts w:ascii="Times New Roman" w:eastAsia="Times New Roman" w:hAnsi="Times New Roman" w:cs="Times New Roman"/>
          <w:b/>
          <w:bCs/>
          <w:color w:val="000000" w:themeColor="text1"/>
          <w:kern w:val="0"/>
          <w:sz w:val="36"/>
          <w:szCs w:val="36"/>
          <w:lang w:eastAsia="en-GB"/>
          <w14:ligatures w14:val="none"/>
        </w:rPr>
      </w:pPr>
    </w:p>
    <w:p w14:paraId="3CBF78F2" w14:textId="77777777" w:rsidR="00D74953" w:rsidRDefault="00D74953" w:rsidP="00D74953">
      <w:pPr>
        <w:spacing w:after="0" w:line="480" w:lineRule="auto"/>
        <w:rPr>
          <w:rFonts w:ascii="Times New Roman" w:eastAsia="Times New Roman" w:hAnsi="Times New Roman" w:cs="Times New Roman"/>
          <w:b/>
          <w:bCs/>
          <w:color w:val="000000" w:themeColor="text1"/>
          <w:kern w:val="0"/>
          <w:sz w:val="36"/>
          <w:szCs w:val="36"/>
          <w:lang w:eastAsia="en-GB"/>
          <w14:ligatures w14:val="none"/>
        </w:rPr>
      </w:pPr>
    </w:p>
    <w:p w14:paraId="58B027A7" w14:textId="77777777" w:rsidR="00D74953" w:rsidRDefault="00D74953" w:rsidP="00D74953">
      <w:pPr>
        <w:spacing w:after="0" w:line="480" w:lineRule="auto"/>
        <w:rPr>
          <w:rFonts w:ascii="Times New Roman" w:eastAsia="Times New Roman" w:hAnsi="Times New Roman" w:cs="Times New Roman"/>
          <w:b/>
          <w:bCs/>
          <w:color w:val="000000" w:themeColor="text1"/>
          <w:kern w:val="0"/>
          <w:sz w:val="36"/>
          <w:szCs w:val="36"/>
          <w:lang w:eastAsia="en-GB"/>
          <w14:ligatures w14:val="none"/>
        </w:rPr>
      </w:pPr>
    </w:p>
    <w:p w14:paraId="5EDA904B" w14:textId="77777777" w:rsidR="00D74953" w:rsidRDefault="00D74953" w:rsidP="00D74953">
      <w:pPr>
        <w:spacing w:after="0" w:line="480" w:lineRule="auto"/>
        <w:rPr>
          <w:rFonts w:ascii="Times New Roman" w:eastAsia="Times New Roman" w:hAnsi="Times New Roman" w:cs="Times New Roman"/>
          <w:b/>
          <w:bCs/>
          <w:color w:val="000000" w:themeColor="text1"/>
          <w:kern w:val="0"/>
          <w:sz w:val="36"/>
          <w:szCs w:val="36"/>
          <w:lang w:eastAsia="en-GB"/>
          <w14:ligatures w14:val="none"/>
        </w:rPr>
      </w:pPr>
    </w:p>
    <w:p w14:paraId="4FD45E3F" w14:textId="77777777" w:rsidR="00D74953" w:rsidRDefault="00D74953" w:rsidP="00D74953">
      <w:pPr>
        <w:spacing w:after="0" w:line="480" w:lineRule="auto"/>
        <w:rPr>
          <w:rFonts w:ascii="Times New Roman" w:eastAsia="Times New Roman" w:hAnsi="Times New Roman" w:cs="Times New Roman"/>
          <w:b/>
          <w:bCs/>
          <w:color w:val="000000" w:themeColor="text1"/>
          <w:kern w:val="0"/>
          <w:sz w:val="36"/>
          <w:szCs w:val="36"/>
          <w:lang w:eastAsia="en-GB"/>
          <w14:ligatures w14:val="none"/>
        </w:rPr>
      </w:pPr>
    </w:p>
    <w:p w14:paraId="26F1DB36" w14:textId="722CCEF5" w:rsidR="00D74953" w:rsidRPr="00D74953" w:rsidRDefault="00D74953" w:rsidP="00D74953">
      <w:pPr>
        <w:spacing w:after="0" w:line="480" w:lineRule="auto"/>
        <w:rPr>
          <w:rFonts w:ascii="Times New Roman" w:eastAsia="Times New Roman" w:hAnsi="Times New Roman" w:cs="Times New Roman"/>
          <w:b/>
          <w:bCs/>
          <w:color w:val="000000" w:themeColor="text1"/>
          <w:kern w:val="0"/>
          <w:sz w:val="36"/>
          <w:szCs w:val="36"/>
          <w:lang w:eastAsia="en-GB"/>
          <w14:ligatures w14:val="none"/>
        </w:rPr>
      </w:pPr>
      <w:r w:rsidRPr="00D74953">
        <w:rPr>
          <w:rFonts w:ascii="Times New Roman" w:eastAsia="Calibri" w:hAnsi="Times New Roman" w:cs="Times New Roman"/>
        </w:rPr>
        <w:t>I acknowledge the use of AI tool</w:t>
      </w:r>
      <w:r w:rsidR="00543484">
        <w:rPr>
          <w:rFonts w:ascii="Times New Roman" w:eastAsia="Calibri" w:hAnsi="Times New Roman" w:cs="Times New Roman"/>
        </w:rPr>
        <w:t xml:space="preserve">. </w:t>
      </w:r>
      <w:r w:rsidRPr="00D74953">
        <w:rPr>
          <w:rFonts w:ascii="Times New Roman" w:eastAsia="Calibri" w:hAnsi="Times New Roman" w:cs="Times New Roman"/>
        </w:rPr>
        <w:t>I use the prompts</w:t>
      </w:r>
    </w:p>
    <w:p w14:paraId="277374D8" w14:textId="77777777" w:rsidR="00D74953" w:rsidRPr="00D74953" w:rsidRDefault="00D74953" w:rsidP="00D74953">
      <w:pPr>
        <w:numPr>
          <w:ilvl w:val="0"/>
          <w:numId w:val="2"/>
        </w:numPr>
        <w:spacing w:line="480" w:lineRule="auto"/>
        <w:contextualSpacing/>
        <w:jc w:val="both"/>
        <w:rPr>
          <w:rFonts w:ascii="Times New Roman" w:eastAsia="Calibri" w:hAnsi="Times New Roman" w:cs="Times New Roman"/>
        </w:rPr>
      </w:pPr>
      <w:hyperlink r:id="rId8" w:history="1">
        <w:r w:rsidRPr="00D74953">
          <w:rPr>
            <w:rFonts w:ascii="Times New Roman" w:eastAsia="Calibri" w:hAnsi="Times New Roman" w:cs="Times New Roman"/>
          </w:rPr>
          <w:t>https://www.scribbr.com/</w:t>
        </w:r>
      </w:hyperlink>
      <w:r w:rsidRPr="00D74953">
        <w:rPr>
          <w:rFonts w:ascii="Times New Roman" w:eastAsia="Calibri" w:hAnsi="Times New Roman" w:cs="Times New Roman"/>
        </w:rPr>
        <w:t xml:space="preserve"> to generate references </w:t>
      </w:r>
    </w:p>
    <w:p w14:paraId="13564E39" w14:textId="77777777" w:rsidR="00D74953" w:rsidRPr="00D74953" w:rsidRDefault="00D74953" w:rsidP="00D74953">
      <w:pPr>
        <w:numPr>
          <w:ilvl w:val="0"/>
          <w:numId w:val="2"/>
        </w:numPr>
        <w:spacing w:line="480" w:lineRule="auto"/>
        <w:contextualSpacing/>
        <w:jc w:val="both"/>
        <w:rPr>
          <w:rFonts w:ascii="Times New Roman" w:eastAsia="Calibri" w:hAnsi="Times New Roman" w:cs="Times New Roman"/>
        </w:rPr>
      </w:pPr>
      <w:hyperlink r:id="rId9" w:history="1">
        <w:r w:rsidRPr="00D74953">
          <w:rPr>
            <w:rFonts w:ascii="Times New Roman" w:eastAsia="Calibri" w:hAnsi="Times New Roman" w:cs="Times New Roman"/>
          </w:rPr>
          <w:t>https://app.grammarly.com/</w:t>
        </w:r>
      </w:hyperlink>
      <w:r w:rsidRPr="00D74953">
        <w:rPr>
          <w:rFonts w:ascii="Times New Roman" w:eastAsia="Calibri" w:hAnsi="Times New Roman" w:cs="Times New Roman"/>
        </w:rPr>
        <w:t xml:space="preserve"> to check grammar</w:t>
      </w:r>
    </w:p>
    <w:p w14:paraId="7103ACAF" w14:textId="77777777" w:rsidR="00D74953" w:rsidRPr="00D74953" w:rsidRDefault="00D74953" w:rsidP="00D74953">
      <w:pPr>
        <w:numPr>
          <w:ilvl w:val="0"/>
          <w:numId w:val="2"/>
        </w:numPr>
        <w:spacing w:line="480" w:lineRule="auto"/>
        <w:contextualSpacing/>
        <w:jc w:val="both"/>
        <w:rPr>
          <w:rFonts w:ascii="Times New Roman" w:eastAsia="Calibri" w:hAnsi="Times New Roman" w:cs="Times New Roman"/>
        </w:rPr>
      </w:pPr>
      <w:hyperlink r:id="rId10" w:history="1">
        <w:r w:rsidRPr="00D74953">
          <w:rPr>
            <w:rFonts w:ascii="Times New Roman" w:eastAsia="Calibri" w:hAnsi="Times New Roman" w:cs="Times New Roman"/>
          </w:rPr>
          <w:t>https://www.google.com/search?q=scholar+google</w:t>
        </w:r>
      </w:hyperlink>
      <w:r w:rsidRPr="00D74953">
        <w:rPr>
          <w:rFonts w:ascii="Times New Roman" w:eastAsia="Calibri" w:hAnsi="Times New Roman" w:cs="Times New Roman"/>
        </w:rPr>
        <w:t xml:space="preserve"> to research articles </w:t>
      </w:r>
    </w:p>
    <w:p w14:paraId="643E2AB1" w14:textId="3260D018" w:rsidR="00D74953" w:rsidRPr="00D74953" w:rsidRDefault="00D74953" w:rsidP="00D74953">
      <w:pPr>
        <w:numPr>
          <w:ilvl w:val="0"/>
          <w:numId w:val="2"/>
        </w:numPr>
        <w:spacing w:line="480" w:lineRule="auto"/>
        <w:contextualSpacing/>
        <w:jc w:val="both"/>
        <w:rPr>
          <w:rFonts w:ascii="Times New Roman" w:eastAsia="Calibri" w:hAnsi="Times New Roman" w:cs="Times New Roman"/>
        </w:rPr>
      </w:pPr>
      <w:hyperlink r:id="rId11" w:history="1">
        <w:r w:rsidRPr="00D74953">
          <w:rPr>
            <w:rFonts w:ascii="Times New Roman" w:eastAsia="Calibri" w:hAnsi="Times New Roman" w:cs="Times New Roman"/>
          </w:rPr>
          <w:t>https://www.google.com/search?q=translate&amp;rlz=</w:t>
        </w:r>
      </w:hyperlink>
      <w:r w:rsidRPr="00D74953">
        <w:rPr>
          <w:rFonts w:ascii="Times New Roman" w:eastAsia="Calibri" w:hAnsi="Times New Roman" w:cs="Times New Roman"/>
        </w:rPr>
        <w:t xml:space="preserve"> for translating </w:t>
      </w:r>
    </w:p>
    <w:p w14:paraId="0E427C4E" w14:textId="77777777" w:rsidR="00D74953" w:rsidRDefault="00D74953" w:rsidP="00D74953">
      <w:pPr>
        <w:spacing w:line="480" w:lineRule="auto"/>
        <w:jc w:val="both"/>
        <w:rPr>
          <w:rFonts w:ascii="Times New Roman" w:eastAsia="Calibri" w:hAnsi="Times New Roman" w:cs="Times New Roman"/>
        </w:rPr>
      </w:pPr>
      <w:r w:rsidRPr="00D74953">
        <w:rPr>
          <w:rFonts w:ascii="Times New Roman" w:eastAsia="Calibri" w:hAnsi="Times New Roman" w:cs="Times New Roman"/>
        </w:rPr>
        <w:t xml:space="preserve">I confirm that I have not presented any AI generated text as my own work. </w:t>
      </w:r>
    </w:p>
    <w:p w14:paraId="1017B4CC" w14:textId="046ABF88" w:rsidR="008E29FE" w:rsidRPr="00D74953" w:rsidRDefault="008E29FE" w:rsidP="00D74953">
      <w:pPr>
        <w:spacing w:line="480" w:lineRule="auto"/>
        <w:jc w:val="center"/>
        <w:rPr>
          <w:rFonts w:ascii="Times New Roman" w:eastAsia="Calibri" w:hAnsi="Times New Roman" w:cs="Times New Roman"/>
        </w:rPr>
      </w:pPr>
      <w:r w:rsidRPr="008E29FE">
        <w:rPr>
          <w:rFonts w:ascii="Times New Roman" w:eastAsia="Times New Roman" w:hAnsi="Times New Roman" w:cs="Times New Roman"/>
          <w:b/>
          <w:bCs/>
          <w:color w:val="000000" w:themeColor="text1"/>
          <w:kern w:val="0"/>
          <w:sz w:val="28"/>
          <w:szCs w:val="28"/>
          <w:lang w:eastAsia="en-GB"/>
          <w14:ligatures w14:val="none"/>
        </w:rPr>
        <w:lastRenderedPageBreak/>
        <w:t>Abstract</w:t>
      </w:r>
    </w:p>
    <w:p w14:paraId="787FAD07" w14:textId="5F731532" w:rsidR="008E29FE" w:rsidRDefault="008E29FE" w:rsidP="008E29FE">
      <w:pPr>
        <w:spacing w:after="0" w:line="480" w:lineRule="auto"/>
        <w:jc w:val="both"/>
        <w:rPr>
          <w:rFonts w:ascii="Times New Roman" w:eastAsia="Times New Roman" w:hAnsi="Times New Roman" w:cs="Times New Roman"/>
          <w:color w:val="000000" w:themeColor="text1"/>
          <w:kern w:val="0"/>
          <w:lang w:eastAsia="en-GB"/>
          <w14:ligatures w14:val="none"/>
        </w:rPr>
      </w:pPr>
      <w:r w:rsidRPr="008E29FE">
        <w:rPr>
          <w:rFonts w:ascii="Times New Roman" w:eastAsia="Times New Roman" w:hAnsi="Times New Roman" w:cs="Times New Roman"/>
          <w:color w:val="000000" w:themeColor="text1"/>
          <w:kern w:val="0"/>
          <w:lang w:eastAsia="en-GB"/>
          <w14:ligatures w14:val="none"/>
        </w:rPr>
        <w:t>This case study discusses an eight-year-old girl, Amira, who has been subjected to neglect and alcohol abuse by her mother and how this child can be helped as she prepares to go and live with her grandparents and at the same school. The conversation follows traumatizing and attachment-based approach, since the neglected children tend to distrust others, and they may experience fear or isolation even in secure settings</w:t>
      </w:r>
      <w:r>
        <w:rPr>
          <w:rFonts w:ascii="Times New Roman" w:eastAsia="Times New Roman" w:hAnsi="Times New Roman" w:cs="Times New Roman"/>
          <w:color w:val="000000" w:themeColor="text1"/>
          <w:kern w:val="0"/>
          <w:lang w:eastAsia="en-GB"/>
          <w14:ligatures w14:val="none"/>
        </w:rPr>
        <w:t>,</w:t>
      </w:r>
      <w:r w:rsidRPr="008E29FE">
        <w:rPr>
          <w:rFonts w:ascii="Times New Roman" w:eastAsia="Times New Roman" w:hAnsi="Times New Roman" w:cs="Times New Roman"/>
          <w:color w:val="000000" w:themeColor="text1"/>
          <w:kern w:val="0"/>
          <w:lang w:eastAsia="en-GB"/>
          <w14:ligatures w14:val="none"/>
        </w:rPr>
        <w:t xml:space="preserve"> also clarifies the impact of trauma on the brain that is developing, how the attachment theory can make us understand the emotional world of Amira and how such approaches as Child-parent Psychotherapy, ARC therapy, Trauma-Informed Care and the role of a Family Support Worker can save her. Lastly, it contains a reflection on professional resilience and self-care, which demonstrates why practitioners need to take care of themselves to be able to provide safe and consistent support to children such as Amira.</w:t>
      </w:r>
    </w:p>
    <w:p w14:paraId="13C53957" w14:textId="77777777" w:rsidR="008E29FE" w:rsidRDefault="008E29FE" w:rsidP="008E29FE">
      <w:pPr>
        <w:spacing w:after="0" w:line="480" w:lineRule="auto"/>
        <w:jc w:val="both"/>
        <w:rPr>
          <w:rFonts w:ascii="Times New Roman" w:eastAsia="Times New Roman" w:hAnsi="Times New Roman" w:cs="Times New Roman"/>
          <w:color w:val="000000" w:themeColor="text1"/>
          <w:kern w:val="0"/>
          <w:lang w:eastAsia="en-GB"/>
          <w14:ligatures w14:val="none"/>
        </w:rPr>
      </w:pPr>
    </w:p>
    <w:p w14:paraId="6EA29313" w14:textId="77777777" w:rsidR="008E29FE" w:rsidRDefault="008E29FE" w:rsidP="008E29FE">
      <w:pPr>
        <w:spacing w:after="0" w:line="480" w:lineRule="auto"/>
        <w:jc w:val="both"/>
        <w:rPr>
          <w:rFonts w:ascii="Times New Roman" w:eastAsia="Times New Roman" w:hAnsi="Times New Roman" w:cs="Times New Roman"/>
          <w:color w:val="000000" w:themeColor="text1"/>
          <w:kern w:val="0"/>
          <w:lang w:eastAsia="en-GB"/>
          <w14:ligatures w14:val="none"/>
        </w:rPr>
      </w:pPr>
    </w:p>
    <w:p w14:paraId="56725463" w14:textId="77777777" w:rsidR="008E29FE" w:rsidRDefault="008E29FE" w:rsidP="008E29FE">
      <w:pPr>
        <w:spacing w:after="0" w:line="480" w:lineRule="auto"/>
        <w:jc w:val="both"/>
        <w:rPr>
          <w:rFonts w:ascii="Times New Roman" w:eastAsia="Times New Roman" w:hAnsi="Times New Roman" w:cs="Times New Roman"/>
          <w:color w:val="000000" w:themeColor="text1"/>
          <w:kern w:val="0"/>
          <w:lang w:eastAsia="en-GB"/>
          <w14:ligatures w14:val="none"/>
        </w:rPr>
      </w:pPr>
    </w:p>
    <w:p w14:paraId="2B3B56AC" w14:textId="77777777" w:rsidR="00D74953" w:rsidRDefault="00D74953" w:rsidP="009E0263">
      <w:pPr>
        <w:spacing w:line="480" w:lineRule="auto"/>
        <w:rPr>
          <w:rFonts w:ascii="Times New Roman" w:eastAsia="Times New Roman" w:hAnsi="Times New Roman" w:cs="Times New Roman"/>
          <w:color w:val="000000" w:themeColor="text1"/>
          <w:kern w:val="0"/>
          <w:lang w:eastAsia="en-GB"/>
          <w14:ligatures w14:val="none"/>
        </w:rPr>
      </w:pPr>
    </w:p>
    <w:p w14:paraId="605EEEDE" w14:textId="77777777" w:rsidR="00D74953" w:rsidRDefault="00D74953" w:rsidP="009E0263">
      <w:pPr>
        <w:spacing w:line="480" w:lineRule="auto"/>
        <w:rPr>
          <w:rFonts w:ascii="Times New Roman" w:eastAsia="Times New Roman" w:hAnsi="Times New Roman" w:cs="Times New Roman"/>
          <w:b/>
          <w:bCs/>
          <w:sz w:val="28"/>
          <w:szCs w:val="28"/>
          <w:lang w:eastAsia="en-GB"/>
        </w:rPr>
      </w:pPr>
    </w:p>
    <w:p w14:paraId="2725BEFA" w14:textId="77777777" w:rsidR="00D74953" w:rsidRDefault="00D74953" w:rsidP="009E0263">
      <w:pPr>
        <w:spacing w:line="480" w:lineRule="auto"/>
        <w:rPr>
          <w:rFonts w:ascii="Times New Roman" w:eastAsia="Times New Roman" w:hAnsi="Times New Roman" w:cs="Times New Roman"/>
          <w:b/>
          <w:bCs/>
          <w:sz w:val="28"/>
          <w:szCs w:val="28"/>
          <w:lang w:eastAsia="en-GB"/>
        </w:rPr>
      </w:pPr>
    </w:p>
    <w:p w14:paraId="4FEAA66E" w14:textId="77777777" w:rsidR="00D74953" w:rsidRDefault="00D74953" w:rsidP="009E0263">
      <w:pPr>
        <w:spacing w:line="480" w:lineRule="auto"/>
        <w:rPr>
          <w:rFonts w:ascii="Times New Roman" w:eastAsia="Times New Roman" w:hAnsi="Times New Roman" w:cs="Times New Roman"/>
          <w:b/>
          <w:bCs/>
          <w:sz w:val="28"/>
          <w:szCs w:val="28"/>
          <w:lang w:eastAsia="en-GB"/>
        </w:rPr>
      </w:pPr>
    </w:p>
    <w:p w14:paraId="23F9CFA2" w14:textId="77777777" w:rsidR="00D74953" w:rsidRDefault="00D74953" w:rsidP="009E0263">
      <w:pPr>
        <w:spacing w:line="480" w:lineRule="auto"/>
        <w:rPr>
          <w:rFonts w:ascii="Times New Roman" w:eastAsia="Times New Roman" w:hAnsi="Times New Roman" w:cs="Times New Roman"/>
          <w:b/>
          <w:bCs/>
          <w:sz w:val="28"/>
          <w:szCs w:val="28"/>
          <w:lang w:eastAsia="en-GB"/>
        </w:rPr>
      </w:pPr>
    </w:p>
    <w:p w14:paraId="12BD3FA3" w14:textId="77777777" w:rsidR="00D74953" w:rsidRDefault="00D74953" w:rsidP="009E0263">
      <w:pPr>
        <w:spacing w:line="480" w:lineRule="auto"/>
        <w:rPr>
          <w:rFonts w:ascii="Times New Roman" w:eastAsia="Times New Roman" w:hAnsi="Times New Roman" w:cs="Times New Roman"/>
          <w:b/>
          <w:bCs/>
          <w:sz w:val="28"/>
          <w:szCs w:val="28"/>
          <w:lang w:eastAsia="en-GB"/>
        </w:rPr>
      </w:pPr>
    </w:p>
    <w:p w14:paraId="6D8280AC" w14:textId="77777777" w:rsidR="00D74953" w:rsidRDefault="00D74953" w:rsidP="009E0263">
      <w:pPr>
        <w:spacing w:line="480" w:lineRule="auto"/>
        <w:rPr>
          <w:rFonts w:ascii="Times New Roman" w:eastAsia="Times New Roman" w:hAnsi="Times New Roman" w:cs="Times New Roman"/>
          <w:b/>
          <w:bCs/>
          <w:sz w:val="28"/>
          <w:szCs w:val="28"/>
          <w:lang w:eastAsia="en-GB"/>
        </w:rPr>
      </w:pPr>
    </w:p>
    <w:p w14:paraId="6913BF8F" w14:textId="013F1E85" w:rsidR="00E245C3" w:rsidRPr="009E0263" w:rsidRDefault="00000000" w:rsidP="009E0263">
      <w:pPr>
        <w:spacing w:line="480" w:lineRule="auto"/>
        <w:rPr>
          <w:rFonts w:ascii="Times New Roman" w:eastAsia="Times New Roman" w:hAnsi="Times New Roman" w:cs="Times New Roman"/>
          <w:b/>
          <w:bCs/>
          <w:color w:val="000000" w:themeColor="text1"/>
          <w:kern w:val="0"/>
          <w:lang w:eastAsia="en-GB"/>
          <w14:ligatures w14:val="none"/>
        </w:rPr>
      </w:pPr>
      <w:r w:rsidRPr="009E0263">
        <w:rPr>
          <w:rFonts w:ascii="Times New Roman" w:eastAsia="Times New Roman" w:hAnsi="Times New Roman" w:cs="Times New Roman"/>
          <w:b/>
          <w:bCs/>
          <w:sz w:val="28"/>
          <w:szCs w:val="28"/>
          <w:lang w:eastAsia="en-GB"/>
        </w:rPr>
        <w:lastRenderedPageBreak/>
        <w:t>Part 1: Supporting Amira</w:t>
      </w:r>
      <w:bookmarkEnd w:id="1"/>
    </w:p>
    <w:p w14:paraId="35A8BBCC" w14:textId="77777777" w:rsidR="00E245C3" w:rsidRPr="00A2554F" w:rsidRDefault="00000000" w:rsidP="009E0263">
      <w:pPr>
        <w:pStyle w:val="Heading2"/>
        <w:numPr>
          <w:ilvl w:val="0"/>
          <w:numId w:val="0"/>
        </w:numPr>
        <w:spacing w:line="480" w:lineRule="auto"/>
        <w:rPr>
          <w:rFonts w:eastAsia="Times New Roman" w:cs="Times New Roman"/>
          <w:i w:val="0"/>
          <w:sz w:val="28"/>
          <w:szCs w:val="28"/>
          <w:lang w:eastAsia="en-GB"/>
        </w:rPr>
      </w:pPr>
      <w:bookmarkStart w:id="2" w:name="_Toc214038596"/>
      <w:r w:rsidRPr="00A2554F">
        <w:rPr>
          <w:rFonts w:eastAsia="Times New Roman" w:cs="Times New Roman"/>
          <w:i w:val="0"/>
          <w:sz w:val="28"/>
          <w:szCs w:val="28"/>
          <w:lang w:eastAsia="en-GB"/>
        </w:rPr>
        <w:t>Introduction</w:t>
      </w:r>
      <w:bookmarkEnd w:id="2"/>
    </w:p>
    <w:p w14:paraId="25395BB3" w14:textId="15402C1C" w:rsidR="00E245C3" w:rsidRPr="00A2554F" w:rsidRDefault="00000000">
      <w:pPr>
        <w:spacing w:line="480" w:lineRule="auto"/>
        <w:jc w:val="both"/>
        <w:rPr>
          <w:rFonts w:ascii="Times New Roman" w:hAnsi="Times New Roman" w:cs="Times New Roman"/>
          <w:lang w:val="en-US"/>
        </w:rPr>
      </w:pPr>
      <w:r w:rsidRPr="00A2554F">
        <w:rPr>
          <w:rFonts w:ascii="Times New Roman" w:hAnsi="Times New Roman" w:cs="Times New Roman"/>
          <w:lang w:val="en-US"/>
        </w:rPr>
        <w:t>Amira is eight years old and in Year 3</w:t>
      </w:r>
      <w:r w:rsidR="007E15CD">
        <w:rPr>
          <w:rFonts w:ascii="Times New Roman" w:hAnsi="Times New Roman" w:cs="Times New Roman"/>
          <w:lang w:val="en-US"/>
        </w:rPr>
        <w:t xml:space="preserve"> of primary school</w:t>
      </w:r>
      <w:r w:rsidRPr="00A2554F">
        <w:rPr>
          <w:rFonts w:ascii="Times New Roman" w:hAnsi="Times New Roman" w:cs="Times New Roman"/>
          <w:lang w:val="en-US"/>
        </w:rPr>
        <w:t xml:space="preserve">, </w:t>
      </w:r>
      <w:r w:rsidR="007E15CD">
        <w:rPr>
          <w:rFonts w:ascii="Times New Roman" w:hAnsi="Times New Roman" w:cs="Times New Roman"/>
          <w:lang w:val="en-US"/>
        </w:rPr>
        <w:t>and</w:t>
      </w:r>
      <w:r w:rsidRPr="00A2554F">
        <w:rPr>
          <w:rFonts w:ascii="Times New Roman" w:hAnsi="Times New Roman" w:cs="Times New Roman"/>
          <w:lang w:val="en-US"/>
        </w:rPr>
        <w:t xml:space="preserve"> her teachers have grown worried because she attends school irregularly and has become more withdrawn, often appearing sad or exhausted. During one lunch break, she told her teacher that she is frequently left alone at home and sometimes has no food. This prompted school staff to visit her house, where they found poor living conditions, including no mattress, unwashed floors, and a lack of clean clothes or bedding. Her mother admitted to drinking a bottle of vodka each day and said she was unable to care for Amira. Social services were contacted immediately and decided it was unsafe for her to remain there. She was placed with her grandparents but continues at the same school, which may give her some sense of stability through familiar routines and relationships.</w:t>
      </w:r>
    </w:p>
    <w:p w14:paraId="247FACA8" w14:textId="445C2B73" w:rsidR="00E245C3" w:rsidRPr="0041587A" w:rsidRDefault="00000000">
      <w:pPr>
        <w:spacing w:line="480" w:lineRule="auto"/>
        <w:jc w:val="both"/>
        <w:rPr>
          <w:rFonts w:ascii="Times New Roman" w:hAnsi="Times New Roman" w:cs="Times New Roman"/>
          <w:lang w:val="en-US"/>
        </w:rPr>
      </w:pPr>
      <w:r w:rsidRPr="00A2554F">
        <w:rPr>
          <w:rFonts w:ascii="Times New Roman" w:hAnsi="Times New Roman" w:cs="Times New Roman"/>
          <w:lang w:val="en-US"/>
        </w:rPr>
        <w:t xml:space="preserve">This case study explores how Amira can be supported during this difficult period and what </w:t>
      </w:r>
      <w:r w:rsidRPr="0041587A">
        <w:rPr>
          <w:rFonts w:ascii="Times New Roman" w:hAnsi="Times New Roman" w:cs="Times New Roman"/>
          <w:lang w:val="en-US"/>
        </w:rPr>
        <w:t>evidence-based practices can help her feel secure and emotionally grounded. The discussion draws on trauma-informed and attachment-focused perspectives, recognising that neglected children often carry deep emotional wounds that shape their thinking, feelings, and behaviour (Perry and Szalavitz, 2017). It also uses insights from ACEs, and resilience research to show that Amira’s recovery depends not only on her inner world but also on the wider family, school, and community systems surrounding her.</w:t>
      </w:r>
    </w:p>
    <w:p w14:paraId="6A2E3102" w14:textId="77777777" w:rsidR="009E0263" w:rsidRPr="0041587A" w:rsidRDefault="009E0263">
      <w:pPr>
        <w:spacing w:line="480" w:lineRule="auto"/>
        <w:jc w:val="both"/>
        <w:rPr>
          <w:rFonts w:ascii="Times New Roman" w:hAnsi="Times New Roman" w:cs="Times New Roman"/>
          <w:lang w:val="en-US"/>
        </w:rPr>
      </w:pPr>
    </w:p>
    <w:p w14:paraId="510F7F93" w14:textId="77777777"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bookmarkStart w:id="3" w:name="_Toc214038597"/>
      <w:r w:rsidRPr="0041587A">
        <w:rPr>
          <w:rFonts w:eastAsia="Times New Roman" w:cs="Times New Roman"/>
          <w:i w:val="0"/>
          <w:sz w:val="28"/>
          <w:szCs w:val="28"/>
          <w:lang w:eastAsia="en-GB"/>
        </w:rPr>
        <w:t>Rapid Brain Development in Childhood</w:t>
      </w:r>
      <w:bookmarkEnd w:id="3"/>
    </w:p>
    <w:p w14:paraId="5A9DFC5F"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 xml:space="preserve">During early and middle childhood, the brain is more likely to develop at an alarming rate than at any other stage and it is this fact which means that experience whether positive or negative </w:t>
      </w:r>
      <w:r w:rsidRPr="0041587A">
        <w:rPr>
          <w:rFonts w:ascii="Times New Roman" w:eastAsia="Times New Roman" w:hAnsi="Times New Roman" w:cs="Times New Roman"/>
          <w:color w:val="000000" w:themeColor="text1"/>
          <w:kern w:val="0"/>
          <w:lang w:eastAsia="en-GB"/>
          <w14:ligatures w14:val="none"/>
        </w:rPr>
        <w:lastRenderedPageBreak/>
        <w:t>has a profound effect on the way the connections of the brain are formed. The neural pathways that regulate emotions, learning, and attention may form in healthy ways when a child is raised in a safe and nurturing home, but otherwise, the neural pathways may remain hyperaroused, and thus they may prevent parts of the brain to form in their usual ways, including the prefrontal cortex and the hippocampus (Raver et al., 2016; Teicher et al., 2016). It is due to this that early neglect and stress may subsequently lead to problems in memory, concentration and emotional control. Nevertheless, the brain is also plastic, and therefore when the environment becomes safe and conducive, children will heal and new connections will be established, and this is why it is important that the grandparents and school offer a stable and warm environment to Amira every day.</w:t>
      </w:r>
    </w:p>
    <w:p w14:paraId="6D7CCB20" w14:textId="77777777" w:rsidR="009E0263" w:rsidRPr="0041587A" w:rsidRDefault="009E0263" w:rsidP="009E0263">
      <w:pPr>
        <w:pStyle w:val="Heading2"/>
        <w:numPr>
          <w:ilvl w:val="0"/>
          <w:numId w:val="0"/>
        </w:numPr>
        <w:spacing w:line="480" w:lineRule="auto"/>
        <w:ind w:left="576" w:hanging="576"/>
        <w:rPr>
          <w:rFonts w:eastAsia="Times New Roman" w:cs="Times New Roman"/>
          <w:i w:val="0"/>
          <w:sz w:val="28"/>
          <w:szCs w:val="28"/>
          <w:lang w:eastAsia="en-GB"/>
        </w:rPr>
      </w:pPr>
      <w:bookmarkStart w:id="4" w:name="_Toc214038598"/>
    </w:p>
    <w:p w14:paraId="79E7BDC5" w14:textId="091B0ADF"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r w:rsidRPr="0041587A">
        <w:rPr>
          <w:rFonts w:eastAsia="Times New Roman" w:cs="Times New Roman"/>
          <w:i w:val="0"/>
          <w:sz w:val="28"/>
          <w:szCs w:val="28"/>
          <w:lang w:eastAsia="en-GB"/>
        </w:rPr>
        <w:t>Understanding Amira’s Needs</w:t>
      </w:r>
      <w:bookmarkEnd w:id="4"/>
    </w:p>
    <w:p w14:paraId="4A683909"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Being neglected can seriously damage a child since it not only denies them food or cleanliness, but also love, attention, and even safety and since Amira has been neglected so long, she may be accustomed to living with her eyes open. By keeping the stress response system activated continuously, it may cause difficulties with focus, memory and self-regulation (Teicher et al., 2016). Thus, when Amira comes out withdrawn or nervous to school, it does not imply that she is shy or disobedient, but her body has oriented itself to keep her safe by withdrawing or shutting down.</w:t>
      </w:r>
    </w:p>
    <w:p w14:paraId="2035B47F" w14:textId="77777777" w:rsidR="009E0263" w:rsidRPr="0041587A" w:rsidRDefault="009E0263" w:rsidP="009E0263">
      <w:pPr>
        <w:pStyle w:val="Heading2"/>
        <w:numPr>
          <w:ilvl w:val="0"/>
          <w:numId w:val="0"/>
        </w:numPr>
        <w:spacing w:line="480" w:lineRule="auto"/>
        <w:ind w:left="576" w:hanging="576"/>
        <w:rPr>
          <w:rFonts w:eastAsia="Times New Roman" w:cs="Times New Roman"/>
          <w:i w:val="0"/>
          <w:sz w:val="28"/>
          <w:szCs w:val="28"/>
          <w:lang w:eastAsia="en-GB"/>
        </w:rPr>
      </w:pPr>
      <w:bookmarkStart w:id="5" w:name="_Toc214038599"/>
    </w:p>
    <w:p w14:paraId="1B60DB86" w14:textId="67897AB7"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r w:rsidRPr="0041587A">
        <w:rPr>
          <w:rFonts w:eastAsia="Times New Roman" w:cs="Times New Roman"/>
          <w:i w:val="0"/>
          <w:sz w:val="28"/>
          <w:szCs w:val="28"/>
          <w:lang w:eastAsia="en-GB"/>
        </w:rPr>
        <w:t>Neuroimaging Evidence on Trauma</w:t>
      </w:r>
      <w:bookmarkEnd w:id="5"/>
    </w:p>
    <w:p w14:paraId="3AF5F93A" w14:textId="1AE78346"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There are several brain-imaging studies that demonstrate how neglected or abused children tend to display alterations on how their brain processes threat and safety. To illustrate, an amygdala, a danger detecting part of the brain, might become hyperactive, whereas the hippocampus, a part of the brain that assists us in memory and learning, may become smaller, and the prefrontal cortex, which helps us to manage our emotions, may have weaker connections (Teicher et al., 2016; McCrory et al., 2011</w:t>
      </w:r>
      <w:r w:rsidR="003A2FC3" w:rsidRPr="0041587A">
        <w:rPr>
          <w:rFonts w:ascii="Times New Roman" w:eastAsia="Times New Roman" w:hAnsi="Times New Roman" w:cs="Times New Roman"/>
          <w:color w:val="000000" w:themeColor="text1"/>
          <w:kern w:val="0"/>
          <w:lang w:eastAsia="en-GB"/>
          <w14:ligatures w14:val="none"/>
        </w:rPr>
        <w:t xml:space="preserve">; </w:t>
      </w:r>
      <w:r w:rsidRPr="0041587A">
        <w:rPr>
          <w:rFonts w:ascii="Times New Roman" w:eastAsia="Times New Roman" w:hAnsi="Times New Roman" w:cs="Times New Roman"/>
          <w:color w:val="000000" w:themeColor="text1"/>
          <w:kern w:val="0"/>
          <w:lang w:eastAsia="en-GB"/>
          <w14:ligatures w14:val="none"/>
        </w:rPr>
        <w:t>Gee et al., 2013; Sheridan and McLaughlin, 2014; Hanson et al., 2013). Such transformations may complicate the ability to remain calm or to concentrate in noisy classes by children such as Amira, and due to that, educators should realise that her behaviour is not bad but an indicator of stress. The good news is that once children are provided with warmth, structure and peaceful relationships, the brain can gradually restructure and the stress system can go back to sleep.</w:t>
      </w:r>
    </w:p>
    <w:p w14:paraId="67F73625" w14:textId="77777777" w:rsidR="009E0263" w:rsidRPr="0041587A" w:rsidRDefault="009E0263" w:rsidP="009E0263">
      <w:pPr>
        <w:pStyle w:val="Heading2"/>
        <w:numPr>
          <w:ilvl w:val="0"/>
          <w:numId w:val="0"/>
        </w:numPr>
        <w:spacing w:line="480" w:lineRule="auto"/>
        <w:ind w:left="576" w:hanging="576"/>
        <w:rPr>
          <w:rFonts w:eastAsia="Times New Roman" w:cs="Times New Roman"/>
          <w:i w:val="0"/>
          <w:sz w:val="28"/>
          <w:szCs w:val="28"/>
          <w:lang w:eastAsia="en-GB"/>
        </w:rPr>
      </w:pPr>
      <w:bookmarkStart w:id="6" w:name="_Toc214038600"/>
    </w:p>
    <w:p w14:paraId="09670229" w14:textId="475A22D6"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r w:rsidRPr="0041587A">
        <w:rPr>
          <w:rFonts w:eastAsia="Times New Roman" w:cs="Times New Roman"/>
          <w:i w:val="0"/>
          <w:sz w:val="28"/>
          <w:szCs w:val="28"/>
          <w:lang w:eastAsia="en-GB"/>
        </w:rPr>
        <w:t>Attachment and Emotional Security</w:t>
      </w:r>
      <w:bookmarkEnd w:id="6"/>
    </w:p>
    <w:p w14:paraId="4FCA9B70"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 xml:space="preserve">The theory of attachment makes us realize the importance of relationships of Amira now. Bowlby (1969) described how children require regular and attentive care to have a sense of security and build confidence to venture out into the world. In case care is unpredictable or frightening, they may be insecurely attached, meaning that they desire to be close and are afraid of it. Since the mother of Amira was an alcoholic who could not show emotions, she might have been taught that adults are not trustworthy and asking for assistance does not make one </w:t>
      </w:r>
      <w:r w:rsidRPr="0041587A">
        <w:rPr>
          <w:rFonts w:ascii="Times New Roman" w:eastAsia="Times New Roman" w:hAnsi="Times New Roman" w:cs="Times New Roman"/>
          <w:color w:val="000000" w:themeColor="text1"/>
          <w:kern w:val="0"/>
          <w:lang w:eastAsia="en-GB"/>
          <w14:ligatures w14:val="none"/>
        </w:rPr>
        <w:lastRenderedPageBreak/>
        <w:t>feel better. This could be the reason why she isolates herself at school. The adults who surround her must demonstrate to her that they are trustworthy, predictable and loving and will never leave her even when she makes mistakes or becomes angry to make her recover.</w:t>
      </w:r>
    </w:p>
    <w:p w14:paraId="2AB9E889"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The Secure Base Model created by Schofield and Beek (2006) can inform both her grandparents and her teachers since it describes that resilience develops in the presence of a caring, sensitive, accepting, cooperative, and supportive caregiver who makes the child feel a part of them. The grandparents in the case could demonstrate this by making promises, responding without anger, and creating routines that are simple, whereas the teachers could demonstrate this by being patient and encouraging pupils in the classroom in a soft manner.</w:t>
      </w:r>
    </w:p>
    <w:p w14:paraId="13DF1AB0" w14:textId="77777777" w:rsidR="009E0263" w:rsidRPr="0041587A" w:rsidRDefault="009E0263" w:rsidP="009E0263">
      <w:pPr>
        <w:pStyle w:val="Heading2"/>
        <w:numPr>
          <w:ilvl w:val="0"/>
          <w:numId w:val="0"/>
        </w:numPr>
        <w:spacing w:line="480" w:lineRule="auto"/>
        <w:ind w:left="576" w:hanging="576"/>
        <w:rPr>
          <w:rFonts w:eastAsia="Times New Roman" w:cs="Times New Roman"/>
          <w:i w:val="0"/>
          <w:sz w:val="28"/>
          <w:szCs w:val="28"/>
          <w:lang w:eastAsia="en-GB"/>
        </w:rPr>
      </w:pPr>
      <w:bookmarkStart w:id="7" w:name="_Toc214038601"/>
    </w:p>
    <w:p w14:paraId="391AA93C" w14:textId="27521AE9"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r w:rsidRPr="0041587A">
        <w:rPr>
          <w:rFonts w:eastAsia="Times New Roman" w:cs="Times New Roman"/>
          <w:i w:val="0"/>
          <w:sz w:val="28"/>
          <w:szCs w:val="28"/>
          <w:lang w:eastAsia="en-GB"/>
        </w:rPr>
        <w:t>Attachment and Lack of Maternal Security</w:t>
      </w:r>
      <w:bookmarkEnd w:id="7"/>
    </w:p>
    <w:p w14:paraId="4EDB37FD"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Since the mother was unable to offer Amira a constant kind of love and care, it is likely that Amira had an insecure or disorganised attachment and it implies that she may at times desire closeness and sometimes push away or become quiet when one attempts to approach her. Nevertheless, she can start feeling that relationships can be safe and trustworthy once again when she gets numerous little acts of sincere interest and care on the part of her grandparents and chimneys (Bowlby, 1969; Schofield, Beek, 2014; Howe, 2023).</w:t>
      </w:r>
    </w:p>
    <w:p w14:paraId="7DC86ACB" w14:textId="77777777" w:rsidR="009E0263" w:rsidRPr="0041587A" w:rsidRDefault="009E0263" w:rsidP="009E0263">
      <w:pPr>
        <w:pStyle w:val="Heading2"/>
        <w:numPr>
          <w:ilvl w:val="0"/>
          <w:numId w:val="0"/>
        </w:numPr>
        <w:spacing w:line="480" w:lineRule="auto"/>
        <w:ind w:left="576" w:hanging="576"/>
        <w:rPr>
          <w:rFonts w:eastAsia="Times New Roman" w:cs="Times New Roman"/>
          <w:i w:val="0"/>
          <w:sz w:val="28"/>
          <w:szCs w:val="28"/>
          <w:lang w:eastAsia="en-GB"/>
        </w:rPr>
      </w:pPr>
      <w:bookmarkStart w:id="8" w:name="_Toc214038602"/>
    </w:p>
    <w:p w14:paraId="4AFFD2E8" w14:textId="710F94B2"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r w:rsidRPr="0041587A">
        <w:rPr>
          <w:rFonts w:eastAsia="Times New Roman" w:cs="Times New Roman"/>
          <w:i w:val="0"/>
          <w:sz w:val="28"/>
          <w:szCs w:val="28"/>
          <w:lang w:eastAsia="en-GB"/>
        </w:rPr>
        <w:t>Likely Developmental Issues</w:t>
      </w:r>
      <w:bookmarkEnd w:id="8"/>
    </w:p>
    <w:p w14:paraId="534ADAA2" w14:textId="3C0C70BC"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 xml:space="preserve">Due to neglect in her tender age, Amira might experience emotional dysfunctions (fearing, anxiety, self-esteem), behavioural dysfunctions (withdrawing, anger, refusing to attend </w:t>
      </w:r>
      <w:r w:rsidRPr="0041587A">
        <w:rPr>
          <w:rFonts w:ascii="Times New Roman" w:eastAsia="Times New Roman" w:hAnsi="Times New Roman" w:cs="Times New Roman"/>
          <w:color w:val="000000" w:themeColor="text1"/>
          <w:kern w:val="0"/>
          <w:lang w:eastAsia="en-GB"/>
          <w14:ligatures w14:val="none"/>
        </w:rPr>
        <w:lastRenderedPageBreak/>
        <w:t>school), and cognitive dysfunctions (bad attention, slow language maturation). These problems are not a fault of hers; it is how her brain and body have become used to stress (Hildyard and Wolfe, 2002; Masten and Barnes, 2018). Most of these issues can be ameliorated with time and the assistance, patience and constant care giving.</w:t>
      </w:r>
    </w:p>
    <w:p w14:paraId="3AE94FDA" w14:textId="77777777" w:rsidR="009E0263" w:rsidRPr="0041587A" w:rsidRDefault="009E0263" w:rsidP="009E0263">
      <w:pPr>
        <w:pStyle w:val="Heading2"/>
        <w:numPr>
          <w:ilvl w:val="0"/>
          <w:numId w:val="0"/>
        </w:numPr>
        <w:spacing w:line="480" w:lineRule="auto"/>
        <w:ind w:left="576" w:hanging="576"/>
        <w:rPr>
          <w:rFonts w:eastAsia="Times New Roman" w:cs="Times New Roman"/>
          <w:i w:val="0"/>
          <w:sz w:val="28"/>
          <w:szCs w:val="28"/>
          <w:lang w:eastAsia="en-GB"/>
        </w:rPr>
      </w:pPr>
      <w:bookmarkStart w:id="9" w:name="_Toc214038603"/>
    </w:p>
    <w:p w14:paraId="79B25636" w14:textId="0CB5F0F3"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r w:rsidRPr="0041587A">
        <w:rPr>
          <w:rFonts w:eastAsia="Times New Roman" w:cs="Times New Roman"/>
          <w:i w:val="0"/>
          <w:sz w:val="28"/>
          <w:szCs w:val="28"/>
          <w:lang w:eastAsia="en-GB"/>
        </w:rPr>
        <w:t>ACEs and Mitigation</w:t>
      </w:r>
      <w:bookmarkEnd w:id="9"/>
    </w:p>
    <w:p w14:paraId="014CFE9A" w14:textId="3B01D86B" w:rsidR="009E0263" w:rsidRPr="0041587A" w:rsidRDefault="00000000" w:rsidP="008E29FE">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Some of the Adverse Childhood Experiences (ACEs) present in the story of Amira are neglect, alcohol abuse by parents and family instability. Studies indicate that four or more ACEs increase the likelihood of future physical and mental health issues among the children sharply (Bellis et al., 2014). Yet, such risks are not fate, as, with providing children with the stable relations, good habits, and availability of supportive services, the adverse impacts may be controlled. As such, the support plan of Amira should be based on frequent attendance of school, healthy foods, consistent nighttime schedules and success opportunities since even simple and constant experiences can make the brain re-learn safety and trust.</w:t>
      </w:r>
      <w:bookmarkStart w:id="10" w:name="_Toc214038605"/>
    </w:p>
    <w:p w14:paraId="152E6009" w14:textId="77777777" w:rsidR="008E29FE" w:rsidRPr="0041587A" w:rsidRDefault="008E29FE" w:rsidP="008E29FE">
      <w:pPr>
        <w:spacing w:after="0" w:line="480" w:lineRule="auto"/>
        <w:jc w:val="both"/>
        <w:rPr>
          <w:rFonts w:ascii="Times New Roman" w:eastAsia="Times New Roman" w:hAnsi="Times New Roman" w:cs="Times New Roman"/>
          <w:color w:val="000000" w:themeColor="text1"/>
          <w:kern w:val="0"/>
          <w:lang w:eastAsia="en-GB"/>
          <w14:ligatures w14:val="none"/>
        </w:rPr>
      </w:pPr>
    </w:p>
    <w:p w14:paraId="269CFC70" w14:textId="3FE64E0C"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r w:rsidRPr="0041587A">
        <w:rPr>
          <w:rFonts w:eastAsia="Times New Roman" w:cs="Times New Roman"/>
          <w:i w:val="0"/>
          <w:sz w:val="28"/>
          <w:szCs w:val="28"/>
          <w:lang w:eastAsia="en-GB"/>
        </w:rPr>
        <w:t>Interventions and Support Strategies</w:t>
      </w:r>
      <w:bookmarkEnd w:id="10"/>
    </w:p>
    <w:p w14:paraId="6F8D17AC" w14:textId="675ACA49"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 xml:space="preserve">Trauma-informed approach implies that the behaviour of Amira is part of her communication of distress rather than intentional misbehaviour. All adults should work with her based on the six principles of trauma-informed care, which include safety, trustworthiness, peer support, collaboration, empowerment, and cultural awareness (SAMHSA, 2014; Collings et al., 2022). Thus, educators and guardians need to establish a predictable routine, talk in a very calm way, and provide a choice where possible, since it allows Amira to feel that she has control. Adults </w:t>
      </w:r>
      <w:r w:rsidRPr="0041587A">
        <w:rPr>
          <w:rFonts w:ascii="Times New Roman" w:eastAsia="Times New Roman" w:hAnsi="Times New Roman" w:cs="Times New Roman"/>
          <w:color w:val="000000" w:themeColor="text1"/>
          <w:kern w:val="0"/>
          <w:lang w:eastAsia="en-GB"/>
          <w14:ligatures w14:val="none"/>
        </w:rPr>
        <w:lastRenderedPageBreak/>
        <w:t>must react to her with gentle empathy when she is upset and not punishments since it will demonstrate to her that adults are safe and kind. In the long run, these little experiences will alter her perception of relationships, and the surrounding world (Bath, 2008)</w:t>
      </w:r>
      <w:r w:rsidR="009E0263" w:rsidRPr="0041587A">
        <w:rPr>
          <w:rFonts w:ascii="Times New Roman" w:eastAsia="Times New Roman" w:hAnsi="Times New Roman" w:cs="Times New Roman"/>
          <w:color w:val="000000" w:themeColor="text1"/>
          <w:kern w:val="0"/>
          <w:lang w:eastAsia="en-GB"/>
          <w14:ligatures w14:val="none"/>
        </w:rPr>
        <w:t>.</w:t>
      </w:r>
    </w:p>
    <w:p w14:paraId="2352746C" w14:textId="77777777" w:rsidR="009E0263" w:rsidRPr="0041587A" w:rsidRDefault="009E0263" w:rsidP="009E0263">
      <w:pPr>
        <w:pStyle w:val="Heading2"/>
        <w:numPr>
          <w:ilvl w:val="0"/>
          <w:numId w:val="0"/>
        </w:numPr>
        <w:spacing w:line="480" w:lineRule="auto"/>
        <w:ind w:left="576" w:hanging="576"/>
        <w:rPr>
          <w:rFonts w:eastAsia="Times New Roman" w:cs="Times New Roman"/>
          <w:i w:val="0"/>
          <w:sz w:val="28"/>
          <w:szCs w:val="28"/>
          <w:lang w:eastAsia="en-GB"/>
        </w:rPr>
      </w:pPr>
      <w:bookmarkStart w:id="11" w:name="_Toc214038606"/>
    </w:p>
    <w:p w14:paraId="12D20A2A" w14:textId="01CFFE11"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r w:rsidRPr="0041587A">
        <w:rPr>
          <w:rFonts w:eastAsia="Times New Roman" w:cs="Times New Roman"/>
          <w:i w:val="0"/>
          <w:sz w:val="28"/>
          <w:szCs w:val="28"/>
          <w:lang w:eastAsia="en-GB"/>
        </w:rPr>
        <w:t>Targeted Treatments and Roles (CPP, ARC, TIC, FSW)</w:t>
      </w:r>
      <w:bookmarkEnd w:id="11"/>
    </w:p>
    <w:p w14:paraId="1EDC974C" w14:textId="1132B228"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 xml:space="preserve">In order to restore Amira to her health, it is essential to apply various types of support, and one of them is ChildParent Psychotherapy (CPP) that is aimed at assisting the child and the caregiver to discuss frightening events in a safe and systematic manner, which makes their relationship a secure environment again (Lieberman and Van Horn 2011).Since CPP implies the child and the caregiver, it will provide Amira with an opportunity to realize that she is safe and protected and that she can make sense of challenging experiences along with her grandparents and feel safe again </w:t>
      </w:r>
      <w:r w:rsidR="003A2FC3" w:rsidRPr="0041587A">
        <w:rPr>
          <w:rFonts w:ascii="Times New Roman" w:eastAsia="Times New Roman" w:hAnsi="Times New Roman" w:cs="Times New Roman"/>
          <w:color w:val="000000"/>
          <w:kern w:val="0"/>
          <w:lang w:eastAsia="en-GB"/>
          <w14:ligatures w14:val="none"/>
        </w:rPr>
        <w:t>(Lieberman &amp; Van Horn 2011).</w:t>
      </w:r>
    </w:p>
    <w:p w14:paraId="0FA4EE44"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ARC therapy (Attachment, Regulation and Competency) is also another useful model, and it can assist children in establishing a close connection with their carer, understanding how to control their emotions with the help of co-regulation, gaining confidence and skills in daily life (Blaustein and Kinniburgh, 2018). This treatment may take place in school and at home where all the people that support Amira teachers, grandparents, and social workers speak the same language and treat her in the same way.</w:t>
      </w:r>
    </w:p>
    <w:p w14:paraId="622938E5" w14:textId="13D3BBDE" w:rsidR="009E0263" w:rsidRPr="0041587A" w:rsidRDefault="00000000" w:rsidP="009E0263">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 xml:space="preserve">All these interventions are based on Trauma-Informed Care (TIC) as professionals should always remember that the best feeling is to make the child feel safe and respected, and to avoid the incidence of any situation, which will remind the child about their powerlessness (SAMHSA, 2014). Lastly, a Family Support Worker (FSW) may assist the grandparents with more practical aspects, including routine establishment, benefits, and identification of local </w:t>
      </w:r>
      <w:r w:rsidRPr="0041587A">
        <w:rPr>
          <w:rFonts w:ascii="Times New Roman" w:eastAsia="Times New Roman" w:hAnsi="Times New Roman" w:cs="Times New Roman"/>
          <w:color w:val="000000" w:themeColor="text1"/>
          <w:kern w:val="0"/>
          <w:lang w:eastAsia="en-GB"/>
          <w14:ligatures w14:val="none"/>
        </w:rPr>
        <w:lastRenderedPageBreak/>
        <w:t xml:space="preserve">activities, and such assistance may decrease their stress and make the home environment less stressful and unpredictable </w:t>
      </w:r>
      <w:r w:rsidR="008143FD" w:rsidRPr="0041587A">
        <w:rPr>
          <w:rFonts w:ascii="Times New Roman" w:eastAsia="Times New Roman" w:hAnsi="Times New Roman" w:cs="Times New Roman"/>
          <w:color w:val="000000" w:themeColor="text1"/>
          <w:kern w:val="0"/>
          <w:lang w:eastAsia="en-GB"/>
          <w14:ligatures w14:val="none"/>
        </w:rPr>
        <w:t xml:space="preserve">(Department for Education [DfE], 2018). </w:t>
      </w:r>
      <w:r w:rsidRPr="0041587A">
        <w:rPr>
          <w:rFonts w:ascii="Times New Roman" w:eastAsia="Times New Roman" w:hAnsi="Times New Roman" w:cs="Times New Roman"/>
          <w:color w:val="000000" w:themeColor="text1"/>
          <w:kern w:val="0"/>
          <w:lang w:eastAsia="en-GB"/>
          <w14:ligatures w14:val="none"/>
        </w:rPr>
        <w:t>The research also demonstrates that the combination of all these services can enhance the emotional stability of children and their stable placement (Collings et al., 2022). Combining all these services, the Amira will be supported better and thus have a greater opportunity to recover.</w:t>
      </w:r>
      <w:bookmarkStart w:id="12" w:name="_Toc214038607"/>
    </w:p>
    <w:p w14:paraId="15537454" w14:textId="77777777" w:rsidR="009E0263" w:rsidRPr="0041587A" w:rsidRDefault="009E0263" w:rsidP="009E0263">
      <w:pPr>
        <w:spacing w:after="0" w:line="480" w:lineRule="auto"/>
        <w:jc w:val="both"/>
        <w:rPr>
          <w:rFonts w:ascii="Times New Roman" w:eastAsia="Times New Roman" w:hAnsi="Times New Roman" w:cs="Times New Roman"/>
          <w:color w:val="000000" w:themeColor="text1"/>
          <w:kern w:val="0"/>
          <w:lang w:eastAsia="en-GB"/>
          <w14:ligatures w14:val="none"/>
        </w:rPr>
      </w:pPr>
    </w:p>
    <w:p w14:paraId="7973C5B8" w14:textId="210F4726"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r w:rsidRPr="0041587A">
        <w:rPr>
          <w:rFonts w:eastAsia="Times New Roman" w:cs="Times New Roman"/>
          <w:i w:val="0"/>
          <w:sz w:val="28"/>
          <w:szCs w:val="28"/>
          <w:lang w:eastAsia="en-GB"/>
        </w:rPr>
        <w:t>Educational and Social Inclusion</w:t>
      </w:r>
      <w:bookmarkEnd w:id="12"/>
    </w:p>
    <w:p w14:paraId="69752BB0" w14:textId="386BC27A"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 xml:space="preserve">School may be one of the most stabilising aspects of Amiras life as it provides structure, friendship and opportunities to succeed therefore this is vital in having the school become a part of her recovery. This Individual Education Plan (IEP) can be put together by the teachers along with Special Educational Needs Coordinator (SENCo) her grandparents as well as her social worker and it may consist of small and attainable goals including better attendance, completion of simple reading tasks and development of confidence in working in a group. Since the neglect usually postpones the learning and language facility, it is </w:t>
      </w:r>
      <w:r w:rsidR="00543484" w:rsidRPr="0041587A">
        <w:rPr>
          <w:rFonts w:ascii="Times New Roman" w:eastAsia="Times New Roman" w:hAnsi="Times New Roman" w:cs="Times New Roman"/>
          <w:color w:val="000000" w:themeColor="text1"/>
          <w:kern w:val="0"/>
          <w:lang w:eastAsia="en-GB"/>
          <w14:ligatures w14:val="none"/>
        </w:rPr>
        <w:t>sufficient</w:t>
      </w:r>
      <w:r w:rsidRPr="0041587A">
        <w:rPr>
          <w:rFonts w:ascii="Times New Roman" w:eastAsia="Times New Roman" w:hAnsi="Times New Roman" w:cs="Times New Roman"/>
          <w:color w:val="000000" w:themeColor="text1"/>
          <w:kern w:val="0"/>
          <w:lang w:eastAsia="en-GB"/>
          <w14:ligatures w14:val="none"/>
        </w:rPr>
        <w:t xml:space="preserve"> to offer small group instruction and compliant and positive feedback to assist her in gaining confidence (Hildyard and Wolfe, 2002). Emotion coaching is also another method that helps teachers to make Amira name and recognize her emotions to enable her to learn how to calm and express herself more easily (Gottman et al., 1996).</w:t>
      </w:r>
    </w:p>
    <w:p w14:paraId="4F19E4EA" w14:textId="4B800D82"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 xml:space="preserve">Amira can also be helped with the help of such programmes as PATHS or Zones of Regulation since they help all children understand how to identify emotions and resolve problems peacefully (Taylor et al., 2017). This does not only assist her in the development of emotions but also makes the classroom a supportive environment to all. Peer buddy system would make Amira feel less isolated and closer to others, whereas regular Team Around the Child (TAC) meetings would ensure that teachers, social workers, and her grandparents are all collaborating </w:t>
      </w:r>
      <w:r w:rsidRPr="0041587A">
        <w:rPr>
          <w:rFonts w:ascii="Times New Roman" w:eastAsia="Times New Roman" w:hAnsi="Times New Roman" w:cs="Times New Roman"/>
          <w:color w:val="000000" w:themeColor="text1"/>
          <w:kern w:val="0"/>
          <w:lang w:eastAsia="en-GB"/>
          <w14:ligatures w14:val="none"/>
        </w:rPr>
        <w:lastRenderedPageBreak/>
        <w:t xml:space="preserve">and have the same goals </w:t>
      </w:r>
      <w:r w:rsidR="008143FD" w:rsidRPr="0041587A">
        <w:rPr>
          <w:rFonts w:ascii="Times New Roman" w:eastAsia="Times New Roman" w:hAnsi="Times New Roman" w:cs="Times New Roman"/>
          <w:color w:val="000000" w:themeColor="text1"/>
          <w:kern w:val="0"/>
          <w:lang w:eastAsia="en-GB"/>
          <w14:ligatures w14:val="none"/>
        </w:rPr>
        <w:t>(</w:t>
      </w:r>
      <w:r w:rsidRPr="0041587A">
        <w:rPr>
          <w:rFonts w:ascii="Times New Roman" w:eastAsia="Times New Roman" w:hAnsi="Times New Roman" w:cs="Times New Roman"/>
          <w:color w:val="000000" w:themeColor="text1"/>
          <w:kern w:val="0"/>
          <w:lang w:eastAsia="en-GB"/>
          <w14:ligatures w14:val="none"/>
        </w:rPr>
        <w:t>DfE</w:t>
      </w:r>
      <w:r w:rsidR="008143FD" w:rsidRPr="0041587A">
        <w:rPr>
          <w:rFonts w:ascii="Times New Roman" w:eastAsia="Times New Roman" w:hAnsi="Times New Roman" w:cs="Times New Roman"/>
          <w:color w:val="000000" w:themeColor="text1"/>
          <w:kern w:val="0"/>
          <w:lang w:eastAsia="en-GB"/>
          <w14:ligatures w14:val="none"/>
        </w:rPr>
        <w:t>,</w:t>
      </w:r>
      <w:r w:rsidRPr="0041587A">
        <w:rPr>
          <w:rFonts w:ascii="Times New Roman" w:eastAsia="Times New Roman" w:hAnsi="Times New Roman" w:cs="Times New Roman"/>
          <w:color w:val="000000" w:themeColor="text1"/>
          <w:kern w:val="0"/>
          <w:lang w:eastAsia="en-GB"/>
          <w14:ligatures w14:val="none"/>
        </w:rPr>
        <w:t xml:space="preserve"> 2018). These effective and regular behaviors demonstrate to Amira that the adults can collaborate to ensure her security.</w:t>
      </w:r>
    </w:p>
    <w:p w14:paraId="299C09CF" w14:textId="77777777" w:rsidR="009E0263" w:rsidRPr="0041587A" w:rsidRDefault="009E0263">
      <w:pPr>
        <w:spacing w:after="0" w:line="480" w:lineRule="auto"/>
        <w:jc w:val="both"/>
        <w:rPr>
          <w:rFonts w:ascii="Times New Roman" w:eastAsia="Times New Roman" w:hAnsi="Times New Roman" w:cs="Times New Roman"/>
          <w:color w:val="000000" w:themeColor="text1"/>
          <w:kern w:val="0"/>
          <w:lang w:eastAsia="en-GB"/>
          <w14:ligatures w14:val="none"/>
        </w:rPr>
      </w:pPr>
    </w:p>
    <w:p w14:paraId="2F6FC704" w14:textId="77777777"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bookmarkStart w:id="13" w:name="_Toc214038608"/>
      <w:r w:rsidRPr="0041587A">
        <w:rPr>
          <w:rFonts w:eastAsia="Times New Roman" w:cs="Times New Roman"/>
          <w:i w:val="0"/>
          <w:sz w:val="28"/>
          <w:szCs w:val="28"/>
          <w:lang w:eastAsia="en-GB"/>
        </w:rPr>
        <w:t>Therapeutic Support</w:t>
      </w:r>
      <w:bookmarkEnd w:id="13"/>
    </w:p>
    <w:p w14:paraId="6E32AE68" w14:textId="08A8A612"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Along with the educational and family support, therapy will be able to assist Amira to digest what has happened and share her feelings which are too painful or too confusing to discuss directly. The most suitable form of therapy to use with children who have been neglected is play therapy since the children can play with toys, art, and stories to investigate their feelings and reinvent their strength (Landreth, 2012). Trauma-Focused Cognitive Behavioural Therapy (TF-CBT) can also be of help to Amira when she feels ready since it will help her realize that what happened to her was not her fault and will teach her relaxation and coping skills when she is scared or angry (Mannarino et al., 2013). The inclusion of her grandparents in the therapy sessions helps since they know how to react when she feels anxious and she learns to react calmly to such a situation. All these strategies help her recover by providing her with safe methods of expressing emotions, understanding her background and training new skills.</w:t>
      </w:r>
    </w:p>
    <w:p w14:paraId="123205F4" w14:textId="77777777" w:rsidR="009E0263" w:rsidRPr="0041587A" w:rsidRDefault="009E0263">
      <w:pPr>
        <w:spacing w:after="0" w:line="480" w:lineRule="auto"/>
        <w:jc w:val="both"/>
        <w:rPr>
          <w:rFonts w:ascii="Times New Roman" w:eastAsia="Times New Roman" w:hAnsi="Times New Roman" w:cs="Times New Roman"/>
          <w:color w:val="000000" w:themeColor="text1"/>
          <w:kern w:val="0"/>
          <w:lang w:eastAsia="en-GB"/>
          <w14:ligatures w14:val="none"/>
        </w:rPr>
      </w:pPr>
    </w:p>
    <w:p w14:paraId="2959B056" w14:textId="77777777"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bookmarkStart w:id="14" w:name="_Toc214038609"/>
      <w:r w:rsidRPr="0041587A">
        <w:rPr>
          <w:rFonts w:eastAsia="Times New Roman" w:cs="Times New Roman"/>
          <w:i w:val="0"/>
          <w:sz w:val="28"/>
          <w:szCs w:val="28"/>
          <w:lang w:eastAsia="en-GB"/>
        </w:rPr>
        <w:t>Supporting the Grandparents</w:t>
      </w:r>
      <w:bookmarkEnd w:id="14"/>
    </w:p>
    <w:p w14:paraId="70CEA416"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 xml:space="preserve">As much as the situation of Amira living with her grandparents gives her a feeling of stability and belonging, it can also be a burden to them particularly when they are old or have health issues. The placement may be influenced by the fact that many kinship carers are going through emotional and financial stress and they may not be well supported to this (Farmer &amp; Moyers, 2008). Hence, social workers ought to ensure that the grandparents are provided of financial assistance, respite and support groups of kinship carers where they can exchange the </w:t>
      </w:r>
      <w:r w:rsidRPr="0041587A">
        <w:rPr>
          <w:rFonts w:ascii="Times New Roman" w:eastAsia="Times New Roman" w:hAnsi="Times New Roman" w:cs="Times New Roman"/>
          <w:color w:val="000000" w:themeColor="text1"/>
          <w:kern w:val="0"/>
          <w:lang w:eastAsia="en-GB"/>
          <w14:ligatures w14:val="none"/>
        </w:rPr>
        <w:lastRenderedPageBreak/>
        <w:t>experiences with other kinship carers in a similar circumstance. They can also take advantage of parenting classes that describe trauma and attachment in a manner that they will realise that Amira is not being defiant but communicating with them. The sense of support and knowledge allows them to be more patient and emotionally open, and this is what will aid Amira in long-term healing.</w:t>
      </w:r>
    </w:p>
    <w:p w14:paraId="6828BF0D" w14:textId="77777777" w:rsidR="009E0263" w:rsidRPr="0041587A" w:rsidRDefault="009E0263">
      <w:pPr>
        <w:spacing w:after="0" w:line="480" w:lineRule="auto"/>
        <w:jc w:val="both"/>
        <w:rPr>
          <w:rFonts w:ascii="Times New Roman" w:eastAsia="Times New Roman" w:hAnsi="Times New Roman" w:cs="Times New Roman"/>
          <w:color w:val="000000" w:themeColor="text1"/>
          <w:kern w:val="0"/>
          <w:lang w:eastAsia="en-GB"/>
          <w14:ligatures w14:val="none"/>
        </w:rPr>
      </w:pPr>
    </w:p>
    <w:p w14:paraId="4279DFD2" w14:textId="77777777"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bookmarkStart w:id="15" w:name="_Toc214038610"/>
      <w:r w:rsidRPr="0041587A">
        <w:rPr>
          <w:rFonts w:eastAsia="Times New Roman" w:cs="Times New Roman"/>
          <w:i w:val="0"/>
          <w:sz w:val="28"/>
          <w:szCs w:val="28"/>
          <w:lang w:eastAsia="en-GB"/>
        </w:rPr>
        <w:t>Safeguarding and Ethical Practice</w:t>
      </w:r>
      <w:bookmarkEnd w:id="15"/>
    </w:p>
    <w:p w14:paraId="588C50A2" w14:textId="0B72B3CA"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The safeguarding laws that all professionals who work with Amira should comply with include Children Act 1989 and Working Together to Safeguard Children guidance (DfE, 2018). This does not imply that her safety should not be considered as the priority, but it also implies that she should speak up and be listened to in every decision that concerns her since it is written in Article 12 of the United Nations Convention on the Rights of the Child (UNICEF 1989). It is good that it is confidential, but in case of danger of injury, it should be disclosed to those people, who can save her. It is also required that professionals be non-judgmental and culturally sensitive when dealing with the mother of Amira since addiction to alcohol is a medical problem that may require specialist intervention as opposed to being disciplined. Showing empathy and respect towards the mother can also help to make such contact easier in the future assuming that it will be safe to do so.</w:t>
      </w:r>
    </w:p>
    <w:p w14:paraId="01EDA06B" w14:textId="77777777" w:rsidR="009E0263" w:rsidRPr="0041587A" w:rsidRDefault="009E0263">
      <w:pPr>
        <w:spacing w:after="0" w:line="480" w:lineRule="auto"/>
        <w:jc w:val="both"/>
        <w:rPr>
          <w:rFonts w:ascii="Times New Roman" w:eastAsia="Times New Roman" w:hAnsi="Times New Roman" w:cs="Times New Roman"/>
          <w:color w:val="000000" w:themeColor="text1"/>
          <w:kern w:val="0"/>
          <w:lang w:eastAsia="en-GB"/>
          <w14:ligatures w14:val="none"/>
        </w:rPr>
      </w:pPr>
    </w:p>
    <w:p w14:paraId="19FE2C6C" w14:textId="77777777"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bookmarkStart w:id="16" w:name="_Toc214038611"/>
      <w:r w:rsidRPr="0041587A">
        <w:rPr>
          <w:rFonts w:eastAsia="Times New Roman" w:cs="Times New Roman"/>
          <w:i w:val="0"/>
          <w:sz w:val="28"/>
          <w:szCs w:val="28"/>
          <w:lang w:eastAsia="en-GB"/>
        </w:rPr>
        <w:t>Building and Sustaining Resilience</w:t>
      </w:r>
      <w:bookmarkEnd w:id="16"/>
    </w:p>
    <w:p w14:paraId="46FAEF58"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 xml:space="preserve">Resilience refers to the capacity to be flexible and rise after troubling events, and according to available findings, the most relevant protective factor that children possess is at least one dependable and supportive association with adults (Masten, 2014). In the case of Amira, it can </w:t>
      </w:r>
      <w:r w:rsidRPr="0041587A">
        <w:rPr>
          <w:rFonts w:ascii="Times New Roman" w:eastAsia="Times New Roman" w:hAnsi="Times New Roman" w:cs="Times New Roman"/>
          <w:color w:val="000000" w:themeColor="text1"/>
          <w:kern w:val="0"/>
          <w:lang w:eastAsia="en-GB"/>
          <w14:ligatures w14:val="none"/>
        </w:rPr>
        <w:lastRenderedPageBreak/>
        <w:t>be provided by her grandparents and her teachers, who can contribute to making her feel confident by pointing out her strengths, congratulating her on her progress, and establishing routines that make her feel safe. As an example, in case she can spend a whole week at school or finish some work, this should be considered a success as it makes her feel that she can and has value.</w:t>
      </w:r>
    </w:p>
    <w:p w14:paraId="23BCE115"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The option of playing, joining clubs and making friends also promotes resilience as they make a child feel more belonging. Ungar (2021) argues that resilience is not merely a case of inner strength, as it also includes the external systems that hold the child, i.e., the family, school, and community. Thus, the entire adult community surrounding Amira should collaboratively ensure that her world is stable and predictable, and they should convene on a regular basis to discuss her progress and provide her with support where necessary. Children such as Amira can eventually develop a new identity and future with the help of patient and hopeful adults who believe in them when they are surrounded by them.</w:t>
      </w:r>
    </w:p>
    <w:p w14:paraId="3E50036E" w14:textId="77777777" w:rsidR="00CA5744" w:rsidRPr="0041587A" w:rsidRDefault="00CA5744">
      <w:pPr>
        <w:spacing w:after="0" w:line="480" w:lineRule="auto"/>
        <w:jc w:val="both"/>
        <w:rPr>
          <w:rFonts w:ascii="Times New Roman" w:eastAsia="Times New Roman" w:hAnsi="Times New Roman" w:cs="Times New Roman"/>
          <w:color w:val="000000" w:themeColor="text1"/>
          <w:kern w:val="0"/>
          <w:lang w:eastAsia="en-GB"/>
          <w14:ligatures w14:val="none"/>
        </w:rPr>
      </w:pPr>
    </w:p>
    <w:p w14:paraId="09D9F8E6" w14:textId="77777777" w:rsidR="00CA5744" w:rsidRPr="0041587A" w:rsidRDefault="00CA5744">
      <w:pPr>
        <w:spacing w:after="0" w:line="480" w:lineRule="auto"/>
        <w:jc w:val="both"/>
        <w:rPr>
          <w:rFonts w:ascii="Times New Roman" w:eastAsia="Times New Roman" w:hAnsi="Times New Roman" w:cs="Times New Roman"/>
          <w:color w:val="000000" w:themeColor="text1"/>
          <w:kern w:val="0"/>
          <w:lang w:eastAsia="en-GB"/>
          <w14:ligatures w14:val="none"/>
        </w:rPr>
      </w:pPr>
    </w:p>
    <w:p w14:paraId="20139B80" w14:textId="77777777" w:rsidR="00E245C3" w:rsidRPr="0041587A" w:rsidRDefault="00000000" w:rsidP="009E0263">
      <w:pPr>
        <w:pStyle w:val="Heading1"/>
        <w:numPr>
          <w:ilvl w:val="0"/>
          <w:numId w:val="0"/>
        </w:numPr>
        <w:spacing w:line="480" w:lineRule="auto"/>
        <w:ind w:left="432" w:hanging="432"/>
        <w:rPr>
          <w:rFonts w:eastAsia="Times New Roman" w:cs="Times New Roman"/>
          <w:sz w:val="28"/>
          <w:szCs w:val="28"/>
          <w:lang w:eastAsia="en-GB"/>
        </w:rPr>
      </w:pPr>
      <w:bookmarkStart w:id="17" w:name="_Toc214038612"/>
      <w:r w:rsidRPr="0041587A">
        <w:rPr>
          <w:rFonts w:eastAsia="Times New Roman" w:cs="Times New Roman"/>
          <w:sz w:val="28"/>
          <w:szCs w:val="28"/>
          <w:lang w:eastAsia="en-GB"/>
        </w:rPr>
        <w:t>Part 2: Professional Resilience and Self-Care</w:t>
      </w:r>
      <w:bookmarkEnd w:id="17"/>
    </w:p>
    <w:p w14:paraId="2B41522C" w14:textId="77777777"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bookmarkStart w:id="18" w:name="_Toc214038613"/>
      <w:r w:rsidRPr="0041587A">
        <w:rPr>
          <w:rFonts w:eastAsia="Times New Roman" w:cs="Times New Roman"/>
          <w:i w:val="0"/>
          <w:sz w:val="28"/>
          <w:szCs w:val="28"/>
          <w:lang w:eastAsia="en-GB"/>
        </w:rPr>
        <w:t>Emotional Impact of Working with Traumatised Children</w:t>
      </w:r>
      <w:bookmarkEnd w:id="18"/>
    </w:p>
    <w:p w14:paraId="03FA1F34"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 xml:space="preserve">Work with such children as Amira can be quite rewarding as it provides professionals with the opportunity to make a tangible impact, yet it can be emotionally extremely difficult as hearing about the mislead, suffering, and even powerless stories of those that the professional aims to help may stir sadness, frustration, and even helplessness. These emotional responses are fully commonplace yet when they are not identified and addressed, they may evolve to become stress or even burnout with time (Figley et al., 1995; Bride, 2007). Consequently, it cannot be overemphasized that the practitioner is keen on the way they feel at the end of the meetings </w:t>
      </w:r>
      <w:r w:rsidRPr="0041587A">
        <w:rPr>
          <w:rFonts w:ascii="Times New Roman" w:eastAsia="Times New Roman" w:hAnsi="Times New Roman" w:cs="Times New Roman"/>
          <w:color w:val="000000" w:themeColor="text1"/>
          <w:kern w:val="0"/>
          <w:lang w:eastAsia="en-GB"/>
          <w14:ligatures w14:val="none"/>
        </w:rPr>
        <w:lastRenderedPageBreak/>
        <w:t>with Amira since early signs of emotional strain could be observed, and stress relievers can be employed by the practitioner to ensure he or she is not overwhelmed by the strain. An illustration would be when they are exhausted or overwhelmed on hearing something painful and then they can take some time off, discuss with some colleagues or write some thoughts in a reflective journal as they will be relieved of the tension rather than keeping it to themselves.</w:t>
      </w:r>
    </w:p>
    <w:p w14:paraId="1AFFBC0A" w14:textId="77777777" w:rsidR="005E2628" w:rsidRPr="0041587A" w:rsidRDefault="005E2628">
      <w:pPr>
        <w:spacing w:after="0" w:line="480" w:lineRule="auto"/>
        <w:jc w:val="both"/>
        <w:rPr>
          <w:rFonts w:ascii="Times New Roman" w:eastAsia="Times New Roman" w:hAnsi="Times New Roman" w:cs="Times New Roman"/>
          <w:color w:val="000000" w:themeColor="text1"/>
          <w:kern w:val="0"/>
          <w:lang w:eastAsia="en-GB"/>
          <w14:ligatures w14:val="none"/>
        </w:rPr>
      </w:pPr>
    </w:p>
    <w:p w14:paraId="2D8BD0BA" w14:textId="77777777" w:rsidR="00E245C3" w:rsidRPr="0041587A" w:rsidRDefault="00000000">
      <w:pPr>
        <w:spacing w:after="0" w:line="480" w:lineRule="auto"/>
        <w:jc w:val="both"/>
        <w:rPr>
          <w:rFonts w:ascii="Times New Roman" w:eastAsia="Times New Roman" w:hAnsi="Times New Roman" w:cs="Times New Roman"/>
          <w:b/>
          <w:bCs/>
          <w:color w:val="000000" w:themeColor="text1"/>
          <w:kern w:val="0"/>
          <w:sz w:val="28"/>
          <w:szCs w:val="28"/>
          <w:lang w:eastAsia="en-GB"/>
          <w14:ligatures w14:val="none"/>
        </w:rPr>
      </w:pPr>
      <w:r w:rsidRPr="0041587A">
        <w:rPr>
          <w:rFonts w:ascii="Times New Roman" w:eastAsia="Times New Roman" w:hAnsi="Times New Roman" w:cs="Times New Roman"/>
          <w:b/>
          <w:bCs/>
          <w:color w:val="000000" w:themeColor="text1"/>
          <w:kern w:val="0"/>
          <w:sz w:val="28"/>
          <w:szCs w:val="28"/>
          <w:lang w:eastAsia="en-GB"/>
          <w14:ligatures w14:val="none"/>
        </w:rPr>
        <w:t>Reflective Supervision and Practice.</w:t>
      </w:r>
    </w:p>
    <w:p w14:paraId="5F0BE689" w14:textId="77777777" w:rsidR="005E2628" w:rsidRPr="0041587A" w:rsidRDefault="005E2628">
      <w:pPr>
        <w:spacing w:after="0" w:line="480" w:lineRule="auto"/>
        <w:jc w:val="both"/>
        <w:rPr>
          <w:rFonts w:ascii="Times New Roman" w:eastAsia="Times New Roman" w:hAnsi="Times New Roman" w:cs="Times New Roman"/>
          <w:b/>
          <w:bCs/>
          <w:color w:val="000000" w:themeColor="text1"/>
          <w:kern w:val="0"/>
          <w:sz w:val="28"/>
          <w:szCs w:val="28"/>
          <w:lang w:eastAsia="en-GB"/>
          <w14:ligatures w14:val="none"/>
        </w:rPr>
      </w:pPr>
    </w:p>
    <w:p w14:paraId="67D34A4E"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Reflective practice helps the professionals to remain balanced when handling an emotional situation since an individual is given time to reflect on what occurred, how they responded and what they can learn in future. The reflective cycle that Gibbs (1988) uses enables them to narrate the events, inquire about feelings, reflect on what did well, and strategize on what to do better. This process transforms the hard life experiences into learning points instead of stress.</w:t>
      </w:r>
    </w:p>
    <w:p w14:paraId="2FD69144"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Another major aspect of resilience is supervision that provides a security and non-disclosure area to talk about issues and feelings of concern (Morrison, 2005). Supervision enables practitioners to communicate their issues, seek advice and isolate professionalism and personal emotions. Supervision of high-quality decreases burnout and boosts job satisfaction particularly in social work and education (Carpenter et al., 2013). You can also make the staff go through group reflection sessions to assist them to process feelings as well as remind them that they work in a supportive, loving team.</w:t>
      </w:r>
    </w:p>
    <w:p w14:paraId="08B82FF2" w14:textId="77777777" w:rsidR="009E0263" w:rsidRPr="0041587A" w:rsidRDefault="009E0263">
      <w:pPr>
        <w:spacing w:after="0" w:line="480" w:lineRule="auto"/>
        <w:jc w:val="both"/>
        <w:rPr>
          <w:rFonts w:ascii="Times New Roman" w:eastAsia="Times New Roman" w:hAnsi="Times New Roman" w:cs="Times New Roman"/>
          <w:color w:val="000000" w:themeColor="text1"/>
          <w:kern w:val="0"/>
          <w:lang w:eastAsia="en-GB"/>
          <w14:ligatures w14:val="none"/>
        </w:rPr>
      </w:pPr>
    </w:p>
    <w:p w14:paraId="558FAC01" w14:textId="77777777"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bookmarkStart w:id="19" w:name="_Toc214038614"/>
      <w:r w:rsidRPr="0041587A">
        <w:rPr>
          <w:rFonts w:eastAsia="Times New Roman" w:cs="Times New Roman"/>
          <w:i w:val="0"/>
          <w:sz w:val="28"/>
          <w:szCs w:val="28"/>
          <w:lang w:eastAsia="en-GB"/>
        </w:rPr>
        <w:t>Countertransference and Boundaries</w:t>
      </w:r>
      <w:bookmarkEnd w:id="19"/>
    </w:p>
    <w:p w14:paraId="03C67517" w14:textId="58305486"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 xml:space="preserve">In the case of Amira, the professionals might find it easy to become protective or visualize what she went through, and this may lead to intense emotions. These reactions are termed as </w:t>
      </w:r>
      <w:r w:rsidRPr="0041587A">
        <w:rPr>
          <w:rFonts w:ascii="Times New Roman" w:eastAsia="Times New Roman" w:hAnsi="Times New Roman" w:cs="Times New Roman"/>
          <w:color w:val="000000" w:themeColor="text1"/>
          <w:kern w:val="0"/>
          <w:lang w:eastAsia="en-GB"/>
          <w14:ligatures w14:val="none"/>
        </w:rPr>
        <w:lastRenderedPageBreak/>
        <w:t xml:space="preserve">countertransference and can enhance empathy; </w:t>
      </w:r>
      <w:r w:rsidR="00543484" w:rsidRPr="0041587A">
        <w:rPr>
          <w:rFonts w:ascii="Times New Roman" w:eastAsia="Times New Roman" w:hAnsi="Times New Roman" w:cs="Times New Roman"/>
          <w:color w:val="000000" w:themeColor="text1"/>
          <w:kern w:val="0"/>
          <w:lang w:eastAsia="en-GB"/>
          <w14:ligatures w14:val="none"/>
        </w:rPr>
        <w:t>however,</w:t>
      </w:r>
      <w:r w:rsidRPr="0041587A">
        <w:rPr>
          <w:rFonts w:ascii="Times New Roman" w:eastAsia="Times New Roman" w:hAnsi="Times New Roman" w:cs="Times New Roman"/>
          <w:color w:val="000000" w:themeColor="text1"/>
          <w:kern w:val="0"/>
          <w:lang w:eastAsia="en-GB"/>
          <w14:ligatures w14:val="none"/>
        </w:rPr>
        <w:t xml:space="preserve"> they might destroy the professional boundaries unless handled with care (Hayes, Gelso, and Hummel, 2011). A practitioner may be so sad that he/she would wish to save her instead of letting her gain independence. To avoid it, professionals should be aware of their feelings and share them during supervision and engage in grounding exercises, including the deep breathing to remain calm and focused.</w:t>
      </w:r>
    </w:p>
    <w:p w14:paraId="6F8694D9"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Boundaries are not cold or remote, they offer safety both to the professional and the child. Time, tone, and promises can be kept consistently which teaches Amira that adults may be trusted. Borders also provide emotional exhaustion to the professionals to stay patient and reliable.</w:t>
      </w:r>
    </w:p>
    <w:p w14:paraId="23ABDDD7" w14:textId="77777777" w:rsidR="009E0263" w:rsidRPr="0041587A" w:rsidRDefault="009E0263">
      <w:pPr>
        <w:spacing w:after="0" w:line="480" w:lineRule="auto"/>
        <w:jc w:val="both"/>
        <w:rPr>
          <w:rFonts w:ascii="Times New Roman" w:eastAsia="Times New Roman" w:hAnsi="Times New Roman" w:cs="Times New Roman"/>
          <w:color w:val="000000" w:themeColor="text1"/>
          <w:kern w:val="0"/>
          <w:lang w:eastAsia="en-GB"/>
          <w14:ligatures w14:val="none"/>
        </w:rPr>
      </w:pPr>
    </w:p>
    <w:p w14:paraId="19092A17" w14:textId="77777777"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bookmarkStart w:id="20" w:name="_Toc214038615"/>
      <w:r w:rsidRPr="0041587A">
        <w:rPr>
          <w:rFonts w:eastAsia="Times New Roman" w:cs="Times New Roman"/>
          <w:i w:val="0"/>
          <w:sz w:val="28"/>
          <w:szCs w:val="28"/>
          <w:lang w:eastAsia="en-GB"/>
        </w:rPr>
        <w:t>Building Personal Resilience</w:t>
      </w:r>
      <w:bookmarkEnd w:id="20"/>
    </w:p>
    <w:p w14:paraId="0FA08582"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Resilience refers to the ability to adjust to adversity and overcome stress and still do good work, and it develops through a combination of self-knowledge, optimism, and supportive people (Grant and Kinman, 2014; Masten 2013). Some of the strategies that professionals can employ to develop resilience are in line with their personality and lifestyle. As an example, mindfulness would make them be more aware of their thoughts and feelings without placing them in the judgement box, to make them respond in a calm manner rather than automatic responses (Burke, 2009). Physical self-care such as getting sufficient sleep, eating well, and physical exercise maintains their body fit and the mood constant which is essential since physical exhaustion usually leads to emotional fatigue.</w:t>
      </w:r>
    </w:p>
    <w:p w14:paraId="1C2E74D7"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 xml:space="preserve">The other significant component of resilience is social support since the ability to discuss pressure with the trusted colleagues or friends facilitates the release of emotional pressure (Thoits, 2011). Professionals also recall the good purpose of their work, as a recall that whatever they do could matter provides them with energy and motivation to work even on a </w:t>
      </w:r>
      <w:r w:rsidRPr="0041587A">
        <w:rPr>
          <w:rFonts w:ascii="Times New Roman" w:eastAsia="Times New Roman" w:hAnsi="Times New Roman" w:cs="Times New Roman"/>
          <w:color w:val="000000" w:themeColor="text1"/>
          <w:kern w:val="0"/>
          <w:lang w:eastAsia="en-GB"/>
          <w14:ligatures w14:val="none"/>
        </w:rPr>
        <w:lastRenderedPageBreak/>
        <w:t>difficult day (Van der Kolk, 2014). Through this, resilience would be not only coping but also being hopeful and keeping to the mission of making kids go through their commitment of making Amira feel secure once more.</w:t>
      </w:r>
    </w:p>
    <w:p w14:paraId="3D4520D1" w14:textId="77777777" w:rsidR="00E245C3" w:rsidRPr="0041587A" w:rsidRDefault="00E245C3">
      <w:pPr>
        <w:spacing w:after="0" w:line="480" w:lineRule="auto"/>
        <w:jc w:val="both"/>
        <w:rPr>
          <w:rFonts w:ascii="Times New Roman" w:eastAsia="Times New Roman" w:hAnsi="Times New Roman" w:cs="Times New Roman"/>
          <w:color w:val="000000" w:themeColor="text1"/>
          <w:kern w:val="0"/>
          <w:lang w:eastAsia="en-GB"/>
          <w14:ligatures w14:val="none"/>
        </w:rPr>
      </w:pPr>
    </w:p>
    <w:p w14:paraId="2008BB0F" w14:textId="77777777"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bookmarkStart w:id="21" w:name="_Toc214038616"/>
      <w:r w:rsidRPr="0041587A">
        <w:rPr>
          <w:rFonts w:eastAsia="Times New Roman" w:cs="Times New Roman"/>
          <w:i w:val="0"/>
          <w:sz w:val="28"/>
          <w:szCs w:val="28"/>
          <w:lang w:eastAsia="en-GB"/>
        </w:rPr>
        <w:t>Boundaries and Emotional Containment</w:t>
      </w:r>
      <w:bookmarkEnd w:id="21"/>
    </w:p>
    <w:p w14:paraId="09FCECB8"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The term containment as used by Bion (2023) to explain how an individual can safely contain the distress of another person without being overwhelmed with it, also works very well when working with traumatised children. This, in effect, implies that, when Amira starts getting upset, the practitioner remains composed and stable, which makes her feel that her feelings can be controlled. To do it, they must also have effective emotional boundaries in order not to carry her pain home with them. Emotional intelligence and self-regulation training could allow the professionals to remain level-headed despite the highly distressing stories told by children (Grant &amp; Kinman, 2018). By demonstrating calmness and empathy, Amira gets to learn that emotions can be handled safely and this is a big step towards her recovery.</w:t>
      </w:r>
    </w:p>
    <w:p w14:paraId="47120025" w14:textId="77777777"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bookmarkStart w:id="22" w:name="_Toc214038617"/>
      <w:r w:rsidRPr="0041587A">
        <w:rPr>
          <w:rFonts w:eastAsia="Times New Roman" w:cs="Times New Roman"/>
          <w:i w:val="0"/>
          <w:sz w:val="28"/>
          <w:szCs w:val="28"/>
          <w:lang w:eastAsia="en-GB"/>
        </w:rPr>
        <w:t>Organisational and Systemic Support</w:t>
      </w:r>
      <w:bookmarkEnd w:id="22"/>
    </w:p>
    <w:p w14:paraId="189C7937"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 xml:space="preserve">Individual resilience is necessary but not sufficient because professionals can only succeed in the environment that favors them. Proper organisation understands the emotional burden of such work and offers frameworks to support the overall wellbeing of staff, including frequent supervision, limited number of cases, and free communication (McFadden et al., 2015). A trauma-informed approach implemented in a school-wide capacity is also beneficial as it will assist in the sense that all teachers to lunch personnel will know how trauma impacts behaviour and learning (Bath, 2008). The use of the same principles of safety and empathy by the entire team helps to avoid burnout and not to put the entire burden on one person. Another protective </w:t>
      </w:r>
      <w:r w:rsidRPr="0041587A">
        <w:rPr>
          <w:rFonts w:ascii="Times New Roman" w:eastAsia="Times New Roman" w:hAnsi="Times New Roman" w:cs="Times New Roman"/>
          <w:color w:val="000000" w:themeColor="text1"/>
          <w:kern w:val="0"/>
          <w:lang w:eastAsia="en-GB"/>
          <w14:ligatures w14:val="none"/>
        </w:rPr>
        <w:lastRenderedPageBreak/>
        <w:t>factor is multi-agency collaboration, including the Team Around the Child model, as it will distribute the responsibility between professionals and let everyone provide ideas and emotional support (Lonne et al., 2008). When professionals understand that they are a coordinated plan with social workers, teachers, and health professionals, they will not feel isolated and have confidence that the needs of Amira are addressed.</w:t>
      </w:r>
    </w:p>
    <w:p w14:paraId="45E2EA6D" w14:textId="77777777" w:rsidR="00E245C3" w:rsidRPr="0041587A" w:rsidRDefault="00E245C3">
      <w:pPr>
        <w:spacing w:after="0" w:line="480" w:lineRule="auto"/>
        <w:jc w:val="both"/>
        <w:rPr>
          <w:rFonts w:ascii="Times New Roman" w:eastAsia="Times New Roman" w:hAnsi="Times New Roman" w:cs="Times New Roman"/>
          <w:color w:val="000000" w:themeColor="text1"/>
          <w:kern w:val="0"/>
          <w:lang w:eastAsia="en-GB"/>
          <w14:ligatures w14:val="none"/>
        </w:rPr>
      </w:pPr>
    </w:p>
    <w:p w14:paraId="2D484153" w14:textId="77777777"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bookmarkStart w:id="23" w:name="_Toc214038618"/>
      <w:r w:rsidRPr="0041587A">
        <w:rPr>
          <w:rFonts w:eastAsia="Times New Roman" w:cs="Times New Roman"/>
          <w:i w:val="0"/>
          <w:sz w:val="28"/>
          <w:szCs w:val="28"/>
          <w:lang w:eastAsia="en-GB"/>
        </w:rPr>
        <w:t>Coping with Moral and Ethical Challenges</w:t>
      </w:r>
      <w:bookmarkEnd w:id="23"/>
    </w:p>
    <w:p w14:paraId="47FECBF1"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In some instances, the professionals are morally distressed because they have the knowledge of what would be the best course of action to take with the child, but they are unable to do that due to insufficient resources or slow systems (Austin, 2012). As an illustration, they may find that Amira requires any form of therapy urgently but find out that there is a long queue. Some of the ways to address these issues, used in such instances, are discussing them with supervisors, making reflective notes, or participating in professional forums where one can discuss their systemic issues publicly (Banks, 2020). Frustration can be changed into productive energy by taking small advocacy actions such as writing a report of the gaps in services. It is not that they can do nothing about the system but only do their part which makes them feel less helpless.</w:t>
      </w:r>
    </w:p>
    <w:p w14:paraId="6F3609DB" w14:textId="77777777" w:rsidR="009E0263" w:rsidRPr="0041587A" w:rsidRDefault="009E0263">
      <w:pPr>
        <w:spacing w:after="0" w:line="480" w:lineRule="auto"/>
        <w:jc w:val="both"/>
        <w:rPr>
          <w:rFonts w:ascii="Times New Roman" w:eastAsia="Times New Roman" w:hAnsi="Times New Roman" w:cs="Times New Roman"/>
          <w:color w:val="000000" w:themeColor="text1"/>
          <w:kern w:val="0"/>
          <w:lang w:eastAsia="en-GB"/>
          <w14:ligatures w14:val="none"/>
        </w:rPr>
      </w:pPr>
    </w:p>
    <w:p w14:paraId="14E2BEA3" w14:textId="77777777"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bookmarkStart w:id="24" w:name="_Toc214038619"/>
      <w:r w:rsidRPr="0041587A">
        <w:rPr>
          <w:rFonts w:eastAsia="Times New Roman" w:cs="Times New Roman"/>
          <w:i w:val="0"/>
          <w:sz w:val="28"/>
          <w:szCs w:val="28"/>
          <w:lang w:eastAsia="en-GB"/>
        </w:rPr>
        <w:t>Integrating Self-Care into Daily Practice</w:t>
      </w:r>
      <w:bookmarkEnd w:id="24"/>
    </w:p>
    <w:p w14:paraId="59B81DC6"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 xml:space="preserve">Self-care is best undertaken as a routine and not a crisis response. According to the so-called cycle of caring model (Skovholt and Trotter-Mathison, 2016), professionals must take time to prepare emotional work, devote full attention to it, and recuperate. They may have a short walk after a tense meeting, listen to music that soothes them, or deep breathing, as the simplest of </w:t>
      </w:r>
      <w:r w:rsidRPr="0041587A">
        <w:rPr>
          <w:rFonts w:ascii="Times New Roman" w:eastAsia="Times New Roman" w:hAnsi="Times New Roman" w:cs="Times New Roman"/>
          <w:color w:val="000000" w:themeColor="text1"/>
          <w:kern w:val="0"/>
          <w:lang w:eastAsia="en-GB"/>
          <w14:ligatures w14:val="none"/>
        </w:rPr>
        <w:lastRenderedPageBreak/>
        <w:t>time off can enable the body and mind to rest. Mindfulness based programmes lower burnout and enhance concentration (Irving et al., 2011). The key element of compassion satisfaction, the good emotions of the process of assisting other people helps professionals remember why they are doing such work and allows balancing the sadness that can arise with it (Stamm, 2010).</w:t>
      </w:r>
    </w:p>
    <w:p w14:paraId="075B155E" w14:textId="77777777" w:rsidR="00E245C3" w:rsidRPr="0041587A"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Organisations must also aim at encouraging wellbeing by counselling, flexible work schedules and wellbeing days as self-care is a professional responsibility that contributes to healthy workplace culture.</w:t>
      </w:r>
    </w:p>
    <w:p w14:paraId="4C4F61DB" w14:textId="1F696E25" w:rsidR="00E245C3" w:rsidRPr="0041587A" w:rsidRDefault="00000000" w:rsidP="009E0263">
      <w:pPr>
        <w:pStyle w:val="Heading2"/>
        <w:numPr>
          <w:ilvl w:val="0"/>
          <w:numId w:val="0"/>
        </w:numPr>
        <w:spacing w:line="480" w:lineRule="auto"/>
        <w:ind w:left="576" w:hanging="576"/>
        <w:rPr>
          <w:rFonts w:eastAsia="Times New Roman" w:cs="Times New Roman"/>
          <w:i w:val="0"/>
          <w:sz w:val="28"/>
          <w:szCs w:val="28"/>
          <w:lang w:eastAsia="en-GB"/>
        </w:rPr>
      </w:pPr>
      <w:bookmarkStart w:id="25" w:name="_Toc214038620"/>
      <w:r w:rsidRPr="0041587A">
        <w:rPr>
          <w:rFonts w:eastAsia="Times New Roman" w:cs="Times New Roman"/>
          <w:i w:val="0"/>
          <w:sz w:val="28"/>
          <w:szCs w:val="28"/>
          <w:lang w:eastAsia="en-GB"/>
        </w:rPr>
        <w:t>Personal Reflection</w:t>
      </w:r>
      <w:r w:rsidR="009E0263" w:rsidRPr="0041587A">
        <w:rPr>
          <w:rFonts w:eastAsia="Times New Roman" w:cs="Times New Roman"/>
          <w:i w:val="0"/>
          <w:sz w:val="28"/>
          <w:szCs w:val="28"/>
          <w:lang w:eastAsia="en-GB"/>
        </w:rPr>
        <w:t xml:space="preserve"> </w:t>
      </w:r>
      <w:bookmarkEnd w:id="25"/>
    </w:p>
    <w:p w14:paraId="1C69FCEE" w14:textId="7D8C8B82" w:rsidR="00E245C3"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41587A">
        <w:rPr>
          <w:rFonts w:ascii="Times New Roman" w:eastAsia="Times New Roman" w:hAnsi="Times New Roman" w:cs="Times New Roman"/>
          <w:color w:val="000000" w:themeColor="text1"/>
          <w:kern w:val="0"/>
          <w:lang w:eastAsia="en-GB"/>
          <w14:ligatures w14:val="none"/>
        </w:rPr>
        <w:t xml:space="preserve">When Amira narrates her story directly, it would be easy to sympathize with the professional and feel sad since it is so painful to think of a child being hungry or lonely and the professional may also want to safeguard her. However, it is essential to ensure that they remain down-to-earth to allow Amira to observe that adults are also able to deal with challenging feelings. The concept of reflection-in-action described by </w:t>
      </w:r>
      <w:r w:rsidR="00353CC4" w:rsidRPr="0041587A">
        <w:rPr>
          <w:rFonts w:ascii="Times New Roman" w:eastAsia="Times New Roman" w:hAnsi="Times New Roman" w:cs="Times New Roman"/>
          <w:color w:val="000000" w:themeColor="text1"/>
          <w:kern w:val="0"/>
          <w:lang w:eastAsia="en-GB"/>
          <w14:ligatures w14:val="none"/>
        </w:rPr>
        <w:t>Schon</w:t>
      </w:r>
      <w:r w:rsidRPr="0041587A">
        <w:rPr>
          <w:rFonts w:ascii="Times New Roman" w:eastAsia="Times New Roman" w:hAnsi="Times New Roman" w:cs="Times New Roman"/>
          <w:color w:val="000000" w:themeColor="text1"/>
          <w:kern w:val="0"/>
          <w:lang w:eastAsia="en-GB"/>
          <w14:ligatures w14:val="none"/>
        </w:rPr>
        <w:t xml:space="preserve"> (1986) aids professionals to become aware of their emotions and change behaviour on the spot. As an example, when they are so emotional, they can slow their breathing, whisper, and listen. Subsequently, they will have the opportunity to make reflections and talk about triggers in supervision.</w:t>
      </w:r>
    </w:p>
    <w:p w14:paraId="50E34788" w14:textId="77777777" w:rsidR="00CA5744" w:rsidRPr="00A2554F" w:rsidRDefault="00CA5744">
      <w:pPr>
        <w:spacing w:after="0" w:line="480" w:lineRule="auto"/>
        <w:jc w:val="both"/>
        <w:rPr>
          <w:rFonts w:ascii="Times New Roman" w:eastAsia="Times New Roman" w:hAnsi="Times New Roman" w:cs="Times New Roman"/>
          <w:color w:val="000000" w:themeColor="text1"/>
          <w:kern w:val="0"/>
          <w:lang w:eastAsia="en-GB"/>
          <w14:ligatures w14:val="none"/>
        </w:rPr>
      </w:pPr>
    </w:p>
    <w:p w14:paraId="2918FF4B" w14:textId="1AB89462" w:rsidR="00E245C3" w:rsidRPr="00CA5744" w:rsidRDefault="00000000" w:rsidP="009E0263">
      <w:pPr>
        <w:pStyle w:val="Heading1"/>
        <w:numPr>
          <w:ilvl w:val="0"/>
          <w:numId w:val="0"/>
        </w:numPr>
        <w:spacing w:line="480" w:lineRule="auto"/>
        <w:ind w:left="432" w:hanging="432"/>
        <w:rPr>
          <w:rFonts w:eastAsia="Times New Roman" w:cs="Times New Roman"/>
          <w:sz w:val="28"/>
          <w:szCs w:val="28"/>
          <w:lang w:eastAsia="en-GB"/>
        </w:rPr>
      </w:pPr>
      <w:bookmarkStart w:id="26" w:name="_Toc214038621"/>
      <w:r w:rsidRPr="00CA5744">
        <w:rPr>
          <w:rFonts w:eastAsia="Times New Roman" w:cs="Times New Roman"/>
          <w:sz w:val="28"/>
          <w:szCs w:val="28"/>
          <w:lang w:eastAsia="en-GB"/>
        </w:rPr>
        <w:t>Conclusion of Reflection</w:t>
      </w:r>
      <w:bookmarkEnd w:id="26"/>
    </w:p>
    <w:p w14:paraId="3F06A900" w14:textId="44845E75" w:rsidR="00E245C3" w:rsidRPr="00A2554F" w:rsidRDefault="00000000">
      <w:pPr>
        <w:spacing w:after="0" w:line="480" w:lineRule="auto"/>
        <w:jc w:val="both"/>
        <w:rPr>
          <w:rFonts w:ascii="Times New Roman" w:eastAsia="Times New Roman" w:hAnsi="Times New Roman" w:cs="Times New Roman"/>
          <w:color w:val="000000" w:themeColor="text1"/>
          <w:kern w:val="0"/>
          <w:lang w:eastAsia="en-GB"/>
          <w14:ligatures w14:val="none"/>
        </w:rPr>
      </w:pPr>
      <w:r w:rsidRPr="00A2554F">
        <w:rPr>
          <w:rFonts w:ascii="Times New Roman" w:eastAsia="Times New Roman" w:hAnsi="Times New Roman" w:cs="Times New Roman"/>
          <w:color w:val="000000" w:themeColor="text1"/>
          <w:kern w:val="0"/>
          <w:lang w:eastAsia="en-GB"/>
          <w14:ligatures w14:val="none"/>
        </w:rPr>
        <w:t>The ethical practice with trauma victims of children requires resilience and self-care. Professionals can preserve Amiras empathy and patience by reflecting on a regular basis, seeking supervision, and keeping healthy boundaries. Caring about</w:t>
      </w:r>
      <w:r w:rsidR="009B0C29">
        <w:rPr>
          <w:rFonts w:ascii="Times New Roman" w:eastAsia="Times New Roman" w:hAnsi="Times New Roman" w:cs="Times New Roman"/>
          <w:color w:val="000000" w:themeColor="text1"/>
          <w:kern w:val="0"/>
          <w:lang w:eastAsia="en-GB"/>
          <w14:ligatures w14:val="none"/>
        </w:rPr>
        <w:t xml:space="preserve"> </w:t>
      </w:r>
      <w:r w:rsidRPr="00A2554F">
        <w:rPr>
          <w:rFonts w:ascii="Times New Roman" w:eastAsia="Times New Roman" w:hAnsi="Times New Roman" w:cs="Times New Roman"/>
          <w:color w:val="000000" w:themeColor="text1"/>
          <w:kern w:val="0"/>
          <w:lang w:eastAsia="en-GB"/>
          <w14:ligatures w14:val="none"/>
        </w:rPr>
        <w:t xml:space="preserve">wellbeing </w:t>
      </w:r>
      <w:r w:rsidR="00B76FAE">
        <w:rPr>
          <w:rFonts w:ascii="Times New Roman" w:eastAsia="Times New Roman" w:hAnsi="Times New Roman" w:cs="Times New Roman"/>
          <w:color w:val="000000" w:themeColor="text1"/>
          <w:kern w:val="0"/>
          <w:lang w:eastAsia="en-GB"/>
          <w14:ligatures w14:val="none"/>
        </w:rPr>
        <w:t xml:space="preserve">and </w:t>
      </w:r>
      <w:r w:rsidRPr="00A2554F">
        <w:rPr>
          <w:rFonts w:ascii="Times New Roman" w:eastAsia="Times New Roman" w:hAnsi="Times New Roman" w:cs="Times New Roman"/>
          <w:color w:val="000000" w:themeColor="text1"/>
          <w:kern w:val="0"/>
          <w:lang w:eastAsia="en-GB"/>
          <w14:ligatures w14:val="none"/>
        </w:rPr>
        <w:t xml:space="preserve">healthy coping model of children, which demonstrates that even after experiencing pain, it is possible to recover and grow. It takes emotional presence, loyalty, and compassion as well as realistic </w:t>
      </w:r>
      <w:r w:rsidRPr="00A2554F">
        <w:rPr>
          <w:rFonts w:ascii="Times New Roman" w:eastAsia="Times New Roman" w:hAnsi="Times New Roman" w:cs="Times New Roman"/>
          <w:color w:val="000000" w:themeColor="text1"/>
          <w:kern w:val="0"/>
          <w:lang w:eastAsia="en-GB"/>
          <w14:ligatures w14:val="none"/>
        </w:rPr>
        <w:lastRenderedPageBreak/>
        <w:t>understanding of own boundaries to support Amira. With the help of teamwork, reflection, and continuous learning, the professionals will be able to remain compassionate and stable, and their aid will help Amira not just survive but increase.</w:t>
      </w:r>
    </w:p>
    <w:p w14:paraId="7D8E4D26" w14:textId="77777777" w:rsidR="00E245C3" w:rsidRDefault="00000000">
      <w:pPr>
        <w:spacing w:line="480" w:lineRule="auto"/>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br w:type="page"/>
      </w:r>
      <w:bookmarkEnd w:id="0"/>
    </w:p>
    <w:p w14:paraId="02548446" w14:textId="77777777" w:rsidR="00353CC4" w:rsidRPr="00353CC4" w:rsidRDefault="00353CC4" w:rsidP="00353CC4">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353CC4">
        <w:rPr>
          <w:rFonts w:ascii="Times New Roman" w:eastAsia="Times New Roman" w:hAnsi="Times New Roman" w:cs="Times New Roman"/>
          <w:b/>
          <w:bCs/>
          <w:color w:val="000000"/>
          <w:kern w:val="0"/>
          <w:sz w:val="36"/>
          <w:szCs w:val="36"/>
          <w:lang w:eastAsia="en-GB"/>
          <w14:ligatures w14:val="none"/>
        </w:rPr>
        <w:lastRenderedPageBreak/>
        <w:t xml:space="preserve">References </w:t>
      </w:r>
    </w:p>
    <w:p w14:paraId="7F632EDE"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Austin, W. (2012) 'Moral distress and the contemporary plight of health professionals,' </w:t>
      </w:r>
      <w:r w:rsidRPr="00353CC4">
        <w:rPr>
          <w:rFonts w:ascii="Times New Roman" w:eastAsia="Times New Roman" w:hAnsi="Times New Roman" w:cs="Times New Roman"/>
          <w:i/>
          <w:iCs/>
          <w:color w:val="000000"/>
          <w:kern w:val="0"/>
          <w:lang w:eastAsia="en-GB"/>
          <w14:ligatures w14:val="none"/>
        </w:rPr>
        <w:t>HEC Forum</w:t>
      </w:r>
      <w:r w:rsidRPr="00353CC4">
        <w:rPr>
          <w:rFonts w:ascii="Times New Roman" w:eastAsia="Times New Roman" w:hAnsi="Times New Roman" w:cs="Times New Roman"/>
          <w:color w:val="000000"/>
          <w:kern w:val="0"/>
          <w:lang w:eastAsia="en-GB"/>
          <w14:ligatures w14:val="none"/>
        </w:rPr>
        <w:t xml:space="preserve">, 24(1), pp. 27–38. </w:t>
      </w:r>
      <w:hyperlink r:id="rId12" w:history="1">
        <w:r w:rsidRPr="00353CC4">
          <w:rPr>
            <w:rFonts w:ascii="Times New Roman" w:eastAsia="Times New Roman" w:hAnsi="Times New Roman" w:cs="Times New Roman"/>
            <w:kern w:val="0"/>
            <w:lang w:eastAsia="en-GB"/>
            <w14:ligatures w14:val="none"/>
          </w:rPr>
          <w:t>https://doi.org/10.1007/s10730-012-9179-8</w:t>
        </w:r>
      </w:hyperlink>
      <w:r w:rsidRPr="00353CC4">
        <w:rPr>
          <w:rFonts w:ascii="Times New Roman" w:eastAsia="Times New Roman" w:hAnsi="Times New Roman" w:cs="Times New Roman"/>
          <w:kern w:val="0"/>
          <w:lang w:eastAsia="en-GB"/>
          <w14:ligatures w14:val="none"/>
        </w:rPr>
        <w:t>.</w:t>
      </w:r>
    </w:p>
    <w:p w14:paraId="1B09F8C2"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Banks, S. (2020). </w:t>
      </w:r>
      <w:r w:rsidRPr="00353CC4">
        <w:rPr>
          <w:rFonts w:ascii="Times New Roman" w:eastAsia="Times New Roman" w:hAnsi="Times New Roman" w:cs="Times New Roman"/>
          <w:i/>
          <w:iCs/>
          <w:color w:val="000000"/>
          <w:kern w:val="0"/>
          <w:lang w:eastAsia="en-GB"/>
          <w14:ligatures w14:val="none"/>
        </w:rPr>
        <w:t>Ethics and values in social work</w:t>
      </w:r>
      <w:r w:rsidRPr="00353CC4">
        <w:rPr>
          <w:rFonts w:ascii="Times New Roman" w:eastAsia="Times New Roman" w:hAnsi="Times New Roman" w:cs="Times New Roman"/>
          <w:color w:val="000000"/>
          <w:kern w:val="0"/>
          <w:lang w:eastAsia="en-GB"/>
          <w14:ligatures w14:val="none"/>
        </w:rPr>
        <w:t xml:space="preserve">. Bloomsbury Publishing. </w:t>
      </w:r>
    </w:p>
    <w:p w14:paraId="6898E97D"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Bath, H. (2008). The three pillars of trauma-informed care. </w:t>
      </w:r>
      <w:r w:rsidRPr="00353CC4">
        <w:rPr>
          <w:rFonts w:ascii="Times New Roman" w:eastAsia="Times New Roman" w:hAnsi="Times New Roman" w:cs="Times New Roman"/>
          <w:i/>
          <w:iCs/>
          <w:color w:val="000000"/>
          <w:kern w:val="0"/>
          <w:lang w:eastAsia="en-GB"/>
          <w14:ligatures w14:val="none"/>
        </w:rPr>
        <w:t>Reclaiming children and youth</w:t>
      </w:r>
      <w:r w:rsidRPr="00353CC4">
        <w:rPr>
          <w:rFonts w:ascii="Times New Roman" w:eastAsia="Times New Roman" w:hAnsi="Times New Roman" w:cs="Times New Roman"/>
          <w:color w:val="000000"/>
          <w:kern w:val="0"/>
          <w:lang w:eastAsia="en-GB"/>
          <w14:ligatures w14:val="none"/>
        </w:rPr>
        <w:t>, </w:t>
      </w:r>
      <w:r w:rsidRPr="00353CC4">
        <w:rPr>
          <w:rFonts w:ascii="Times New Roman" w:eastAsia="Times New Roman" w:hAnsi="Times New Roman" w:cs="Times New Roman"/>
          <w:i/>
          <w:iCs/>
          <w:color w:val="000000"/>
          <w:kern w:val="0"/>
          <w:lang w:eastAsia="en-GB"/>
          <w14:ligatures w14:val="none"/>
        </w:rPr>
        <w:t>17</w:t>
      </w:r>
      <w:r w:rsidRPr="00353CC4">
        <w:rPr>
          <w:rFonts w:ascii="Times New Roman" w:eastAsia="Times New Roman" w:hAnsi="Times New Roman" w:cs="Times New Roman"/>
          <w:color w:val="000000"/>
          <w:kern w:val="0"/>
          <w:lang w:eastAsia="en-GB"/>
          <w14:ligatures w14:val="none"/>
        </w:rPr>
        <w:t>(3), 17-21.</w:t>
      </w:r>
    </w:p>
    <w:p w14:paraId="4D425765"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Bellis, M. A., Lowey, H., Leckenby, N., Hughes, K., &amp; Harrison, D. (2014). Adverse childhood experiences: retrospective study to determine their impact on adult health behaviours and health outcomes in a UK population. </w:t>
      </w:r>
      <w:r w:rsidRPr="00353CC4">
        <w:rPr>
          <w:rFonts w:ascii="Times New Roman" w:eastAsia="Times New Roman" w:hAnsi="Times New Roman" w:cs="Times New Roman"/>
          <w:i/>
          <w:iCs/>
          <w:color w:val="000000"/>
          <w:kern w:val="0"/>
          <w:lang w:eastAsia="en-GB"/>
          <w14:ligatures w14:val="none"/>
        </w:rPr>
        <w:t>Journal of public health</w:t>
      </w:r>
      <w:r w:rsidRPr="00353CC4">
        <w:rPr>
          <w:rFonts w:ascii="Times New Roman" w:eastAsia="Times New Roman" w:hAnsi="Times New Roman" w:cs="Times New Roman"/>
          <w:color w:val="000000"/>
          <w:kern w:val="0"/>
          <w:lang w:eastAsia="en-GB"/>
          <w14:ligatures w14:val="none"/>
        </w:rPr>
        <w:t>, </w:t>
      </w:r>
      <w:r w:rsidRPr="00353CC4">
        <w:rPr>
          <w:rFonts w:ascii="Times New Roman" w:eastAsia="Times New Roman" w:hAnsi="Times New Roman" w:cs="Times New Roman"/>
          <w:i/>
          <w:iCs/>
          <w:color w:val="000000"/>
          <w:kern w:val="0"/>
          <w:lang w:eastAsia="en-GB"/>
          <w14:ligatures w14:val="none"/>
        </w:rPr>
        <w:t>36</w:t>
      </w:r>
      <w:r w:rsidRPr="00353CC4">
        <w:rPr>
          <w:rFonts w:ascii="Times New Roman" w:eastAsia="Times New Roman" w:hAnsi="Times New Roman" w:cs="Times New Roman"/>
          <w:color w:val="000000"/>
          <w:kern w:val="0"/>
          <w:lang w:eastAsia="en-GB"/>
          <w14:ligatures w14:val="none"/>
        </w:rPr>
        <w:t>(1), 81-91.</w:t>
      </w:r>
    </w:p>
    <w:p w14:paraId="051FA89E"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Bion, W.R. (2023) </w:t>
      </w:r>
      <w:r w:rsidRPr="00353CC4">
        <w:rPr>
          <w:rFonts w:ascii="Times New Roman" w:eastAsia="Times New Roman" w:hAnsi="Times New Roman" w:cs="Times New Roman"/>
          <w:i/>
          <w:iCs/>
          <w:color w:val="000000"/>
          <w:kern w:val="0"/>
          <w:lang w:eastAsia="en-GB"/>
          <w14:ligatures w14:val="none"/>
        </w:rPr>
        <w:t>Learning from experience</w:t>
      </w:r>
      <w:r w:rsidRPr="00353CC4">
        <w:rPr>
          <w:rFonts w:ascii="Times New Roman" w:eastAsia="Times New Roman" w:hAnsi="Times New Roman" w:cs="Times New Roman"/>
          <w:color w:val="000000"/>
          <w:kern w:val="0"/>
          <w:lang w:eastAsia="en-GB"/>
          <w14:ligatures w14:val="none"/>
        </w:rPr>
        <w:t>. https://doi.org/10.4324/9781003411840.</w:t>
      </w:r>
    </w:p>
    <w:p w14:paraId="2A947098"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Blaustein, M. E., &amp; Kinniburgh, K. M. (2018). </w:t>
      </w:r>
      <w:r w:rsidRPr="00353CC4">
        <w:rPr>
          <w:rFonts w:ascii="Times New Roman" w:eastAsia="Times New Roman" w:hAnsi="Times New Roman" w:cs="Times New Roman"/>
          <w:i/>
          <w:iCs/>
          <w:color w:val="000000"/>
          <w:kern w:val="0"/>
          <w:lang w:eastAsia="en-GB"/>
          <w14:ligatures w14:val="none"/>
        </w:rPr>
        <w:t>Treating traumatic stress in children and adolescents: How to foster resilience through attachment, self-regulation, and competency</w:t>
      </w:r>
      <w:r w:rsidRPr="00353CC4">
        <w:rPr>
          <w:rFonts w:ascii="Times New Roman" w:eastAsia="Times New Roman" w:hAnsi="Times New Roman" w:cs="Times New Roman"/>
          <w:color w:val="000000"/>
          <w:kern w:val="0"/>
          <w:lang w:eastAsia="en-GB"/>
          <w14:ligatures w14:val="none"/>
        </w:rPr>
        <w:t>. Guilford Publications.</w:t>
      </w:r>
    </w:p>
    <w:p w14:paraId="1BB03DBB"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Bowlby, J. (1969). </w:t>
      </w:r>
      <w:r w:rsidRPr="00353CC4">
        <w:rPr>
          <w:rFonts w:ascii="Times New Roman" w:eastAsia="Times New Roman" w:hAnsi="Times New Roman" w:cs="Times New Roman"/>
          <w:i/>
          <w:iCs/>
          <w:color w:val="000000"/>
          <w:kern w:val="0"/>
          <w:lang w:eastAsia="en-GB"/>
          <w14:ligatures w14:val="none"/>
        </w:rPr>
        <w:t>Attachment and loss</w:t>
      </w:r>
      <w:r w:rsidRPr="00353CC4">
        <w:rPr>
          <w:rFonts w:ascii="Times New Roman" w:eastAsia="Times New Roman" w:hAnsi="Times New Roman" w:cs="Times New Roman"/>
          <w:color w:val="000000"/>
          <w:kern w:val="0"/>
          <w:lang w:eastAsia="en-GB"/>
          <w14:ligatures w14:val="none"/>
        </w:rPr>
        <w:t xml:space="preserve">. </w:t>
      </w:r>
      <w:hyperlink r:id="rId13" w:history="1">
        <w:r w:rsidRPr="00353CC4">
          <w:rPr>
            <w:rFonts w:ascii="Times New Roman" w:eastAsia="Times New Roman" w:hAnsi="Times New Roman" w:cs="Times New Roman"/>
            <w:color w:val="000000"/>
            <w:kern w:val="0"/>
            <w:lang w:eastAsia="en-GB"/>
            <w14:ligatures w14:val="none"/>
          </w:rPr>
          <w:t>http://www.abebe.org.br/wp-content/uploads/John-Bowlby-Loss-Sadness-And-Depression-Attachment-and-Loss-1982.pdf</w:t>
        </w:r>
      </w:hyperlink>
    </w:p>
    <w:p w14:paraId="533CDF7C"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Bride, B. E. (2007). Prevalence of secondary traumatic stress among social workers. Social work, 52(1), 63-70.</w:t>
      </w:r>
    </w:p>
    <w:p w14:paraId="61568CDC"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Burke, C.A. (2009) 'Mindfulness-Based Approaches with Children and Adolescents: A Preliminary Review of Current Research in an Emergent Field,' </w:t>
      </w:r>
      <w:r w:rsidRPr="00353CC4">
        <w:rPr>
          <w:rFonts w:ascii="Times New Roman" w:eastAsia="Times New Roman" w:hAnsi="Times New Roman" w:cs="Times New Roman"/>
          <w:i/>
          <w:iCs/>
          <w:color w:val="000000"/>
          <w:kern w:val="0"/>
          <w:lang w:eastAsia="en-GB"/>
          <w14:ligatures w14:val="none"/>
        </w:rPr>
        <w:t>Journal of Child and Family Studies</w:t>
      </w:r>
      <w:r w:rsidRPr="00353CC4">
        <w:rPr>
          <w:rFonts w:ascii="Times New Roman" w:eastAsia="Times New Roman" w:hAnsi="Times New Roman" w:cs="Times New Roman"/>
          <w:color w:val="000000"/>
          <w:kern w:val="0"/>
          <w:lang w:eastAsia="en-GB"/>
          <w14:ligatures w14:val="none"/>
        </w:rPr>
        <w:t>, 19(2), pp. 133–144. https://doi.org/10.1007/s10826-009-9282-x.</w:t>
      </w:r>
    </w:p>
    <w:p w14:paraId="5066B494"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Carpenter, J., Webb, C. M., &amp; Bostock, L. (2013). The surprisingly weak evidence base for supervision: Findings from a systematic review of research in child welfare practice (2000–2012). </w:t>
      </w:r>
      <w:r w:rsidRPr="00353CC4">
        <w:rPr>
          <w:rFonts w:ascii="Times New Roman" w:eastAsia="Times New Roman" w:hAnsi="Times New Roman" w:cs="Times New Roman"/>
          <w:i/>
          <w:iCs/>
          <w:color w:val="000000"/>
          <w:kern w:val="0"/>
          <w:lang w:eastAsia="en-GB"/>
          <w14:ligatures w14:val="none"/>
        </w:rPr>
        <w:t>Children and Youth Services Review</w:t>
      </w:r>
      <w:r w:rsidRPr="00353CC4">
        <w:rPr>
          <w:rFonts w:ascii="Times New Roman" w:eastAsia="Times New Roman" w:hAnsi="Times New Roman" w:cs="Times New Roman"/>
          <w:color w:val="000000"/>
          <w:kern w:val="0"/>
          <w:lang w:eastAsia="en-GB"/>
          <w14:ligatures w14:val="none"/>
        </w:rPr>
        <w:t>, </w:t>
      </w:r>
      <w:r w:rsidRPr="00353CC4">
        <w:rPr>
          <w:rFonts w:ascii="Times New Roman" w:eastAsia="Times New Roman" w:hAnsi="Times New Roman" w:cs="Times New Roman"/>
          <w:i/>
          <w:iCs/>
          <w:color w:val="000000"/>
          <w:kern w:val="0"/>
          <w:lang w:eastAsia="en-GB"/>
          <w14:ligatures w14:val="none"/>
        </w:rPr>
        <w:t>35</w:t>
      </w:r>
      <w:r w:rsidRPr="00353CC4">
        <w:rPr>
          <w:rFonts w:ascii="Times New Roman" w:eastAsia="Times New Roman" w:hAnsi="Times New Roman" w:cs="Times New Roman"/>
          <w:color w:val="000000"/>
          <w:kern w:val="0"/>
          <w:lang w:eastAsia="en-GB"/>
          <w14:ligatures w14:val="none"/>
        </w:rPr>
        <w:t>(11), 1843-1853.</w:t>
      </w:r>
    </w:p>
    <w:p w14:paraId="0F2A77BF"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bookmarkStart w:id="27" w:name="_Hlk213524884"/>
      <w:r w:rsidRPr="00353CC4">
        <w:rPr>
          <w:rFonts w:ascii="Times New Roman" w:eastAsia="Times New Roman" w:hAnsi="Times New Roman" w:cs="Times New Roman"/>
          <w:color w:val="000000"/>
          <w:kern w:val="0"/>
          <w:lang w:eastAsia="en-GB"/>
          <w14:ligatures w14:val="none"/>
        </w:rPr>
        <w:lastRenderedPageBreak/>
        <w:t>Collings</w:t>
      </w:r>
      <w:bookmarkEnd w:id="27"/>
      <w:r w:rsidRPr="00353CC4">
        <w:rPr>
          <w:rFonts w:ascii="Times New Roman" w:eastAsia="Times New Roman" w:hAnsi="Times New Roman" w:cs="Times New Roman"/>
          <w:color w:val="000000"/>
          <w:kern w:val="0"/>
          <w:lang w:eastAsia="en-GB"/>
          <w14:ligatures w14:val="none"/>
        </w:rPr>
        <w:t>, S., Wright, A. C., McLean, L., &amp; Buratti, S. (2022). Trauma-informed family contact practice for children in out-of-home care. </w:t>
      </w:r>
      <w:r w:rsidRPr="00353CC4">
        <w:rPr>
          <w:rFonts w:ascii="Times New Roman" w:eastAsia="Times New Roman" w:hAnsi="Times New Roman" w:cs="Times New Roman"/>
          <w:i/>
          <w:iCs/>
          <w:color w:val="000000"/>
          <w:kern w:val="0"/>
          <w:lang w:eastAsia="en-GB"/>
          <w14:ligatures w14:val="none"/>
        </w:rPr>
        <w:t>The British Journal of Social Work</w:t>
      </w:r>
      <w:r w:rsidRPr="00353CC4">
        <w:rPr>
          <w:rFonts w:ascii="Times New Roman" w:eastAsia="Times New Roman" w:hAnsi="Times New Roman" w:cs="Times New Roman"/>
          <w:color w:val="000000"/>
          <w:kern w:val="0"/>
          <w:lang w:eastAsia="en-GB"/>
          <w14:ligatures w14:val="none"/>
        </w:rPr>
        <w:t>, </w:t>
      </w:r>
      <w:r w:rsidRPr="00353CC4">
        <w:rPr>
          <w:rFonts w:ascii="Times New Roman" w:eastAsia="Times New Roman" w:hAnsi="Times New Roman" w:cs="Times New Roman"/>
          <w:i/>
          <w:iCs/>
          <w:color w:val="000000"/>
          <w:kern w:val="0"/>
          <w:lang w:eastAsia="en-GB"/>
          <w14:ligatures w14:val="none"/>
        </w:rPr>
        <w:t>52</w:t>
      </w:r>
      <w:r w:rsidRPr="00353CC4">
        <w:rPr>
          <w:rFonts w:ascii="Times New Roman" w:eastAsia="Times New Roman" w:hAnsi="Times New Roman" w:cs="Times New Roman"/>
          <w:color w:val="000000"/>
          <w:kern w:val="0"/>
          <w:lang w:eastAsia="en-GB"/>
          <w14:ligatures w14:val="none"/>
        </w:rPr>
        <w:t>(4), 1837-1858.</w:t>
      </w:r>
    </w:p>
    <w:p w14:paraId="6B409607"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Department for Education. (2018). </w:t>
      </w:r>
      <w:r w:rsidRPr="00353CC4">
        <w:rPr>
          <w:rFonts w:ascii="Times New Roman" w:eastAsia="Times New Roman" w:hAnsi="Times New Roman" w:cs="Times New Roman"/>
          <w:i/>
          <w:iCs/>
          <w:color w:val="000000"/>
          <w:kern w:val="0"/>
          <w:lang w:eastAsia="en-GB"/>
          <w14:ligatures w14:val="none"/>
        </w:rPr>
        <w:t>Working together to safeguard children: A guide to inter-agency working to safeguard and promote the welfare of children</w:t>
      </w:r>
      <w:r w:rsidRPr="00353CC4">
        <w:rPr>
          <w:rFonts w:ascii="Times New Roman" w:eastAsia="Times New Roman" w:hAnsi="Times New Roman" w:cs="Times New Roman"/>
          <w:color w:val="000000"/>
          <w:kern w:val="0"/>
          <w:lang w:eastAsia="en-GB"/>
          <w14:ligatures w14:val="none"/>
        </w:rPr>
        <w:t xml:space="preserve"> (Statutory guidance). Department for Education. </w:t>
      </w:r>
      <w:hyperlink r:id="rId14" w:tgtFrame="_new" w:history="1">
        <w:r w:rsidRPr="00353CC4">
          <w:rPr>
            <w:rFonts w:ascii="Times New Roman" w:eastAsia="Times New Roman" w:hAnsi="Times New Roman" w:cs="Times New Roman"/>
            <w:color w:val="000000"/>
            <w:kern w:val="0"/>
            <w:lang w:eastAsia="en-GB"/>
            <w14:ligatures w14:val="none"/>
          </w:rPr>
          <w:t>https://www.gov.uk/government/publications/working-together-to-safeguard-children--2</w:t>
        </w:r>
      </w:hyperlink>
    </w:p>
    <w:p w14:paraId="27C87ADD"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Farmer, E., &amp; Moyers, S. (2008). </w:t>
      </w:r>
      <w:r w:rsidRPr="00353CC4">
        <w:rPr>
          <w:rFonts w:ascii="Times New Roman" w:eastAsia="Times New Roman" w:hAnsi="Times New Roman" w:cs="Times New Roman"/>
          <w:i/>
          <w:iCs/>
          <w:color w:val="000000"/>
          <w:kern w:val="0"/>
          <w:lang w:eastAsia="en-GB"/>
          <w14:ligatures w14:val="none"/>
        </w:rPr>
        <w:t>Kinship care: Fostering effective family and friends placements</w:t>
      </w:r>
      <w:r w:rsidRPr="00353CC4">
        <w:rPr>
          <w:rFonts w:ascii="Times New Roman" w:eastAsia="Times New Roman" w:hAnsi="Times New Roman" w:cs="Times New Roman"/>
          <w:color w:val="000000"/>
          <w:kern w:val="0"/>
          <w:lang w:eastAsia="en-GB"/>
          <w14:ligatures w14:val="none"/>
        </w:rPr>
        <w:t>. Jessica Kingsley Publishers.</w:t>
      </w:r>
    </w:p>
    <w:p w14:paraId="511E2E8D"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Figley, C.R. </w:t>
      </w:r>
      <w:r w:rsidRPr="00353CC4">
        <w:rPr>
          <w:rFonts w:ascii="Times New Roman" w:eastAsia="Times New Roman" w:hAnsi="Times New Roman" w:cs="Times New Roman"/>
          <w:i/>
          <w:iCs/>
          <w:color w:val="000000"/>
          <w:kern w:val="0"/>
          <w:lang w:eastAsia="en-GB"/>
          <w14:ligatures w14:val="none"/>
        </w:rPr>
        <w:t>et al.</w:t>
      </w:r>
      <w:r w:rsidRPr="00353CC4">
        <w:rPr>
          <w:rFonts w:ascii="Times New Roman" w:eastAsia="Times New Roman" w:hAnsi="Times New Roman" w:cs="Times New Roman"/>
          <w:color w:val="000000"/>
          <w:kern w:val="0"/>
          <w:lang w:eastAsia="en-GB"/>
          <w14:ligatures w14:val="none"/>
        </w:rPr>
        <w:t xml:space="preserve"> (eds) (1995) </w:t>
      </w:r>
      <w:r w:rsidRPr="00353CC4">
        <w:rPr>
          <w:rFonts w:ascii="Times New Roman" w:eastAsia="Times New Roman" w:hAnsi="Times New Roman" w:cs="Times New Roman"/>
          <w:i/>
          <w:iCs/>
          <w:color w:val="000000"/>
          <w:kern w:val="0"/>
          <w:lang w:eastAsia="en-GB"/>
          <w14:ligatures w14:val="none"/>
        </w:rPr>
        <w:t>COMPASSION FATIGUE: Coping with Secondary Traumatic Stress Disorder in Those Who Treat the Traumatized</w:t>
      </w:r>
      <w:r w:rsidRPr="00353CC4">
        <w:rPr>
          <w:rFonts w:ascii="Times New Roman" w:eastAsia="Times New Roman" w:hAnsi="Times New Roman" w:cs="Times New Roman"/>
          <w:color w:val="000000"/>
          <w:kern w:val="0"/>
          <w:lang w:eastAsia="en-GB"/>
          <w14:ligatures w14:val="none"/>
        </w:rPr>
        <w:t xml:space="preserve">, </w:t>
      </w:r>
      <w:r w:rsidRPr="00353CC4">
        <w:rPr>
          <w:rFonts w:ascii="Times New Roman" w:eastAsia="Times New Roman" w:hAnsi="Times New Roman" w:cs="Times New Roman"/>
          <w:i/>
          <w:iCs/>
          <w:color w:val="000000"/>
          <w:kern w:val="0"/>
          <w:lang w:eastAsia="en-GB"/>
          <w14:ligatures w14:val="none"/>
        </w:rPr>
        <w:t>Brunner/Routledge</w:t>
      </w:r>
      <w:r w:rsidRPr="00353CC4">
        <w:rPr>
          <w:rFonts w:ascii="Times New Roman" w:eastAsia="Times New Roman" w:hAnsi="Times New Roman" w:cs="Times New Roman"/>
          <w:color w:val="000000"/>
          <w:kern w:val="0"/>
          <w:lang w:eastAsia="en-GB"/>
          <w14:ligatures w14:val="none"/>
        </w:rPr>
        <w:t>. Routledge Taylor &amp; Francis Group. https://www.emdr.org.il/wp-content/uploads/2021/08/Figley1995CompassionFatiguebook.pdf.</w:t>
      </w:r>
    </w:p>
    <w:p w14:paraId="0DECAEE4"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Gee, D. G., Humphreys, K. L., Flannery, J., Goff, B., Telzer, E. H., Shapiro, M., Hare, T. A., Bookheimer, S. Y., &amp; Tottenham, N. (2013). A Developmental Shift from Positive to Negative Connectivity in Human Amygdala–Prefrontal Circuitry. </w:t>
      </w:r>
      <w:r w:rsidRPr="00353CC4">
        <w:rPr>
          <w:rFonts w:ascii="Times New Roman" w:eastAsia="Times New Roman" w:hAnsi="Times New Roman" w:cs="Times New Roman"/>
          <w:i/>
          <w:iCs/>
          <w:color w:val="000000"/>
          <w:kern w:val="0"/>
          <w:lang w:eastAsia="en-GB"/>
          <w14:ligatures w14:val="none"/>
        </w:rPr>
        <w:t>Journal of Neuroscience</w:t>
      </w:r>
      <w:r w:rsidRPr="00353CC4">
        <w:rPr>
          <w:rFonts w:ascii="Times New Roman" w:eastAsia="Times New Roman" w:hAnsi="Times New Roman" w:cs="Times New Roman"/>
          <w:color w:val="000000"/>
          <w:kern w:val="0"/>
          <w:lang w:eastAsia="en-GB"/>
          <w14:ligatures w14:val="none"/>
        </w:rPr>
        <w:t xml:space="preserve">, </w:t>
      </w:r>
      <w:r w:rsidRPr="00353CC4">
        <w:rPr>
          <w:rFonts w:ascii="Times New Roman" w:eastAsia="Times New Roman" w:hAnsi="Times New Roman" w:cs="Times New Roman"/>
          <w:i/>
          <w:iCs/>
          <w:color w:val="000000"/>
          <w:kern w:val="0"/>
          <w:lang w:eastAsia="en-GB"/>
          <w14:ligatures w14:val="none"/>
        </w:rPr>
        <w:t>33</w:t>
      </w:r>
      <w:r w:rsidRPr="00353CC4">
        <w:rPr>
          <w:rFonts w:ascii="Times New Roman" w:eastAsia="Times New Roman" w:hAnsi="Times New Roman" w:cs="Times New Roman"/>
          <w:color w:val="000000"/>
          <w:kern w:val="0"/>
          <w:lang w:eastAsia="en-GB"/>
          <w14:ligatures w14:val="none"/>
        </w:rPr>
        <w:t xml:space="preserve">(10), 4584–4593. </w:t>
      </w:r>
      <w:hyperlink r:id="rId15" w:history="1">
        <w:r w:rsidRPr="00353CC4">
          <w:rPr>
            <w:rFonts w:ascii="Times New Roman" w:eastAsia="Times New Roman" w:hAnsi="Times New Roman" w:cs="Times New Roman"/>
            <w:color w:val="000000"/>
            <w:kern w:val="0"/>
            <w:lang w:eastAsia="en-GB"/>
            <w14:ligatures w14:val="none"/>
          </w:rPr>
          <w:t>https://doi.org/10.1523/jneurosci.3446-12.2013</w:t>
        </w:r>
      </w:hyperlink>
    </w:p>
    <w:p w14:paraId="4BFE283C"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Gibbs, G. (1988). Learning by doing: A guide to teaching and learning methods. </w:t>
      </w:r>
      <w:r w:rsidRPr="00353CC4">
        <w:rPr>
          <w:rFonts w:ascii="Times New Roman" w:eastAsia="Times New Roman" w:hAnsi="Times New Roman" w:cs="Times New Roman"/>
          <w:i/>
          <w:iCs/>
          <w:color w:val="000000"/>
          <w:kern w:val="0"/>
          <w:lang w:eastAsia="en-GB"/>
          <w14:ligatures w14:val="none"/>
        </w:rPr>
        <w:t>Further Education Unit</w:t>
      </w:r>
      <w:r w:rsidRPr="00353CC4">
        <w:rPr>
          <w:rFonts w:ascii="Times New Roman" w:eastAsia="Times New Roman" w:hAnsi="Times New Roman" w:cs="Times New Roman"/>
          <w:color w:val="000000"/>
          <w:kern w:val="0"/>
          <w:lang w:eastAsia="en-GB"/>
          <w14:ligatures w14:val="none"/>
        </w:rPr>
        <w:t>.</w:t>
      </w:r>
    </w:p>
    <w:p w14:paraId="705A639B"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Gottman, J., Katz, L., &amp; Hooven, C. (1996). Parental meta-emotion philosophy and the emotional life of families. </w:t>
      </w:r>
      <w:r w:rsidRPr="00353CC4">
        <w:rPr>
          <w:rFonts w:ascii="Times New Roman" w:eastAsia="Times New Roman" w:hAnsi="Times New Roman" w:cs="Times New Roman"/>
          <w:i/>
          <w:iCs/>
          <w:color w:val="000000"/>
          <w:kern w:val="0"/>
          <w:lang w:eastAsia="en-GB"/>
          <w14:ligatures w14:val="none"/>
        </w:rPr>
        <w:t>Journal of Family Psychology, 10</w:t>
      </w:r>
      <w:r w:rsidRPr="00353CC4">
        <w:rPr>
          <w:rFonts w:ascii="Times New Roman" w:eastAsia="Times New Roman" w:hAnsi="Times New Roman" w:cs="Times New Roman"/>
          <w:color w:val="000000"/>
          <w:kern w:val="0"/>
          <w:lang w:eastAsia="en-GB"/>
          <w14:ligatures w14:val="none"/>
        </w:rPr>
        <w:t>(3), 243–268.</w:t>
      </w:r>
    </w:p>
    <w:p w14:paraId="56AC1B08"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Grant, L., &amp; Kinman, G. (Eds.). (2018). </w:t>
      </w:r>
      <w:r w:rsidRPr="00353CC4">
        <w:rPr>
          <w:rFonts w:ascii="Times New Roman" w:eastAsia="Times New Roman" w:hAnsi="Times New Roman" w:cs="Times New Roman"/>
          <w:i/>
          <w:iCs/>
          <w:color w:val="000000"/>
          <w:kern w:val="0"/>
          <w:lang w:eastAsia="en-GB"/>
          <w14:ligatures w14:val="none"/>
        </w:rPr>
        <w:t>Developing resilience for social work practice</w:t>
      </w:r>
      <w:r w:rsidRPr="00353CC4">
        <w:rPr>
          <w:rFonts w:ascii="Times New Roman" w:eastAsia="Times New Roman" w:hAnsi="Times New Roman" w:cs="Times New Roman"/>
          <w:color w:val="000000"/>
          <w:kern w:val="0"/>
          <w:lang w:eastAsia="en-GB"/>
          <w14:ligatures w14:val="none"/>
        </w:rPr>
        <w:t xml:space="preserve">. Bloomsbury Publishing. </w:t>
      </w:r>
    </w:p>
    <w:p w14:paraId="2395E723"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lastRenderedPageBreak/>
        <w:t xml:space="preserve">Hanson, J. L., Hair, N., Shen, D. G., Shi, F., Gilmore, J. H., Wolfe, B. L., &amp; Pollak, S. D. (2013). Family poverty affects the rate of human infant brain growth. </w:t>
      </w:r>
      <w:r w:rsidRPr="00353CC4">
        <w:rPr>
          <w:rFonts w:ascii="Times New Roman" w:eastAsia="Times New Roman" w:hAnsi="Times New Roman" w:cs="Times New Roman"/>
          <w:i/>
          <w:iCs/>
          <w:color w:val="000000"/>
          <w:kern w:val="0"/>
          <w:lang w:eastAsia="en-GB"/>
          <w14:ligatures w14:val="none"/>
        </w:rPr>
        <w:t>PLoS ONE</w:t>
      </w:r>
      <w:r w:rsidRPr="00353CC4">
        <w:rPr>
          <w:rFonts w:ascii="Times New Roman" w:eastAsia="Times New Roman" w:hAnsi="Times New Roman" w:cs="Times New Roman"/>
          <w:color w:val="000000"/>
          <w:kern w:val="0"/>
          <w:lang w:eastAsia="en-GB"/>
          <w14:ligatures w14:val="none"/>
        </w:rPr>
        <w:t xml:space="preserve">, </w:t>
      </w:r>
      <w:r w:rsidRPr="00353CC4">
        <w:rPr>
          <w:rFonts w:ascii="Times New Roman" w:eastAsia="Times New Roman" w:hAnsi="Times New Roman" w:cs="Times New Roman"/>
          <w:i/>
          <w:iCs/>
          <w:color w:val="000000"/>
          <w:kern w:val="0"/>
          <w:lang w:eastAsia="en-GB"/>
          <w14:ligatures w14:val="none"/>
        </w:rPr>
        <w:t>8</w:t>
      </w:r>
      <w:r w:rsidRPr="00353CC4">
        <w:rPr>
          <w:rFonts w:ascii="Times New Roman" w:eastAsia="Times New Roman" w:hAnsi="Times New Roman" w:cs="Times New Roman"/>
          <w:color w:val="000000"/>
          <w:kern w:val="0"/>
          <w:lang w:eastAsia="en-GB"/>
          <w14:ligatures w14:val="none"/>
        </w:rPr>
        <w:t xml:space="preserve">(12), e80954. </w:t>
      </w:r>
      <w:hyperlink r:id="rId16" w:history="1">
        <w:r w:rsidRPr="00353CC4">
          <w:rPr>
            <w:rFonts w:ascii="Times New Roman" w:eastAsia="Times New Roman" w:hAnsi="Times New Roman" w:cs="Times New Roman"/>
            <w:color w:val="000000"/>
            <w:kern w:val="0"/>
            <w:lang w:eastAsia="en-GB"/>
            <w14:ligatures w14:val="none"/>
          </w:rPr>
          <w:t>https://doi.org/10.1371/journal.pone.0080954</w:t>
        </w:r>
      </w:hyperlink>
    </w:p>
    <w:p w14:paraId="48D0EC67"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Hayes, J. A., Gelso, C. J., &amp; Hummel, A. M. (2011). Managing countertransference. </w:t>
      </w:r>
      <w:r w:rsidRPr="00353CC4">
        <w:rPr>
          <w:rFonts w:ascii="Times New Roman" w:eastAsia="Times New Roman" w:hAnsi="Times New Roman" w:cs="Times New Roman"/>
          <w:i/>
          <w:iCs/>
          <w:color w:val="000000"/>
          <w:kern w:val="0"/>
          <w:lang w:eastAsia="en-GB"/>
          <w14:ligatures w14:val="none"/>
        </w:rPr>
        <w:t>Psychotherapy</w:t>
      </w:r>
      <w:r w:rsidRPr="00353CC4">
        <w:rPr>
          <w:rFonts w:ascii="Times New Roman" w:eastAsia="Times New Roman" w:hAnsi="Times New Roman" w:cs="Times New Roman"/>
          <w:color w:val="000000"/>
          <w:kern w:val="0"/>
          <w:lang w:eastAsia="en-GB"/>
          <w14:ligatures w14:val="none"/>
        </w:rPr>
        <w:t>, </w:t>
      </w:r>
      <w:r w:rsidRPr="00353CC4">
        <w:rPr>
          <w:rFonts w:ascii="Times New Roman" w:eastAsia="Times New Roman" w:hAnsi="Times New Roman" w:cs="Times New Roman"/>
          <w:i/>
          <w:iCs/>
          <w:color w:val="000000"/>
          <w:kern w:val="0"/>
          <w:lang w:eastAsia="en-GB"/>
          <w14:ligatures w14:val="none"/>
        </w:rPr>
        <w:t>48</w:t>
      </w:r>
      <w:r w:rsidRPr="00353CC4">
        <w:rPr>
          <w:rFonts w:ascii="Times New Roman" w:eastAsia="Times New Roman" w:hAnsi="Times New Roman" w:cs="Times New Roman"/>
          <w:color w:val="000000"/>
          <w:kern w:val="0"/>
          <w:lang w:eastAsia="en-GB"/>
          <w14:ligatures w14:val="none"/>
        </w:rPr>
        <w:t>(1), 88.</w:t>
      </w:r>
    </w:p>
    <w:p w14:paraId="1209F839"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Hildyard, K. L., &amp; Wolfe, D. A. (2002). Child neglect: developmental issues and outcomes</w:t>
      </w:r>
      <w:r w:rsidRPr="00353CC4">
        <w:rPr>
          <w:rFonts w:ascii="Segoe UI Symbol" w:eastAsia="Times New Roman" w:hAnsi="Segoe UI Symbol" w:cs="Segoe UI Symbol"/>
          <w:color w:val="000000"/>
          <w:kern w:val="0"/>
          <w:lang w:eastAsia="en-GB"/>
          <w14:ligatures w14:val="none"/>
        </w:rPr>
        <w:t>☆</w:t>
      </w:r>
      <w:r w:rsidRPr="00353CC4">
        <w:rPr>
          <w:rFonts w:ascii="Times New Roman" w:eastAsia="Times New Roman" w:hAnsi="Times New Roman" w:cs="Times New Roman"/>
          <w:color w:val="000000"/>
          <w:kern w:val="0"/>
          <w:lang w:eastAsia="en-GB"/>
          <w14:ligatures w14:val="none"/>
        </w:rPr>
        <w:t>. </w:t>
      </w:r>
      <w:r w:rsidRPr="00353CC4">
        <w:rPr>
          <w:rFonts w:ascii="Times New Roman" w:eastAsia="Times New Roman" w:hAnsi="Times New Roman" w:cs="Times New Roman"/>
          <w:i/>
          <w:iCs/>
          <w:color w:val="000000"/>
          <w:kern w:val="0"/>
          <w:lang w:eastAsia="en-GB"/>
          <w14:ligatures w14:val="none"/>
        </w:rPr>
        <w:t>Child abuse &amp; neglect</w:t>
      </w:r>
      <w:r w:rsidRPr="00353CC4">
        <w:rPr>
          <w:rFonts w:ascii="Times New Roman" w:eastAsia="Times New Roman" w:hAnsi="Times New Roman" w:cs="Times New Roman"/>
          <w:color w:val="000000"/>
          <w:kern w:val="0"/>
          <w:lang w:eastAsia="en-GB"/>
          <w14:ligatures w14:val="none"/>
        </w:rPr>
        <w:t>, </w:t>
      </w:r>
      <w:r w:rsidRPr="00353CC4">
        <w:rPr>
          <w:rFonts w:ascii="Times New Roman" w:eastAsia="Times New Roman" w:hAnsi="Times New Roman" w:cs="Times New Roman"/>
          <w:i/>
          <w:iCs/>
          <w:color w:val="000000"/>
          <w:kern w:val="0"/>
          <w:lang w:eastAsia="en-GB"/>
          <w14:ligatures w14:val="none"/>
        </w:rPr>
        <w:t>26</w:t>
      </w:r>
      <w:r w:rsidRPr="00353CC4">
        <w:rPr>
          <w:rFonts w:ascii="Times New Roman" w:eastAsia="Times New Roman" w:hAnsi="Times New Roman" w:cs="Times New Roman"/>
          <w:color w:val="000000"/>
          <w:kern w:val="0"/>
          <w:lang w:eastAsia="en-GB"/>
          <w14:ligatures w14:val="none"/>
        </w:rPr>
        <w:t>(6-7), 679-695.</w:t>
      </w:r>
    </w:p>
    <w:p w14:paraId="23845D27"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Howe, D., &amp; Betts, L. (2023). </w:t>
      </w:r>
      <w:r w:rsidRPr="00353CC4">
        <w:rPr>
          <w:rFonts w:ascii="Times New Roman" w:eastAsia="Times New Roman" w:hAnsi="Times New Roman" w:cs="Times New Roman"/>
          <w:i/>
          <w:iCs/>
          <w:color w:val="000000"/>
          <w:kern w:val="0"/>
          <w:lang w:eastAsia="en-GB"/>
          <w14:ligatures w14:val="none"/>
        </w:rPr>
        <w:t>Attachment across the lifecourse: A brief introduction</w:t>
      </w:r>
      <w:r w:rsidRPr="00353CC4">
        <w:rPr>
          <w:rFonts w:ascii="Times New Roman" w:eastAsia="Times New Roman" w:hAnsi="Times New Roman" w:cs="Times New Roman"/>
          <w:color w:val="000000"/>
          <w:kern w:val="0"/>
          <w:lang w:eastAsia="en-GB"/>
          <w14:ligatures w14:val="none"/>
        </w:rPr>
        <w:t>. Bloomsbury Publishing..</w:t>
      </w:r>
    </w:p>
    <w:p w14:paraId="27F66EB8"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Irving, J. A. (2011). </w:t>
      </w:r>
      <w:r w:rsidRPr="00353CC4">
        <w:rPr>
          <w:rFonts w:ascii="Times New Roman" w:eastAsia="Times New Roman" w:hAnsi="Times New Roman" w:cs="Times New Roman"/>
          <w:i/>
          <w:iCs/>
          <w:color w:val="000000"/>
          <w:kern w:val="0"/>
          <w:lang w:eastAsia="en-GB"/>
          <w14:ligatures w14:val="none"/>
        </w:rPr>
        <w:t>Mindfulness-based medical practice: A mixed-methods investigation of an adapted mindfulness-based stress reduction program for health care professionals</w:t>
      </w:r>
      <w:r w:rsidRPr="00353CC4">
        <w:rPr>
          <w:rFonts w:ascii="Times New Roman" w:eastAsia="Times New Roman" w:hAnsi="Times New Roman" w:cs="Times New Roman"/>
          <w:color w:val="000000"/>
          <w:kern w:val="0"/>
          <w:lang w:eastAsia="en-GB"/>
          <w14:ligatures w14:val="none"/>
        </w:rPr>
        <w:t>. McGill University (Canada).</w:t>
      </w:r>
    </w:p>
    <w:p w14:paraId="3402629C"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Landreth, G. L. (2012). </w:t>
      </w:r>
      <w:r w:rsidRPr="00353CC4">
        <w:rPr>
          <w:rFonts w:ascii="Times New Roman" w:eastAsia="Times New Roman" w:hAnsi="Times New Roman" w:cs="Times New Roman"/>
          <w:i/>
          <w:iCs/>
          <w:color w:val="000000"/>
          <w:kern w:val="0"/>
          <w:lang w:eastAsia="en-GB"/>
          <w14:ligatures w14:val="none"/>
        </w:rPr>
        <w:t>Play Therapy</w:t>
      </w:r>
      <w:r w:rsidRPr="00353CC4">
        <w:rPr>
          <w:rFonts w:ascii="Times New Roman" w:eastAsia="Times New Roman" w:hAnsi="Times New Roman" w:cs="Times New Roman"/>
          <w:color w:val="000000"/>
          <w:kern w:val="0"/>
          <w:lang w:eastAsia="en-GB"/>
          <w14:ligatures w14:val="none"/>
        </w:rPr>
        <w:t xml:space="preserve">. </w:t>
      </w:r>
      <w:hyperlink r:id="rId17" w:history="1">
        <w:r w:rsidRPr="00353CC4">
          <w:rPr>
            <w:rFonts w:ascii="Times New Roman" w:eastAsia="Times New Roman" w:hAnsi="Times New Roman" w:cs="Times New Roman"/>
            <w:color w:val="000000"/>
            <w:kern w:val="0"/>
            <w:lang w:eastAsia="en-GB"/>
            <w14:ligatures w14:val="none"/>
          </w:rPr>
          <w:t>https://doi.org/10.4324/9780203835159</w:t>
        </w:r>
      </w:hyperlink>
      <w:bookmarkStart w:id="28" w:name="_Hlk213441079"/>
    </w:p>
    <w:p w14:paraId="5A8DC560"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Lieberman, A. F., &amp; Van Horn, P. (2011).</w:t>
      </w:r>
      <w:bookmarkEnd w:id="28"/>
      <w:r w:rsidRPr="00353CC4">
        <w:rPr>
          <w:rFonts w:ascii="Times New Roman" w:eastAsia="Times New Roman" w:hAnsi="Times New Roman" w:cs="Times New Roman"/>
          <w:color w:val="000000"/>
          <w:kern w:val="0"/>
          <w:lang w:eastAsia="en-GB"/>
          <w14:ligatures w14:val="none"/>
        </w:rPr>
        <w:t> </w:t>
      </w:r>
      <w:r w:rsidRPr="00353CC4">
        <w:rPr>
          <w:rFonts w:ascii="Times New Roman" w:eastAsia="Times New Roman" w:hAnsi="Times New Roman" w:cs="Times New Roman"/>
          <w:i/>
          <w:iCs/>
          <w:color w:val="000000"/>
          <w:kern w:val="0"/>
          <w:lang w:eastAsia="en-GB"/>
          <w14:ligatures w14:val="none"/>
        </w:rPr>
        <w:t>Psychotherapy with infants and young children: Repairing the effects of stress and trauma on early attachment</w:t>
      </w:r>
      <w:r w:rsidRPr="00353CC4">
        <w:rPr>
          <w:rFonts w:ascii="Times New Roman" w:eastAsia="Times New Roman" w:hAnsi="Times New Roman" w:cs="Times New Roman"/>
          <w:color w:val="000000"/>
          <w:kern w:val="0"/>
          <w:lang w:eastAsia="en-GB"/>
          <w14:ligatures w14:val="none"/>
        </w:rPr>
        <w:t>. Guilford Press.</w:t>
      </w:r>
    </w:p>
    <w:p w14:paraId="0BD9D164"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Lonne, B., Parton, N., Thomson, J., &amp; Harries, M. (2008). </w:t>
      </w:r>
      <w:r w:rsidRPr="00353CC4">
        <w:rPr>
          <w:rFonts w:ascii="Times New Roman" w:eastAsia="Times New Roman" w:hAnsi="Times New Roman" w:cs="Times New Roman"/>
          <w:i/>
          <w:iCs/>
          <w:color w:val="000000"/>
          <w:kern w:val="0"/>
          <w:lang w:eastAsia="en-GB"/>
          <w14:ligatures w14:val="none"/>
        </w:rPr>
        <w:t>Reforming child protection</w:t>
      </w:r>
      <w:r w:rsidRPr="00353CC4">
        <w:rPr>
          <w:rFonts w:ascii="Times New Roman" w:eastAsia="Times New Roman" w:hAnsi="Times New Roman" w:cs="Times New Roman"/>
          <w:color w:val="000000"/>
          <w:kern w:val="0"/>
          <w:lang w:eastAsia="en-GB"/>
          <w14:ligatures w14:val="none"/>
        </w:rPr>
        <w:t>. Routledge.</w:t>
      </w:r>
    </w:p>
    <w:p w14:paraId="3E4290D1"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Mannarino, A. P., Cohen, J. A., &amp; Deblinger, E. (2013). Trauma-Focused Cognitive-Behavioral therapy. In </w:t>
      </w:r>
      <w:r w:rsidRPr="00353CC4">
        <w:rPr>
          <w:rFonts w:ascii="Times New Roman" w:eastAsia="Times New Roman" w:hAnsi="Times New Roman" w:cs="Times New Roman"/>
          <w:i/>
          <w:iCs/>
          <w:color w:val="000000"/>
          <w:kern w:val="0"/>
          <w:lang w:eastAsia="en-GB"/>
          <w14:ligatures w14:val="none"/>
        </w:rPr>
        <w:t>Child maltreatment</w:t>
      </w:r>
      <w:r w:rsidRPr="00353CC4">
        <w:rPr>
          <w:rFonts w:ascii="Times New Roman" w:eastAsia="Times New Roman" w:hAnsi="Times New Roman" w:cs="Times New Roman"/>
          <w:color w:val="000000"/>
          <w:kern w:val="0"/>
          <w:lang w:eastAsia="en-GB"/>
          <w14:ligatures w14:val="none"/>
        </w:rPr>
        <w:t xml:space="preserve"> (pp. 165–185). </w:t>
      </w:r>
      <w:hyperlink r:id="rId18" w:history="1">
        <w:r w:rsidRPr="00353CC4">
          <w:rPr>
            <w:rFonts w:ascii="Times New Roman" w:eastAsia="Times New Roman" w:hAnsi="Times New Roman" w:cs="Times New Roman"/>
            <w:color w:val="000000"/>
            <w:kern w:val="0"/>
            <w:lang w:eastAsia="en-GB"/>
            <w14:ligatures w14:val="none"/>
          </w:rPr>
          <w:t>https://doi.org/10.1007/978-94-007-7404-9_10</w:t>
        </w:r>
      </w:hyperlink>
    </w:p>
    <w:p w14:paraId="1ABA7134"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Masten, A.S. (2014) 'Ordinary magic: resilience in development,' </w:t>
      </w:r>
      <w:r w:rsidRPr="00353CC4">
        <w:rPr>
          <w:rFonts w:ascii="Times New Roman" w:eastAsia="Times New Roman" w:hAnsi="Times New Roman" w:cs="Times New Roman"/>
          <w:i/>
          <w:iCs/>
          <w:color w:val="000000"/>
          <w:kern w:val="0"/>
          <w:lang w:eastAsia="en-GB"/>
          <w14:ligatures w14:val="none"/>
        </w:rPr>
        <w:t>Choice Reviews Online</w:t>
      </w:r>
      <w:r w:rsidRPr="00353CC4">
        <w:rPr>
          <w:rFonts w:ascii="Times New Roman" w:eastAsia="Times New Roman" w:hAnsi="Times New Roman" w:cs="Times New Roman"/>
          <w:color w:val="000000"/>
          <w:kern w:val="0"/>
          <w:lang w:eastAsia="en-GB"/>
          <w14:ligatures w14:val="none"/>
        </w:rPr>
        <w:t xml:space="preserve">, 52(05), pp. 52–2831. </w:t>
      </w:r>
      <w:hyperlink r:id="rId19" w:history="1">
        <w:r w:rsidRPr="00353CC4">
          <w:rPr>
            <w:rFonts w:ascii="Times New Roman" w:eastAsia="Times New Roman" w:hAnsi="Times New Roman" w:cs="Times New Roman"/>
            <w:color w:val="000000"/>
            <w:kern w:val="0"/>
            <w:lang w:eastAsia="en-GB"/>
            <w14:ligatures w14:val="none"/>
          </w:rPr>
          <w:t>https://doi.org/10.5860/choice.187892</w:t>
        </w:r>
      </w:hyperlink>
      <w:r w:rsidRPr="00353CC4">
        <w:rPr>
          <w:rFonts w:ascii="Times New Roman" w:eastAsia="Times New Roman" w:hAnsi="Times New Roman" w:cs="Times New Roman"/>
          <w:color w:val="000000"/>
          <w:kern w:val="0"/>
          <w:lang w:eastAsia="en-GB"/>
          <w14:ligatures w14:val="none"/>
        </w:rPr>
        <w:t>.</w:t>
      </w:r>
    </w:p>
    <w:p w14:paraId="7D95921B"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Masten, A. S., &amp; Barnes, A. J. (2018). Resilience in children: Developmental perspectives. </w:t>
      </w:r>
      <w:r w:rsidRPr="00353CC4">
        <w:rPr>
          <w:rFonts w:ascii="Times New Roman" w:eastAsia="Times New Roman" w:hAnsi="Times New Roman" w:cs="Times New Roman"/>
          <w:i/>
          <w:iCs/>
          <w:color w:val="000000"/>
          <w:kern w:val="0"/>
          <w:lang w:eastAsia="en-GB"/>
          <w14:ligatures w14:val="none"/>
        </w:rPr>
        <w:t>Children</w:t>
      </w:r>
      <w:r w:rsidRPr="00353CC4">
        <w:rPr>
          <w:rFonts w:ascii="Times New Roman" w:eastAsia="Times New Roman" w:hAnsi="Times New Roman" w:cs="Times New Roman"/>
          <w:color w:val="000000"/>
          <w:kern w:val="0"/>
          <w:lang w:eastAsia="en-GB"/>
          <w14:ligatures w14:val="none"/>
        </w:rPr>
        <w:t>, </w:t>
      </w:r>
      <w:r w:rsidRPr="00353CC4">
        <w:rPr>
          <w:rFonts w:ascii="Times New Roman" w:eastAsia="Times New Roman" w:hAnsi="Times New Roman" w:cs="Times New Roman"/>
          <w:i/>
          <w:iCs/>
          <w:color w:val="000000"/>
          <w:kern w:val="0"/>
          <w:lang w:eastAsia="en-GB"/>
          <w14:ligatures w14:val="none"/>
        </w:rPr>
        <w:t>5</w:t>
      </w:r>
      <w:r w:rsidRPr="00353CC4">
        <w:rPr>
          <w:rFonts w:ascii="Times New Roman" w:eastAsia="Times New Roman" w:hAnsi="Times New Roman" w:cs="Times New Roman"/>
          <w:color w:val="000000"/>
          <w:kern w:val="0"/>
          <w:lang w:eastAsia="en-GB"/>
          <w14:ligatures w14:val="none"/>
        </w:rPr>
        <w:t xml:space="preserve">(7), 98. </w:t>
      </w:r>
    </w:p>
    <w:p w14:paraId="6E131B2E"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lastRenderedPageBreak/>
        <w:t xml:space="preserve">Masten, A.S. (2013) 'Global perspectives on resilience in children and Youth,' </w:t>
      </w:r>
      <w:r w:rsidRPr="00353CC4">
        <w:rPr>
          <w:rFonts w:ascii="Times New Roman" w:eastAsia="Times New Roman" w:hAnsi="Times New Roman" w:cs="Times New Roman"/>
          <w:i/>
          <w:iCs/>
          <w:color w:val="000000"/>
          <w:kern w:val="0"/>
          <w:lang w:eastAsia="en-GB"/>
          <w14:ligatures w14:val="none"/>
        </w:rPr>
        <w:t>Child Development</w:t>
      </w:r>
      <w:r w:rsidRPr="00353CC4">
        <w:rPr>
          <w:rFonts w:ascii="Times New Roman" w:eastAsia="Times New Roman" w:hAnsi="Times New Roman" w:cs="Times New Roman"/>
          <w:color w:val="000000"/>
          <w:kern w:val="0"/>
          <w:lang w:eastAsia="en-GB"/>
          <w14:ligatures w14:val="none"/>
        </w:rPr>
        <w:t xml:space="preserve">, 85(1), pp. 6–20. </w:t>
      </w:r>
      <w:hyperlink r:id="rId20" w:history="1">
        <w:r w:rsidRPr="00353CC4">
          <w:rPr>
            <w:rFonts w:ascii="Times New Roman" w:eastAsia="Times New Roman" w:hAnsi="Times New Roman" w:cs="Times New Roman"/>
            <w:kern w:val="0"/>
            <w:lang w:eastAsia="en-GB"/>
            <w14:ligatures w14:val="none"/>
          </w:rPr>
          <w:t>https://doi.org/10.1111/cdev.12205</w:t>
        </w:r>
      </w:hyperlink>
      <w:r w:rsidRPr="00353CC4">
        <w:rPr>
          <w:rFonts w:ascii="Times New Roman" w:eastAsia="Times New Roman" w:hAnsi="Times New Roman" w:cs="Times New Roman"/>
          <w:kern w:val="0"/>
          <w:lang w:eastAsia="en-GB"/>
          <w14:ligatures w14:val="none"/>
        </w:rPr>
        <w:t>.</w:t>
      </w:r>
    </w:p>
    <w:p w14:paraId="6E0699D6"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McCrory, E., De Brito, S. A., &amp; Viding, E. (2011). The Impact of Childhood Maltreatment: A review of neurobiological and genetic factors. </w:t>
      </w:r>
      <w:r w:rsidRPr="00353CC4">
        <w:rPr>
          <w:rFonts w:ascii="Times New Roman" w:eastAsia="Times New Roman" w:hAnsi="Times New Roman" w:cs="Times New Roman"/>
          <w:i/>
          <w:iCs/>
          <w:color w:val="000000"/>
          <w:kern w:val="0"/>
          <w:lang w:eastAsia="en-GB"/>
          <w14:ligatures w14:val="none"/>
        </w:rPr>
        <w:t>Frontiers in Psychiatry</w:t>
      </w:r>
      <w:r w:rsidRPr="00353CC4">
        <w:rPr>
          <w:rFonts w:ascii="Times New Roman" w:eastAsia="Times New Roman" w:hAnsi="Times New Roman" w:cs="Times New Roman"/>
          <w:color w:val="000000"/>
          <w:kern w:val="0"/>
          <w:lang w:eastAsia="en-GB"/>
          <w14:ligatures w14:val="none"/>
        </w:rPr>
        <w:t xml:space="preserve">, </w:t>
      </w:r>
      <w:r w:rsidRPr="00353CC4">
        <w:rPr>
          <w:rFonts w:ascii="Times New Roman" w:eastAsia="Times New Roman" w:hAnsi="Times New Roman" w:cs="Times New Roman"/>
          <w:i/>
          <w:iCs/>
          <w:color w:val="000000"/>
          <w:kern w:val="0"/>
          <w:lang w:eastAsia="en-GB"/>
          <w14:ligatures w14:val="none"/>
        </w:rPr>
        <w:t>2</w:t>
      </w:r>
      <w:r w:rsidRPr="00353CC4">
        <w:rPr>
          <w:rFonts w:ascii="Times New Roman" w:eastAsia="Times New Roman" w:hAnsi="Times New Roman" w:cs="Times New Roman"/>
          <w:color w:val="000000"/>
          <w:kern w:val="0"/>
          <w:lang w:eastAsia="en-GB"/>
          <w14:ligatures w14:val="none"/>
        </w:rPr>
        <w:t xml:space="preserve">, 48. </w:t>
      </w:r>
      <w:hyperlink r:id="rId21" w:history="1">
        <w:r w:rsidRPr="00353CC4">
          <w:rPr>
            <w:rFonts w:ascii="Times New Roman" w:eastAsia="Times New Roman" w:hAnsi="Times New Roman" w:cs="Times New Roman"/>
            <w:color w:val="000000"/>
            <w:kern w:val="0"/>
            <w:lang w:eastAsia="en-GB"/>
            <w14:ligatures w14:val="none"/>
          </w:rPr>
          <w:t>https://doi.org/10.3389/fpsyt.2011.00048</w:t>
        </w:r>
      </w:hyperlink>
    </w:p>
    <w:p w14:paraId="0E4896C3"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McFadden, P., Campbell, A., &amp; Taylor, B. (2015). Resilience and burnout in child protection social work: Individual and organisational themes from a systematic literature review. </w:t>
      </w:r>
      <w:r w:rsidRPr="00353CC4">
        <w:rPr>
          <w:rFonts w:ascii="Times New Roman" w:eastAsia="Times New Roman" w:hAnsi="Times New Roman" w:cs="Times New Roman"/>
          <w:i/>
          <w:iCs/>
          <w:color w:val="000000"/>
          <w:kern w:val="0"/>
          <w:lang w:eastAsia="en-GB"/>
          <w14:ligatures w14:val="none"/>
        </w:rPr>
        <w:t>The British Journal of Social Work</w:t>
      </w:r>
      <w:r w:rsidRPr="00353CC4">
        <w:rPr>
          <w:rFonts w:ascii="Times New Roman" w:eastAsia="Times New Roman" w:hAnsi="Times New Roman" w:cs="Times New Roman"/>
          <w:color w:val="000000"/>
          <w:kern w:val="0"/>
          <w:lang w:eastAsia="en-GB"/>
          <w14:ligatures w14:val="none"/>
        </w:rPr>
        <w:t>, </w:t>
      </w:r>
      <w:r w:rsidRPr="00353CC4">
        <w:rPr>
          <w:rFonts w:ascii="Times New Roman" w:eastAsia="Times New Roman" w:hAnsi="Times New Roman" w:cs="Times New Roman"/>
          <w:i/>
          <w:iCs/>
          <w:color w:val="000000"/>
          <w:kern w:val="0"/>
          <w:lang w:eastAsia="en-GB"/>
          <w14:ligatures w14:val="none"/>
        </w:rPr>
        <w:t>45</w:t>
      </w:r>
      <w:r w:rsidRPr="00353CC4">
        <w:rPr>
          <w:rFonts w:ascii="Times New Roman" w:eastAsia="Times New Roman" w:hAnsi="Times New Roman" w:cs="Times New Roman"/>
          <w:color w:val="000000"/>
          <w:kern w:val="0"/>
          <w:lang w:eastAsia="en-GB"/>
          <w14:ligatures w14:val="none"/>
        </w:rPr>
        <w:t xml:space="preserve">(5), 1546-1563. </w:t>
      </w:r>
    </w:p>
    <w:p w14:paraId="11CC7F99"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Morrison, T., &amp; Hathaway, J. (2005). </w:t>
      </w:r>
      <w:r w:rsidRPr="00353CC4">
        <w:rPr>
          <w:rFonts w:ascii="Times New Roman" w:eastAsia="Times New Roman" w:hAnsi="Times New Roman" w:cs="Times New Roman"/>
          <w:i/>
          <w:iCs/>
          <w:color w:val="000000"/>
          <w:kern w:val="0"/>
          <w:lang w:eastAsia="en-GB"/>
          <w14:ligatures w14:val="none"/>
        </w:rPr>
        <w:t>Staff supervision in social care: Making a real difference for staff and service users</w:t>
      </w:r>
      <w:r w:rsidRPr="00353CC4">
        <w:rPr>
          <w:rFonts w:ascii="Times New Roman" w:eastAsia="Times New Roman" w:hAnsi="Times New Roman" w:cs="Times New Roman"/>
          <w:color w:val="000000"/>
          <w:kern w:val="0"/>
          <w:lang w:eastAsia="en-GB"/>
          <w14:ligatures w14:val="none"/>
        </w:rPr>
        <w:t>. Pavilion Publishing and Media Limited.</w:t>
      </w:r>
    </w:p>
    <w:p w14:paraId="6D47D25E"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Perry, B. D., &amp; Szalavitz, M. (2017). </w:t>
      </w:r>
      <w:r w:rsidRPr="00353CC4">
        <w:rPr>
          <w:rFonts w:ascii="Times New Roman" w:eastAsia="Times New Roman" w:hAnsi="Times New Roman" w:cs="Times New Roman"/>
          <w:i/>
          <w:iCs/>
          <w:color w:val="000000"/>
          <w:kern w:val="0"/>
          <w:lang w:eastAsia="en-GB"/>
          <w14:ligatures w14:val="none"/>
        </w:rPr>
        <w:t>The boy who was raised as a dog: And other stories from a child psychiatrist's notebook--What traumatized children can teach us about loss, love, and healing</w:t>
      </w:r>
      <w:r w:rsidRPr="00353CC4">
        <w:rPr>
          <w:rFonts w:ascii="Times New Roman" w:eastAsia="Times New Roman" w:hAnsi="Times New Roman" w:cs="Times New Roman"/>
          <w:color w:val="000000"/>
          <w:kern w:val="0"/>
          <w:lang w:eastAsia="en-GB"/>
          <w14:ligatures w14:val="none"/>
        </w:rPr>
        <w:t>. Hachette UK.</w:t>
      </w:r>
    </w:p>
    <w:p w14:paraId="775E4C6B"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Raver, C. </w:t>
      </w:r>
      <w:r w:rsidRPr="00353CC4">
        <w:rPr>
          <w:rFonts w:ascii="Times New Roman" w:eastAsia="Times New Roman" w:hAnsi="Times New Roman" w:cs="Times New Roman"/>
          <w:i/>
          <w:iCs/>
          <w:color w:val="000000"/>
          <w:kern w:val="0"/>
          <w:lang w:eastAsia="en-GB"/>
          <w14:ligatures w14:val="none"/>
        </w:rPr>
        <w:t>et al.</w:t>
      </w:r>
      <w:r w:rsidRPr="00353CC4">
        <w:rPr>
          <w:rFonts w:ascii="Times New Roman" w:eastAsia="Times New Roman" w:hAnsi="Times New Roman" w:cs="Times New Roman"/>
          <w:color w:val="000000"/>
          <w:kern w:val="0"/>
          <w:lang w:eastAsia="en-GB"/>
          <w14:ligatures w14:val="none"/>
        </w:rPr>
        <w:t xml:space="preserve"> (2016) </w:t>
      </w:r>
      <w:r w:rsidRPr="00353CC4">
        <w:rPr>
          <w:rFonts w:ascii="Times New Roman" w:eastAsia="Times New Roman" w:hAnsi="Times New Roman" w:cs="Times New Roman"/>
          <w:i/>
          <w:iCs/>
          <w:color w:val="000000"/>
          <w:kern w:val="0"/>
          <w:lang w:eastAsia="en-GB"/>
          <w14:ligatures w14:val="none"/>
        </w:rPr>
        <w:t>Building core capabilities for life</w:t>
      </w:r>
      <w:r w:rsidRPr="00353CC4">
        <w:rPr>
          <w:rFonts w:ascii="Times New Roman" w:eastAsia="Times New Roman" w:hAnsi="Times New Roman" w:cs="Times New Roman"/>
          <w:color w:val="000000"/>
          <w:kern w:val="0"/>
          <w:lang w:eastAsia="en-GB"/>
          <w14:ligatures w14:val="none"/>
        </w:rPr>
        <w:t xml:space="preserve">. </w:t>
      </w:r>
      <w:hyperlink r:id="rId22" w:history="1">
        <w:r w:rsidRPr="00353CC4">
          <w:rPr>
            <w:rFonts w:ascii="Times New Roman" w:eastAsia="Times New Roman" w:hAnsi="Times New Roman" w:cs="Times New Roman"/>
            <w:kern w:val="0"/>
            <w:lang w:eastAsia="en-GB"/>
            <w14:ligatures w14:val="none"/>
          </w:rPr>
          <w:t>https://harvardcenter.wpenginepowered.com/wp-content/uploads/2016/03/Building-Core-Capabilities-for-Life.pdf</w:t>
        </w:r>
      </w:hyperlink>
      <w:r w:rsidRPr="00353CC4">
        <w:rPr>
          <w:rFonts w:ascii="Times New Roman" w:eastAsia="Times New Roman" w:hAnsi="Times New Roman" w:cs="Times New Roman"/>
          <w:kern w:val="0"/>
          <w:lang w:eastAsia="en-GB"/>
          <w14:ligatures w14:val="none"/>
        </w:rPr>
        <w:t>.</w:t>
      </w:r>
    </w:p>
    <w:p w14:paraId="77A690D7"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SAMHSA. (2014). </w:t>
      </w:r>
      <w:r w:rsidRPr="00353CC4">
        <w:rPr>
          <w:rFonts w:ascii="Times New Roman" w:eastAsia="Times New Roman" w:hAnsi="Times New Roman" w:cs="Times New Roman"/>
          <w:i/>
          <w:iCs/>
          <w:color w:val="000000"/>
          <w:kern w:val="0"/>
          <w:lang w:eastAsia="en-GB"/>
          <w14:ligatures w14:val="none"/>
        </w:rPr>
        <w:t>Concept of trauma and guidance for a trauma-informed approach</w:t>
      </w:r>
      <w:r w:rsidRPr="00353CC4">
        <w:rPr>
          <w:rFonts w:ascii="Times New Roman" w:eastAsia="Times New Roman" w:hAnsi="Times New Roman" w:cs="Times New Roman"/>
          <w:color w:val="000000"/>
          <w:kern w:val="0"/>
          <w:lang w:eastAsia="en-GB"/>
          <w14:ligatures w14:val="none"/>
        </w:rPr>
        <w:t>. Substance Abuse and Mental Health Services Administration.</w:t>
      </w:r>
    </w:p>
    <w:p w14:paraId="4C0F7E91"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Schofield, G., &amp; Beek, M. (2006). </w:t>
      </w:r>
      <w:r w:rsidRPr="00353CC4">
        <w:rPr>
          <w:rFonts w:ascii="Times New Roman" w:eastAsia="Times New Roman" w:hAnsi="Times New Roman" w:cs="Times New Roman"/>
          <w:i/>
          <w:iCs/>
          <w:color w:val="000000"/>
          <w:kern w:val="0"/>
          <w:lang w:eastAsia="en-GB"/>
          <w14:ligatures w14:val="none"/>
        </w:rPr>
        <w:t>Attachment Handbook for foster care and adoption</w:t>
      </w:r>
      <w:r w:rsidRPr="00353CC4">
        <w:rPr>
          <w:rFonts w:ascii="Times New Roman" w:eastAsia="Times New Roman" w:hAnsi="Times New Roman" w:cs="Times New Roman"/>
          <w:color w:val="000000"/>
          <w:kern w:val="0"/>
          <w:lang w:eastAsia="en-GB"/>
          <w14:ligatures w14:val="none"/>
        </w:rPr>
        <w:t xml:space="preserve">. University of East Anglia. </w:t>
      </w:r>
      <w:hyperlink r:id="rId23" w:history="1">
        <w:r w:rsidRPr="00353CC4">
          <w:rPr>
            <w:rFonts w:ascii="Times New Roman" w:eastAsia="Times New Roman" w:hAnsi="Times New Roman" w:cs="Times New Roman"/>
            <w:color w:val="000000"/>
            <w:kern w:val="0"/>
            <w:lang w:eastAsia="en-GB"/>
            <w14:ligatures w14:val="none"/>
          </w:rPr>
          <w:t>https://research-portal.uea.ac.uk/en/publications/attachment-handbook-for-foster-care-and-adoption</w:t>
        </w:r>
      </w:hyperlink>
    </w:p>
    <w:p w14:paraId="09776143"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Schon, D.A. and DeSanctis, V. (1986) 'The Reflective Practitioner: How professionals think in action,' </w:t>
      </w:r>
      <w:r w:rsidRPr="00353CC4">
        <w:rPr>
          <w:rFonts w:ascii="Times New Roman" w:eastAsia="Times New Roman" w:hAnsi="Times New Roman" w:cs="Times New Roman"/>
          <w:i/>
          <w:iCs/>
          <w:color w:val="000000"/>
          <w:kern w:val="0"/>
          <w:lang w:eastAsia="en-GB"/>
          <w14:ligatures w14:val="none"/>
        </w:rPr>
        <w:t>The Journal of Continuing Higher Education</w:t>
      </w:r>
      <w:r w:rsidRPr="00353CC4">
        <w:rPr>
          <w:rFonts w:ascii="Times New Roman" w:eastAsia="Times New Roman" w:hAnsi="Times New Roman" w:cs="Times New Roman"/>
          <w:color w:val="000000"/>
          <w:kern w:val="0"/>
          <w:lang w:eastAsia="en-GB"/>
          <w14:ligatures w14:val="none"/>
        </w:rPr>
        <w:t>, 34(3), pp. 29–30. https://doi.org/10.1080/07377366.1986.10401080.</w:t>
      </w:r>
    </w:p>
    <w:p w14:paraId="43DAFFFC"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lastRenderedPageBreak/>
        <w:t>Sheridan, M. A., &amp; McLaughlin, K. A. (2014). Dimensions of early experience and neural development: deprivation and threat. Trends in cognitive sciences, 18(11), 580-585.</w:t>
      </w:r>
    </w:p>
    <w:p w14:paraId="439B4CAD"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Skovholt, T.M. and Trotter-Mathison, M. (2016) </w:t>
      </w:r>
      <w:r w:rsidRPr="00353CC4">
        <w:rPr>
          <w:rFonts w:ascii="Times New Roman" w:eastAsia="Times New Roman" w:hAnsi="Times New Roman" w:cs="Times New Roman"/>
          <w:i/>
          <w:iCs/>
          <w:color w:val="000000"/>
          <w:kern w:val="0"/>
          <w:lang w:eastAsia="en-GB"/>
          <w14:ligatures w14:val="none"/>
        </w:rPr>
        <w:t>The resilient practitioner</w:t>
      </w:r>
      <w:r w:rsidRPr="00353CC4">
        <w:rPr>
          <w:rFonts w:ascii="Times New Roman" w:eastAsia="Times New Roman" w:hAnsi="Times New Roman" w:cs="Times New Roman"/>
          <w:color w:val="000000"/>
          <w:kern w:val="0"/>
          <w:lang w:eastAsia="en-GB"/>
          <w14:ligatures w14:val="none"/>
        </w:rPr>
        <w:t>. https://doi.org/10.4324/9781315737447.</w:t>
      </w:r>
    </w:p>
    <w:p w14:paraId="37D9526E"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Stamm, B. (2010). The concise manual for the professional quality of life scale.</w:t>
      </w:r>
    </w:p>
    <w:p w14:paraId="273C07AD"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Taylor, R. D., Oberle, E., Durlak, J. A., &amp; Weissberg, R. P. (2017). Promoting Positive Youth Development Through School</w:t>
      </w:r>
      <w:r w:rsidRPr="00353CC4">
        <w:rPr>
          <w:rFonts w:ascii="Cambria Math" w:eastAsia="Times New Roman" w:hAnsi="Cambria Math" w:cs="Cambria Math"/>
          <w:color w:val="000000"/>
          <w:kern w:val="0"/>
          <w:lang w:eastAsia="en-GB"/>
          <w14:ligatures w14:val="none"/>
        </w:rPr>
        <w:t>‐</w:t>
      </w:r>
      <w:r w:rsidRPr="00353CC4">
        <w:rPr>
          <w:rFonts w:ascii="Times New Roman" w:eastAsia="Times New Roman" w:hAnsi="Times New Roman" w:cs="Times New Roman"/>
          <w:color w:val="000000"/>
          <w:kern w:val="0"/>
          <w:lang w:eastAsia="en-GB"/>
          <w14:ligatures w14:val="none"/>
        </w:rPr>
        <w:t>Based Social and Emotional Learning Interventions: A Meta</w:t>
      </w:r>
      <w:r w:rsidRPr="00353CC4">
        <w:rPr>
          <w:rFonts w:ascii="Cambria Math" w:eastAsia="Times New Roman" w:hAnsi="Cambria Math" w:cs="Cambria Math"/>
          <w:color w:val="000000"/>
          <w:kern w:val="0"/>
          <w:lang w:eastAsia="en-GB"/>
          <w14:ligatures w14:val="none"/>
        </w:rPr>
        <w:t>‐</w:t>
      </w:r>
      <w:r w:rsidRPr="00353CC4">
        <w:rPr>
          <w:rFonts w:ascii="Times New Roman" w:eastAsia="Times New Roman" w:hAnsi="Times New Roman" w:cs="Times New Roman"/>
          <w:color w:val="000000"/>
          <w:kern w:val="0"/>
          <w:lang w:eastAsia="en-GB"/>
          <w14:ligatures w14:val="none"/>
        </w:rPr>
        <w:t>Analysis of Follow</w:t>
      </w:r>
      <w:r w:rsidRPr="00353CC4">
        <w:rPr>
          <w:rFonts w:ascii="Cambria Math" w:eastAsia="Times New Roman" w:hAnsi="Cambria Math" w:cs="Cambria Math"/>
          <w:color w:val="000000"/>
          <w:kern w:val="0"/>
          <w:lang w:eastAsia="en-GB"/>
          <w14:ligatures w14:val="none"/>
        </w:rPr>
        <w:t>‐</w:t>
      </w:r>
      <w:r w:rsidRPr="00353CC4">
        <w:rPr>
          <w:rFonts w:ascii="Times New Roman" w:eastAsia="Times New Roman" w:hAnsi="Times New Roman" w:cs="Times New Roman"/>
          <w:color w:val="000000"/>
          <w:kern w:val="0"/>
          <w:lang w:eastAsia="en-GB"/>
          <w14:ligatures w14:val="none"/>
        </w:rPr>
        <w:t xml:space="preserve">Up Effects. </w:t>
      </w:r>
      <w:r w:rsidRPr="00353CC4">
        <w:rPr>
          <w:rFonts w:ascii="Times New Roman" w:eastAsia="Times New Roman" w:hAnsi="Times New Roman" w:cs="Times New Roman"/>
          <w:i/>
          <w:iCs/>
          <w:color w:val="000000"/>
          <w:kern w:val="0"/>
          <w:lang w:eastAsia="en-GB"/>
          <w14:ligatures w14:val="none"/>
        </w:rPr>
        <w:t>Child Development</w:t>
      </w:r>
      <w:r w:rsidRPr="00353CC4">
        <w:rPr>
          <w:rFonts w:ascii="Times New Roman" w:eastAsia="Times New Roman" w:hAnsi="Times New Roman" w:cs="Times New Roman"/>
          <w:color w:val="000000"/>
          <w:kern w:val="0"/>
          <w:lang w:eastAsia="en-GB"/>
          <w14:ligatures w14:val="none"/>
        </w:rPr>
        <w:t xml:space="preserve">, </w:t>
      </w:r>
      <w:r w:rsidRPr="00353CC4">
        <w:rPr>
          <w:rFonts w:ascii="Times New Roman" w:eastAsia="Times New Roman" w:hAnsi="Times New Roman" w:cs="Times New Roman"/>
          <w:i/>
          <w:iCs/>
          <w:color w:val="000000"/>
          <w:kern w:val="0"/>
          <w:lang w:eastAsia="en-GB"/>
          <w14:ligatures w14:val="none"/>
        </w:rPr>
        <w:t>88</w:t>
      </w:r>
      <w:r w:rsidRPr="00353CC4">
        <w:rPr>
          <w:rFonts w:ascii="Times New Roman" w:eastAsia="Times New Roman" w:hAnsi="Times New Roman" w:cs="Times New Roman"/>
          <w:color w:val="000000"/>
          <w:kern w:val="0"/>
          <w:lang w:eastAsia="en-GB"/>
          <w14:ligatures w14:val="none"/>
        </w:rPr>
        <w:t xml:space="preserve">(4), 1156–1171. </w:t>
      </w:r>
      <w:hyperlink r:id="rId24" w:history="1">
        <w:r w:rsidRPr="00353CC4">
          <w:rPr>
            <w:rFonts w:ascii="Times New Roman" w:eastAsia="Times New Roman" w:hAnsi="Times New Roman" w:cs="Times New Roman"/>
            <w:color w:val="000000"/>
            <w:kern w:val="0"/>
            <w:lang w:eastAsia="en-GB"/>
            <w14:ligatures w14:val="none"/>
          </w:rPr>
          <w:t>https://doi.org/10.1111/cdev.12864</w:t>
        </w:r>
      </w:hyperlink>
    </w:p>
    <w:p w14:paraId="44FF36CA"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Teicher, M. H., Samson, J. A., Anderson, C. M., &amp; Ohashi, K. (2016). The effects of childhood maltreatment on brain structure, function and connectivity. </w:t>
      </w:r>
      <w:r w:rsidRPr="00353CC4">
        <w:rPr>
          <w:rFonts w:ascii="Times New Roman" w:eastAsia="Times New Roman" w:hAnsi="Times New Roman" w:cs="Times New Roman"/>
          <w:i/>
          <w:iCs/>
          <w:color w:val="000000"/>
          <w:kern w:val="0"/>
          <w:lang w:eastAsia="en-GB"/>
          <w14:ligatures w14:val="none"/>
        </w:rPr>
        <w:t>Nature Reviews. Neuroscience</w:t>
      </w:r>
      <w:r w:rsidRPr="00353CC4">
        <w:rPr>
          <w:rFonts w:ascii="Times New Roman" w:eastAsia="Times New Roman" w:hAnsi="Times New Roman" w:cs="Times New Roman"/>
          <w:color w:val="000000"/>
          <w:kern w:val="0"/>
          <w:lang w:eastAsia="en-GB"/>
          <w14:ligatures w14:val="none"/>
        </w:rPr>
        <w:t xml:space="preserve">, </w:t>
      </w:r>
      <w:r w:rsidRPr="00353CC4">
        <w:rPr>
          <w:rFonts w:ascii="Times New Roman" w:eastAsia="Times New Roman" w:hAnsi="Times New Roman" w:cs="Times New Roman"/>
          <w:i/>
          <w:iCs/>
          <w:color w:val="000000"/>
          <w:kern w:val="0"/>
          <w:lang w:eastAsia="en-GB"/>
          <w14:ligatures w14:val="none"/>
        </w:rPr>
        <w:t>17</w:t>
      </w:r>
      <w:r w:rsidRPr="00353CC4">
        <w:rPr>
          <w:rFonts w:ascii="Times New Roman" w:eastAsia="Times New Roman" w:hAnsi="Times New Roman" w:cs="Times New Roman"/>
          <w:color w:val="000000"/>
          <w:kern w:val="0"/>
          <w:lang w:eastAsia="en-GB"/>
          <w14:ligatures w14:val="none"/>
        </w:rPr>
        <w:t xml:space="preserve">(10), 652–666. </w:t>
      </w:r>
      <w:hyperlink r:id="rId25" w:history="1">
        <w:r w:rsidRPr="00353CC4">
          <w:rPr>
            <w:rFonts w:ascii="Times New Roman" w:eastAsia="Times New Roman" w:hAnsi="Times New Roman" w:cs="Times New Roman"/>
            <w:color w:val="000000"/>
            <w:kern w:val="0"/>
            <w:lang w:eastAsia="en-GB"/>
            <w14:ligatures w14:val="none"/>
          </w:rPr>
          <w:t>https://doi.org/10.1038/nrn.2016.111</w:t>
        </w:r>
      </w:hyperlink>
    </w:p>
    <w:p w14:paraId="0DE5AD0A"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Thoits, P.A. (2011) 'Mechanisms linking social ties and support to physical and mental health,' </w:t>
      </w:r>
      <w:r w:rsidRPr="00353CC4">
        <w:rPr>
          <w:rFonts w:ascii="Times New Roman" w:eastAsia="Times New Roman" w:hAnsi="Times New Roman" w:cs="Times New Roman"/>
          <w:i/>
          <w:iCs/>
          <w:color w:val="000000"/>
          <w:kern w:val="0"/>
          <w:lang w:eastAsia="en-GB"/>
          <w14:ligatures w14:val="none"/>
        </w:rPr>
        <w:t>Journal of Health and Social Behavior</w:t>
      </w:r>
      <w:r w:rsidRPr="00353CC4">
        <w:rPr>
          <w:rFonts w:ascii="Times New Roman" w:eastAsia="Times New Roman" w:hAnsi="Times New Roman" w:cs="Times New Roman"/>
          <w:color w:val="000000"/>
          <w:kern w:val="0"/>
          <w:lang w:eastAsia="en-GB"/>
          <w14:ligatures w14:val="none"/>
        </w:rPr>
        <w:t xml:space="preserve">, 52(2), pp. 145–161. </w:t>
      </w:r>
      <w:hyperlink r:id="rId26" w:history="1">
        <w:r w:rsidRPr="00353CC4">
          <w:rPr>
            <w:rFonts w:ascii="Times New Roman" w:eastAsia="Times New Roman" w:hAnsi="Times New Roman" w:cs="Times New Roman"/>
            <w:kern w:val="0"/>
            <w:lang w:eastAsia="en-GB"/>
            <w14:ligatures w14:val="none"/>
          </w:rPr>
          <w:t>https://doi.org/10.1177/0022146510395592</w:t>
        </w:r>
      </w:hyperlink>
      <w:r w:rsidRPr="00353CC4">
        <w:rPr>
          <w:rFonts w:ascii="Times New Roman" w:eastAsia="Times New Roman" w:hAnsi="Times New Roman" w:cs="Times New Roman"/>
          <w:kern w:val="0"/>
          <w:lang w:eastAsia="en-GB"/>
          <w14:ligatures w14:val="none"/>
        </w:rPr>
        <w:t>.</w:t>
      </w:r>
    </w:p>
    <w:p w14:paraId="3F2C2150"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Ungar, M. (Ed.). (2021). </w:t>
      </w:r>
      <w:r w:rsidRPr="00353CC4">
        <w:rPr>
          <w:rFonts w:ascii="Times New Roman" w:eastAsia="Times New Roman" w:hAnsi="Times New Roman" w:cs="Times New Roman"/>
          <w:i/>
          <w:iCs/>
          <w:color w:val="000000"/>
          <w:kern w:val="0"/>
          <w:lang w:eastAsia="en-GB"/>
          <w14:ligatures w14:val="none"/>
        </w:rPr>
        <w:t>Multisystemic resilience: Adaptation and transformation in contexts of change</w:t>
      </w:r>
      <w:r w:rsidRPr="00353CC4">
        <w:rPr>
          <w:rFonts w:ascii="Times New Roman" w:eastAsia="Times New Roman" w:hAnsi="Times New Roman" w:cs="Times New Roman"/>
          <w:color w:val="000000"/>
          <w:kern w:val="0"/>
          <w:lang w:eastAsia="en-GB"/>
          <w14:ligatures w14:val="none"/>
        </w:rPr>
        <w:t>. Oxford University Press.</w:t>
      </w:r>
    </w:p>
    <w:p w14:paraId="1B06DB3F"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 xml:space="preserve">UNICEF. (1989). </w:t>
      </w:r>
      <w:r w:rsidRPr="00353CC4">
        <w:rPr>
          <w:rFonts w:ascii="Times New Roman" w:eastAsia="Times New Roman" w:hAnsi="Times New Roman" w:cs="Times New Roman"/>
          <w:i/>
          <w:iCs/>
          <w:color w:val="000000"/>
          <w:kern w:val="0"/>
          <w:lang w:eastAsia="en-GB"/>
          <w14:ligatures w14:val="none"/>
        </w:rPr>
        <w:t>UN Convention on the Rights of the Child</w:t>
      </w:r>
      <w:r w:rsidRPr="00353CC4">
        <w:rPr>
          <w:rFonts w:ascii="Times New Roman" w:eastAsia="Times New Roman" w:hAnsi="Times New Roman" w:cs="Times New Roman"/>
          <w:color w:val="000000"/>
          <w:kern w:val="0"/>
          <w:lang w:eastAsia="en-GB"/>
          <w14:ligatures w14:val="none"/>
        </w:rPr>
        <w:t>. United Nations.</w:t>
      </w:r>
    </w:p>
    <w:p w14:paraId="7115C9EA" w14:textId="77777777" w:rsidR="00353CC4" w:rsidRPr="00353CC4" w:rsidRDefault="00353CC4" w:rsidP="00353CC4">
      <w:pPr>
        <w:spacing w:after="0" w:line="480" w:lineRule="auto"/>
        <w:ind w:left="720" w:hanging="720"/>
        <w:rPr>
          <w:rFonts w:ascii="Times New Roman" w:eastAsia="Times New Roman" w:hAnsi="Times New Roman" w:cs="Times New Roman"/>
          <w:color w:val="000000"/>
          <w:kern w:val="0"/>
          <w:lang w:eastAsia="en-GB"/>
          <w14:ligatures w14:val="none"/>
        </w:rPr>
      </w:pPr>
      <w:r w:rsidRPr="00353CC4">
        <w:rPr>
          <w:rFonts w:ascii="Times New Roman" w:eastAsia="Times New Roman" w:hAnsi="Times New Roman" w:cs="Times New Roman"/>
          <w:color w:val="000000"/>
          <w:kern w:val="0"/>
          <w:lang w:eastAsia="en-GB"/>
          <w14:ligatures w14:val="none"/>
        </w:rPr>
        <w:t>Van der Kolk, B. (2014). The body keeps the score: Brain, mind, and body in the healing of trauma. </w:t>
      </w:r>
      <w:r w:rsidRPr="00353CC4">
        <w:rPr>
          <w:rFonts w:ascii="Times New Roman" w:eastAsia="Times New Roman" w:hAnsi="Times New Roman" w:cs="Times New Roman"/>
          <w:i/>
          <w:iCs/>
          <w:color w:val="000000"/>
          <w:kern w:val="0"/>
          <w:lang w:eastAsia="en-GB"/>
          <w14:ligatures w14:val="none"/>
        </w:rPr>
        <w:t>New York</w:t>
      </w:r>
      <w:r w:rsidRPr="00353CC4">
        <w:rPr>
          <w:rFonts w:ascii="Times New Roman" w:eastAsia="Times New Roman" w:hAnsi="Times New Roman" w:cs="Times New Roman"/>
          <w:color w:val="000000"/>
          <w:kern w:val="0"/>
          <w:lang w:eastAsia="en-GB"/>
          <w14:ligatures w14:val="none"/>
        </w:rPr>
        <w:t>, </w:t>
      </w:r>
      <w:r w:rsidRPr="00353CC4">
        <w:rPr>
          <w:rFonts w:ascii="Times New Roman" w:eastAsia="Times New Roman" w:hAnsi="Times New Roman" w:cs="Times New Roman"/>
          <w:i/>
          <w:iCs/>
          <w:color w:val="000000"/>
          <w:kern w:val="0"/>
          <w:lang w:eastAsia="en-GB"/>
          <w14:ligatures w14:val="none"/>
        </w:rPr>
        <w:t>3</w:t>
      </w:r>
      <w:r w:rsidRPr="00353CC4">
        <w:rPr>
          <w:rFonts w:ascii="Times New Roman" w:eastAsia="Times New Roman" w:hAnsi="Times New Roman" w:cs="Times New Roman"/>
          <w:color w:val="000000"/>
          <w:kern w:val="0"/>
          <w:lang w:eastAsia="en-GB"/>
          <w14:ligatures w14:val="none"/>
        </w:rPr>
        <w:t>, 14-211.</w:t>
      </w:r>
    </w:p>
    <w:p w14:paraId="6BF00187" w14:textId="77777777" w:rsidR="00353CC4" w:rsidRPr="00353CC4" w:rsidRDefault="00353CC4" w:rsidP="00353CC4">
      <w:pPr>
        <w:keepNext/>
        <w:keepLines/>
        <w:spacing w:after="320" w:line="480" w:lineRule="auto"/>
        <w:ind w:left="432" w:hanging="432"/>
        <w:outlineLvl w:val="0"/>
        <w:rPr>
          <w:rFonts w:ascii="Arial" w:eastAsia="DengXian Light" w:hAnsi="Arial" w:cs="Arial"/>
          <w:b/>
          <w:szCs w:val="40"/>
        </w:rPr>
      </w:pPr>
    </w:p>
    <w:p w14:paraId="71778B0E" w14:textId="77777777" w:rsidR="00353CC4" w:rsidRPr="00353CC4" w:rsidRDefault="00353CC4" w:rsidP="00353CC4">
      <w:pPr>
        <w:rPr>
          <w:rFonts w:ascii="Aptos" w:eastAsia="Aptos" w:hAnsi="Aptos" w:cs="Times New Roman"/>
        </w:rPr>
      </w:pPr>
    </w:p>
    <w:p w14:paraId="204CB4C9" w14:textId="77777777" w:rsidR="00E245C3" w:rsidRDefault="00E245C3" w:rsidP="00353CC4">
      <w:pPr>
        <w:spacing w:before="100" w:beforeAutospacing="1" w:after="100" w:afterAutospacing="1" w:line="240" w:lineRule="auto"/>
        <w:outlineLvl w:val="1"/>
        <w:rPr>
          <w:rFonts w:ascii="Arial" w:hAnsi="Arial" w:cs="Arial"/>
        </w:rPr>
      </w:pPr>
    </w:p>
    <w:sectPr w:rsidR="00E245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378A7F" w14:textId="77777777" w:rsidR="00EA2CFA" w:rsidRDefault="00EA2CFA">
      <w:pPr>
        <w:spacing w:line="240" w:lineRule="auto"/>
      </w:pPr>
      <w:r>
        <w:separator/>
      </w:r>
    </w:p>
  </w:endnote>
  <w:endnote w:type="continuationSeparator" w:id="0">
    <w:p w14:paraId="23D32037" w14:textId="77777777" w:rsidR="00EA2CFA" w:rsidRDefault="00EA2C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AB8D43" w14:textId="77777777" w:rsidR="00EA2CFA" w:rsidRDefault="00EA2CFA">
      <w:pPr>
        <w:spacing w:after="0"/>
      </w:pPr>
      <w:r>
        <w:separator/>
      </w:r>
    </w:p>
  </w:footnote>
  <w:footnote w:type="continuationSeparator" w:id="0">
    <w:p w14:paraId="32A24CE4" w14:textId="77777777" w:rsidR="00EA2CFA" w:rsidRDefault="00EA2CF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BA1671"/>
    <w:multiLevelType w:val="multilevel"/>
    <w:tmpl w:val="0BBA1671"/>
    <w:lvl w:ilvl="0">
      <w:start w:val="1"/>
      <w:numFmt w:val="decimal"/>
      <w:pStyle w:val="Heading1"/>
      <w:lvlText w:val="%1"/>
      <w:lvlJc w:val="left"/>
      <w:pPr>
        <w:ind w:left="4543"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5AA6B4E"/>
    <w:multiLevelType w:val="hybridMultilevel"/>
    <w:tmpl w:val="7EECA2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0898060">
    <w:abstractNumId w:val="0"/>
  </w:num>
  <w:num w:numId="2" w16cid:durableId="13629009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741F"/>
    <w:rsid w:val="00023759"/>
    <w:rsid w:val="0006715D"/>
    <w:rsid w:val="000815EA"/>
    <w:rsid w:val="000A7A37"/>
    <w:rsid w:val="00102B27"/>
    <w:rsid w:val="00124308"/>
    <w:rsid w:val="00167AED"/>
    <w:rsid w:val="00186238"/>
    <w:rsid w:val="00195D31"/>
    <w:rsid w:val="00195FB3"/>
    <w:rsid w:val="001B5583"/>
    <w:rsid w:val="001D4E9E"/>
    <w:rsid w:val="0021669C"/>
    <w:rsid w:val="0024212E"/>
    <w:rsid w:val="00254AC6"/>
    <w:rsid w:val="0029311B"/>
    <w:rsid w:val="00303F98"/>
    <w:rsid w:val="003270FD"/>
    <w:rsid w:val="00353CC4"/>
    <w:rsid w:val="00366986"/>
    <w:rsid w:val="00367C55"/>
    <w:rsid w:val="003A2FC3"/>
    <w:rsid w:val="00413E57"/>
    <w:rsid w:val="0041587A"/>
    <w:rsid w:val="0044185B"/>
    <w:rsid w:val="004742E6"/>
    <w:rsid w:val="00484B7D"/>
    <w:rsid w:val="00492CEE"/>
    <w:rsid w:val="004D7590"/>
    <w:rsid w:val="00524859"/>
    <w:rsid w:val="005377DC"/>
    <w:rsid w:val="00543484"/>
    <w:rsid w:val="00572FAB"/>
    <w:rsid w:val="005A0E6F"/>
    <w:rsid w:val="005E2628"/>
    <w:rsid w:val="00636480"/>
    <w:rsid w:val="006444B0"/>
    <w:rsid w:val="00645916"/>
    <w:rsid w:val="00664E30"/>
    <w:rsid w:val="00671258"/>
    <w:rsid w:val="00680641"/>
    <w:rsid w:val="006B1646"/>
    <w:rsid w:val="006D6821"/>
    <w:rsid w:val="00744254"/>
    <w:rsid w:val="00785C3F"/>
    <w:rsid w:val="007C35FF"/>
    <w:rsid w:val="007D033B"/>
    <w:rsid w:val="007E15CD"/>
    <w:rsid w:val="007F1AA9"/>
    <w:rsid w:val="0080726C"/>
    <w:rsid w:val="008143FD"/>
    <w:rsid w:val="00840931"/>
    <w:rsid w:val="00854A60"/>
    <w:rsid w:val="008A43F4"/>
    <w:rsid w:val="008A44B4"/>
    <w:rsid w:val="008E29FE"/>
    <w:rsid w:val="0093684D"/>
    <w:rsid w:val="00941494"/>
    <w:rsid w:val="00955A74"/>
    <w:rsid w:val="009B0C29"/>
    <w:rsid w:val="009E0263"/>
    <w:rsid w:val="00A2554F"/>
    <w:rsid w:val="00A302F8"/>
    <w:rsid w:val="00A62E77"/>
    <w:rsid w:val="00A749BD"/>
    <w:rsid w:val="00A9041B"/>
    <w:rsid w:val="00AC5693"/>
    <w:rsid w:val="00AF23EF"/>
    <w:rsid w:val="00B22756"/>
    <w:rsid w:val="00B33828"/>
    <w:rsid w:val="00B4696A"/>
    <w:rsid w:val="00B54A8D"/>
    <w:rsid w:val="00B6187E"/>
    <w:rsid w:val="00B72500"/>
    <w:rsid w:val="00B76FAE"/>
    <w:rsid w:val="00B848A2"/>
    <w:rsid w:val="00B92F5C"/>
    <w:rsid w:val="00B96392"/>
    <w:rsid w:val="00BA0940"/>
    <w:rsid w:val="00BD00BB"/>
    <w:rsid w:val="00C61459"/>
    <w:rsid w:val="00CA3617"/>
    <w:rsid w:val="00CA5744"/>
    <w:rsid w:val="00CD5823"/>
    <w:rsid w:val="00D0069D"/>
    <w:rsid w:val="00D74953"/>
    <w:rsid w:val="00DC741F"/>
    <w:rsid w:val="00DD74A3"/>
    <w:rsid w:val="00E013FA"/>
    <w:rsid w:val="00E17EDD"/>
    <w:rsid w:val="00E245C3"/>
    <w:rsid w:val="00E52704"/>
    <w:rsid w:val="00E57442"/>
    <w:rsid w:val="00E605F2"/>
    <w:rsid w:val="00E91DDC"/>
    <w:rsid w:val="00EA2CFA"/>
    <w:rsid w:val="00F365CD"/>
    <w:rsid w:val="00F63713"/>
    <w:rsid w:val="00F83B23"/>
    <w:rsid w:val="00FA34C7"/>
    <w:rsid w:val="04B970D6"/>
    <w:rsid w:val="07430653"/>
    <w:rsid w:val="0B0C48DA"/>
    <w:rsid w:val="0BEE2134"/>
    <w:rsid w:val="15C319C3"/>
    <w:rsid w:val="1C8461DA"/>
    <w:rsid w:val="1E326C70"/>
    <w:rsid w:val="239911F4"/>
    <w:rsid w:val="270D6E07"/>
    <w:rsid w:val="43873B5A"/>
    <w:rsid w:val="45EF524D"/>
    <w:rsid w:val="476B4B24"/>
    <w:rsid w:val="4B717DE4"/>
    <w:rsid w:val="69ED19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3E6BF"/>
  <w15:docId w15:val="{C5B41686-7D89-44F3-8C02-79C74926D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14:ligatures w14:val="standardContextual"/>
    </w:rPr>
  </w:style>
  <w:style w:type="paragraph" w:styleId="Heading1">
    <w:name w:val="heading 1"/>
    <w:basedOn w:val="Normal"/>
    <w:next w:val="Normal"/>
    <w:link w:val="Heading1Char"/>
    <w:autoRedefine/>
    <w:uiPriority w:val="9"/>
    <w:qFormat/>
    <w:pPr>
      <w:keepNext/>
      <w:keepLines/>
      <w:numPr>
        <w:numId w:val="1"/>
      </w:numPr>
      <w:spacing w:after="320"/>
      <w:outlineLvl w:val="0"/>
    </w:pPr>
    <w:rPr>
      <w:rFonts w:ascii="Times New Roman" w:eastAsiaTheme="majorEastAsia" w:hAnsi="Times New Roman" w:cstheme="majorBidi"/>
      <w:b/>
      <w:szCs w:val="40"/>
    </w:rPr>
  </w:style>
  <w:style w:type="paragraph" w:styleId="Heading2">
    <w:name w:val="heading 2"/>
    <w:basedOn w:val="Normal"/>
    <w:next w:val="Normal"/>
    <w:link w:val="Heading2Char"/>
    <w:autoRedefine/>
    <w:uiPriority w:val="9"/>
    <w:unhideWhenUsed/>
    <w:qFormat/>
    <w:pPr>
      <w:keepNext/>
      <w:keepLines/>
      <w:numPr>
        <w:ilvl w:val="1"/>
        <w:numId w:val="1"/>
      </w:numPr>
      <w:spacing w:before="120" w:after="440"/>
      <w:outlineLvl w:val="1"/>
    </w:pPr>
    <w:rPr>
      <w:rFonts w:ascii="Times New Roman" w:eastAsiaTheme="majorEastAsia" w:hAnsi="Times New Roman" w:cstheme="majorBidi"/>
      <w:b/>
      <w:i/>
      <w:szCs w:val="32"/>
    </w:rPr>
  </w:style>
  <w:style w:type="paragraph" w:styleId="Heading3">
    <w:name w:val="heading 3"/>
    <w:basedOn w:val="Normal"/>
    <w:next w:val="Normal"/>
    <w:link w:val="Heading3Char"/>
    <w:uiPriority w:val="9"/>
    <w:semiHidden/>
    <w:unhideWhenUsed/>
    <w:qFormat/>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numPr>
        <w:ilvl w:val="7"/>
        <w:numId w:val="1"/>
      </w:numPr>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numPr>
        <w:ilvl w:val="8"/>
        <w:numId w:val="1"/>
      </w:numPr>
      <w:spacing w:after="0"/>
      <w:outlineLvl w:val="8"/>
    </w:pPr>
    <w:rPr>
      <w:rFonts w:eastAsiaTheme="majorEastAsia" w:cstheme="majorBidi"/>
      <w:color w:val="262626" w:themeColor="text1" w:themeTint="D9"/>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qFormat/>
    <w:rPr>
      <w:color w:val="467886" w:themeColor="hyperlink"/>
      <w:u w:val="single"/>
    </w:rPr>
  </w:style>
  <w:style w:type="paragraph" w:styleId="NormalWeb">
    <w:name w:val="Normal (Web)"/>
    <w:basedOn w:val="Normal"/>
    <w:uiPriority w:val="99"/>
    <w:unhideWhenUsed/>
    <w:qFormat/>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character" w:customStyle="1" w:styleId="Heading1Char">
    <w:name w:val="Heading 1 Char"/>
    <w:basedOn w:val="DefaultParagraphFont"/>
    <w:link w:val="Heading1"/>
    <w:uiPriority w:val="9"/>
    <w:qFormat/>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
      <w:i/>
      <w:szCs w:val="32"/>
    </w:rPr>
  </w:style>
  <w:style w:type="character" w:customStyle="1" w:styleId="Heading3Char">
    <w:name w:val="Heading 3 Char"/>
    <w:basedOn w:val="DefaultParagraphFont"/>
    <w:link w:val="Heading3"/>
    <w:uiPriority w:val="9"/>
    <w:semiHidden/>
    <w:qFormat/>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qFormat/>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qFormat/>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qFormat/>
    <w:rPr>
      <w:i/>
      <w:iCs/>
      <w:color w:val="0F4761" w:themeColor="accent1" w:themeShade="BF"/>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character" w:customStyle="1" w:styleId="url">
    <w:name w:val="url"/>
    <w:basedOn w:val="DefaultParagraphFont"/>
    <w:qFormat/>
  </w:style>
  <w:style w:type="paragraph" w:customStyle="1" w:styleId="TOCHeading1">
    <w:name w:val="TOC Heading1"/>
    <w:basedOn w:val="Heading1"/>
    <w:next w:val="Normal"/>
    <w:uiPriority w:val="39"/>
    <w:unhideWhenUsed/>
    <w:qFormat/>
    <w:pPr>
      <w:numPr>
        <w:numId w:val="0"/>
      </w:num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character" w:styleId="UnresolvedMention">
    <w:name w:val="Unresolved Mention"/>
    <w:basedOn w:val="DefaultParagraphFont"/>
    <w:uiPriority w:val="99"/>
    <w:semiHidden/>
    <w:unhideWhenUsed/>
    <w:rsid w:val="008E29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scribbr.com/" TargetMode="External"/><Relationship Id="rId13" Type="http://schemas.openxmlformats.org/officeDocument/2006/relationships/hyperlink" Target="http://www.abebe.org.br/wp-content/uploads/John-Bowlby-Loss-Sadness-And-Depression-Attachment-and-Loss-1982.pdf" TargetMode="External"/><Relationship Id="rId18" Type="http://schemas.openxmlformats.org/officeDocument/2006/relationships/hyperlink" Target="https://doi.org/10.1007/978-94-007-7404-9_10" TargetMode="External"/><Relationship Id="rId26" Type="http://schemas.openxmlformats.org/officeDocument/2006/relationships/hyperlink" Target="https://doi.org/10.1177/0022146510395592" TargetMode="External"/><Relationship Id="rId3" Type="http://schemas.openxmlformats.org/officeDocument/2006/relationships/styles" Target="styles.xml"/><Relationship Id="rId21" Type="http://schemas.openxmlformats.org/officeDocument/2006/relationships/hyperlink" Target="https://doi.org/10.3389/fpsyt.2011.00048" TargetMode="External"/><Relationship Id="rId7" Type="http://schemas.openxmlformats.org/officeDocument/2006/relationships/endnotes" Target="endnotes.xml"/><Relationship Id="rId12" Type="http://schemas.openxmlformats.org/officeDocument/2006/relationships/hyperlink" Target="https://doi.org/10.1007/s10730-012-9179-8" TargetMode="External"/><Relationship Id="rId17" Type="http://schemas.openxmlformats.org/officeDocument/2006/relationships/hyperlink" Target="https://doi.org/10.4324/9780203835159" TargetMode="External"/><Relationship Id="rId25" Type="http://schemas.openxmlformats.org/officeDocument/2006/relationships/hyperlink" Target="https://doi.org/10.1038/nrn.2016.111" TargetMode="External"/><Relationship Id="rId2" Type="http://schemas.openxmlformats.org/officeDocument/2006/relationships/numbering" Target="numbering.xml"/><Relationship Id="rId16" Type="http://schemas.openxmlformats.org/officeDocument/2006/relationships/hyperlink" Target="https://doi.org/10.1371/journal.pone.0080954" TargetMode="External"/><Relationship Id="rId20" Type="http://schemas.openxmlformats.org/officeDocument/2006/relationships/hyperlink" Target="https://doi.org/10.1111/cdev.1220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m/search?q=translate&amp;rlz=" TargetMode="External"/><Relationship Id="rId24" Type="http://schemas.openxmlformats.org/officeDocument/2006/relationships/hyperlink" Target="https://doi.org/10.1111/cdev.12864" TargetMode="External"/><Relationship Id="rId5" Type="http://schemas.openxmlformats.org/officeDocument/2006/relationships/webSettings" Target="webSettings.xml"/><Relationship Id="rId15" Type="http://schemas.openxmlformats.org/officeDocument/2006/relationships/hyperlink" Target="https://doi.org/10.1523/jneurosci.3446-12.2013" TargetMode="External"/><Relationship Id="rId23" Type="http://schemas.openxmlformats.org/officeDocument/2006/relationships/hyperlink" Target="https://research-portal.uea.ac.uk/en/publications/attachment-handbook-for-foster-care-and-adoption" TargetMode="External"/><Relationship Id="rId28" Type="http://schemas.openxmlformats.org/officeDocument/2006/relationships/theme" Target="theme/theme1.xml"/><Relationship Id="rId10" Type="http://schemas.openxmlformats.org/officeDocument/2006/relationships/hyperlink" Target="https://www.google.com/search?q=scholar+google&amp;rlz=1C1MYPO_en-GBGB1185GB1186&amp;oq=sch&amp;gs_lcrp=EgZjaHJvbWUqEggCEAAYQxiDARixAxiABBiKBTIGCAAQRRg8MhIIARAAGEMYgwEYsQMYgAQYigUyEggCEAAYQxiDARixAxiABBiKBTIMCAMQABhDGIAEGIoFMgwIBBAAGEMYgAQYigUyDAgFEAAYQxiABBiKBTIGCAYQRRg8MgYIBxBFGDzSAQgzNDYyajBqN6gCCLACAfEFFD3dCyqfemA&amp;sourceid=chrome&amp;ie=UTF-8" TargetMode="External"/><Relationship Id="rId19" Type="http://schemas.openxmlformats.org/officeDocument/2006/relationships/hyperlink" Target="https://doi.org/10.5860/choice.187892" TargetMode="External"/><Relationship Id="rId4" Type="http://schemas.openxmlformats.org/officeDocument/2006/relationships/settings" Target="settings.xml"/><Relationship Id="rId9" Type="http://schemas.openxmlformats.org/officeDocument/2006/relationships/hyperlink" Target="https://app.grammarly.com/" TargetMode="External"/><Relationship Id="rId14" Type="http://schemas.openxmlformats.org/officeDocument/2006/relationships/hyperlink" Target="https://www.gov.uk/government/publications/working-together-to-safeguard-children--2?utm_source=chatgpt.com" TargetMode="External"/><Relationship Id="rId22" Type="http://schemas.openxmlformats.org/officeDocument/2006/relationships/hyperlink" Target="https://harvardcenter.wpenginepowered.com/wp-content/uploads/2016/03/Building-Core-Capabilities-for-Life.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1FC9E7-85F2-4872-AF26-FC6E4E4038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6396</Words>
  <Characters>31088</Characters>
  <Application>Microsoft Office Word</Application>
  <DocSecurity>0</DocSecurity>
  <Lines>609</Lines>
  <Paragraphs>265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 Lis</dc:creator>
  <cp:lastModifiedBy>Alina Lis</cp:lastModifiedBy>
  <cp:revision>2</cp:revision>
  <dcterms:created xsi:type="dcterms:W3CDTF">2025-12-09T16:09:00Z</dcterms:created>
  <dcterms:modified xsi:type="dcterms:W3CDTF">2025-12-09T16:09:00Z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2057-12.2.0.23149</vt:lpwstr>
  </property>
  <property fmtid="{D5CDD505-2E9C-101B-9397-08002B2CF9AE}" pid="3" name="ICV">
    <vt:lpwstr>B8756169E73940B7A00249863E83B2A2_12</vt:lpwstr>
  </property>
</Properties>
</file>