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0F78B718" w14:textId="77777777" w:rsidR="00B322E0" w:rsidRPr="00086364" w:rsidRDefault="00B322E0" w:rsidP="009C2D59">
      <w:pPr>
        <w:rPr>
          <w:rFonts w:ascii="Arial" w:hAnsi="Arial" w:cs="Arial"/>
          <w:b/>
          <w:i/>
          <w:color w:val="auto"/>
          <w:sz w:val="88"/>
          <w:szCs w:val="88"/>
        </w:rPr>
      </w:pPr>
      <w:bookmarkStart w:id="0" w:name="__RefHeading___Toc82856599"/>
      <w:bookmarkEnd w:id="0"/>
    </w:p>
    <w:p w14:paraId="2514C7F2" w14:textId="77777777" w:rsidR="00086364" w:rsidRPr="00086364" w:rsidRDefault="00086364" w:rsidP="00086364">
      <w:pPr>
        <w:spacing w:before="1700" w:after="60"/>
        <w:jc w:val="center"/>
        <w:rPr>
          <w:rFonts w:ascii="Arial" w:hAnsi="Arial" w:cs="Arial"/>
        </w:rPr>
      </w:pPr>
      <w:r w:rsidRPr="00086364">
        <w:rPr>
          <w:rFonts w:ascii="Arial" w:hAnsi="Arial" w:cs="Arial"/>
          <w:b/>
        </w:rPr>
        <w:t>PRINCIPLES OF HEALTH AND SOCIAL CARE PRACTICE</w:t>
      </w:r>
    </w:p>
    <w:p w14:paraId="2947598B" w14:textId="77777777" w:rsidR="00086364" w:rsidRPr="00086364" w:rsidRDefault="00086364" w:rsidP="00086364">
      <w:pPr>
        <w:spacing w:after="60"/>
        <w:jc w:val="center"/>
        <w:rPr>
          <w:rFonts w:ascii="Arial" w:hAnsi="Arial" w:cs="Arial"/>
        </w:rPr>
      </w:pPr>
      <w:r w:rsidRPr="00086364">
        <w:rPr>
          <w:rFonts w:ascii="Arial" w:hAnsi="Arial" w:cs="Arial"/>
          <w:b/>
        </w:rPr>
        <w:t>Component 1: Reflective Report</w:t>
      </w:r>
    </w:p>
    <w:p w14:paraId="3143000A" w14:textId="77777777" w:rsidR="00086364" w:rsidRPr="00086364" w:rsidRDefault="00086364" w:rsidP="00086364">
      <w:pPr>
        <w:spacing w:after="60"/>
        <w:jc w:val="center"/>
        <w:rPr>
          <w:rFonts w:ascii="Arial" w:hAnsi="Arial" w:cs="Arial"/>
        </w:rPr>
      </w:pPr>
    </w:p>
    <w:p w14:paraId="7265519A" w14:textId="77777777" w:rsidR="00086364" w:rsidRPr="00086364" w:rsidRDefault="00086364" w:rsidP="00086364">
      <w:pPr>
        <w:spacing w:after="60"/>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9"/>
        <w:gridCol w:w="8771"/>
      </w:tblGrid>
      <w:tr w:rsidR="00C64C11" w:rsidRPr="00C64C11" w14:paraId="507F7D8B" w14:textId="77777777" w:rsidTr="00C64C11">
        <w:tc>
          <w:tcPr>
            <w:tcW w:w="2245" w:type="dxa"/>
          </w:tcPr>
          <w:p w14:paraId="33F87636" w14:textId="77777777" w:rsidR="00086364" w:rsidRPr="00C64C11" w:rsidRDefault="00086364" w:rsidP="00C64C11">
            <w:pPr>
              <w:spacing w:after="60"/>
              <w:jc w:val="center"/>
              <w:rPr>
                <w:rFonts w:ascii="Arial" w:hAnsi="Arial" w:cs="Arial"/>
              </w:rPr>
            </w:pPr>
            <w:r w:rsidRPr="00C64C11">
              <w:rPr>
                <w:rFonts w:ascii="Arial" w:hAnsi="Arial" w:cs="Arial"/>
                <w:b/>
              </w:rPr>
              <w:t>Programme</w:t>
            </w:r>
          </w:p>
        </w:tc>
        <w:tc>
          <w:tcPr>
            <w:tcW w:w="7537" w:type="dxa"/>
          </w:tcPr>
          <w:p w14:paraId="3CAA5197" w14:textId="77777777" w:rsidR="00086364" w:rsidRDefault="00086364" w:rsidP="00C64C11">
            <w:pPr>
              <w:spacing w:after="60"/>
              <w:rPr>
                <w:rFonts w:ascii="Arial" w:hAnsi="Arial" w:cs="Arial"/>
              </w:rPr>
            </w:pPr>
            <w:r w:rsidRPr="00C64C11">
              <w:rPr>
                <w:rFonts w:ascii="Arial" w:hAnsi="Arial" w:cs="Arial"/>
              </w:rPr>
              <w:t>BSc Health and Social Care</w:t>
            </w:r>
          </w:p>
          <w:p w14:paraId="4390C9E6" w14:textId="737273D1" w:rsidR="008F447F" w:rsidRDefault="008F447F" w:rsidP="00C64C11">
            <w:pPr>
              <w:spacing w:after="60"/>
              <w:rPr>
                <w:rFonts w:ascii="Arial" w:hAnsi="Arial" w:cs="Arial"/>
              </w:rPr>
            </w:pPr>
            <w:r>
              <w:rPr>
                <w:rFonts w:ascii="Arial" w:hAnsi="Arial" w:cs="Arial"/>
              </w:rPr>
              <w:t xml:space="preserve">BMHP5016 </w:t>
            </w:r>
          </w:p>
          <w:p w14:paraId="5DDBB36E" w14:textId="761DCB8F" w:rsidR="00D77CC5" w:rsidRPr="00C64C11" w:rsidRDefault="00D77CC5" w:rsidP="00C64C11">
            <w:pPr>
              <w:spacing w:after="60"/>
              <w:rPr>
                <w:rFonts w:ascii="Arial" w:hAnsi="Arial" w:cs="Arial"/>
              </w:rPr>
            </w:pPr>
            <w:r>
              <w:rPr>
                <w:rFonts w:ascii="Arial" w:hAnsi="Arial" w:cs="Arial"/>
              </w:rPr>
              <w:t>Component 1</w:t>
            </w:r>
            <w:r w:rsidR="008F447F">
              <w:rPr>
                <w:rFonts w:ascii="Arial" w:hAnsi="Arial" w:cs="Arial"/>
              </w:rPr>
              <w:t xml:space="preserve"> </w:t>
            </w:r>
          </w:p>
        </w:tc>
      </w:tr>
      <w:tr w:rsidR="00C64C11" w:rsidRPr="00C64C11" w14:paraId="23661C37" w14:textId="77777777" w:rsidTr="00C64C11">
        <w:tc>
          <w:tcPr>
            <w:tcW w:w="2245" w:type="dxa"/>
          </w:tcPr>
          <w:p w14:paraId="46001DA1" w14:textId="16A71881" w:rsidR="00086364" w:rsidRPr="00C64C11" w:rsidRDefault="008F447F" w:rsidP="00C64C11">
            <w:pPr>
              <w:spacing w:after="60"/>
              <w:jc w:val="center"/>
              <w:rPr>
                <w:rFonts w:ascii="Arial" w:hAnsi="Arial" w:cs="Arial"/>
              </w:rPr>
            </w:pPr>
            <w:r>
              <w:rPr>
                <w:rFonts w:ascii="Arial" w:hAnsi="Arial" w:cs="Arial"/>
              </w:rPr>
              <w:t xml:space="preserve">Lecturer Name </w:t>
            </w:r>
          </w:p>
        </w:tc>
        <w:tc>
          <w:tcPr>
            <w:tcW w:w="7537" w:type="dxa"/>
          </w:tcPr>
          <w:p w14:paraId="0D7D850E" w14:textId="76A7D47C" w:rsidR="00086364" w:rsidRPr="00C64C11" w:rsidRDefault="006C4A7F" w:rsidP="00C64C11">
            <w:pPr>
              <w:spacing w:after="60"/>
              <w:rPr>
                <w:rFonts w:ascii="Arial" w:hAnsi="Arial" w:cs="Arial"/>
              </w:rPr>
            </w:pPr>
            <w:r>
              <w:rPr>
                <w:rFonts w:ascii="Arial" w:hAnsi="Arial" w:cs="Arial"/>
              </w:rPr>
              <w:t>Kennedy Obohwemu</w:t>
            </w:r>
          </w:p>
        </w:tc>
      </w:tr>
      <w:tr w:rsidR="00C64C11" w:rsidRPr="00C64C11" w14:paraId="3096ABC4" w14:textId="77777777" w:rsidTr="00C64C11">
        <w:tc>
          <w:tcPr>
            <w:tcW w:w="2245" w:type="dxa"/>
          </w:tcPr>
          <w:p w14:paraId="1F553151" w14:textId="77777777" w:rsidR="00086364" w:rsidRPr="00C64C11" w:rsidRDefault="00086364" w:rsidP="00C64C11">
            <w:pPr>
              <w:spacing w:after="60"/>
              <w:jc w:val="center"/>
              <w:rPr>
                <w:rFonts w:ascii="Arial" w:hAnsi="Arial" w:cs="Arial"/>
              </w:rPr>
            </w:pPr>
            <w:r w:rsidRPr="00C64C11">
              <w:rPr>
                <w:rFonts w:ascii="Arial" w:hAnsi="Arial" w:cs="Arial"/>
                <w:b/>
              </w:rPr>
              <w:t>Student Name</w:t>
            </w:r>
          </w:p>
        </w:tc>
        <w:tc>
          <w:tcPr>
            <w:tcW w:w="7537" w:type="dxa"/>
          </w:tcPr>
          <w:p w14:paraId="2251A0E8" w14:textId="66873E6B" w:rsidR="00086364" w:rsidRPr="00C64C11" w:rsidRDefault="00697A37" w:rsidP="00C64C11">
            <w:pPr>
              <w:spacing w:after="60"/>
              <w:rPr>
                <w:rFonts w:ascii="Arial" w:hAnsi="Arial" w:cs="Arial"/>
              </w:rPr>
            </w:pPr>
            <w:r>
              <w:rPr>
                <w:rFonts w:ascii="Arial" w:hAnsi="Arial" w:cs="Arial"/>
              </w:rPr>
              <w:t>Samaria Bibi</w:t>
            </w:r>
          </w:p>
        </w:tc>
      </w:tr>
      <w:tr w:rsidR="00C64C11" w:rsidRPr="00C64C11" w14:paraId="0D2B6888" w14:textId="77777777" w:rsidTr="00C64C11">
        <w:tc>
          <w:tcPr>
            <w:tcW w:w="2245" w:type="dxa"/>
          </w:tcPr>
          <w:p w14:paraId="1F483C9F" w14:textId="017B11AB" w:rsidR="00086364" w:rsidRPr="00C64C11" w:rsidRDefault="00136BC9" w:rsidP="00C64C11">
            <w:pPr>
              <w:spacing w:after="60"/>
              <w:jc w:val="center"/>
              <w:rPr>
                <w:rFonts w:ascii="Arial" w:hAnsi="Arial" w:cs="Arial"/>
              </w:rPr>
            </w:pPr>
            <w:r>
              <w:rPr>
                <w:rFonts w:ascii="Arial" w:hAnsi="Arial" w:cs="Arial"/>
                <w:b/>
              </w:rPr>
              <w:t xml:space="preserve">Student Name </w:t>
            </w:r>
          </w:p>
        </w:tc>
        <w:tc>
          <w:tcPr>
            <w:tcW w:w="7537" w:type="dxa"/>
          </w:tcPr>
          <w:p w14:paraId="314A5F01" w14:textId="32CD61DF" w:rsidR="00086364" w:rsidRPr="00C64C11" w:rsidRDefault="00D77CC5" w:rsidP="00C64C11">
            <w:pPr>
              <w:spacing w:after="60"/>
              <w:rPr>
                <w:rFonts w:ascii="Arial" w:hAnsi="Arial" w:cs="Arial"/>
              </w:rPr>
            </w:pPr>
            <w:r>
              <w:rPr>
                <w:rFonts w:ascii="Arial" w:hAnsi="Arial" w:cs="Arial"/>
              </w:rPr>
              <w:t>2513707</w:t>
            </w:r>
          </w:p>
        </w:tc>
      </w:tr>
      <w:tr w:rsidR="00C64C11" w:rsidRPr="00C64C11" w14:paraId="1443E36F" w14:textId="77777777" w:rsidTr="00C64C11">
        <w:tc>
          <w:tcPr>
            <w:tcW w:w="2245" w:type="dxa"/>
          </w:tcPr>
          <w:p w14:paraId="286A921E" w14:textId="77777777" w:rsidR="00086364" w:rsidRDefault="00D77CC5" w:rsidP="00C64C11">
            <w:pPr>
              <w:spacing w:after="60"/>
              <w:jc w:val="center"/>
              <w:rPr>
                <w:rFonts w:ascii="Arial" w:hAnsi="Arial" w:cs="Arial"/>
              </w:rPr>
            </w:pPr>
            <w:r>
              <w:rPr>
                <w:rFonts w:ascii="Arial" w:hAnsi="Arial" w:cs="Arial"/>
              </w:rPr>
              <w:t xml:space="preserve">Submitted </w:t>
            </w:r>
          </w:p>
          <w:p w14:paraId="5555E19A" w14:textId="79191B56" w:rsidR="00D77CC5" w:rsidRPr="00C64C11" w:rsidRDefault="00D77CC5" w:rsidP="00C64C11">
            <w:pPr>
              <w:spacing w:after="60"/>
              <w:jc w:val="center"/>
              <w:rPr>
                <w:rFonts w:ascii="Arial" w:hAnsi="Arial" w:cs="Arial"/>
              </w:rPr>
            </w:pPr>
            <w:r>
              <w:rPr>
                <w:rFonts w:ascii="Arial" w:hAnsi="Arial" w:cs="Arial"/>
              </w:rPr>
              <w:t>Date</w:t>
            </w:r>
          </w:p>
        </w:tc>
        <w:tc>
          <w:tcPr>
            <w:tcW w:w="7537" w:type="dxa"/>
          </w:tcPr>
          <w:p w14:paraId="5ABCB3A0" w14:textId="647E68B5" w:rsidR="00086364" w:rsidRPr="00C64C11" w:rsidRDefault="004F2301" w:rsidP="00C64C11">
            <w:pPr>
              <w:spacing w:after="60"/>
              <w:rPr>
                <w:rFonts w:ascii="Arial" w:hAnsi="Arial" w:cs="Arial"/>
              </w:rPr>
            </w:pPr>
            <w:r>
              <w:rPr>
                <w:rFonts w:ascii="Arial" w:hAnsi="Arial" w:cs="Arial"/>
              </w:rPr>
              <w:t>21</w:t>
            </w:r>
            <w:r w:rsidRPr="004F2301">
              <w:rPr>
                <w:rFonts w:ascii="Arial" w:hAnsi="Arial" w:cs="Arial"/>
                <w:vertAlign w:val="superscript"/>
              </w:rPr>
              <w:t>st</w:t>
            </w:r>
            <w:r>
              <w:rPr>
                <w:rFonts w:ascii="Arial" w:hAnsi="Arial" w:cs="Arial"/>
              </w:rPr>
              <w:t xml:space="preserve"> October 2026</w:t>
            </w:r>
          </w:p>
        </w:tc>
      </w:tr>
    </w:tbl>
    <w:p w14:paraId="0B78D8CB" w14:textId="77777777" w:rsidR="00793373" w:rsidRPr="00086364" w:rsidRDefault="00086364" w:rsidP="00086364">
      <w:pPr>
        <w:spacing w:after="60"/>
        <w:rPr>
          <w:rFonts w:ascii="Arial" w:hAnsi="Arial" w:cs="Arial"/>
          <w:b/>
          <w:color w:val="auto"/>
          <w:sz w:val="22"/>
        </w:rPr>
      </w:pPr>
      <w:r w:rsidRPr="00086364">
        <w:rPr>
          <w:rFonts w:ascii="Arial" w:hAnsi="Arial" w:cs="Arial"/>
        </w:rPr>
        <w:br w:type="page"/>
      </w:r>
      <w:r w:rsidR="00793373" w:rsidRPr="00086364">
        <w:rPr>
          <w:rFonts w:ascii="Arial" w:hAnsi="Arial" w:cs="Arial"/>
          <w:b/>
          <w:color w:val="auto"/>
          <w:sz w:val="22"/>
        </w:rPr>
        <w:t>Table of Contents</w:t>
      </w:r>
    </w:p>
    <w:p w14:paraId="36219174" w14:textId="77777777" w:rsidR="00086364" w:rsidRPr="00C64C11" w:rsidRDefault="00793373">
      <w:pPr>
        <w:pStyle w:val="TOC1"/>
        <w:rPr>
          <w:rFonts w:ascii="Arial" w:eastAsia="Times New Roman" w:hAnsi="Arial" w:cs="Arial"/>
          <w:noProof/>
          <w:color w:val="auto"/>
          <w:sz w:val="22"/>
          <w:lang w:eastAsia="en-GB"/>
        </w:rPr>
      </w:pPr>
      <w:r w:rsidRPr="00086364">
        <w:rPr>
          <w:rFonts w:ascii="Arial" w:hAnsi="Arial" w:cs="Arial"/>
          <w:color w:val="auto"/>
          <w:sz w:val="22"/>
        </w:rPr>
        <w:fldChar w:fldCharType="begin"/>
      </w:r>
      <w:r w:rsidRPr="00086364">
        <w:rPr>
          <w:rFonts w:ascii="Arial" w:hAnsi="Arial" w:cs="Arial"/>
          <w:color w:val="auto"/>
          <w:sz w:val="22"/>
        </w:rPr>
        <w:instrText xml:space="preserve"> TOC \f \o "1-9" \o "1-9" </w:instrText>
      </w:r>
      <w:r w:rsidRPr="00086364">
        <w:rPr>
          <w:rFonts w:ascii="Arial" w:hAnsi="Arial" w:cs="Arial"/>
          <w:color w:val="auto"/>
          <w:sz w:val="22"/>
        </w:rPr>
        <w:fldChar w:fldCharType="separate"/>
      </w:r>
      <w:r w:rsidR="00086364" w:rsidRPr="00086364">
        <w:rPr>
          <w:rFonts w:ascii="Arial" w:hAnsi="Arial" w:cs="Arial"/>
          <w:noProof/>
          <w:sz w:val="22"/>
        </w:rPr>
        <w:t>1. Introduction</w:t>
      </w:r>
      <w:r w:rsidR="00086364" w:rsidRPr="00086364">
        <w:rPr>
          <w:rFonts w:ascii="Arial" w:hAnsi="Arial" w:cs="Arial"/>
          <w:noProof/>
          <w:sz w:val="22"/>
        </w:rPr>
        <w:tab/>
      </w:r>
      <w:r w:rsidR="00086364" w:rsidRPr="00086364">
        <w:rPr>
          <w:rFonts w:ascii="Arial" w:hAnsi="Arial" w:cs="Arial"/>
          <w:noProof/>
          <w:sz w:val="22"/>
        </w:rPr>
        <w:fldChar w:fldCharType="begin"/>
      </w:r>
      <w:r w:rsidR="00086364" w:rsidRPr="00086364">
        <w:rPr>
          <w:rFonts w:ascii="Arial" w:hAnsi="Arial" w:cs="Arial"/>
          <w:noProof/>
          <w:sz w:val="22"/>
        </w:rPr>
        <w:instrText xml:space="preserve"> PAGEREF _Toc241510129 \h </w:instrText>
      </w:r>
      <w:r w:rsidR="00086364" w:rsidRPr="00086364">
        <w:rPr>
          <w:rFonts w:ascii="Arial" w:hAnsi="Arial" w:cs="Arial"/>
          <w:noProof/>
          <w:sz w:val="22"/>
        </w:rPr>
      </w:r>
      <w:r w:rsidR="00086364" w:rsidRPr="00086364">
        <w:rPr>
          <w:rFonts w:ascii="Arial" w:hAnsi="Arial" w:cs="Arial"/>
          <w:noProof/>
          <w:sz w:val="22"/>
        </w:rPr>
        <w:fldChar w:fldCharType="separate"/>
      </w:r>
      <w:r w:rsidR="00086364" w:rsidRPr="00086364">
        <w:rPr>
          <w:rFonts w:ascii="Arial" w:hAnsi="Arial" w:cs="Arial"/>
          <w:noProof/>
          <w:sz w:val="22"/>
        </w:rPr>
        <w:t>3</w:t>
      </w:r>
      <w:r w:rsidR="00086364" w:rsidRPr="00086364">
        <w:rPr>
          <w:rFonts w:ascii="Arial" w:hAnsi="Arial" w:cs="Arial"/>
          <w:noProof/>
          <w:sz w:val="22"/>
        </w:rPr>
        <w:fldChar w:fldCharType="end"/>
      </w:r>
    </w:p>
    <w:p w14:paraId="40D5E156" w14:textId="77777777" w:rsidR="00086364" w:rsidRPr="00C64C11" w:rsidRDefault="00086364">
      <w:pPr>
        <w:pStyle w:val="TOC1"/>
        <w:rPr>
          <w:rFonts w:ascii="Arial" w:eastAsia="Times New Roman" w:hAnsi="Arial" w:cs="Arial"/>
          <w:noProof/>
          <w:color w:val="auto"/>
          <w:sz w:val="22"/>
          <w:lang w:eastAsia="en-GB"/>
        </w:rPr>
      </w:pPr>
      <w:r w:rsidRPr="00086364">
        <w:rPr>
          <w:rFonts w:ascii="Arial" w:hAnsi="Arial" w:cs="Arial"/>
          <w:noProof/>
          <w:sz w:val="22"/>
        </w:rPr>
        <w:t>2. Task 1: Reflection on the Importance of Principles of Health and Social Care</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_Toc241510130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3</w:t>
      </w:r>
      <w:r w:rsidRPr="00086364">
        <w:rPr>
          <w:rFonts w:ascii="Arial" w:hAnsi="Arial" w:cs="Arial"/>
          <w:noProof/>
          <w:sz w:val="22"/>
        </w:rPr>
        <w:fldChar w:fldCharType="end"/>
      </w:r>
    </w:p>
    <w:p w14:paraId="6832840B" w14:textId="77777777" w:rsidR="00086364" w:rsidRPr="00C64C11" w:rsidRDefault="00086364">
      <w:pPr>
        <w:pStyle w:val="TOC2"/>
        <w:rPr>
          <w:rFonts w:ascii="Arial" w:eastAsia="Times New Roman" w:hAnsi="Arial" w:cs="Arial"/>
          <w:noProof/>
          <w:color w:val="auto"/>
          <w:sz w:val="22"/>
          <w:lang w:eastAsia="en-GB"/>
        </w:rPr>
      </w:pPr>
      <w:r w:rsidRPr="00086364">
        <w:rPr>
          <w:rFonts w:ascii="Arial" w:hAnsi="Arial" w:cs="Arial"/>
          <w:noProof/>
          <w:sz w:val="22"/>
        </w:rPr>
        <w:t>2.1 Person-centred care</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_Toc241510131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3</w:t>
      </w:r>
      <w:r w:rsidRPr="00086364">
        <w:rPr>
          <w:rFonts w:ascii="Arial" w:hAnsi="Arial" w:cs="Arial"/>
          <w:noProof/>
          <w:sz w:val="22"/>
        </w:rPr>
        <w:fldChar w:fldCharType="end"/>
      </w:r>
    </w:p>
    <w:p w14:paraId="75009819" w14:textId="77777777" w:rsidR="00086364" w:rsidRPr="00C64C11" w:rsidRDefault="00086364">
      <w:pPr>
        <w:pStyle w:val="TOC2"/>
        <w:rPr>
          <w:rFonts w:ascii="Arial" w:eastAsia="Times New Roman" w:hAnsi="Arial" w:cs="Arial"/>
          <w:noProof/>
          <w:color w:val="auto"/>
          <w:sz w:val="22"/>
          <w:lang w:eastAsia="en-GB"/>
        </w:rPr>
      </w:pPr>
      <w:r w:rsidRPr="00086364">
        <w:rPr>
          <w:rFonts w:ascii="Arial" w:hAnsi="Arial" w:cs="Arial"/>
          <w:noProof/>
          <w:sz w:val="22"/>
        </w:rPr>
        <w:t>2.2 Partnership working</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_Toc241510132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4</w:t>
      </w:r>
      <w:r w:rsidRPr="00086364">
        <w:rPr>
          <w:rFonts w:ascii="Arial" w:hAnsi="Arial" w:cs="Arial"/>
          <w:noProof/>
          <w:sz w:val="22"/>
        </w:rPr>
        <w:fldChar w:fldCharType="end"/>
      </w:r>
    </w:p>
    <w:p w14:paraId="32D7EBD2" w14:textId="77777777" w:rsidR="00086364" w:rsidRPr="00C64C11" w:rsidRDefault="00086364">
      <w:pPr>
        <w:pStyle w:val="TOC2"/>
        <w:rPr>
          <w:rFonts w:ascii="Arial" w:eastAsia="Times New Roman" w:hAnsi="Arial" w:cs="Arial"/>
          <w:noProof/>
          <w:color w:val="auto"/>
          <w:sz w:val="22"/>
          <w:lang w:eastAsia="en-GB"/>
        </w:rPr>
      </w:pPr>
      <w:r w:rsidRPr="00086364">
        <w:rPr>
          <w:rFonts w:ascii="Arial" w:hAnsi="Arial" w:cs="Arial"/>
          <w:noProof/>
          <w:sz w:val="22"/>
        </w:rPr>
        <w:t>2.3 Ethical practice</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_Toc241510133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4</w:t>
      </w:r>
      <w:r w:rsidRPr="00086364">
        <w:rPr>
          <w:rFonts w:ascii="Arial" w:hAnsi="Arial" w:cs="Arial"/>
          <w:noProof/>
          <w:sz w:val="22"/>
        </w:rPr>
        <w:fldChar w:fldCharType="end"/>
      </w:r>
    </w:p>
    <w:p w14:paraId="207EB0FB" w14:textId="77777777" w:rsidR="00086364" w:rsidRPr="00C64C11" w:rsidRDefault="00086364">
      <w:pPr>
        <w:pStyle w:val="TOC1"/>
        <w:rPr>
          <w:rFonts w:ascii="Arial" w:eastAsia="Times New Roman" w:hAnsi="Arial" w:cs="Arial"/>
          <w:noProof/>
          <w:color w:val="auto"/>
          <w:sz w:val="22"/>
          <w:lang w:eastAsia="en-GB"/>
        </w:rPr>
      </w:pPr>
      <w:r w:rsidRPr="00086364">
        <w:rPr>
          <w:rFonts w:ascii="Arial" w:hAnsi="Arial" w:cs="Arial"/>
          <w:noProof/>
          <w:sz w:val="22"/>
        </w:rPr>
        <w:t>3. Task 2: Practical Example in Practice - Robyn’s Story</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_Toc241510134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5</w:t>
      </w:r>
      <w:r w:rsidRPr="00086364">
        <w:rPr>
          <w:rFonts w:ascii="Arial" w:hAnsi="Arial" w:cs="Arial"/>
          <w:noProof/>
          <w:sz w:val="22"/>
        </w:rPr>
        <w:fldChar w:fldCharType="end"/>
      </w:r>
    </w:p>
    <w:p w14:paraId="375850EB" w14:textId="77777777" w:rsidR="00086364" w:rsidRPr="00C64C11" w:rsidRDefault="00086364">
      <w:pPr>
        <w:pStyle w:val="TOC2"/>
        <w:rPr>
          <w:rFonts w:ascii="Arial" w:eastAsia="Times New Roman" w:hAnsi="Arial" w:cs="Arial"/>
          <w:noProof/>
          <w:color w:val="auto"/>
          <w:sz w:val="22"/>
          <w:lang w:eastAsia="en-GB"/>
        </w:rPr>
      </w:pPr>
      <w:r w:rsidRPr="00086364">
        <w:rPr>
          <w:rFonts w:ascii="Arial" w:hAnsi="Arial" w:cs="Arial"/>
          <w:noProof/>
          <w:sz w:val="22"/>
        </w:rPr>
        <w:t>3.1 Case context and person-centred care</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_Toc241510135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5</w:t>
      </w:r>
      <w:r w:rsidRPr="00086364">
        <w:rPr>
          <w:rFonts w:ascii="Arial" w:hAnsi="Arial" w:cs="Arial"/>
          <w:noProof/>
          <w:sz w:val="22"/>
        </w:rPr>
        <w:fldChar w:fldCharType="end"/>
      </w:r>
    </w:p>
    <w:p w14:paraId="52252900" w14:textId="77777777" w:rsidR="00086364" w:rsidRPr="00C64C11" w:rsidRDefault="00086364">
      <w:pPr>
        <w:pStyle w:val="TOC2"/>
        <w:rPr>
          <w:rFonts w:ascii="Arial" w:eastAsia="Times New Roman" w:hAnsi="Arial" w:cs="Arial"/>
          <w:noProof/>
          <w:color w:val="auto"/>
          <w:sz w:val="22"/>
          <w:lang w:eastAsia="en-GB"/>
        </w:rPr>
      </w:pPr>
      <w:r w:rsidRPr="00086364">
        <w:rPr>
          <w:rFonts w:ascii="Arial" w:hAnsi="Arial" w:cs="Arial"/>
          <w:noProof/>
          <w:sz w:val="22"/>
        </w:rPr>
        <w:t>3.2 Partnership working and implementation limitations</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_Toc241510136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5</w:t>
      </w:r>
      <w:r w:rsidRPr="00086364">
        <w:rPr>
          <w:rFonts w:ascii="Arial" w:hAnsi="Arial" w:cs="Arial"/>
          <w:noProof/>
          <w:sz w:val="22"/>
        </w:rPr>
        <w:fldChar w:fldCharType="end"/>
      </w:r>
    </w:p>
    <w:p w14:paraId="76A2D8D6" w14:textId="77777777" w:rsidR="00086364" w:rsidRPr="00C64C11" w:rsidRDefault="00086364">
      <w:pPr>
        <w:pStyle w:val="TOC2"/>
        <w:rPr>
          <w:rFonts w:ascii="Arial" w:eastAsia="Times New Roman" w:hAnsi="Arial" w:cs="Arial"/>
          <w:noProof/>
          <w:color w:val="auto"/>
          <w:sz w:val="22"/>
          <w:lang w:eastAsia="en-GB"/>
        </w:rPr>
      </w:pPr>
      <w:r w:rsidRPr="00086364">
        <w:rPr>
          <w:rFonts w:ascii="Arial" w:hAnsi="Arial" w:cs="Arial"/>
          <w:noProof/>
          <w:sz w:val="22"/>
        </w:rPr>
        <w:t>3.3 Ethical practice and impact</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_Toc241510137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6</w:t>
      </w:r>
      <w:r w:rsidRPr="00086364">
        <w:rPr>
          <w:rFonts w:ascii="Arial" w:hAnsi="Arial" w:cs="Arial"/>
          <w:noProof/>
          <w:sz w:val="22"/>
        </w:rPr>
        <w:fldChar w:fldCharType="end"/>
      </w:r>
    </w:p>
    <w:p w14:paraId="606582E6" w14:textId="77777777" w:rsidR="00086364" w:rsidRPr="00C64C11" w:rsidRDefault="00086364">
      <w:pPr>
        <w:pStyle w:val="TOC1"/>
        <w:rPr>
          <w:rFonts w:ascii="Arial" w:eastAsia="Times New Roman" w:hAnsi="Arial" w:cs="Arial"/>
          <w:noProof/>
          <w:color w:val="auto"/>
          <w:sz w:val="22"/>
          <w:lang w:eastAsia="en-GB"/>
        </w:rPr>
      </w:pPr>
      <w:r w:rsidRPr="00086364">
        <w:rPr>
          <w:rFonts w:ascii="Arial" w:hAnsi="Arial" w:cs="Arial"/>
          <w:noProof/>
          <w:sz w:val="22"/>
        </w:rPr>
        <w:t>References</w:t>
      </w:r>
      <w:r w:rsidRPr="00086364">
        <w:rPr>
          <w:rFonts w:ascii="Arial" w:hAnsi="Arial" w:cs="Arial"/>
          <w:noProof/>
          <w:sz w:val="22"/>
        </w:rPr>
        <w:tab/>
      </w:r>
      <w:r w:rsidRPr="00086364">
        <w:rPr>
          <w:rFonts w:ascii="Arial" w:hAnsi="Arial" w:cs="Arial"/>
          <w:noProof/>
          <w:sz w:val="22"/>
        </w:rPr>
        <w:fldChar w:fldCharType="begin"/>
      </w:r>
      <w:r w:rsidRPr="00086364">
        <w:rPr>
          <w:rFonts w:ascii="Arial" w:hAnsi="Arial" w:cs="Arial"/>
          <w:noProof/>
          <w:sz w:val="22"/>
        </w:rPr>
        <w:instrText xml:space="preserve"> PAGEREF _Toc241510138 \h </w:instrText>
      </w:r>
      <w:r w:rsidRPr="00086364">
        <w:rPr>
          <w:rFonts w:ascii="Arial" w:hAnsi="Arial" w:cs="Arial"/>
          <w:noProof/>
          <w:sz w:val="22"/>
        </w:rPr>
      </w:r>
      <w:r w:rsidRPr="00086364">
        <w:rPr>
          <w:rFonts w:ascii="Arial" w:hAnsi="Arial" w:cs="Arial"/>
          <w:noProof/>
          <w:sz w:val="22"/>
        </w:rPr>
        <w:fldChar w:fldCharType="separate"/>
      </w:r>
      <w:r w:rsidRPr="00086364">
        <w:rPr>
          <w:rFonts w:ascii="Arial" w:hAnsi="Arial" w:cs="Arial"/>
          <w:noProof/>
          <w:sz w:val="22"/>
        </w:rPr>
        <w:t>8</w:t>
      </w:r>
      <w:r w:rsidRPr="00086364">
        <w:rPr>
          <w:rFonts w:ascii="Arial" w:hAnsi="Arial" w:cs="Arial"/>
          <w:noProof/>
          <w:sz w:val="22"/>
        </w:rPr>
        <w:fldChar w:fldCharType="end"/>
      </w:r>
    </w:p>
    <w:p w14:paraId="315BA6D2" w14:textId="77777777" w:rsidR="005901D0" w:rsidRPr="00086364" w:rsidRDefault="00793373" w:rsidP="005901D0">
      <w:pPr>
        <w:pStyle w:val="TOC1"/>
        <w:rPr>
          <w:rFonts w:ascii="Arial" w:hAnsi="Arial" w:cs="Arial"/>
          <w:color w:val="auto"/>
          <w:sz w:val="22"/>
        </w:rPr>
      </w:pPr>
      <w:r w:rsidRPr="00086364">
        <w:rPr>
          <w:rFonts w:ascii="Arial" w:hAnsi="Arial" w:cs="Arial"/>
          <w:color w:val="auto"/>
          <w:sz w:val="22"/>
        </w:rPr>
        <w:fldChar w:fldCharType="end"/>
      </w:r>
    </w:p>
    <w:p w14:paraId="241B8408" w14:textId="77777777" w:rsidR="00793373" w:rsidRPr="0025778E" w:rsidRDefault="00086364">
      <w:pPr>
        <w:rPr>
          <w:rFonts w:ascii="Arial" w:hAnsi="Arial" w:cs="Arial"/>
          <w:b/>
          <w:color w:val="auto"/>
          <w:sz w:val="22"/>
        </w:rPr>
      </w:pPr>
      <w:r w:rsidRPr="0025778E">
        <w:rPr>
          <w:rFonts w:ascii="Arial" w:hAnsi="Arial" w:cs="Arial"/>
          <w:b/>
          <w:color w:val="auto"/>
          <w:sz w:val="22"/>
        </w:rPr>
        <w:t>List of Tables</w:t>
      </w:r>
    </w:p>
    <w:p w14:paraId="4EA4F428" w14:textId="77777777" w:rsidR="0025778E" w:rsidRPr="00E02070" w:rsidRDefault="00086364">
      <w:pPr>
        <w:pStyle w:val="TableofFigures"/>
        <w:tabs>
          <w:tab w:val="right" w:leader="dot" w:pos="9350"/>
        </w:tabs>
        <w:rPr>
          <w:rFonts w:ascii="Calibri" w:eastAsia="Times New Roman" w:hAnsi="Calibri"/>
          <w:noProof/>
          <w:color w:val="auto"/>
          <w:sz w:val="22"/>
          <w:lang w:eastAsia="en-GB"/>
        </w:rPr>
      </w:pPr>
      <w:r w:rsidRPr="0025778E">
        <w:rPr>
          <w:rFonts w:ascii="Arial" w:hAnsi="Arial" w:cs="Arial"/>
          <w:color w:val="auto"/>
          <w:sz w:val="22"/>
        </w:rPr>
        <w:fldChar w:fldCharType="begin"/>
      </w:r>
      <w:r w:rsidRPr="0025778E">
        <w:rPr>
          <w:rFonts w:ascii="Arial" w:hAnsi="Arial" w:cs="Arial"/>
          <w:color w:val="auto"/>
          <w:sz w:val="22"/>
        </w:rPr>
        <w:instrText xml:space="preserve"> TOC \h \z \c "Table" </w:instrText>
      </w:r>
      <w:r w:rsidRPr="0025778E">
        <w:rPr>
          <w:rFonts w:ascii="Arial" w:hAnsi="Arial" w:cs="Arial"/>
          <w:color w:val="auto"/>
          <w:sz w:val="22"/>
        </w:rPr>
        <w:fldChar w:fldCharType="separate"/>
      </w:r>
      <w:hyperlink w:anchor="_Toc242371394" w:history="1">
        <w:r w:rsidR="0025778E" w:rsidRPr="0025778E">
          <w:rPr>
            <w:rStyle w:val="Hyperlink"/>
            <w:rFonts w:ascii="Arial" w:hAnsi="Arial" w:cs="Arial"/>
            <w:noProof/>
            <w:sz w:val="22"/>
          </w:rPr>
          <w:t>Table 1: Critical synthesis of the three core principles</w:t>
        </w:r>
        <w:r w:rsidR="0025778E" w:rsidRPr="0025778E">
          <w:rPr>
            <w:noProof/>
            <w:webHidden/>
            <w:sz w:val="22"/>
          </w:rPr>
          <w:tab/>
        </w:r>
        <w:r w:rsidR="0025778E" w:rsidRPr="0025778E">
          <w:rPr>
            <w:noProof/>
            <w:webHidden/>
            <w:sz w:val="22"/>
          </w:rPr>
          <w:fldChar w:fldCharType="begin"/>
        </w:r>
        <w:r w:rsidR="0025778E" w:rsidRPr="0025778E">
          <w:rPr>
            <w:noProof/>
            <w:webHidden/>
            <w:sz w:val="22"/>
          </w:rPr>
          <w:instrText xml:space="preserve"> PAGEREF _Toc242371394 \h </w:instrText>
        </w:r>
        <w:r w:rsidR="0025778E" w:rsidRPr="0025778E">
          <w:rPr>
            <w:noProof/>
            <w:webHidden/>
            <w:sz w:val="22"/>
          </w:rPr>
        </w:r>
        <w:r w:rsidR="0025778E" w:rsidRPr="0025778E">
          <w:rPr>
            <w:noProof/>
            <w:webHidden/>
            <w:sz w:val="22"/>
          </w:rPr>
          <w:fldChar w:fldCharType="separate"/>
        </w:r>
        <w:r w:rsidR="0025778E" w:rsidRPr="0025778E">
          <w:rPr>
            <w:noProof/>
            <w:webHidden/>
            <w:sz w:val="22"/>
          </w:rPr>
          <w:t>4</w:t>
        </w:r>
        <w:r w:rsidR="0025778E" w:rsidRPr="0025778E">
          <w:rPr>
            <w:noProof/>
            <w:webHidden/>
            <w:sz w:val="22"/>
          </w:rPr>
          <w:fldChar w:fldCharType="end"/>
        </w:r>
      </w:hyperlink>
    </w:p>
    <w:p w14:paraId="293786C9" w14:textId="77777777" w:rsidR="0025778E" w:rsidRPr="00E02070" w:rsidRDefault="0025778E">
      <w:pPr>
        <w:pStyle w:val="TableofFigures"/>
        <w:tabs>
          <w:tab w:val="right" w:leader="dot" w:pos="9350"/>
        </w:tabs>
        <w:rPr>
          <w:rFonts w:ascii="Calibri" w:eastAsia="Times New Roman" w:hAnsi="Calibri"/>
          <w:noProof/>
          <w:color w:val="auto"/>
          <w:sz w:val="22"/>
          <w:lang w:eastAsia="en-GB"/>
        </w:rPr>
      </w:pPr>
      <w:hyperlink w:anchor="_Toc242371395" w:history="1">
        <w:r w:rsidRPr="0025778E">
          <w:rPr>
            <w:rStyle w:val="Hyperlink"/>
            <w:rFonts w:ascii="Arial" w:hAnsi="Arial" w:cs="Arial"/>
            <w:noProof/>
            <w:sz w:val="22"/>
          </w:rPr>
          <w:t>Table 2: Critical application of the principles to Robyn’s case</w:t>
        </w:r>
        <w:r w:rsidRPr="0025778E">
          <w:rPr>
            <w:noProof/>
            <w:webHidden/>
            <w:sz w:val="22"/>
          </w:rPr>
          <w:tab/>
        </w:r>
        <w:r w:rsidRPr="0025778E">
          <w:rPr>
            <w:noProof/>
            <w:webHidden/>
            <w:sz w:val="22"/>
          </w:rPr>
          <w:fldChar w:fldCharType="begin"/>
        </w:r>
        <w:r w:rsidRPr="0025778E">
          <w:rPr>
            <w:noProof/>
            <w:webHidden/>
            <w:sz w:val="22"/>
          </w:rPr>
          <w:instrText xml:space="preserve"> PAGEREF _Toc242371395 \h </w:instrText>
        </w:r>
        <w:r w:rsidRPr="0025778E">
          <w:rPr>
            <w:noProof/>
            <w:webHidden/>
            <w:sz w:val="22"/>
          </w:rPr>
        </w:r>
        <w:r w:rsidRPr="0025778E">
          <w:rPr>
            <w:noProof/>
            <w:webHidden/>
            <w:sz w:val="22"/>
          </w:rPr>
          <w:fldChar w:fldCharType="separate"/>
        </w:r>
        <w:r w:rsidRPr="0025778E">
          <w:rPr>
            <w:noProof/>
            <w:webHidden/>
            <w:sz w:val="22"/>
          </w:rPr>
          <w:t>6</w:t>
        </w:r>
        <w:r w:rsidRPr="0025778E">
          <w:rPr>
            <w:noProof/>
            <w:webHidden/>
            <w:sz w:val="22"/>
          </w:rPr>
          <w:fldChar w:fldCharType="end"/>
        </w:r>
      </w:hyperlink>
    </w:p>
    <w:p w14:paraId="523AA835" w14:textId="77777777" w:rsidR="0025778E" w:rsidRPr="00E02070" w:rsidRDefault="0025778E">
      <w:pPr>
        <w:pStyle w:val="TableofFigures"/>
        <w:tabs>
          <w:tab w:val="right" w:leader="dot" w:pos="9350"/>
        </w:tabs>
        <w:rPr>
          <w:rFonts w:ascii="Calibri" w:eastAsia="Times New Roman" w:hAnsi="Calibri"/>
          <w:noProof/>
          <w:color w:val="auto"/>
          <w:sz w:val="22"/>
          <w:lang w:eastAsia="en-GB"/>
        </w:rPr>
      </w:pPr>
      <w:hyperlink w:anchor="_Toc242371396" w:history="1">
        <w:r w:rsidRPr="0025778E">
          <w:rPr>
            <w:rStyle w:val="Hyperlink"/>
            <w:rFonts w:ascii="Arial" w:hAnsi="Arial" w:cs="Arial"/>
            <w:noProof/>
            <w:sz w:val="22"/>
          </w:rPr>
          <w:t>Table 3: Personal development action plan</w:t>
        </w:r>
        <w:r w:rsidRPr="0025778E">
          <w:rPr>
            <w:noProof/>
            <w:webHidden/>
            <w:sz w:val="22"/>
          </w:rPr>
          <w:tab/>
        </w:r>
        <w:r w:rsidRPr="0025778E">
          <w:rPr>
            <w:noProof/>
            <w:webHidden/>
            <w:sz w:val="22"/>
          </w:rPr>
          <w:fldChar w:fldCharType="begin"/>
        </w:r>
        <w:r w:rsidRPr="0025778E">
          <w:rPr>
            <w:noProof/>
            <w:webHidden/>
            <w:sz w:val="22"/>
          </w:rPr>
          <w:instrText xml:space="preserve"> PAGEREF _Toc242371396 \h </w:instrText>
        </w:r>
        <w:r w:rsidRPr="0025778E">
          <w:rPr>
            <w:noProof/>
            <w:webHidden/>
            <w:sz w:val="22"/>
          </w:rPr>
        </w:r>
        <w:r w:rsidRPr="0025778E">
          <w:rPr>
            <w:noProof/>
            <w:webHidden/>
            <w:sz w:val="22"/>
          </w:rPr>
          <w:fldChar w:fldCharType="separate"/>
        </w:r>
        <w:r w:rsidRPr="0025778E">
          <w:rPr>
            <w:noProof/>
            <w:webHidden/>
            <w:sz w:val="22"/>
          </w:rPr>
          <w:t>8</w:t>
        </w:r>
        <w:r w:rsidRPr="0025778E">
          <w:rPr>
            <w:noProof/>
            <w:webHidden/>
            <w:sz w:val="22"/>
          </w:rPr>
          <w:fldChar w:fldCharType="end"/>
        </w:r>
      </w:hyperlink>
    </w:p>
    <w:p w14:paraId="2F53D544" w14:textId="77777777" w:rsidR="00FA3835" w:rsidRPr="00086364" w:rsidRDefault="00086364">
      <w:pPr>
        <w:rPr>
          <w:rFonts w:ascii="Arial" w:hAnsi="Arial" w:cs="Arial"/>
          <w:color w:val="auto"/>
          <w:szCs w:val="24"/>
        </w:rPr>
      </w:pPr>
      <w:r w:rsidRPr="0025778E">
        <w:rPr>
          <w:rFonts w:ascii="Arial" w:hAnsi="Arial" w:cs="Arial"/>
          <w:color w:val="auto"/>
          <w:sz w:val="22"/>
        </w:rPr>
        <w:fldChar w:fldCharType="end"/>
      </w:r>
    </w:p>
    <w:p w14:paraId="3E296DA4" w14:textId="77777777" w:rsidR="00FA3835" w:rsidRPr="00086364" w:rsidRDefault="00FA3835">
      <w:pPr>
        <w:rPr>
          <w:rFonts w:ascii="Arial" w:hAnsi="Arial" w:cs="Arial"/>
          <w:color w:val="auto"/>
          <w:szCs w:val="24"/>
        </w:rPr>
      </w:pPr>
    </w:p>
    <w:p w14:paraId="5660018C" w14:textId="77777777" w:rsidR="000824D7" w:rsidRPr="00086364" w:rsidRDefault="006407FE" w:rsidP="004A42D9">
      <w:pPr>
        <w:pStyle w:val="Heading1"/>
        <w:rPr>
          <w:rFonts w:ascii="Arial" w:hAnsi="Arial" w:cs="Arial"/>
          <w:sz w:val="22"/>
          <w:szCs w:val="22"/>
        </w:rPr>
      </w:pPr>
      <w:r w:rsidRPr="00086364">
        <w:rPr>
          <w:rFonts w:ascii="Arial" w:hAnsi="Arial" w:cs="Arial"/>
        </w:rPr>
        <w:br w:type="page"/>
      </w:r>
      <w:bookmarkStart w:id="1" w:name="_Toc241510129"/>
      <w:r w:rsidR="00086364" w:rsidRPr="00086364">
        <w:rPr>
          <w:rFonts w:ascii="Arial" w:hAnsi="Arial" w:cs="Arial"/>
          <w:sz w:val="22"/>
          <w:szCs w:val="22"/>
        </w:rPr>
        <w:t xml:space="preserve">1. </w:t>
      </w:r>
      <w:r w:rsidR="00607926" w:rsidRPr="00086364">
        <w:rPr>
          <w:rFonts w:ascii="Arial" w:hAnsi="Arial" w:cs="Arial"/>
          <w:sz w:val="22"/>
          <w:szCs w:val="22"/>
        </w:rPr>
        <w:t>Introduction</w:t>
      </w:r>
      <w:bookmarkEnd w:id="1"/>
    </w:p>
    <w:p w14:paraId="3C2830F3" w14:textId="77777777" w:rsidR="008853CB" w:rsidRDefault="00466441" w:rsidP="00E4715B">
      <w:pPr>
        <w:rPr>
          <w:rFonts w:ascii="Arial" w:hAnsi="Arial" w:cs="Arial"/>
          <w:sz w:val="22"/>
        </w:rPr>
      </w:pPr>
      <w:r w:rsidRPr="00466441">
        <w:rPr>
          <w:rFonts w:ascii="Arial" w:hAnsi="Arial" w:cs="Arial"/>
          <w:sz w:val="22"/>
        </w:rPr>
        <w:t xml:space="preserve">However, effective health and social care require not only technical competence but also whether care is delivered in a person-centred, coordinated, and ethically justified manner (Bouton et al., 2023). </w:t>
      </w:r>
      <w:r w:rsidR="008853CB" w:rsidRPr="008853CB">
        <w:rPr>
          <w:rFonts w:ascii="Arial" w:hAnsi="Arial" w:cs="Arial"/>
          <w:sz w:val="22"/>
        </w:rPr>
        <w:t xml:space="preserve">In this report, the concept of person-centered care, collaboration and partnership, and ethical practice in the health and social care services sector in </w:t>
      </w:r>
      <w:r w:rsidR="005C73F9">
        <w:rPr>
          <w:rFonts w:ascii="Arial" w:hAnsi="Arial" w:cs="Arial"/>
          <w:sz w:val="22"/>
        </w:rPr>
        <w:t>the UK will be critically analys</w:t>
      </w:r>
      <w:r w:rsidR="008853CB" w:rsidRPr="008853CB">
        <w:rPr>
          <w:rFonts w:ascii="Arial" w:hAnsi="Arial" w:cs="Arial"/>
          <w:sz w:val="22"/>
        </w:rPr>
        <w:t>ed. In particular, this report will discuss three important principles, their application to the case of Robyn, and reflect on the experience of a domiciliary Healthcare Assistant where a client refused personal care, using Gibbs' reflective cycle. The key argument put forth in this paper is that good care is not only about following procedures but sharing power, continuity, choice, proportionate risk management, and collaboration (Ho et al., 2023).</w:t>
      </w:r>
    </w:p>
    <w:p w14:paraId="6CEAB2FD" w14:textId="77777777" w:rsidR="00466441" w:rsidRPr="00086364" w:rsidRDefault="00466441" w:rsidP="00E4715B">
      <w:pPr>
        <w:rPr>
          <w:rFonts w:ascii="Arial" w:hAnsi="Arial" w:cs="Arial"/>
          <w:sz w:val="22"/>
        </w:rPr>
      </w:pPr>
    </w:p>
    <w:p w14:paraId="02E19684" w14:textId="77777777" w:rsidR="00E4715B" w:rsidRPr="00086364" w:rsidRDefault="00E4715B" w:rsidP="00086364">
      <w:pPr>
        <w:pStyle w:val="Heading1"/>
        <w:rPr>
          <w:rFonts w:ascii="Arial" w:hAnsi="Arial" w:cs="Arial"/>
          <w:sz w:val="22"/>
          <w:szCs w:val="22"/>
        </w:rPr>
      </w:pPr>
      <w:bookmarkStart w:id="2" w:name="_Toc241510130"/>
      <w:r w:rsidRPr="00086364">
        <w:rPr>
          <w:rFonts w:ascii="Arial" w:hAnsi="Arial" w:cs="Arial"/>
          <w:sz w:val="22"/>
          <w:szCs w:val="22"/>
        </w:rPr>
        <w:t>2. Task 1: Reflection on the Importance of Principles of Health and Social Care</w:t>
      </w:r>
      <w:bookmarkEnd w:id="2"/>
    </w:p>
    <w:p w14:paraId="2357EA25" w14:textId="77777777" w:rsidR="00E4715B" w:rsidRPr="00086364" w:rsidRDefault="00E4715B" w:rsidP="00086364">
      <w:pPr>
        <w:pStyle w:val="Heading2"/>
        <w:rPr>
          <w:rFonts w:ascii="Arial" w:hAnsi="Arial" w:cs="Arial"/>
          <w:sz w:val="22"/>
          <w:szCs w:val="22"/>
        </w:rPr>
      </w:pPr>
      <w:bookmarkStart w:id="3" w:name="_Toc241510131"/>
      <w:r w:rsidRPr="00086364">
        <w:rPr>
          <w:rFonts w:ascii="Arial" w:hAnsi="Arial" w:cs="Arial"/>
          <w:sz w:val="22"/>
          <w:szCs w:val="22"/>
        </w:rPr>
        <w:t>2.1 Person-centred care</w:t>
      </w:r>
      <w:bookmarkEnd w:id="3"/>
    </w:p>
    <w:p w14:paraId="7EBE5D04" w14:textId="77777777" w:rsidR="00E4715B" w:rsidRPr="00086364" w:rsidRDefault="00466441" w:rsidP="00E4715B">
      <w:pPr>
        <w:rPr>
          <w:rFonts w:ascii="Arial" w:hAnsi="Arial" w:cs="Arial"/>
          <w:sz w:val="22"/>
        </w:rPr>
      </w:pPr>
      <w:r w:rsidRPr="00466441">
        <w:rPr>
          <w:rFonts w:ascii="Arial" w:hAnsi="Arial" w:cs="Arial"/>
          <w:sz w:val="22"/>
        </w:rPr>
        <w:t>Person-centred care considers the individual as an active participant whose values, abilities, and life goals influence care decisions in contrast to a passive receiver of activities (Fridberg, Wallin, &amp; Tistad, 2022). The relevance of person-centred care is reflected in such dimensions as dignity, autonomy, partnership, and continuity. According to the research performed in six healthcare units, the process of implementation of person-centred care was based on the initiation, engagement in, and safeguarding of partnerships, although the practice differed significantly depending on circumstances, which proves that the concept is not about the same set of procedures (Fridberg, Wallin, &amp; Tistad, 2022). Being flexible, the practice allows for individualising patients, but sometimes inconsistency may occur when the team does not share its conceptual meaning. In the structural-equation study, the strong relationships were found between staff prerequisites and care environment (β =.826, p &lt; .001) as well as between care environment and person-centred processes (β=.785, p &lt;.001). It means that compassionate attitudes are supported by the system (Balqis-Ali et al., 2022).</w:t>
      </w:r>
    </w:p>
    <w:p w14:paraId="68034F8C" w14:textId="77777777" w:rsidR="00E4715B" w:rsidRPr="00086364" w:rsidRDefault="00E4715B" w:rsidP="00086364">
      <w:pPr>
        <w:pStyle w:val="Heading2"/>
        <w:rPr>
          <w:rFonts w:ascii="Arial" w:hAnsi="Arial" w:cs="Arial"/>
          <w:sz w:val="22"/>
          <w:szCs w:val="22"/>
        </w:rPr>
      </w:pPr>
      <w:bookmarkStart w:id="4" w:name="_Toc241510132"/>
      <w:r w:rsidRPr="00086364">
        <w:rPr>
          <w:rFonts w:ascii="Arial" w:hAnsi="Arial" w:cs="Arial"/>
          <w:sz w:val="22"/>
          <w:szCs w:val="22"/>
        </w:rPr>
        <w:t>2.2 Partnership working</w:t>
      </w:r>
      <w:bookmarkEnd w:id="4"/>
    </w:p>
    <w:p w14:paraId="620F99AE" w14:textId="77777777" w:rsidR="00E4715B" w:rsidRPr="00086364" w:rsidRDefault="00466441" w:rsidP="00E4715B">
      <w:pPr>
        <w:rPr>
          <w:rFonts w:ascii="Arial" w:hAnsi="Arial" w:cs="Arial"/>
          <w:sz w:val="22"/>
        </w:rPr>
      </w:pPr>
      <w:r w:rsidRPr="00466441">
        <w:rPr>
          <w:rFonts w:ascii="Arial" w:hAnsi="Arial" w:cs="Arial"/>
          <w:sz w:val="22"/>
        </w:rPr>
        <w:t>Partnership working brings together the skills of service users, carers, healthcare professionals,</w:t>
      </w:r>
      <w:r w:rsidR="007F03E3">
        <w:rPr>
          <w:rFonts w:ascii="Arial" w:hAnsi="Arial" w:cs="Arial"/>
          <w:sz w:val="22"/>
        </w:rPr>
        <w:t xml:space="preserve"> social care workers and organis</w:t>
      </w:r>
      <w:r w:rsidRPr="00466441">
        <w:rPr>
          <w:rFonts w:ascii="Arial" w:hAnsi="Arial" w:cs="Arial"/>
          <w:sz w:val="22"/>
        </w:rPr>
        <w:t xml:space="preserve">ations such that disparate needs can be addressed effectively. In England, there have been reforms aimed at integrating care, which resulted in the creation of 42 Integrated Care Systems; however, interviews of 32 senior managers from three systems revealed that </w:t>
      </w:r>
      <w:r w:rsidR="007F03E3">
        <w:rPr>
          <w:rFonts w:ascii="Arial" w:hAnsi="Arial" w:cs="Arial"/>
          <w:sz w:val="22"/>
        </w:rPr>
        <w:t>confusion in concepts, reorganis</w:t>
      </w:r>
      <w:r w:rsidRPr="00466441">
        <w:rPr>
          <w:rFonts w:ascii="Arial" w:hAnsi="Arial" w:cs="Arial"/>
          <w:sz w:val="22"/>
        </w:rPr>
        <w:t>ations, culture differences, and scarcity of resources hinder collaboration despite willingness to engage in joint work (Alderwick, Hutchings and Mays, 2024). Structural integration does not ensure relational integration. Successful partnerships involve common goals, information, roles, respect, and active involvement of the service users. UK focus group study, involving 90 individuals from ten partnerships, generated 185 sub-themes and 12 themes; stable relationships helped in collaboration, while short-term funding and stretched services hindered collaboration (Thomson, Waterson and Chatterjee, 2024). Partnership avoids duplication and enhances professional understanding only if power and accountability are shared.</w:t>
      </w:r>
    </w:p>
    <w:p w14:paraId="0B8790AA" w14:textId="77777777" w:rsidR="00E4715B" w:rsidRPr="00086364" w:rsidRDefault="00E4715B" w:rsidP="00086364">
      <w:pPr>
        <w:pStyle w:val="Heading2"/>
        <w:rPr>
          <w:rFonts w:ascii="Arial" w:hAnsi="Arial" w:cs="Arial"/>
          <w:sz w:val="22"/>
          <w:szCs w:val="22"/>
        </w:rPr>
      </w:pPr>
      <w:bookmarkStart w:id="5" w:name="_Toc241510133"/>
      <w:r w:rsidRPr="00086364">
        <w:rPr>
          <w:rFonts w:ascii="Arial" w:hAnsi="Arial" w:cs="Arial"/>
          <w:sz w:val="22"/>
          <w:szCs w:val="22"/>
        </w:rPr>
        <w:t>2.3 Ethical practice</w:t>
      </w:r>
      <w:bookmarkEnd w:id="5"/>
    </w:p>
    <w:p w14:paraId="6AC5852C" w14:textId="77777777" w:rsidR="00466441" w:rsidRPr="00086364" w:rsidRDefault="00466441" w:rsidP="00E4715B">
      <w:pPr>
        <w:rPr>
          <w:rFonts w:ascii="Arial" w:hAnsi="Arial" w:cs="Arial"/>
          <w:sz w:val="22"/>
        </w:rPr>
      </w:pPr>
      <w:r w:rsidRPr="00466441">
        <w:rPr>
          <w:rFonts w:ascii="Arial" w:hAnsi="Arial" w:cs="Arial"/>
          <w:sz w:val="22"/>
        </w:rPr>
        <w:t>Ethics provides the foundation for determining the right thing to do when competing interests collide. Respect for autonomous wishes is part of respecting autonomy, beneficence involves promoting welfare, and</w:t>
      </w:r>
      <w:r w:rsidR="007F03E3">
        <w:rPr>
          <w:rFonts w:ascii="Arial" w:hAnsi="Arial" w:cs="Arial"/>
          <w:sz w:val="22"/>
        </w:rPr>
        <w:t xml:space="preserve"> non-maleficence aims to minimis</w:t>
      </w:r>
      <w:r w:rsidRPr="00466441">
        <w:rPr>
          <w:rFonts w:ascii="Arial" w:hAnsi="Arial" w:cs="Arial"/>
          <w:sz w:val="22"/>
        </w:rPr>
        <w:t>e avoidable risks; justice entails fair dealing. However, principles can clash. Too much risk aversion could promote physical security at the cost of independence and social interaction. In interviews with 15 older patients from three home-care settings, self-determination has been understood more as joint decision-making and collaboration than as absolute freedom, demonstrating relational autonomy (Bölenius, Lämås and Edvardsson, 2023). Also, care in the UK needs to assume mental capacity and help with decision-making prior to concluding incapacity (Mental Capacity Act 2005). Proportionate ethical reasoning is thus needed. Risks need to be identified, their consequences assessed, less restrictive alternatives explored, and decision-making documented. The goal is not to have zero risk but to provide care that is justified and proportional in response to the risks (Reeves and Jones, 2022).</w:t>
      </w:r>
    </w:p>
    <w:p w14:paraId="3692EAC3" w14:textId="77777777" w:rsidR="00E4715B" w:rsidRPr="00086364" w:rsidRDefault="00E4715B" w:rsidP="00E4715B">
      <w:pPr>
        <w:pStyle w:val="Caption"/>
        <w:keepNext/>
        <w:rPr>
          <w:rFonts w:ascii="Arial" w:hAnsi="Arial" w:cs="Arial"/>
          <w:sz w:val="22"/>
          <w:szCs w:val="22"/>
        </w:rPr>
      </w:pPr>
      <w:bookmarkStart w:id="6" w:name="_Toc242371394"/>
      <w:r w:rsidRPr="00086364">
        <w:rPr>
          <w:rFonts w:ascii="Arial" w:hAnsi="Arial" w:cs="Arial"/>
          <w:sz w:val="22"/>
          <w:szCs w:val="22"/>
        </w:rPr>
        <w:t xml:space="preserve">Table </w:t>
      </w:r>
      <w:r w:rsidRPr="00086364">
        <w:rPr>
          <w:rFonts w:ascii="Arial" w:hAnsi="Arial" w:cs="Arial"/>
          <w:sz w:val="22"/>
          <w:szCs w:val="22"/>
        </w:rPr>
        <w:fldChar w:fldCharType="begin"/>
      </w:r>
      <w:r w:rsidRPr="00086364">
        <w:rPr>
          <w:rFonts w:ascii="Arial" w:hAnsi="Arial" w:cs="Arial"/>
          <w:sz w:val="22"/>
          <w:szCs w:val="22"/>
        </w:rPr>
        <w:instrText xml:space="preserve"> SEQ Table \* ARABIC </w:instrText>
      </w:r>
      <w:r w:rsidRPr="00086364">
        <w:rPr>
          <w:rFonts w:ascii="Arial" w:hAnsi="Arial" w:cs="Arial"/>
          <w:sz w:val="22"/>
          <w:szCs w:val="22"/>
        </w:rPr>
        <w:fldChar w:fldCharType="separate"/>
      </w:r>
      <w:r w:rsidR="00DA01EB">
        <w:rPr>
          <w:rFonts w:ascii="Arial" w:hAnsi="Arial" w:cs="Arial"/>
          <w:noProof/>
          <w:sz w:val="22"/>
          <w:szCs w:val="22"/>
        </w:rPr>
        <w:t>1</w:t>
      </w:r>
      <w:r w:rsidRPr="00086364">
        <w:rPr>
          <w:rFonts w:ascii="Arial" w:hAnsi="Arial" w:cs="Arial"/>
          <w:sz w:val="22"/>
          <w:szCs w:val="22"/>
        </w:rPr>
        <w:fldChar w:fldCharType="end"/>
      </w:r>
      <w:r w:rsidRPr="00086364">
        <w:rPr>
          <w:rFonts w:ascii="Arial" w:hAnsi="Arial" w:cs="Arial"/>
          <w:sz w:val="22"/>
          <w:szCs w:val="22"/>
        </w:rPr>
        <w:t>: Critical synthesis of the three core principles</w:t>
      </w:r>
      <w:bookmarkEnd w:id="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0"/>
        <w:gridCol w:w="2365"/>
        <w:gridCol w:w="2221"/>
        <w:gridCol w:w="2814"/>
      </w:tblGrid>
      <w:tr w:rsidR="00E4715B" w:rsidRPr="00C64C11" w14:paraId="65A0937A" w14:textId="77777777" w:rsidTr="00C64C11">
        <w:tc>
          <w:tcPr>
            <w:tcW w:w="1998" w:type="dxa"/>
          </w:tcPr>
          <w:p w14:paraId="3D450565" w14:textId="77777777" w:rsidR="00E4715B" w:rsidRPr="00C64C11" w:rsidRDefault="00E4715B" w:rsidP="00E4715B">
            <w:pPr>
              <w:rPr>
                <w:rFonts w:ascii="Arial" w:hAnsi="Arial" w:cs="Arial"/>
                <w:b/>
                <w:sz w:val="22"/>
              </w:rPr>
            </w:pPr>
            <w:r w:rsidRPr="00C64C11">
              <w:rPr>
                <w:rFonts w:ascii="Arial" w:hAnsi="Arial" w:cs="Arial"/>
                <w:b/>
                <w:sz w:val="22"/>
              </w:rPr>
              <w:t>Principle</w:t>
            </w:r>
          </w:p>
        </w:tc>
        <w:tc>
          <w:tcPr>
            <w:tcW w:w="2430" w:type="dxa"/>
          </w:tcPr>
          <w:p w14:paraId="1BECC345" w14:textId="77777777" w:rsidR="00E4715B" w:rsidRPr="00C64C11" w:rsidRDefault="00E4715B" w:rsidP="00E4715B">
            <w:pPr>
              <w:rPr>
                <w:rFonts w:ascii="Arial" w:hAnsi="Arial" w:cs="Arial"/>
                <w:b/>
                <w:sz w:val="22"/>
              </w:rPr>
            </w:pPr>
            <w:r w:rsidRPr="00C64C11">
              <w:rPr>
                <w:rFonts w:ascii="Arial" w:hAnsi="Arial" w:cs="Arial"/>
                <w:b/>
                <w:sz w:val="22"/>
              </w:rPr>
              <w:t>Primary contribution</w:t>
            </w:r>
          </w:p>
        </w:tc>
        <w:tc>
          <w:tcPr>
            <w:tcW w:w="2250" w:type="dxa"/>
          </w:tcPr>
          <w:p w14:paraId="650BDDCB" w14:textId="77777777" w:rsidR="00E4715B" w:rsidRPr="00C64C11" w:rsidRDefault="00E4715B" w:rsidP="00E4715B">
            <w:pPr>
              <w:rPr>
                <w:rFonts w:ascii="Arial" w:hAnsi="Arial" w:cs="Arial"/>
                <w:b/>
                <w:sz w:val="22"/>
              </w:rPr>
            </w:pPr>
            <w:r w:rsidRPr="00C64C11">
              <w:rPr>
                <w:rFonts w:ascii="Arial" w:hAnsi="Arial" w:cs="Arial"/>
                <w:b/>
                <w:sz w:val="22"/>
              </w:rPr>
              <w:t>Key implementation risk</w:t>
            </w:r>
          </w:p>
        </w:tc>
        <w:tc>
          <w:tcPr>
            <w:tcW w:w="2898" w:type="dxa"/>
          </w:tcPr>
          <w:p w14:paraId="1348A9A3" w14:textId="77777777" w:rsidR="00E4715B" w:rsidRPr="00C64C11" w:rsidRDefault="00E4715B" w:rsidP="00E4715B">
            <w:pPr>
              <w:rPr>
                <w:rFonts w:ascii="Arial" w:hAnsi="Arial" w:cs="Arial"/>
                <w:b/>
                <w:sz w:val="22"/>
              </w:rPr>
            </w:pPr>
            <w:r w:rsidRPr="00C64C11">
              <w:rPr>
                <w:rFonts w:ascii="Arial" w:hAnsi="Arial" w:cs="Arial"/>
                <w:b/>
                <w:sz w:val="22"/>
              </w:rPr>
              <w:t>Critical implication</w:t>
            </w:r>
          </w:p>
        </w:tc>
      </w:tr>
      <w:tr w:rsidR="00E4715B" w:rsidRPr="00C64C11" w14:paraId="2DF3CCA8" w14:textId="77777777" w:rsidTr="00C64C11">
        <w:tc>
          <w:tcPr>
            <w:tcW w:w="1998" w:type="dxa"/>
          </w:tcPr>
          <w:p w14:paraId="5C46912D" w14:textId="77777777" w:rsidR="00E4715B" w:rsidRPr="00C64C11" w:rsidRDefault="00E4715B" w:rsidP="00E4715B">
            <w:pPr>
              <w:rPr>
                <w:rFonts w:ascii="Arial" w:hAnsi="Arial" w:cs="Arial"/>
                <w:sz w:val="22"/>
              </w:rPr>
            </w:pPr>
            <w:r w:rsidRPr="00C64C11">
              <w:rPr>
                <w:rFonts w:ascii="Arial" w:hAnsi="Arial" w:cs="Arial"/>
                <w:sz w:val="22"/>
              </w:rPr>
              <w:t>Person-centred care</w:t>
            </w:r>
          </w:p>
        </w:tc>
        <w:tc>
          <w:tcPr>
            <w:tcW w:w="2430" w:type="dxa"/>
          </w:tcPr>
          <w:p w14:paraId="1A3C4DBB" w14:textId="77777777" w:rsidR="00E4715B" w:rsidRPr="00C64C11" w:rsidRDefault="00E4715B" w:rsidP="00E4715B">
            <w:pPr>
              <w:rPr>
                <w:rFonts w:ascii="Arial" w:hAnsi="Arial" w:cs="Arial"/>
                <w:sz w:val="22"/>
              </w:rPr>
            </w:pPr>
            <w:r w:rsidRPr="00C64C11">
              <w:rPr>
                <w:rFonts w:ascii="Arial" w:hAnsi="Arial" w:cs="Arial"/>
                <w:sz w:val="22"/>
              </w:rPr>
              <w:t>Choice, dignity, individual goals</w:t>
            </w:r>
          </w:p>
        </w:tc>
        <w:tc>
          <w:tcPr>
            <w:tcW w:w="2250" w:type="dxa"/>
          </w:tcPr>
          <w:p w14:paraId="167EC55E" w14:textId="77777777" w:rsidR="00E4715B" w:rsidRPr="00C64C11" w:rsidRDefault="00E4715B" w:rsidP="00E4715B">
            <w:pPr>
              <w:rPr>
                <w:rFonts w:ascii="Arial" w:hAnsi="Arial" w:cs="Arial"/>
                <w:sz w:val="22"/>
              </w:rPr>
            </w:pPr>
            <w:r w:rsidRPr="00C64C11">
              <w:rPr>
                <w:rFonts w:ascii="Arial" w:hAnsi="Arial" w:cs="Arial"/>
                <w:sz w:val="22"/>
              </w:rPr>
              <w:t>Tokenism; inconsistent delivery</w:t>
            </w:r>
          </w:p>
        </w:tc>
        <w:tc>
          <w:tcPr>
            <w:tcW w:w="2898" w:type="dxa"/>
          </w:tcPr>
          <w:p w14:paraId="1866771A" w14:textId="77777777" w:rsidR="00E4715B" w:rsidRPr="00C64C11" w:rsidRDefault="00E4715B" w:rsidP="00E4715B">
            <w:pPr>
              <w:rPr>
                <w:rFonts w:ascii="Arial" w:hAnsi="Arial" w:cs="Arial"/>
                <w:sz w:val="22"/>
              </w:rPr>
            </w:pPr>
            <w:r w:rsidRPr="00C64C11">
              <w:rPr>
                <w:rFonts w:ascii="Arial" w:hAnsi="Arial" w:cs="Arial"/>
                <w:sz w:val="22"/>
              </w:rPr>
              <w:t>Systems must turn preferences into decisions.</w:t>
            </w:r>
          </w:p>
        </w:tc>
      </w:tr>
      <w:tr w:rsidR="00E4715B" w:rsidRPr="00C64C11" w14:paraId="7F611C90" w14:textId="77777777" w:rsidTr="00C64C11">
        <w:tc>
          <w:tcPr>
            <w:tcW w:w="1998" w:type="dxa"/>
          </w:tcPr>
          <w:p w14:paraId="7CFF02F3" w14:textId="77777777" w:rsidR="00E4715B" w:rsidRPr="00C64C11" w:rsidRDefault="00E4715B" w:rsidP="00E4715B">
            <w:pPr>
              <w:rPr>
                <w:rFonts w:ascii="Arial" w:hAnsi="Arial" w:cs="Arial"/>
                <w:sz w:val="22"/>
              </w:rPr>
            </w:pPr>
            <w:r w:rsidRPr="00C64C11">
              <w:rPr>
                <w:rFonts w:ascii="Arial" w:hAnsi="Arial" w:cs="Arial"/>
                <w:sz w:val="22"/>
              </w:rPr>
              <w:t>Partnership working</w:t>
            </w:r>
          </w:p>
        </w:tc>
        <w:tc>
          <w:tcPr>
            <w:tcW w:w="2430" w:type="dxa"/>
          </w:tcPr>
          <w:p w14:paraId="5E210DC6" w14:textId="77777777" w:rsidR="00E4715B" w:rsidRPr="00C64C11" w:rsidRDefault="00E4715B" w:rsidP="00E4715B">
            <w:pPr>
              <w:rPr>
                <w:rFonts w:ascii="Arial" w:hAnsi="Arial" w:cs="Arial"/>
                <w:sz w:val="22"/>
              </w:rPr>
            </w:pPr>
            <w:r w:rsidRPr="00C64C11">
              <w:rPr>
                <w:rFonts w:ascii="Arial" w:hAnsi="Arial" w:cs="Arial"/>
                <w:sz w:val="22"/>
              </w:rPr>
              <w:t>Coordination; shared expertise</w:t>
            </w:r>
          </w:p>
        </w:tc>
        <w:tc>
          <w:tcPr>
            <w:tcW w:w="2250" w:type="dxa"/>
          </w:tcPr>
          <w:p w14:paraId="351A5B8B" w14:textId="77777777" w:rsidR="00E4715B" w:rsidRPr="00C64C11" w:rsidRDefault="00E4715B" w:rsidP="00E4715B">
            <w:pPr>
              <w:rPr>
                <w:rFonts w:ascii="Arial" w:hAnsi="Arial" w:cs="Arial"/>
                <w:sz w:val="22"/>
              </w:rPr>
            </w:pPr>
            <w:r w:rsidRPr="00C64C11">
              <w:rPr>
                <w:rFonts w:ascii="Arial" w:hAnsi="Arial" w:cs="Arial"/>
                <w:sz w:val="22"/>
              </w:rPr>
              <w:t>Role ambiguity; poor communication</w:t>
            </w:r>
          </w:p>
        </w:tc>
        <w:tc>
          <w:tcPr>
            <w:tcW w:w="2898" w:type="dxa"/>
          </w:tcPr>
          <w:p w14:paraId="4F36AB94" w14:textId="77777777" w:rsidR="00E4715B" w:rsidRPr="00C64C11" w:rsidRDefault="00E4715B" w:rsidP="00E4715B">
            <w:pPr>
              <w:rPr>
                <w:rFonts w:ascii="Arial" w:hAnsi="Arial" w:cs="Arial"/>
                <w:sz w:val="22"/>
              </w:rPr>
            </w:pPr>
            <w:r w:rsidRPr="00C64C11">
              <w:rPr>
                <w:rFonts w:ascii="Arial" w:hAnsi="Arial" w:cs="Arial"/>
                <w:sz w:val="22"/>
              </w:rPr>
              <w:t>The person must remain an active partner.</w:t>
            </w:r>
          </w:p>
        </w:tc>
      </w:tr>
      <w:tr w:rsidR="00E4715B" w:rsidRPr="00C64C11" w14:paraId="55798109" w14:textId="77777777" w:rsidTr="00C64C11">
        <w:tc>
          <w:tcPr>
            <w:tcW w:w="1998" w:type="dxa"/>
          </w:tcPr>
          <w:p w14:paraId="4B91AB4F" w14:textId="77777777" w:rsidR="00E4715B" w:rsidRPr="00C64C11" w:rsidRDefault="00E4715B" w:rsidP="00E4715B">
            <w:pPr>
              <w:rPr>
                <w:rFonts w:ascii="Arial" w:hAnsi="Arial" w:cs="Arial"/>
                <w:sz w:val="22"/>
              </w:rPr>
            </w:pPr>
            <w:r w:rsidRPr="00C64C11">
              <w:rPr>
                <w:rFonts w:ascii="Arial" w:hAnsi="Arial" w:cs="Arial"/>
                <w:sz w:val="22"/>
              </w:rPr>
              <w:t>Ethical practice</w:t>
            </w:r>
          </w:p>
        </w:tc>
        <w:tc>
          <w:tcPr>
            <w:tcW w:w="2430" w:type="dxa"/>
          </w:tcPr>
          <w:p w14:paraId="2E65DE3A" w14:textId="77777777" w:rsidR="00E4715B" w:rsidRPr="00C64C11" w:rsidRDefault="00E4715B" w:rsidP="00E4715B">
            <w:pPr>
              <w:rPr>
                <w:rFonts w:ascii="Arial" w:hAnsi="Arial" w:cs="Arial"/>
                <w:sz w:val="22"/>
              </w:rPr>
            </w:pPr>
            <w:r w:rsidRPr="00C64C11">
              <w:rPr>
                <w:rFonts w:ascii="Arial" w:hAnsi="Arial" w:cs="Arial"/>
                <w:sz w:val="22"/>
              </w:rPr>
              <w:t>Rights-based decisions</w:t>
            </w:r>
          </w:p>
        </w:tc>
        <w:tc>
          <w:tcPr>
            <w:tcW w:w="2250" w:type="dxa"/>
          </w:tcPr>
          <w:p w14:paraId="150B1976" w14:textId="77777777" w:rsidR="00E4715B" w:rsidRPr="00C64C11" w:rsidRDefault="00E4715B" w:rsidP="00E4715B">
            <w:pPr>
              <w:rPr>
                <w:rFonts w:ascii="Arial" w:hAnsi="Arial" w:cs="Arial"/>
                <w:sz w:val="22"/>
              </w:rPr>
            </w:pPr>
            <w:r w:rsidRPr="00C64C11">
              <w:rPr>
                <w:rFonts w:ascii="Arial" w:hAnsi="Arial" w:cs="Arial"/>
                <w:sz w:val="22"/>
              </w:rPr>
              <w:t>Over-protection; uncritical choice</w:t>
            </w:r>
          </w:p>
        </w:tc>
        <w:tc>
          <w:tcPr>
            <w:tcW w:w="2898" w:type="dxa"/>
          </w:tcPr>
          <w:p w14:paraId="65DC74CB" w14:textId="77777777" w:rsidR="00E4715B" w:rsidRPr="00C64C11" w:rsidRDefault="00E4715B" w:rsidP="00E4715B">
            <w:pPr>
              <w:rPr>
                <w:rFonts w:ascii="Arial" w:hAnsi="Arial" w:cs="Arial"/>
                <w:sz w:val="22"/>
              </w:rPr>
            </w:pPr>
            <w:r w:rsidRPr="00C64C11">
              <w:rPr>
                <w:rFonts w:ascii="Arial" w:hAnsi="Arial" w:cs="Arial"/>
                <w:sz w:val="22"/>
              </w:rPr>
              <w:t>Balance autonomy and risk proportionately.</w:t>
            </w:r>
          </w:p>
        </w:tc>
      </w:tr>
    </w:tbl>
    <w:p w14:paraId="315828B0" w14:textId="77777777" w:rsidR="00E4715B" w:rsidRPr="00086364" w:rsidRDefault="00E4715B" w:rsidP="00E4715B">
      <w:pPr>
        <w:rPr>
          <w:rFonts w:ascii="Arial" w:hAnsi="Arial" w:cs="Arial"/>
          <w:sz w:val="22"/>
        </w:rPr>
      </w:pPr>
    </w:p>
    <w:p w14:paraId="1E1DA96D" w14:textId="77777777" w:rsidR="00E4715B" w:rsidRPr="00086364" w:rsidRDefault="00E4715B" w:rsidP="00086364">
      <w:pPr>
        <w:pStyle w:val="Heading1"/>
        <w:rPr>
          <w:rFonts w:ascii="Arial" w:hAnsi="Arial" w:cs="Arial"/>
          <w:sz w:val="22"/>
          <w:szCs w:val="22"/>
        </w:rPr>
      </w:pPr>
      <w:bookmarkStart w:id="7" w:name="_Toc241510134"/>
      <w:r w:rsidRPr="00086364">
        <w:rPr>
          <w:rFonts w:ascii="Arial" w:hAnsi="Arial" w:cs="Arial"/>
          <w:sz w:val="22"/>
          <w:szCs w:val="22"/>
        </w:rPr>
        <w:t>3. Task 2: Practical Example in Practice - Robyn’s Story</w:t>
      </w:r>
      <w:bookmarkEnd w:id="7"/>
    </w:p>
    <w:p w14:paraId="72F98AFE" w14:textId="77777777" w:rsidR="00E4715B" w:rsidRPr="00086364" w:rsidRDefault="00E4715B" w:rsidP="00086364">
      <w:pPr>
        <w:pStyle w:val="Heading2"/>
        <w:rPr>
          <w:rFonts w:ascii="Arial" w:hAnsi="Arial" w:cs="Arial"/>
          <w:sz w:val="22"/>
          <w:szCs w:val="22"/>
        </w:rPr>
      </w:pPr>
      <w:bookmarkStart w:id="8" w:name="_Toc241510135"/>
      <w:r w:rsidRPr="00086364">
        <w:rPr>
          <w:rFonts w:ascii="Arial" w:hAnsi="Arial" w:cs="Arial"/>
          <w:sz w:val="22"/>
          <w:szCs w:val="22"/>
        </w:rPr>
        <w:t>3.1 Case context and person-centred care</w:t>
      </w:r>
      <w:bookmarkEnd w:id="8"/>
    </w:p>
    <w:p w14:paraId="6A562EA7" w14:textId="77777777" w:rsidR="00E4715B" w:rsidRPr="00086364" w:rsidRDefault="00466441" w:rsidP="00E4715B">
      <w:pPr>
        <w:rPr>
          <w:rFonts w:ascii="Arial" w:hAnsi="Arial" w:cs="Arial"/>
          <w:sz w:val="22"/>
        </w:rPr>
      </w:pPr>
      <w:r w:rsidRPr="00466441">
        <w:rPr>
          <w:rFonts w:ascii="Arial" w:hAnsi="Arial" w:cs="Arial"/>
          <w:sz w:val="22"/>
        </w:rPr>
        <w:t xml:space="preserve">Robyn suffered spinal damage at 21, becoming a tetraplegic requiring full-time assistance. Her package was funded using both continuing healthcare and local authority funding. In 2014 alone, she had 36 different personal assistants as agency staff quality declined. Her basic needs were met; however, the service failed to meet the demands of the life she wanted to lead. The personal health budget allowed Robyn to hire her own assistants, set up shift patterns, and tailor support to be employment and socially active, including competitive carriage driving (NHS England, n.d.). The case differentiates the completion of tasks from person-centered outcomes. Quality was not only about whether Robyn was transferred, fed, and protected but about whether her support facilitated control, identity, and participation (Jones et al., 2016). This distinction is supported by longitudinal home-care research involving 14 interviews with 5 older people where interpersonal, informational, and management continuity influenced care quality and time-pressure task orientation limited relations </w:t>
      </w:r>
      <w:r w:rsidR="00E4715B" w:rsidRPr="00086364">
        <w:rPr>
          <w:rFonts w:ascii="Arial" w:hAnsi="Arial" w:cs="Arial"/>
          <w:sz w:val="22"/>
        </w:rPr>
        <w:t>(Hellzén et al., 2024).</w:t>
      </w:r>
    </w:p>
    <w:p w14:paraId="0748AA97" w14:textId="77777777" w:rsidR="00E4715B" w:rsidRPr="00086364" w:rsidRDefault="00E4715B" w:rsidP="00086364">
      <w:pPr>
        <w:pStyle w:val="Heading2"/>
        <w:rPr>
          <w:rFonts w:ascii="Arial" w:hAnsi="Arial" w:cs="Arial"/>
          <w:sz w:val="22"/>
          <w:szCs w:val="22"/>
        </w:rPr>
      </w:pPr>
      <w:bookmarkStart w:id="9" w:name="_Toc241510136"/>
      <w:r w:rsidRPr="00086364">
        <w:rPr>
          <w:rFonts w:ascii="Arial" w:hAnsi="Arial" w:cs="Arial"/>
          <w:sz w:val="22"/>
          <w:szCs w:val="22"/>
        </w:rPr>
        <w:t>3.2 Partnership working and implementation limitations</w:t>
      </w:r>
      <w:bookmarkEnd w:id="9"/>
    </w:p>
    <w:p w14:paraId="09C5283E" w14:textId="77777777" w:rsidR="00E4715B" w:rsidRPr="00086364" w:rsidRDefault="00466441" w:rsidP="00E4715B">
      <w:pPr>
        <w:rPr>
          <w:rFonts w:ascii="Arial" w:hAnsi="Arial" w:cs="Arial"/>
          <w:sz w:val="22"/>
        </w:rPr>
      </w:pPr>
      <w:r w:rsidRPr="00466441">
        <w:rPr>
          <w:rFonts w:ascii="Arial" w:hAnsi="Arial" w:cs="Arial"/>
          <w:sz w:val="22"/>
        </w:rPr>
        <w:t>But Robyn’s final package was determined by cooperation between Robyn, Continuing Healthcare, local authority, the personal health budget nurse, budget support service and direct paid assistants. Yet the process was not a consistent form of co-production; it took around 18 months and experienced periods when Robyn lacked information, and initially resulted in care plan that w</w:t>
      </w:r>
      <w:r w:rsidR="007F03E3">
        <w:rPr>
          <w:rFonts w:ascii="Arial" w:hAnsi="Arial" w:cs="Arial"/>
          <w:sz w:val="22"/>
        </w:rPr>
        <w:t>as not sufficiently individualis</w:t>
      </w:r>
      <w:r w:rsidRPr="00466441">
        <w:rPr>
          <w:rFonts w:ascii="Arial" w:hAnsi="Arial" w:cs="Arial"/>
          <w:sz w:val="22"/>
        </w:rPr>
        <w:t xml:space="preserve">ed in Robyn’s opinion. Thus, formal multi-agency participation coexisted with poor communication and asymmetric control. The same pattern could be seen in the research on autonomy supportive care, </w:t>
      </w:r>
      <w:r w:rsidR="007F03E3">
        <w:rPr>
          <w:rFonts w:ascii="Arial" w:hAnsi="Arial" w:cs="Arial"/>
          <w:sz w:val="22"/>
        </w:rPr>
        <w:t>where power sharing was emphasis</w:t>
      </w:r>
      <w:r w:rsidRPr="00466441">
        <w:rPr>
          <w:rFonts w:ascii="Arial" w:hAnsi="Arial" w:cs="Arial"/>
          <w:sz w:val="22"/>
        </w:rPr>
        <w:t>ed in policy documents, while the process of collaboration was not paid much attention to, showing the gap between orga</w:t>
      </w:r>
      <w:r w:rsidR="007F03E3">
        <w:rPr>
          <w:rFonts w:ascii="Arial" w:hAnsi="Arial" w:cs="Arial"/>
          <w:sz w:val="22"/>
        </w:rPr>
        <w:t>nis</w:t>
      </w:r>
      <w:r w:rsidRPr="00466441">
        <w:rPr>
          <w:rFonts w:ascii="Arial" w:hAnsi="Arial" w:cs="Arial"/>
          <w:sz w:val="22"/>
        </w:rPr>
        <w:t>ational aspirations and actual autonomy (van Loon et al., 2023). Partnership became more powerful for Robyn when the system switched from allocation of available workers to allowing her to choose workers that would suit her needs. Thus, the success of collaboration is determined by sharing information and aut</w:t>
      </w:r>
      <w:r w:rsidR="007F03E3">
        <w:rPr>
          <w:rFonts w:ascii="Arial" w:hAnsi="Arial" w:cs="Arial"/>
          <w:sz w:val="22"/>
        </w:rPr>
        <w:t>hority, not by number of organis</w:t>
      </w:r>
      <w:r w:rsidRPr="00466441">
        <w:rPr>
          <w:rFonts w:ascii="Arial" w:hAnsi="Arial" w:cs="Arial"/>
          <w:sz w:val="22"/>
        </w:rPr>
        <w:t>ations participating.</w:t>
      </w:r>
    </w:p>
    <w:p w14:paraId="6BA58DA4" w14:textId="77777777" w:rsidR="00E4715B" w:rsidRPr="00086364" w:rsidRDefault="00E4715B" w:rsidP="00086364">
      <w:pPr>
        <w:pStyle w:val="Heading2"/>
        <w:rPr>
          <w:rFonts w:ascii="Arial" w:hAnsi="Arial" w:cs="Arial"/>
          <w:sz w:val="22"/>
          <w:szCs w:val="22"/>
        </w:rPr>
      </w:pPr>
      <w:bookmarkStart w:id="10" w:name="_Toc241510137"/>
      <w:r w:rsidRPr="00086364">
        <w:rPr>
          <w:rFonts w:ascii="Arial" w:hAnsi="Arial" w:cs="Arial"/>
          <w:sz w:val="22"/>
          <w:szCs w:val="22"/>
        </w:rPr>
        <w:t>3.3 Ethical practice and impact</w:t>
      </w:r>
      <w:bookmarkEnd w:id="10"/>
    </w:p>
    <w:p w14:paraId="4937B27B" w14:textId="77777777" w:rsidR="00466441" w:rsidRPr="00086364" w:rsidRDefault="00466441" w:rsidP="00E4715B">
      <w:pPr>
        <w:rPr>
          <w:rFonts w:ascii="Arial" w:hAnsi="Arial" w:cs="Arial"/>
          <w:sz w:val="22"/>
        </w:rPr>
      </w:pPr>
      <w:r w:rsidRPr="00466441">
        <w:rPr>
          <w:rFonts w:ascii="Arial" w:hAnsi="Arial" w:cs="Arial"/>
          <w:sz w:val="22"/>
        </w:rPr>
        <w:t>The main ethical dilemma in Robyn's situation was that between safety and autonomy. While the agency could have argued that a worker was there and all basic needs met, staffing shortages made autonomy difficult. Non-maleficence is often defined narrowly and only takes physical safety into consideration; a more comprehensive understanding must consider harm resulting from loneliness, lack of control and exclusion from engaging activities. Health budget gave Robyn greater freedom, but it also put the burden of employment on her, which demonstrated that freedom can also be challenging when one lacks sufficient help. In addition to well-being, control of daily routines and participation are among the factors listed in the Care Act of 2014 as central to care ethics. It follows that ethical person-centred approach should involve risk-taking, while any restrictions should be proportionate (Duggan, Walsh and Waldron, 2025). Continuity helped to improve both autonomy and beneficence because the help provided became more consistent and aligned with Robyn's preferences.</w:t>
      </w:r>
    </w:p>
    <w:p w14:paraId="78C6F3B8" w14:textId="77777777" w:rsidR="00E4715B" w:rsidRPr="00086364" w:rsidRDefault="00E4715B" w:rsidP="00E4715B">
      <w:pPr>
        <w:pStyle w:val="Caption"/>
        <w:keepNext/>
        <w:rPr>
          <w:rFonts w:ascii="Arial" w:hAnsi="Arial" w:cs="Arial"/>
          <w:sz w:val="22"/>
          <w:szCs w:val="22"/>
        </w:rPr>
      </w:pPr>
      <w:bookmarkStart w:id="11" w:name="_Toc242371395"/>
      <w:r w:rsidRPr="00086364">
        <w:rPr>
          <w:rFonts w:ascii="Arial" w:hAnsi="Arial" w:cs="Arial"/>
          <w:sz w:val="22"/>
          <w:szCs w:val="22"/>
        </w:rPr>
        <w:t xml:space="preserve">Table </w:t>
      </w:r>
      <w:r w:rsidRPr="00086364">
        <w:rPr>
          <w:rFonts w:ascii="Arial" w:hAnsi="Arial" w:cs="Arial"/>
          <w:sz w:val="22"/>
          <w:szCs w:val="22"/>
        </w:rPr>
        <w:fldChar w:fldCharType="begin"/>
      </w:r>
      <w:r w:rsidRPr="00086364">
        <w:rPr>
          <w:rFonts w:ascii="Arial" w:hAnsi="Arial" w:cs="Arial"/>
          <w:sz w:val="22"/>
          <w:szCs w:val="22"/>
        </w:rPr>
        <w:instrText xml:space="preserve"> SEQ Table \* ARABIC </w:instrText>
      </w:r>
      <w:r w:rsidRPr="00086364">
        <w:rPr>
          <w:rFonts w:ascii="Arial" w:hAnsi="Arial" w:cs="Arial"/>
          <w:sz w:val="22"/>
          <w:szCs w:val="22"/>
        </w:rPr>
        <w:fldChar w:fldCharType="separate"/>
      </w:r>
      <w:r w:rsidR="00DA01EB">
        <w:rPr>
          <w:rFonts w:ascii="Arial" w:hAnsi="Arial" w:cs="Arial"/>
          <w:noProof/>
          <w:sz w:val="22"/>
          <w:szCs w:val="22"/>
        </w:rPr>
        <w:t>2</w:t>
      </w:r>
      <w:r w:rsidRPr="00086364">
        <w:rPr>
          <w:rFonts w:ascii="Arial" w:hAnsi="Arial" w:cs="Arial"/>
          <w:sz w:val="22"/>
          <w:szCs w:val="22"/>
        </w:rPr>
        <w:fldChar w:fldCharType="end"/>
      </w:r>
      <w:r w:rsidRPr="00086364">
        <w:rPr>
          <w:rFonts w:ascii="Arial" w:hAnsi="Arial" w:cs="Arial"/>
          <w:sz w:val="22"/>
          <w:szCs w:val="22"/>
        </w:rPr>
        <w:t>:</w:t>
      </w:r>
      <w:r w:rsidR="0061045F">
        <w:rPr>
          <w:rFonts w:ascii="Arial" w:hAnsi="Arial" w:cs="Arial"/>
          <w:sz w:val="22"/>
          <w:szCs w:val="22"/>
        </w:rPr>
        <w:t xml:space="preserve"> </w:t>
      </w:r>
      <w:r w:rsidRPr="00086364">
        <w:rPr>
          <w:rFonts w:ascii="Arial" w:hAnsi="Arial" w:cs="Arial"/>
          <w:sz w:val="22"/>
          <w:szCs w:val="22"/>
        </w:rPr>
        <w:t>Critical application of the principles to Robyn’s case</w:t>
      </w:r>
      <w:bookmarkEnd w:id="1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0"/>
        <w:gridCol w:w="1853"/>
        <w:gridCol w:w="2709"/>
        <w:gridCol w:w="2468"/>
      </w:tblGrid>
      <w:tr w:rsidR="00E4715B" w:rsidRPr="00C64C11" w14:paraId="2B1D1191" w14:textId="77777777" w:rsidTr="00C64C11">
        <w:tc>
          <w:tcPr>
            <w:tcW w:w="2394" w:type="dxa"/>
          </w:tcPr>
          <w:p w14:paraId="0380CE49" w14:textId="77777777" w:rsidR="00E4715B" w:rsidRPr="00C64C11" w:rsidRDefault="00E4715B" w:rsidP="00E4715B">
            <w:pPr>
              <w:rPr>
                <w:rFonts w:ascii="Arial" w:hAnsi="Arial" w:cs="Arial"/>
                <w:b/>
                <w:sz w:val="22"/>
              </w:rPr>
            </w:pPr>
            <w:r w:rsidRPr="00C64C11">
              <w:rPr>
                <w:rFonts w:ascii="Arial" w:hAnsi="Arial" w:cs="Arial"/>
                <w:b/>
                <w:sz w:val="22"/>
              </w:rPr>
              <w:t>Case evidence</w:t>
            </w:r>
          </w:p>
        </w:tc>
        <w:tc>
          <w:tcPr>
            <w:tcW w:w="1854" w:type="dxa"/>
          </w:tcPr>
          <w:p w14:paraId="7F768455" w14:textId="77777777" w:rsidR="00E4715B" w:rsidRPr="00C64C11" w:rsidRDefault="00E4715B" w:rsidP="00E4715B">
            <w:pPr>
              <w:rPr>
                <w:rFonts w:ascii="Arial" w:hAnsi="Arial" w:cs="Arial"/>
                <w:b/>
                <w:sz w:val="22"/>
              </w:rPr>
            </w:pPr>
            <w:r w:rsidRPr="00C64C11">
              <w:rPr>
                <w:rFonts w:ascii="Arial" w:hAnsi="Arial" w:cs="Arial"/>
                <w:b/>
                <w:sz w:val="22"/>
              </w:rPr>
              <w:t>Principle</w:t>
            </w:r>
          </w:p>
        </w:tc>
        <w:tc>
          <w:tcPr>
            <w:tcW w:w="2790" w:type="dxa"/>
          </w:tcPr>
          <w:p w14:paraId="00BFAB77" w14:textId="77777777" w:rsidR="00E4715B" w:rsidRPr="00C64C11" w:rsidRDefault="00E4715B" w:rsidP="00E4715B">
            <w:pPr>
              <w:rPr>
                <w:rFonts w:ascii="Arial" w:hAnsi="Arial" w:cs="Arial"/>
                <w:b/>
                <w:sz w:val="22"/>
              </w:rPr>
            </w:pPr>
            <w:r w:rsidRPr="00C64C11">
              <w:rPr>
                <w:rFonts w:ascii="Arial" w:hAnsi="Arial" w:cs="Arial"/>
                <w:b/>
                <w:sz w:val="22"/>
              </w:rPr>
              <w:t>Critical interpretation</w:t>
            </w:r>
          </w:p>
        </w:tc>
        <w:tc>
          <w:tcPr>
            <w:tcW w:w="2538" w:type="dxa"/>
          </w:tcPr>
          <w:p w14:paraId="5421AE00" w14:textId="77777777" w:rsidR="00E4715B" w:rsidRPr="00C64C11" w:rsidRDefault="00E4715B" w:rsidP="00E4715B">
            <w:pPr>
              <w:rPr>
                <w:rFonts w:ascii="Arial" w:hAnsi="Arial" w:cs="Arial"/>
                <w:b/>
                <w:sz w:val="22"/>
              </w:rPr>
            </w:pPr>
            <w:r w:rsidRPr="00C64C11">
              <w:rPr>
                <w:rFonts w:ascii="Arial" w:hAnsi="Arial" w:cs="Arial"/>
                <w:b/>
                <w:sz w:val="22"/>
              </w:rPr>
              <w:t>Practice lesson</w:t>
            </w:r>
          </w:p>
        </w:tc>
      </w:tr>
      <w:tr w:rsidR="00E4715B" w:rsidRPr="00C64C11" w14:paraId="71583D59" w14:textId="77777777" w:rsidTr="00C64C11">
        <w:tc>
          <w:tcPr>
            <w:tcW w:w="2394" w:type="dxa"/>
          </w:tcPr>
          <w:p w14:paraId="1537A545" w14:textId="77777777" w:rsidR="00E4715B" w:rsidRPr="00C64C11" w:rsidRDefault="00E4715B" w:rsidP="00E4715B">
            <w:pPr>
              <w:rPr>
                <w:rFonts w:ascii="Arial" w:hAnsi="Arial" w:cs="Arial"/>
                <w:sz w:val="22"/>
              </w:rPr>
            </w:pPr>
            <w:r w:rsidRPr="00C64C11">
              <w:rPr>
                <w:rFonts w:ascii="Arial" w:hAnsi="Arial" w:cs="Arial"/>
                <w:sz w:val="22"/>
              </w:rPr>
              <w:t>36 different PAs in one year</w:t>
            </w:r>
          </w:p>
        </w:tc>
        <w:tc>
          <w:tcPr>
            <w:tcW w:w="1854" w:type="dxa"/>
          </w:tcPr>
          <w:p w14:paraId="12CC0762" w14:textId="77777777" w:rsidR="00E4715B" w:rsidRPr="00C64C11" w:rsidRDefault="00E4715B" w:rsidP="00E4715B">
            <w:pPr>
              <w:rPr>
                <w:rFonts w:ascii="Arial" w:hAnsi="Arial" w:cs="Arial"/>
                <w:sz w:val="22"/>
              </w:rPr>
            </w:pPr>
            <w:r w:rsidRPr="00C64C11">
              <w:rPr>
                <w:rFonts w:ascii="Arial" w:hAnsi="Arial" w:cs="Arial"/>
                <w:sz w:val="22"/>
              </w:rPr>
              <w:t>Person-centred care</w:t>
            </w:r>
          </w:p>
        </w:tc>
        <w:tc>
          <w:tcPr>
            <w:tcW w:w="2790" w:type="dxa"/>
          </w:tcPr>
          <w:p w14:paraId="384400BC" w14:textId="77777777" w:rsidR="00E4715B" w:rsidRPr="00C64C11" w:rsidRDefault="00E4715B" w:rsidP="00E4715B">
            <w:pPr>
              <w:rPr>
                <w:rFonts w:ascii="Arial" w:hAnsi="Arial" w:cs="Arial"/>
                <w:sz w:val="22"/>
              </w:rPr>
            </w:pPr>
            <w:r w:rsidRPr="00C64C11">
              <w:rPr>
                <w:rFonts w:ascii="Arial" w:hAnsi="Arial" w:cs="Arial"/>
                <w:sz w:val="22"/>
              </w:rPr>
              <w:t>Basic coverage did not equal continuity or meaningful participation.</w:t>
            </w:r>
          </w:p>
        </w:tc>
        <w:tc>
          <w:tcPr>
            <w:tcW w:w="2538" w:type="dxa"/>
          </w:tcPr>
          <w:p w14:paraId="23DD06BD" w14:textId="77777777" w:rsidR="00E4715B" w:rsidRPr="00C64C11" w:rsidRDefault="00E4715B" w:rsidP="00E4715B">
            <w:pPr>
              <w:rPr>
                <w:rFonts w:ascii="Arial" w:hAnsi="Arial" w:cs="Arial"/>
                <w:sz w:val="22"/>
              </w:rPr>
            </w:pPr>
            <w:r w:rsidRPr="00C64C11">
              <w:rPr>
                <w:rFonts w:ascii="Arial" w:hAnsi="Arial" w:cs="Arial"/>
                <w:sz w:val="22"/>
              </w:rPr>
              <w:t>Measure quality through outcomes that matter to the person.</w:t>
            </w:r>
          </w:p>
        </w:tc>
      </w:tr>
      <w:tr w:rsidR="00E4715B" w:rsidRPr="00C64C11" w14:paraId="3186631A" w14:textId="77777777" w:rsidTr="00C64C11">
        <w:tc>
          <w:tcPr>
            <w:tcW w:w="2394" w:type="dxa"/>
          </w:tcPr>
          <w:p w14:paraId="6136847A" w14:textId="77777777" w:rsidR="00E4715B" w:rsidRPr="00C64C11" w:rsidRDefault="00E4715B" w:rsidP="00E4715B">
            <w:pPr>
              <w:rPr>
                <w:rFonts w:ascii="Arial" w:hAnsi="Arial" w:cs="Arial"/>
                <w:sz w:val="22"/>
              </w:rPr>
            </w:pPr>
            <w:r w:rsidRPr="00C64C11">
              <w:rPr>
                <w:rFonts w:ascii="Arial" w:hAnsi="Arial" w:cs="Arial"/>
                <w:sz w:val="22"/>
              </w:rPr>
              <w:t>CHC, local authority, PHB nurse and support service</w:t>
            </w:r>
          </w:p>
        </w:tc>
        <w:tc>
          <w:tcPr>
            <w:tcW w:w="1854" w:type="dxa"/>
          </w:tcPr>
          <w:p w14:paraId="038533FC" w14:textId="77777777" w:rsidR="00E4715B" w:rsidRPr="00C64C11" w:rsidRDefault="00E4715B" w:rsidP="00E4715B">
            <w:pPr>
              <w:rPr>
                <w:rFonts w:ascii="Arial" w:hAnsi="Arial" w:cs="Arial"/>
                <w:sz w:val="22"/>
              </w:rPr>
            </w:pPr>
            <w:r w:rsidRPr="00C64C11">
              <w:rPr>
                <w:rFonts w:ascii="Arial" w:hAnsi="Arial" w:cs="Arial"/>
                <w:sz w:val="22"/>
              </w:rPr>
              <w:t>Partnership working</w:t>
            </w:r>
          </w:p>
        </w:tc>
        <w:tc>
          <w:tcPr>
            <w:tcW w:w="2790" w:type="dxa"/>
          </w:tcPr>
          <w:p w14:paraId="28280119" w14:textId="77777777" w:rsidR="00E4715B" w:rsidRPr="00C64C11" w:rsidRDefault="00E4715B" w:rsidP="00E4715B">
            <w:pPr>
              <w:rPr>
                <w:rFonts w:ascii="Arial" w:hAnsi="Arial" w:cs="Arial"/>
                <w:sz w:val="22"/>
              </w:rPr>
            </w:pPr>
            <w:r w:rsidRPr="00C64C11">
              <w:rPr>
                <w:rFonts w:ascii="Arial" w:hAnsi="Arial" w:cs="Arial"/>
                <w:sz w:val="22"/>
              </w:rPr>
              <w:t>Multiple agencies were involved, but communication delays reduced co-production.</w:t>
            </w:r>
          </w:p>
        </w:tc>
        <w:tc>
          <w:tcPr>
            <w:tcW w:w="2538" w:type="dxa"/>
          </w:tcPr>
          <w:p w14:paraId="21BED88D" w14:textId="77777777" w:rsidR="00E4715B" w:rsidRPr="00C64C11" w:rsidRDefault="00E4715B" w:rsidP="00E4715B">
            <w:pPr>
              <w:rPr>
                <w:rFonts w:ascii="Arial" w:hAnsi="Arial" w:cs="Arial"/>
                <w:sz w:val="22"/>
              </w:rPr>
            </w:pPr>
            <w:r w:rsidRPr="00C64C11">
              <w:rPr>
                <w:rFonts w:ascii="Arial" w:hAnsi="Arial" w:cs="Arial"/>
                <w:sz w:val="22"/>
              </w:rPr>
              <w:t>Shared structures require timely information and clear accountability.</w:t>
            </w:r>
          </w:p>
        </w:tc>
      </w:tr>
      <w:tr w:rsidR="00E4715B" w:rsidRPr="00C64C11" w14:paraId="7B1E8FBE" w14:textId="77777777" w:rsidTr="00C64C11">
        <w:tc>
          <w:tcPr>
            <w:tcW w:w="2394" w:type="dxa"/>
          </w:tcPr>
          <w:p w14:paraId="0B94BA09" w14:textId="77777777" w:rsidR="00E4715B" w:rsidRPr="00C64C11" w:rsidRDefault="00E4715B" w:rsidP="00E4715B">
            <w:pPr>
              <w:rPr>
                <w:rFonts w:ascii="Arial" w:hAnsi="Arial" w:cs="Arial"/>
                <w:sz w:val="22"/>
              </w:rPr>
            </w:pPr>
            <w:r w:rsidRPr="00C64C11">
              <w:rPr>
                <w:rFonts w:ascii="Arial" w:hAnsi="Arial" w:cs="Arial"/>
                <w:sz w:val="22"/>
              </w:rPr>
              <w:t>Direct employment of compatible PAs</w:t>
            </w:r>
          </w:p>
        </w:tc>
        <w:tc>
          <w:tcPr>
            <w:tcW w:w="1854" w:type="dxa"/>
          </w:tcPr>
          <w:p w14:paraId="63B199B9" w14:textId="77777777" w:rsidR="00E4715B" w:rsidRPr="00C64C11" w:rsidRDefault="00E4715B" w:rsidP="00E4715B">
            <w:pPr>
              <w:rPr>
                <w:rFonts w:ascii="Arial" w:hAnsi="Arial" w:cs="Arial"/>
                <w:sz w:val="22"/>
              </w:rPr>
            </w:pPr>
            <w:r w:rsidRPr="00C64C11">
              <w:rPr>
                <w:rFonts w:ascii="Arial" w:hAnsi="Arial" w:cs="Arial"/>
                <w:sz w:val="22"/>
              </w:rPr>
              <w:t>Ethics/autonomy</w:t>
            </w:r>
          </w:p>
        </w:tc>
        <w:tc>
          <w:tcPr>
            <w:tcW w:w="2790" w:type="dxa"/>
          </w:tcPr>
          <w:p w14:paraId="2F633FBA" w14:textId="77777777" w:rsidR="00E4715B" w:rsidRPr="00C64C11" w:rsidRDefault="00E4715B" w:rsidP="00E4715B">
            <w:pPr>
              <w:rPr>
                <w:rFonts w:ascii="Arial" w:hAnsi="Arial" w:cs="Arial"/>
                <w:sz w:val="22"/>
              </w:rPr>
            </w:pPr>
            <w:r w:rsidRPr="00C64C11">
              <w:rPr>
                <w:rFonts w:ascii="Arial" w:hAnsi="Arial" w:cs="Arial"/>
                <w:sz w:val="22"/>
              </w:rPr>
              <w:t>Greater control improved independence but created new responsibilities.</w:t>
            </w:r>
          </w:p>
        </w:tc>
        <w:tc>
          <w:tcPr>
            <w:tcW w:w="2538" w:type="dxa"/>
          </w:tcPr>
          <w:p w14:paraId="0D907D2B" w14:textId="77777777" w:rsidR="00E4715B" w:rsidRPr="00C64C11" w:rsidRDefault="00E4715B" w:rsidP="00E4715B">
            <w:pPr>
              <w:rPr>
                <w:rFonts w:ascii="Arial" w:hAnsi="Arial" w:cs="Arial"/>
                <w:sz w:val="22"/>
              </w:rPr>
            </w:pPr>
            <w:r w:rsidRPr="00C64C11">
              <w:rPr>
                <w:rFonts w:ascii="Arial" w:hAnsi="Arial" w:cs="Arial"/>
                <w:sz w:val="22"/>
              </w:rPr>
              <w:t>Choice should be supported, informed and practically achievable.</w:t>
            </w:r>
          </w:p>
        </w:tc>
      </w:tr>
    </w:tbl>
    <w:p w14:paraId="5E7D63E8" w14:textId="77777777" w:rsidR="00DA01EB" w:rsidRDefault="00DA01EB" w:rsidP="00DA01EB">
      <w:pPr>
        <w:pStyle w:val="Heading1"/>
        <w:numPr>
          <w:ilvl w:val="0"/>
          <w:numId w:val="0"/>
        </w:numPr>
        <w:ind w:left="432" w:hanging="432"/>
        <w:rPr>
          <w:rFonts w:ascii="Arial" w:hAnsi="Arial" w:cs="Arial"/>
          <w:sz w:val="22"/>
          <w:szCs w:val="22"/>
        </w:rPr>
      </w:pPr>
    </w:p>
    <w:p w14:paraId="0B6EAD1A" w14:textId="77777777" w:rsidR="00DA01EB" w:rsidRDefault="00DA01EB" w:rsidP="00DA01EB">
      <w:pPr>
        <w:pStyle w:val="Heading1"/>
        <w:spacing w:before="100" w:after="60"/>
      </w:pPr>
      <w:r>
        <w:rPr>
          <w:rFonts w:ascii="Arial" w:eastAsia="Arial" w:hAnsi="Arial"/>
          <w:sz w:val="22"/>
        </w:rPr>
        <w:t>4. Task 3: Self-Reflection as a Health and Social Care Professional</w:t>
      </w:r>
    </w:p>
    <w:p w14:paraId="2FF36E8D" w14:textId="77777777" w:rsidR="00DA01EB" w:rsidRDefault="00DA01EB" w:rsidP="00DA01EB">
      <w:pPr>
        <w:pStyle w:val="Heading2"/>
        <w:spacing w:before="100" w:after="60"/>
      </w:pPr>
      <w:r>
        <w:rPr>
          <w:rFonts w:ascii="Arial" w:eastAsia="Arial" w:hAnsi="Arial"/>
          <w:sz w:val="22"/>
        </w:rPr>
        <w:t>4.1 Description and feelings</w:t>
      </w:r>
    </w:p>
    <w:p w14:paraId="28E4E23A" w14:textId="77777777" w:rsidR="00DA01EB" w:rsidRPr="00D07230" w:rsidRDefault="00DA01EB" w:rsidP="00DA01EB">
      <w:pPr>
        <w:rPr>
          <w:rFonts w:ascii="Arial" w:hAnsi="Arial" w:cs="Arial"/>
          <w:sz w:val="22"/>
        </w:rPr>
      </w:pPr>
      <w:r w:rsidRPr="00D07230">
        <w:rPr>
          <w:rFonts w:ascii="Arial" w:hAnsi="Arial" w:cs="Arial"/>
          <w:sz w:val="22"/>
        </w:rPr>
        <w:t>Reflecting on a domiciliary-care shift using Gibbs’ reflective cycle where the service user, an adult, refused to have personal care at the stipulated time but wanted help after the set time, my immediate thoughts were that it might cause more problems since I could make the service user uncomfortable as well as interfere with other future appointments. However, I came to understand that pushing for the schedule would mean putting the service above the person. I made sure that I communicated the preference, ensured the service user understood the potential consequences, agreed on a new and safer time, documented this and communicated the same to the relevant colleague.</w:t>
      </w:r>
    </w:p>
    <w:p w14:paraId="6FC79E17" w14:textId="77777777" w:rsidR="00DA01EB" w:rsidRPr="00D07230" w:rsidRDefault="00DA01EB" w:rsidP="00DA01EB">
      <w:pPr>
        <w:pStyle w:val="Heading2"/>
        <w:spacing w:before="100" w:after="60"/>
        <w:rPr>
          <w:rFonts w:ascii="Arial" w:hAnsi="Arial" w:cs="Arial"/>
          <w:sz w:val="22"/>
          <w:szCs w:val="22"/>
        </w:rPr>
      </w:pPr>
      <w:r w:rsidRPr="00D07230">
        <w:rPr>
          <w:rFonts w:ascii="Arial" w:eastAsia="Arial" w:hAnsi="Arial" w:cs="Arial"/>
          <w:sz w:val="22"/>
          <w:szCs w:val="22"/>
        </w:rPr>
        <w:t>4.2 Evaluation and critical analysis</w:t>
      </w:r>
    </w:p>
    <w:p w14:paraId="5808BC15" w14:textId="77777777" w:rsidR="00DA01EB" w:rsidRPr="00D07230" w:rsidRDefault="00DA01EB" w:rsidP="00DA01EB">
      <w:pPr>
        <w:rPr>
          <w:rFonts w:ascii="Arial" w:hAnsi="Arial" w:cs="Arial"/>
          <w:sz w:val="22"/>
        </w:rPr>
      </w:pPr>
      <w:r w:rsidRPr="00D07230">
        <w:rPr>
          <w:rFonts w:ascii="Arial" w:hAnsi="Arial" w:cs="Arial"/>
          <w:sz w:val="22"/>
        </w:rPr>
        <w:t xml:space="preserve">Whereas the best feature of my response is that I did not present the refusal as non-compliance. The patient was taken as someone who could express their preferences and the negotiation of care was carried out, rather than imposition. Nevertheless, autonomy can be hindered subtly in case of hurried staff members. According to a 2024 study involving 167 nurses, teamwork, empathy, and work environment were significantly related to person-centred care, with regression model explaining 78.7% of variance, demonstrating that individual attitudes function under certain organisational conditions (Lee, Jang </w:t>
      </w:r>
      <w:r w:rsidR="00D07230" w:rsidRPr="00D07230">
        <w:rPr>
          <w:rFonts w:ascii="Arial" w:hAnsi="Arial" w:cs="Arial"/>
          <w:sz w:val="22"/>
        </w:rPr>
        <w:t>and</w:t>
      </w:r>
      <w:r w:rsidRPr="00D07230">
        <w:rPr>
          <w:rFonts w:ascii="Arial" w:hAnsi="Arial" w:cs="Arial"/>
          <w:sz w:val="22"/>
        </w:rPr>
        <w:t xml:space="preserve"> Sun, 2024). Task-oriented time schedules in domiciliary care setting can thus put pressure on patients despite the intention of staff members to respect autonomy.</w:t>
      </w:r>
    </w:p>
    <w:p w14:paraId="622468D7" w14:textId="77777777" w:rsidR="00DA01EB" w:rsidRPr="00D07230" w:rsidRDefault="00DA01EB" w:rsidP="00DA01EB">
      <w:pPr>
        <w:rPr>
          <w:rFonts w:ascii="Arial" w:hAnsi="Arial" w:cs="Arial"/>
          <w:sz w:val="22"/>
        </w:rPr>
      </w:pPr>
      <w:r w:rsidRPr="00D07230">
        <w:rPr>
          <w:rFonts w:ascii="Arial" w:hAnsi="Arial" w:cs="Arial"/>
          <w:sz w:val="22"/>
        </w:rPr>
        <w:t>This was because the process was not done in silos. I conveyed the information regarding the new arrangement and made sure the care record noted down the preference and risk discussion. Although the Health and Care Act 2022 further reinforced the path for integrated working, the actual frontline work will depend on proper handovers and accountability. A study from the UK through four Royal Colleges indicated that while person-centered care practices were inconsistent in their practice, patient participation in the quality assessment process was also limited. It indicates that while systems could foster the use of person-centered language, they did not necessarily involve the service user’s perspective (Moore et al., 2023). I realized that partnership required communication of the reasoning of the individual rather than just the outcome.</w:t>
      </w:r>
    </w:p>
    <w:p w14:paraId="29D6D992" w14:textId="77777777" w:rsidR="00DA01EB" w:rsidRPr="00D07230" w:rsidRDefault="00DA01EB" w:rsidP="00DA01EB">
      <w:pPr>
        <w:rPr>
          <w:rFonts w:ascii="Arial" w:hAnsi="Arial" w:cs="Arial"/>
          <w:sz w:val="22"/>
        </w:rPr>
      </w:pPr>
      <w:r w:rsidRPr="00D07230">
        <w:rPr>
          <w:rFonts w:ascii="Arial" w:hAnsi="Arial" w:cs="Arial"/>
          <w:sz w:val="22"/>
        </w:rPr>
        <w:t>From an ethical perspective, the situation entailed making a difficult balance between the principles of autonomy, beneficence and non-maleficence. Although in my initial view the good quality of care meant adherence to the schedule, this was a case of potential paternalism. My duty to respect the wish could not absolve me of the duty to reflect on whether harm is foreseen and whether any assessment is needed based on cognitive function, distress, or clinical risks. Ethical value of the decision lay in using the least restrictive means – delaying care rather than forcing it or giving up. Findings from interviews with nine older people living alone and receiving homecare revealed that care delivery is influenced by the time aspect and that paying attention to the temporal experience of the service users may enhance person-centredness (Voie et al., 2024). This was relevant as the conflict I experienced arose due to organisational time and not clinical needs.</w:t>
      </w:r>
    </w:p>
    <w:p w14:paraId="32658B3C" w14:textId="77777777" w:rsidR="00DA01EB" w:rsidRPr="00D07230" w:rsidRDefault="00DA01EB" w:rsidP="00DA01EB">
      <w:pPr>
        <w:rPr>
          <w:rFonts w:ascii="Arial" w:hAnsi="Arial" w:cs="Arial"/>
          <w:sz w:val="22"/>
        </w:rPr>
      </w:pPr>
    </w:p>
    <w:p w14:paraId="7C9B446D" w14:textId="77777777" w:rsidR="00DA01EB" w:rsidRPr="00D07230" w:rsidRDefault="00DA01EB" w:rsidP="00DA01EB">
      <w:pPr>
        <w:pStyle w:val="Heading2"/>
        <w:spacing w:before="100" w:after="60"/>
        <w:rPr>
          <w:rFonts w:ascii="Arial" w:hAnsi="Arial" w:cs="Arial"/>
          <w:sz w:val="22"/>
          <w:szCs w:val="22"/>
        </w:rPr>
      </w:pPr>
      <w:r w:rsidRPr="00D07230">
        <w:rPr>
          <w:rFonts w:ascii="Arial" w:eastAsia="Arial" w:hAnsi="Arial" w:cs="Arial"/>
          <w:sz w:val="22"/>
          <w:szCs w:val="22"/>
        </w:rPr>
        <w:t>4.3 Strengths, limitations and professional development</w:t>
      </w:r>
    </w:p>
    <w:p w14:paraId="6B9CFC4F" w14:textId="77777777" w:rsidR="00DA01EB" w:rsidRPr="00D07230" w:rsidRDefault="00DA01EB" w:rsidP="00DA01EB">
      <w:pPr>
        <w:rPr>
          <w:rFonts w:ascii="Arial" w:hAnsi="Arial" w:cs="Arial"/>
          <w:sz w:val="22"/>
        </w:rPr>
      </w:pPr>
      <w:r w:rsidRPr="00D07230">
        <w:rPr>
          <w:rFonts w:ascii="Arial" w:hAnsi="Arial" w:cs="Arial"/>
          <w:sz w:val="22"/>
        </w:rPr>
        <w:t>Reflection revealed the following strengths: respectful communication, acknowledging individual autonomy, timely documentation, and readiness to engage colleagues. It was also clear that there were three areas of development required. Firstly, there is a need for increased confidence in making a distinction between the refusal which should be a cause for the capacity issues versus the refusal which can be accepted routinely. Secondly, there is a need for increased knowledge about escalation procedures in cases of preference against risk. Finally, there is a need for increased structure of the reflective discussion after an ethically difficult event.</w:t>
      </w:r>
    </w:p>
    <w:p w14:paraId="00886681" w14:textId="77777777" w:rsidR="00DA01EB" w:rsidRPr="00D07230" w:rsidRDefault="00DA01EB" w:rsidP="00DA01EB">
      <w:pPr>
        <w:pStyle w:val="Caption"/>
        <w:keepNext/>
        <w:rPr>
          <w:rFonts w:ascii="Arial" w:hAnsi="Arial" w:cs="Arial"/>
          <w:sz w:val="22"/>
          <w:szCs w:val="22"/>
        </w:rPr>
      </w:pPr>
      <w:bookmarkStart w:id="12" w:name="_Toc242371396"/>
      <w:r w:rsidRPr="00D07230">
        <w:rPr>
          <w:rFonts w:ascii="Arial" w:hAnsi="Arial" w:cs="Arial"/>
          <w:sz w:val="22"/>
          <w:szCs w:val="22"/>
        </w:rPr>
        <w:t xml:space="preserve">Table </w:t>
      </w:r>
      <w:r w:rsidRPr="00D07230">
        <w:rPr>
          <w:rFonts w:ascii="Arial" w:hAnsi="Arial" w:cs="Arial"/>
          <w:sz w:val="22"/>
          <w:szCs w:val="22"/>
        </w:rPr>
        <w:fldChar w:fldCharType="begin"/>
      </w:r>
      <w:r w:rsidRPr="00D07230">
        <w:rPr>
          <w:rFonts w:ascii="Arial" w:hAnsi="Arial" w:cs="Arial"/>
          <w:sz w:val="22"/>
          <w:szCs w:val="22"/>
        </w:rPr>
        <w:instrText xml:space="preserve"> SEQ Table \* ARABIC </w:instrText>
      </w:r>
      <w:r w:rsidRPr="00D07230">
        <w:rPr>
          <w:rFonts w:ascii="Arial" w:hAnsi="Arial" w:cs="Arial"/>
          <w:sz w:val="22"/>
          <w:szCs w:val="22"/>
        </w:rPr>
        <w:fldChar w:fldCharType="separate"/>
      </w:r>
      <w:r w:rsidRPr="00D07230">
        <w:rPr>
          <w:rFonts w:ascii="Arial" w:hAnsi="Arial" w:cs="Arial"/>
          <w:noProof/>
          <w:sz w:val="22"/>
          <w:szCs w:val="22"/>
        </w:rPr>
        <w:t>3</w:t>
      </w:r>
      <w:r w:rsidRPr="00D07230">
        <w:rPr>
          <w:rFonts w:ascii="Arial" w:hAnsi="Arial" w:cs="Arial"/>
          <w:sz w:val="22"/>
          <w:szCs w:val="22"/>
        </w:rPr>
        <w:fldChar w:fldCharType="end"/>
      </w:r>
      <w:r w:rsidRPr="00D07230">
        <w:rPr>
          <w:rFonts w:ascii="Arial" w:hAnsi="Arial" w:cs="Arial"/>
          <w:sz w:val="22"/>
          <w:szCs w:val="22"/>
        </w:rPr>
        <w:t>: Personal development action plan</w:t>
      </w:r>
      <w:bookmarkEnd w:id="1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6"/>
        <w:gridCol w:w="2339"/>
        <w:gridCol w:w="2347"/>
        <w:gridCol w:w="2318"/>
      </w:tblGrid>
      <w:tr w:rsidR="00DA01EB" w:rsidRPr="00D07230" w14:paraId="1D479A06" w14:textId="77777777" w:rsidTr="005A4EB5">
        <w:tc>
          <w:tcPr>
            <w:tcW w:w="2394" w:type="dxa"/>
          </w:tcPr>
          <w:p w14:paraId="0BD10376" w14:textId="77777777" w:rsidR="00DA01EB" w:rsidRPr="00D07230" w:rsidRDefault="00DA01EB" w:rsidP="00DA01EB">
            <w:pPr>
              <w:rPr>
                <w:rFonts w:ascii="Arial" w:hAnsi="Arial" w:cs="Arial"/>
                <w:b/>
                <w:sz w:val="22"/>
              </w:rPr>
            </w:pPr>
            <w:r w:rsidRPr="00D07230">
              <w:rPr>
                <w:rFonts w:ascii="Arial" w:hAnsi="Arial" w:cs="Arial"/>
                <w:b/>
                <w:sz w:val="22"/>
              </w:rPr>
              <w:t>Development need</w:t>
            </w:r>
          </w:p>
        </w:tc>
        <w:tc>
          <w:tcPr>
            <w:tcW w:w="2394" w:type="dxa"/>
          </w:tcPr>
          <w:p w14:paraId="6C7E79DE" w14:textId="77777777" w:rsidR="00DA01EB" w:rsidRPr="00D07230" w:rsidRDefault="00DA01EB" w:rsidP="00DA01EB">
            <w:pPr>
              <w:rPr>
                <w:rFonts w:ascii="Arial" w:hAnsi="Arial" w:cs="Arial"/>
                <w:b/>
                <w:sz w:val="22"/>
              </w:rPr>
            </w:pPr>
            <w:r w:rsidRPr="00D07230">
              <w:rPr>
                <w:rFonts w:ascii="Arial" w:hAnsi="Arial" w:cs="Arial"/>
                <w:b/>
                <w:sz w:val="22"/>
              </w:rPr>
              <w:t>Specific action</w:t>
            </w:r>
          </w:p>
        </w:tc>
        <w:tc>
          <w:tcPr>
            <w:tcW w:w="2394" w:type="dxa"/>
          </w:tcPr>
          <w:p w14:paraId="4B16213D" w14:textId="77777777" w:rsidR="00DA01EB" w:rsidRPr="00D07230" w:rsidRDefault="00DA01EB" w:rsidP="00DA01EB">
            <w:pPr>
              <w:rPr>
                <w:rFonts w:ascii="Arial" w:hAnsi="Arial" w:cs="Arial"/>
                <w:b/>
                <w:sz w:val="22"/>
              </w:rPr>
            </w:pPr>
            <w:r w:rsidRPr="00D07230">
              <w:rPr>
                <w:rFonts w:ascii="Arial" w:hAnsi="Arial" w:cs="Arial"/>
                <w:b/>
                <w:sz w:val="22"/>
              </w:rPr>
              <w:t>Evidence of progress</w:t>
            </w:r>
          </w:p>
        </w:tc>
        <w:tc>
          <w:tcPr>
            <w:tcW w:w="2394" w:type="dxa"/>
          </w:tcPr>
          <w:p w14:paraId="2B05EC51" w14:textId="77777777" w:rsidR="00DA01EB" w:rsidRPr="00D07230" w:rsidRDefault="00DA01EB" w:rsidP="00DA01EB">
            <w:pPr>
              <w:rPr>
                <w:rFonts w:ascii="Arial" w:hAnsi="Arial" w:cs="Arial"/>
                <w:b/>
                <w:sz w:val="22"/>
              </w:rPr>
            </w:pPr>
            <w:r w:rsidRPr="00D07230">
              <w:rPr>
                <w:rFonts w:ascii="Arial" w:hAnsi="Arial" w:cs="Arial"/>
                <w:b/>
                <w:sz w:val="22"/>
              </w:rPr>
              <w:t>Timescale</w:t>
            </w:r>
          </w:p>
        </w:tc>
      </w:tr>
      <w:tr w:rsidR="00DA01EB" w:rsidRPr="00D07230" w14:paraId="66756CF8" w14:textId="77777777" w:rsidTr="005A4EB5">
        <w:tc>
          <w:tcPr>
            <w:tcW w:w="2394" w:type="dxa"/>
          </w:tcPr>
          <w:p w14:paraId="5EEC8D4D" w14:textId="77777777" w:rsidR="00DA01EB" w:rsidRPr="00D07230" w:rsidRDefault="00DA01EB" w:rsidP="00DA01EB">
            <w:pPr>
              <w:rPr>
                <w:rFonts w:ascii="Arial" w:hAnsi="Arial" w:cs="Arial"/>
                <w:sz w:val="22"/>
              </w:rPr>
            </w:pPr>
            <w:r w:rsidRPr="00D07230">
              <w:rPr>
                <w:rFonts w:ascii="Arial" w:hAnsi="Arial" w:cs="Arial"/>
                <w:sz w:val="22"/>
              </w:rPr>
              <w:t>Capacity, consent and autonomy</w:t>
            </w:r>
          </w:p>
        </w:tc>
        <w:tc>
          <w:tcPr>
            <w:tcW w:w="2394" w:type="dxa"/>
          </w:tcPr>
          <w:p w14:paraId="33F5BADC" w14:textId="77777777" w:rsidR="00DA01EB" w:rsidRPr="00D07230" w:rsidRDefault="00DA01EB" w:rsidP="00DA01EB">
            <w:pPr>
              <w:rPr>
                <w:rFonts w:ascii="Arial" w:hAnsi="Arial" w:cs="Arial"/>
                <w:sz w:val="22"/>
              </w:rPr>
            </w:pPr>
            <w:r w:rsidRPr="00D07230">
              <w:rPr>
                <w:rFonts w:ascii="Arial" w:hAnsi="Arial" w:cs="Arial"/>
                <w:sz w:val="22"/>
              </w:rPr>
              <w:t>Review the Mental Capacity Act principles and organisational consent policy; complete relevant CPD.</w:t>
            </w:r>
          </w:p>
        </w:tc>
        <w:tc>
          <w:tcPr>
            <w:tcW w:w="2394" w:type="dxa"/>
          </w:tcPr>
          <w:p w14:paraId="750E555F" w14:textId="77777777" w:rsidR="00DA01EB" w:rsidRPr="00D07230" w:rsidRDefault="00DA01EB" w:rsidP="00DA01EB">
            <w:pPr>
              <w:rPr>
                <w:rFonts w:ascii="Arial" w:hAnsi="Arial" w:cs="Arial"/>
                <w:sz w:val="22"/>
              </w:rPr>
            </w:pPr>
            <w:r w:rsidRPr="00D07230">
              <w:rPr>
                <w:rFonts w:ascii="Arial" w:hAnsi="Arial" w:cs="Arial"/>
                <w:sz w:val="22"/>
              </w:rPr>
              <w:t>Improved ability to explain when capacity assessment or escalation is appropriate.</w:t>
            </w:r>
          </w:p>
        </w:tc>
        <w:tc>
          <w:tcPr>
            <w:tcW w:w="2394" w:type="dxa"/>
          </w:tcPr>
          <w:p w14:paraId="41EE1A58" w14:textId="77777777" w:rsidR="00DA01EB" w:rsidRPr="00D07230" w:rsidRDefault="00DA01EB" w:rsidP="00DA01EB">
            <w:pPr>
              <w:rPr>
                <w:rFonts w:ascii="Arial" w:hAnsi="Arial" w:cs="Arial"/>
                <w:sz w:val="22"/>
              </w:rPr>
            </w:pPr>
            <w:r w:rsidRPr="00D07230">
              <w:rPr>
                <w:rFonts w:ascii="Arial" w:hAnsi="Arial" w:cs="Arial"/>
                <w:sz w:val="22"/>
              </w:rPr>
              <w:t>Within 8 weeks</w:t>
            </w:r>
          </w:p>
        </w:tc>
      </w:tr>
      <w:tr w:rsidR="00DA01EB" w:rsidRPr="00D07230" w14:paraId="35A5D82B" w14:textId="77777777" w:rsidTr="005A4EB5">
        <w:tc>
          <w:tcPr>
            <w:tcW w:w="2394" w:type="dxa"/>
          </w:tcPr>
          <w:p w14:paraId="41E25F7A" w14:textId="77777777" w:rsidR="00DA01EB" w:rsidRPr="00D07230" w:rsidRDefault="00DA01EB" w:rsidP="00DA01EB">
            <w:pPr>
              <w:rPr>
                <w:rFonts w:ascii="Arial" w:hAnsi="Arial" w:cs="Arial"/>
                <w:sz w:val="22"/>
              </w:rPr>
            </w:pPr>
            <w:r w:rsidRPr="00D07230">
              <w:rPr>
                <w:rFonts w:ascii="Arial" w:hAnsi="Arial" w:cs="Arial"/>
                <w:sz w:val="22"/>
              </w:rPr>
              <w:t>Risk communication and escalation</w:t>
            </w:r>
          </w:p>
        </w:tc>
        <w:tc>
          <w:tcPr>
            <w:tcW w:w="2394" w:type="dxa"/>
          </w:tcPr>
          <w:p w14:paraId="2475AF0D" w14:textId="77777777" w:rsidR="00DA01EB" w:rsidRPr="00D07230" w:rsidRDefault="00DA01EB" w:rsidP="00DA01EB">
            <w:pPr>
              <w:rPr>
                <w:rFonts w:ascii="Arial" w:hAnsi="Arial" w:cs="Arial"/>
                <w:sz w:val="22"/>
              </w:rPr>
            </w:pPr>
            <w:r w:rsidRPr="00D07230">
              <w:rPr>
                <w:rFonts w:ascii="Arial" w:hAnsi="Arial" w:cs="Arial"/>
                <w:sz w:val="22"/>
              </w:rPr>
              <w:t>Use supervision to review two autonomy-versus-risk cases and seek feedback on handovers.</w:t>
            </w:r>
          </w:p>
        </w:tc>
        <w:tc>
          <w:tcPr>
            <w:tcW w:w="2394" w:type="dxa"/>
          </w:tcPr>
          <w:p w14:paraId="51C9567F" w14:textId="77777777" w:rsidR="00DA01EB" w:rsidRPr="00D07230" w:rsidRDefault="00DA01EB" w:rsidP="00DA01EB">
            <w:pPr>
              <w:rPr>
                <w:rFonts w:ascii="Arial" w:hAnsi="Arial" w:cs="Arial"/>
                <w:sz w:val="22"/>
              </w:rPr>
            </w:pPr>
            <w:r w:rsidRPr="00D07230">
              <w:rPr>
                <w:rFonts w:ascii="Arial" w:hAnsi="Arial" w:cs="Arial"/>
                <w:sz w:val="22"/>
              </w:rPr>
              <w:t>Supervisor feedback and clearer documented rationales.</w:t>
            </w:r>
          </w:p>
        </w:tc>
        <w:tc>
          <w:tcPr>
            <w:tcW w:w="2394" w:type="dxa"/>
          </w:tcPr>
          <w:p w14:paraId="340818A2" w14:textId="77777777" w:rsidR="00DA01EB" w:rsidRPr="00D07230" w:rsidRDefault="00DA01EB" w:rsidP="00DA01EB">
            <w:pPr>
              <w:rPr>
                <w:rFonts w:ascii="Arial" w:hAnsi="Arial" w:cs="Arial"/>
                <w:sz w:val="22"/>
              </w:rPr>
            </w:pPr>
            <w:r w:rsidRPr="00D07230">
              <w:rPr>
                <w:rFonts w:ascii="Arial" w:hAnsi="Arial" w:cs="Arial"/>
                <w:sz w:val="22"/>
              </w:rPr>
              <w:t>Within 12 weeks</w:t>
            </w:r>
          </w:p>
        </w:tc>
      </w:tr>
      <w:tr w:rsidR="00DA01EB" w:rsidRPr="00D07230" w14:paraId="1189CF87" w14:textId="77777777" w:rsidTr="005A4EB5">
        <w:tc>
          <w:tcPr>
            <w:tcW w:w="2394" w:type="dxa"/>
          </w:tcPr>
          <w:p w14:paraId="3662B0E1" w14:textId="77777777" w:rsidR="00DA01EB" w:rsidRPr="00D07230" w:rsidRDefault="00DA01EB" w:rsidP="00DA01EB">
            <w:pPr>
              <w:rPr>
                <w:rFonts w:ascii="Arial" w:hAnsi="Arial" w:cs="Arial"/>
                <w:sz w:val="22"/>
              </w:rPr>
            </w:pPr>
            <w:r w:rsidRPr="00D07230">
              <w:rPr>
                <w:rFonts w:ascii="Arial" w:hAnsi="Arial" w:cs="Arial"/>
                <w:sz w:val="22"/>
              </w:rPr>
              <w:t>Partnership working</w:t>
            </w:r>
          </w:p>
        </w:tc>
        <w:tc>
          <w:tcPr>
            <w:tcW w:w="2394" w:type="dxa"/>
          </w:tcPr>
          <w:p w14:paraId="0328779E" w14:textId="77777777" w:rsidR="00DA01EB" w:rsidRPr="00D07230" w:rsidRDefault="00DA01EB" w:rsidP="00DA01EB">
            <w:pPr>
              <w:rPr>
                <w:rFonts w:ascii="Arial" w:hAnsi="Arial" w:cs="Arial"/>
                <w:sz w:val="22"/>
              </w:rPr>
            </w:pPr>
            <w:r w:rsidRPr="00D07230">
              <w:rPr>
                <w:rFonts w:ascii="Arial" w:hAnsi="Arial" w:cs="Arial"/>
                <w:sz w:val="22"/>
              </w:rPr>
              <w:t>Use structured handover language that records preference, risk, agreed action and responsibility.</w:t>
            </w:r>
          </w:p>
        </w:tc>
        <w:tc>
          <w:tcPr>
            <w:tcW w:w="2394" w:type="dxa"/>
          </w:tcPr>
          <w:p w14:paraId="42818DA3" w14:textId="77777777" w:rsidR="00DA01EB" w:rsidRPr="00D07230" w:rsidRDefault="00DA01EB" w:rsidP="00DA01EB">
            <w:pPr>
              <w:rPr>
                <w:rFonts w:ascii="Arial" w:hAnsi="Arial" w:cs="Arial"/>
                <w:sz w:val="22"/>
              </w:rPr>
            </w:pPr>
            <w:r w:rsidRPr="00D07230">
              <w:rPr>
                <w:rFonts w:ascii="Arial" w:hAnsi="Arial" w:cs="Arial"/>
                <w:sz w:val="22"/>
              </w:rPr>
              <w:t>Audit of care notes/feedback showing consistent person-focused handover.</w:t>
            </w:r>
          </w:p>
        </w:tc>
        <w:tc>
          <w:tcPr>
            <w:tcW w:w="2394" w:type="dxa"/>
          </w:tcPr>
          <w:p w14:paraId="7F238A9E" w14:textId="77777777" w:rsidR="00DA01EB" w:rsidRPr="00D07230" w:rsidRDefault="00DA01EB" w:rsidP="00DA01EB">
            <w:pPr>
              <w:rPr>
                <w:rFonts w:ascii="Arial" w:hAnsi="Arial" w:cs="Arial"/>
                <w:sz w:val="22"/>
              </w:rPr>
            </w:pPr>
            <w:r w:rsidRPr="00D07230">
              <w:rPr>
                <w:rFonts w:ascii="Arial" w:hAnsi="Arial" w:cs="Arial"/>
                <w:sz w:val="22"/>
              </w:rPr>
              <w:t>Ongoing for 3 months</w:t>
            </w:r>
          </w:p>
        </w:tc>
      </w:tr>
    </w:tbl>
    <w:p w14:paraId="6EEB38BE" w14:textId="77777777" w:rsidR="00DA01EB" w:rsidRPr="00D07230" w:rsidRDefault="00DA01EB" w:rsidP="00DA01EB">
      <w:pPr>
        <w:rPr>
          <w:rFonts w:ascii="Arial" w:hAnsi="Arial" w:cs="Arial"/>
          <w:sz w:val="22"/>
        </w:rPr>
      </w:pPr>
    </w:p>
    <w:p w14:paraId="50ECD4E6" w14:textId="77777777" w:rsidR="00DA01EB" w:rsidRPr="00D07230" w:rsidRDefault="00DA01EB" w:rsidP="00DA01EB">
      <w:pPr>
        <w:pStyle w:val="Heading1"/>
        <w:spacing w:before="100" w:after="60"/>
        <w:rPr>
          <w:rFonts w:ascii="Arial" w:eastAsia="Arial" w:hAnsi="Arial" w:cs="Arial"/>
          <w:sz w:val="22"/>
          <w:szCs w:val="22"/>
        </w:rPr>
      </w:pPr>
      <w:r w:rsidRPr="00D07230">
        <w:rPr>
          <w:rFonts w:ascii="Arial" w:eastAsia="Arial" w:hAnsi="Arial" w:cs="Arial"/>
          <w:sz w:val="22"/>
          <w:szCs w:val="22"/>
        </w:rPr>
        <w:t>5. Conclusion</w:t>
      </w:r>
    </w:p>
    <w:p w14:paraId="28B04968" w14:textId="77777777" w:rsidR="00DA01EB" w:rsidRPr="00D07230" w:rsidRDefault="00DA01EB" w:rsidP="00DA01EB">
      <w:pPr>
        <w:rPr>
          <w:rFonts w:ascii="Arial" w:hAnsi="Arial" w:cs="Arial"/>
          <w:sz w:val="22"/>
        </w:rPr>
      </w:pPr>
      <w:r w:rsidRPr="00D07230">
        <w:rPr>
          <w:rFonts w:ascii="Arial" w:hAnsi="Arial" w:cs="Arial"/>
          <w:sz w:val="22"/>
        </w:rPr>
        <w:t>The principles of person-centred care, partnership working and ethics are interdependent requirements within a profession. Person-centred care focuses on what is important to the individual. Partnership working brings together all the individuals and services required to respond to the priorities raised by person-centred care. Ethics questions whether there will be respect for rights balanced against an acceptance of harm. The case of Robyn highlighted that safety and accessibility of service were insufficient indicators of high quality in situations where continuity, identity and engagement were not assured. In the reflective case, the standard domiciliary service schedule came into conflict with personal choice.</w:t>
      </w:r>
    </w:p>
    <w:p w14:paraId="0DFCEA0F" w14:textId="77777777" w:rsidR="00DA01EB" w:rsidRDefault="00DA01EB" w:rsidP="00073CCE">
      <w:pPr>
        <w:pStyle w:val="Heading1"/>
        <w:ind w:left="0" w:firstLine="0"/>
        <w:rPr>
          <w:rFonts w:ascii="Arial" w:hAnsi="Arial" w:cs="Arial"/>
          <w:sz w:val="22"/>
          <w:szCs w:val="22"/>
        </w:rPr>
      </w:pPr>
    </w:p>
    <w:p w14:paraId="3AABFBAB" w14:textId="77777777" w:rsidR="00DA01EB" w:rsidRDefault="00DA01EB" w:rsidP="00073CCE">
      <w:pPr>
        <w:pStyle w:val="Heading1"/>
        <w:ind w:left="0" w:firstLine="0"/>
        <w:rPr>
          <w:rFonts w:ascii="Arial" w:hAnsi="Arial" w:cs="Arial"/>
          <w:sz w:val="22"/>
          <w:szCs w:val="22"/>
        </w:rPr>
      </w:pPr>
    </w:p>
    <w:p w14:paraId="72E2AE21" w14:textId="77777777" w:rsidR="0074789A" w:rsidRDefault="00E61475" w:rsidP="00073CCE">
      <w:pPr>
        <w:pStyle w:val="Heading1"/>
        <w:ind w:left="0" w:firstLine="0"/>
        <w:rPr>
          <w:rFonts w:ascii="Arial" w:hAnsi="Arial" w:cs="Arial"/>
          <w:sz w:val="22"/>
          <w:szCs w:val="22"/>
        </w:rPr>
      </w:pPr>
      <w:r w:rsidRPr="00086364">
        <w:rPr>
          <w:rFonts w:ascii="Arial" w:hAnsi="Arial" w:cs="Arial"/>
          <w:sz w:val="22"/>
          <w:szCs w:val="22"/>
        </w:rPr>
        <w:br w:type="page"/>
      </w:r>
      <w:bookmarkStart w:id="13" w:name="_Toc241510138"/>
      <w:r w:rsidR="0082293E" w:rsidRPr="00086364">
        <w:rPr>
          <w:rFonts w:ascii="Arial" w:hAnsi="Arial" w:cs="Arial"/>
          <w:sz w:val="22"/>
          <w:szCs w:val="22"/>
        </w:rPr>
        <w:t>R</w:t>
      </w:r>
      <w:r w:rsidR="00086364" w:rsidRPr="00086364">
        <w:rPr>
          <w:rFonts w:ascii="Arial" w:hAnsi="Arial" w:cs="Arial"/>
          <w:sz w:val="22"/>
          <w:szCs w:val="22"/>
        </w:rPr>
        <w:t>eferences</w:t>
      </w:r>
      <w:bookmarkEnd w:id="13"/>
    </w:p>
    <w:p w14:paraId="7D3F0E1D"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Alderwick, H., Hutchings, A. and Mays, N. (2024). Cross-sector collaboration to reduce health inequalities: A qualitative study of local collaboration between health care, social services, and other sectors under health system reforms in England. </w:t>
      </w:r>
      <w:r>
        <w:rPr>
          <w:rFonts w:ascii="Arial" w:hAnsi="Arial" w:cs="Arial"/>
          <w:i/>
          <w:iCs/>
          <w:sz w:val="22"/>
          <w:szCs w:val="22"/>
        </w:rPr>
        <w:t>BMC Public Health</w:t>
      </w:r>
      <w:r>
        <w:rPr>
          <w:rFonts w:ascii="Arial" w:hAnsi="Arial" w:cs="Arial"/>
          <w:sz w:val="22"/>
          <w:szCs w:val="22"/>
        </w:rPr>
        <w:t xml:space="preserve">, [online] 24(1), pp.1–19. Available at: </w:t>
      </w:r>
      <w:hyperlink r:id="rId8" w:history="1">
        <w:r w:rsidRPr="00467284">
          <w:rPr>
            <w:rStyle w:val="Hyperlink"/>
            <w:rFonts w:ascii="Arial" w:hAnsi="Arial" w:cs="Arial"/>
            <w:sz w:val="22"/>
            <w:szCs w:val="22"/>
          </w:rPr>
          <w:t>https://bmcpublichealth.biomedcentral.com/articles/10.1186/s12889-024-20089-5</w:t>
        </w:r>
      </w:hyperlink>
      <w:r>
        <w:rPr>
          <w:rFonts w:ascii="Arial" w:hAnsi="Arial" w:cs="Arial"/>
          <w:sz w:val="22"/>
          <w:szCs w:val="22"/>
        </w:rPr>
        <w:t xml:space="preserve"> </w:t>
      </w:r>
    </w:p>
    <w:p w14:paraId="770D5E8D"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Balqis-Ali, N.Z., Saw, P.S., Anis-Syakira, J., Fun, W.H., Sararaks, S., Lee, S.W.H. and Abdullah, M. (2022). Healthcare provider person-centred practice: Relationships between prerequisites, care environment and care processes using structural equation modelling. </w:t>
      </w:r>
      <w:r>
        <w:rPr>
          <w:rFonts w:ascii="Arial" w:hAnsi="Arial" w:cs="Arial"/>
          <w:i/>
          <w:iCs/>
          <w:sz w:val="22"/>
          <w:szCs w:val="22"/>
        </w:rPr>
        <w:t>BMC Health Services Research</w:t>
      </w:r>
      <w:r>
        <w:rPr>
          <w:rFonts w:ascii="Arial" w:hAnsi="Arial" w:cs="Arial"/>
          <w:sz w:val="22"/>
          <w:szCs w:val="22"/>
        </w:rPr>
        <w:t xml:space="preserve">, [online] 22(1). </w:t>
      </w:r>
      <w:hyperlink r:id="rId9" w:history="1">
        <w:r w:rsidRPr="00467284">
          <w:rPr>
            <w:rStyle w:val="Hyperlink"/>
            <w:rFonts w:ascii="Arial" w:hAnsi="Arial" w:cs="Arial"/>
            <w:sz w:val="22"/>
            <w:szCs w:val="22"/>
          </w:rPr>
          <w:t>https://doi.org/10.1186/s12913-022-07917-3</w:t>
        </w:r>
      </w:hyperlink>
      <w:r>
        <w:rPr>
          <w:rFonts w:ascii="Arial" w:hAnsi="Arial" w:cs="Arial"/>
          <w:sz w:val="22"/>
          <w:szCs w:val="22"/>
        </w:rPr>
        <w:t xml:space="preserve">. </w:t>
      </w:r>
    </w:p>
    <w:p w14:paraId="56F13657"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Bölenius, K., Lämås, K. and Edvardsson, D. (2023). Older adults’ experiences of self-determination when needing Homecare Services—An interview study. </w:t>
      </w:r>
      <w:r>
        <w:rPr>
          <w:rFonts w:ascii="Arial" w:hAnsi="Arial" w:cs="Arial"/>
          <w:i/>
          <w:iCs/>
          <w:sz w:val="22"/>
          <w:szCs w:val="22"/>
        </w:rPr>
        <w:t>BMC Geriatrics</w:t>
      </w:r>
      <w:r>
        <w:rPr>
          <w:rFonts w:ascii="Arial" w:hAnsi="Arial" w:cs="Arial"/>
          <w:sz w:val="22"/>
          <w:szCs w:val="22"/>
        </w:rPr>
        <w:t xml:space="preserve">, 23(1). </w:t>
      </w:r>
      <w:hyperlink r:id="rId10" w:history="1">
        <w:r w:rsidRPr="00467284">
          <w:rPr>
            <w:rStyle w:val="Hyperlink"/>
            <w:rFonts w:ascii="Arial" w:hAnsi="Arial" w:cs="Arial"/>
            <w:sz w:val="22"/>
            <w:szCs w:val="22"/>
          </w:rPr>
          <w:t>https://doi.org/10.1186/s12877-023-04533-6</w:t>
        </w:r>
      </w:hyperlink>
      <w:r>
        <w:rPr>
          <w:rFonts w:ascii="Arial" w:hAnsi="Arial" w:cs="Arial"/>
          <w:sz w:val="22"/>
          <w:szCs w:val="22"/>
        </w:rPr>
        <w:t xml:space="preserve">. </w:t>
      </w:r>
    </w:p>
    <w:p w14:paraId="7EBE8FD4"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Bouton, C., Journeaux, M., Jourdain, M., Angibaud, M., Huon, J.F. and Rat, C. (2023). Interprofessional collaboration in primary care: What effect on patient health? A systematic literature review. </w:t>
      </w:r>
      <w:r>
        <w:rPr>
          <w:rFonts w:ascii="Arial" w:hAnsi="Arial" w:cs="Arial"/>
          <w:i/>
          <w:iCs/>
          <w:sz w:val="22"/>
          <w:szCs w:val="22"/>
        </w:rPr>
        <w:t>BMC Primary Care</w:t>
      </w:r>
      <w:r>
        <w:rPr>
          <w:rFonts w:ascii="Arial" w:hAnsi="Arial" w:cs="Arial"/>
          <w:sz w:val="22"/>
          <w:szCs w:val="22"/>
        </w:rPr>
        <w:t xml:space="preserve">, [online] 24(1). </w:t>
      </w:r>
      <w:hyperlink r:id="rId11" w:history="1">
        <w:r w:rsidRPr="00467284">
          <w:rPr>
            <w:rStyle w:val="Hyperlink"/>
            <w:rFonts w:ascii="Arial" w:hAnsi="Arial" w:cs="Arial"/>
            <w:sz w:val="22"/>
            <w:szCs w:val="22"/>
          </w:rPr>
          <w:t>https://doi.org/10.1186/s12875-023-02189-0</w:t>
        </w:r>
      </w:hyperlink>
      <w:r>
        <w:rPr>
          <w:rFonts w:ascii="Arial" w:hAnsi="Arial" w:cs="Arial"/>
          <w:sz w:val="22"/>
          <w:szCs w:val="22"/>
        </w:rPr>
        <w:t xml:space="preserve">. </w:t>
      </w:r>
    </w:p>
    <w:p w14:paraId="6FA0AB41"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Duggan, C., Walsh, C. and Waldron, C.G. (2025). </w:t>
      </w:r>
      <w:r>
        <w:rPr>
          <w:rFonts w:ascii="Arial" w:hAnsi="Arial" w:cs="Arial"/>
          <w:i/>
          <w:iCs/>
          <w:sz w:val="22"/>
          <w:szCs w:val="22"/>
        </w:rPr>
        <w:t>Evidence review: Residential services for children and adults with disabilities Health Information and Quality Authority</w:t>
      </w:r>
      <w:r>
        <w:rPr>
          <w:rFonts w:ascii="Arial" w:hAnsi="Arial" w:cs="Arial"/>
          <w:sz w:val="22"/>
          <w:szCs w:val="22"/>
        </w:rPr>
        <w:t xml:space="preserve">. [online] Available at: </w:t>
      </w:r>
      <w:hyperlink r:id="rId12" w:history="1">
        <w:r w:rsidRPr="00467284">
          <w:rPr>
            <w:rStyle w:val="Hyperlink"/>
            <w:rFonts w:ascii="Arial" w:hAnsi="Arial" w:cs="Arial"/>
            <w:sz w:val="22"/>
            <w:szCs w:val="22"/>
          </w:rPr>
          <w:t>https://doi.org/10.13140/RG.2.2.36765.78563</w:t>
        </w:r>
      </w:hyperlink>
      <w:r>
        <w:rPr>
          <w:rFonts w:ascii="Arial" w:hAnsi="Arial" w:cs="Arial"/>
          <w:sz w:val="22"/>
          <w:szCs w:val="22"/>
        </w:rPr>
        <w:t xml:space="preserve">. </w:t>
      </w:r>
    </w:p>
    <w:p w14:paraId="01D6C465"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Fridberg, H., Wallin, L. and Tistad, M. (2022). Operationalisation of person-centred care in a real-world setting: A case study with six embedded units. </w:t>
      </w:r>
      <w:r>
        <w:rPr>
          <w:rFonts w:ascii="Arial" w:hAnsi="Arial" w:cs="Arial"/>
          <w:i/>
          <w:iCs/>
          <w:sz w:val="22"/>
          <w:szCs w:val="22"/>
        </w:rPr>
        <w:t>BMC Health Services Research</w:t>
      </w:r>
      <w:r>
        <w:rPr>
          <w:rFonts w:ascii="Arial" w:hAnsi="Arial" w:cs="Arial"/>
          <w:sz w:val="22"/>
          <w:szCs w:val="22"/>
        </w:rPr>
        <w:t xml:space="preserve">, 22(1). </w:t>
      </w:r>
      <w:hyperlink r:id="rId13" w:history="1">
        <w:r w:rsidRPr="00467284">
          <w:rPr>
            <w:rStyle w:val="Hyperlink"/>
            <w:rFonts w:ascii="Arial" w:hAnsi="Arial" w:cs="Arial"/>
            <w:sz w:val="22"/>
            <w:szCs w:val="22"/>
          </w:rPr>
          <w:t>https://doi.org/10.1186/s12913-022-08516-y</w:t>
        </w:r>
      </w:hyperlink>
      <w:r>
        <w:rPr>
          <w:rFonts w:ascii="Arial" w:hAnsi="Arial" w:cs="Arial"/>
          <w:sz w:val="22"/>
          <w:szCs w:val="22"/>
        </w:rPr>
        <w:t xml:space="preserve">. </w:t>
      </w:r>
    </w:p>
    <w:p w14:paraId="2738F9D6"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Hellzén, O., Ness, T.M., Ingstad, K., Ludvigsen, M.S., Nissen, A.M. and Devik, S.A. (2024). Adapting to home care in Norway: A longitudinal case study of older adults” experiences. </w:t>
      </w:r>
      <w:r>
        <w:rPr>
          <w:rFonts w:ascii="Arial" w:hAnsi="Arial" w:cs="Arial"/>
          <w:i/>
          <w:iCs/>
          <w:sz w:val="22"/>
          <w:szCs w:val="22"/>
        </w:rPr>
        <w:t>Journal of Aging Studies</w:t>
      </w:r>
      <w:r>
        <w:rPr>
          <w:rFonts w:ascii="Arial" w:hAnsi="Arial" w:cs="Arial"/>
          <w:sz w:val="22"/>
          <w:szCs w:val="22"/>
        </w:rPr>
        <w:t xml:space="preserve">, [online] 68, p.101215. </w:t>
      </w:r>
      <w:hyperlink r:id="rId14" w:history="1">
        <w:r w:rsidRPr="00467284">
          <w:rPr>
            <w:rStyle w:val="Hyperlink"/>
            <w:rFonts w:ascii="Arial" w:hAnsi="Arial" w:cs="Arial"/>
            <w:sz w:val="22"/>
            <w:szCs w:val="22"/>
          </w:rPr>
          <w:t>https://doi.org/10.1016/j.jaging.2024.101215</w:t>
        </w:r>
      </w:hyperlink>
      <w:r>
        <w:rPr>
          <w:rFonts w:ascii="Arial" w:hAnsi="Arial" w:cs="Arial"/>
          <w:sz w:val="22"/>
          <w:szCs w:val="22"/>
        </w:rPr>
        <w:t xml:space="preserve">. </w:t>
      </w:r>
    </w:p>
    <w:p w14:paraId="4FD5417D"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Ho, J.T., See, M.T.A., Tan, A.J.Q., Levett-Jones, T., Lau, T.C., Zhou, W. and Liaw, S.Y. (2023). Healthcare professionals’ experiences of interprofessional collaboration in patient education: A systematic review. </w:t>
      </w:r>
      <w:r>
        <w:rPr>
          <w:rFonts w:ascii="Arial" w:hAnsi="Arial" w:cs="Arial"/>
          <w:i/>
          <w:iCs/>
          <w:sz w:val="22"/>
          <w:szCs w:val="22"/>
        </w:rPr>
        <w:t>Patient Education and Counseling</w:t>
      </w:r>
      <w:r>
        <w:rPr>
          <w:rFonts w:ascii="Arial" w:hAnsi="Arial" w:cs="Arial"/>
          <w:sz w:val="22"/>
          <w:szCs w:val="22"/>
        </w:rPr>
        <w:t xml:space="preserve">, [online] 116(107965). </w:t>
      </w:r>
      <w:hyperlink r:id="rId15" w:history="1">
        <w:r w:rsidRPr="00467284">
          <w:rPr>
            <w:rStyle w:val="Hyperlink"/>
            <w:rFonts w:ascii="Arial" w:hAnsi="Arial" w:cs="Arial"/>
            <w:sz w:val="22"/>
            <w:szCs w:val="22"/>
          </w:rPr>
          <w:t>https://doi.org/10.1016/j.pec.2023.107965</w:t>
        </w:r>
      </w:hyperlink>
      <w:r>
        <w:rPr>
          <w:rFonts w:ascii="Arial" w:hAnsi="Arial" w:cs="Arial"/>
          <w:sz w:val="22"/>
          <w:szCs w:val="22"/>
        </w:rPr>
        <w:t xml:space="preserve">. </w:t>
      </w:r>
    </w:p>
    <w:p w14:paraId="433E3279"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Jones, K., Forder, J., Caiels, J., Welch, E. and Windle, K. (2016). Personal health budgets: Implementation and outcomes. </w:t>
      </w:r>
      <w:r>
        <w:rPr>
          <w:rFonts w:ascii="Arial" w:hAnsi="Arial" w:cs="Arial"/>
          <w:i/>
          <w:iCs/>
          <w:sz w:val="22"/>
          <w:szCs w:val="22"/>
        </w:rPr>
        <w:t>Social Policy Review 28</w:t>
      </w:r>
      <w:r>
        <w:rPr>
          <w:rFonts w:ascii="Arial" w:hAnsi="Arial" w:cs="Arial"/>
          <w:sz w:val="22"/>
          <w:szCs w:val="22"/>
        </w:rPr>
        <w:t xml:space="preserve">, [online] pp.211–232. </w:t>
      </w:r>
      <w:hyperlink r:id="rId16" w:history="1">
        <w:r w:rsidRPr="00467284">
          <w:rPr>
            <w:rStyle w:val="Hyperlink"/>
            <w:rFonts w:ascii="Arial" w:hAnsi="Arial" w:cs="Arial"/>
            <w:sz w:val="22"/>
            <w:szCs w:val="22"/>
          </w:rPr>
          <w:t>https://doi.org/10.46692/9781447331803.014</w:t>
        </w:r>
      </w:hyperlink>
      <w:r>
        <w:rPr>
          <w:rFonts w:ascii="Arial" w:hAnsi="Arial" w:cs="Arial"/>
          <w:sz w:val="22"/>
          <w:szCs w:val="22"/>
        </w:rPr>
        <w:t xml:space="preserve">. </w:t>
      </w:r>
    </w:p>
    <w:p w14:paraId="44233289" w14:textId="77777777" w:rsidR="00D07230" w:rsidRPr="00D07230" w:rsidRDefault="00D07230" w:rsidP="00D07230">
      <w:pPr>
        <w:pStyle w:val="NormalWeb"/>
        <w:spacing w:after="240" w:line="240" w:lineRule="auto"/>
        <w:ind w:left="720" w:hanging="720"/>
        <w:rPr>
          <w:rFonts w:ascii="Arial" w:hAnsi="Arial" w:cs="Arial"/>
          <w:sz w:val="22"/>
          <w:szCs w:val="22"/>
        </w:rPr>
      </w:pPr>
      <w:r w:rsidRPr="00D07230">
        <w:rPr>
          <w:rFonts w:ascii="Arial" w:hAnsi="Arial" w:cs="Arial"/>
          <w:sz w:val="22"/>
          <w:szCs w:val="22"/>
        </w:rPr>
        <w:t xml:space="preserve">Lee, J.S., Jang, M.H. and Sun, M.J. (2024). Factors influencing person-centered care among psychiatric nurses in hospitals. </w:t>
      </w:r>
      <w:r w:rsidRPr="00D07230">
        <w:rPr>
          <w:rFonts w:ascii="Arial" w:hAnsi="Arial" w:cs="Arial"/>
          <w:i/>
          <w:iCs/>
          <w:sz w:val="22"/>
          <w:szCs w:val="22"/>
        </w:rPr>
        <w:t>Healthcare</w:t>
      </w:r>
      <w:r w:rsidRPr="00D07230">
        <w:rPr>
          <w:rFonts w:ascii="Arial" w:hAnsi="Arial" w:cs="Arial"/>
          <w:sz w:val="22"/>
          <w:szCs w:val="22"/>
        </w:rPr>
        <w:t xml:space="preserve">, [online] 12(22), pp.2269–2269. </w:t>
      </w:r>
      <w:hyperlink r:id="rId17" w:history="1">
        <w:r w:rsidRPr="00AA302C">
          <w:rPr>
            <w:rStyle w:val="Hyperlink"/>
            <w:rFonts w:ascii="Arial" w:hAnsi="Arial" w:cs="Arial"/>
            <w:sz w:val="22"/>
            <w:szCs w:val="22"/>
          </w:rPr>
          <w:t>https://doi.org/10.3390/healthcare12222269</w:t>
        </w:r>
      </w:hyperlink>
      <w:r w:rsidRPr="00D07230">
        <w:rPr>
          <w:rFonts w:ascii="Arial" w:hAnsi="Arial" w:cs="Arial"/>
          <w:sz w:val="22"/>
          <w:szCs w:val="22"/>
        </w:rPr>
        <w:t>.</w:t>
      </w:r>
      <w:r>
        <w:rPr>
          <w:rFonts w:ascii="Arial" w:hAnsi="Arial" w:cs="Arial"/>
          <w:sz w:val="22"/>
          <w:szCs w:val="22"/>
        </w:rPr>
        <w:t xml:space="preserve"> </w:t>
      </w:r>
    </w:p>
    <w:p w14:paraId="15567ECC" w14:textId="77777777" w:rsidR="00D07230" w:rsidRPr="00D07230" w:rsidRDefault="00D07230" w:rsidP="00D07230">
      <w:pPr>
        <w:pStyle w:val="NormalWeb"/>
        <w:spacing w:after="240" w:line="240" w:lineRule="auto"/>
        <w:ind w:left="720" w:hanging="720"/>
        <w:rPr>
          <w:rFonts w:ascii="Arial" w:hAnsi="Arial" w:cs="Arial"/>
          <w:sz w:val="22"/>
          <w:szCs w:val="22"/>
        </w:rPr>
      </w:pPr>
      <w:r w:rsidRPr="00D07230">
        <w:rPr>
          <w:rFonts w:ascii="Arial" w:hAnsi="Arial" w:cs="Arial"/>
          <w:sz w:val="22"/>
          <w:szCs w:val="22"/>
        </w:rPr>
        <w:t xml:space="preserve">Moore, H., Watson, R., Farnworth, A., Giles, K., Tomson, D. and Thomson, R. (2023). Inclusion of person-centred care in UK postgraduate medical education curricula: Interviews and documentary analysis. </w:t>
      </w:r>
      <w:r w:rsidRPr="00D07230">
        <w:rPr>
          <w:rFonts w:ascii="Arial" w:hAnsi="Arial" w:cs="Arial"/>
          <w:i/>
          <w:iCs/>
          <w:sz w:val="22"/>
          <w:szCs w:val="22"/>
        </w:rPr>
        <w:t>BMC Medical Education</w:t>
      </w:r>
      <w:r w:rsidRPr="00D07230">
        <w:rPr>
          <w:rFonts w:ascii="Arial" w:hAnsi="Arial" w:cs="Arial"/>
          <w:sz w:val="22"/>
          <w:szCs w:val="22"/>
        </w:rPr>
        <w:t xml:space="preserve">, [online] 23(1). </w:t>
      </w:r>
      <w:hyperlink r:id="rId18" w:history="1">
        <w:r w:rsidRPr="00AA302C">
          <w:rPr>
            <w:rStyle w:val="Hyperlink"/>
            <w:rFonts w:ascii="Arial" w:hAnsi="Arial" w:cs="Arial"/>
            <w:sz w:val="22"/>
            <w:szCs w:val="22"/>
          </w:rPr>
          <w:t>https://doi.org/10.1186/s12909-023-04730-2</w:t>
        </w:r>
      </w:hyperlink>
      <w:r w:rsidRPr="00D07230">
        <w:rPr>
          <w:rFonts w:ascii="Arial" w:hAnsi="Arial" w:cs="Arial"/>
          <w:sz w:val="22"/>
          <w:szCs w:val="22"/>
        </w:rPr>
        <w:t>.</w:t>
      </w:r>
      <w:r>
        <w:rPr>
          <w:rFonts w:ascii="Arial" w:hAnsi="Arial" w:cs="Arial"/>
          <w:sz w:val="22"/>
          <w:szCs w:val="22"/>
        </w:rPr>
        <w:t xml:space="preserve"> </w:t>
      </w:r>
    </w:p>
    <w:p w14:paraId="324B2776"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NHS England (n.d.). </w:t>
      </w:r>
      <w:r>
        <w:rPr>
          <w:rFonts w:ascii="Arial" w:hAnsi="Arial" w:cs="Arial"/>
          <w:i/>
          <w:iCs/>
          <w:sz w:val="22"/>
          <w:szCs w:val="22"/>
        </w:rPr>
        <w:t>NHS England » Robyn’s story</w:t>
      </w:r>
      <w:r>
        <w:rPr>
          <w:rFonts w:ascii="Arial" w:hAnsi="Arial" w:cs="Arial"/>
          <w:sz w:val="22"/>
          <w:szCs w:val="22"/>
        </w:rPr>
        <w:t xml:space="preserve">. [online] www.england.nhs.uk. Available at: </w:t>
      </w:r>
      <w:hyperlink r:id="rId19" w:history="1">
        <w:r w:rsidRPr="00467284">
          <w:rPr>
            <w:rStyle w:val="Hyperlink"/>
            <w:rFonts w:ascii="Arial" w:hAnsi="Arial" w:cs="Arial"/>
            <w:sz w:val="22"/>
            <w:szCs w:val="22"/>
          </w:rPr>
          <w:t>https://www.england.nhs.uk/personalisedcare/comprehensive-model/case-studies/robyns-story/</w:t>
        </w:r>
      </w:hyperlink>
      <w:r>
        <w:rPr>
          <w:rFonts w:ascii="Arial" w:hAnsi="Arial" w:cs="Arial"/>
          <w:sz w:val="22"/>
          <w:szCs w:val="22"/>
        </w:rPr>
        <w:t xml:space="preserve"> </w:t>
      </w:r>
    </w:p>
    <w:p w14:paraId="08359B0F"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Reeves, K. and Jones, N. (2022). Ethical challenges in chronic pain. </w:t>
      </w:r>
      <w:r>
        <w:rPr>
          <w:rFonts w:ascii="Arial" w:hAnsi="Arial" w:cs="Arial"/>
          <w:i/>
          <w:iCs/>
          <w:sz w:val="22"/>
          <w:szCs w:val="22"/>
        </w:rPr>
        <w:t>Primary Care: Clinics in Office Practice</w:t>
      </w:r>
      <w:r>
        <w:rPr>
          <w:rFonts w:ascii="Arial" w:hAnsi="Arial" w:cs="Arial"/>
          <w:sz w:val="22"/>
          <w:szCs w:val="22"/>
        </w:rPr>
        <w:t>, 49(3), pp.497–506. https://doi.org/10.1016/j.pop.2022.01.002.</w:t>
      </w:r>
    </w:p>
    <w:p w14:paraId="0B8A42FA"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Thomson, M., Waterson, H. and Chatterjee, H.J. (2024). Successes and challenges of partnership working to tackle health inequalities using collaborative approaches to community-based research: Mixed methods analysis of focus group evidence. </w:t>
      </w:r>
      <w:r>
        <w:rPr>
          <w:rFonts w:ascii="Arial" w:hAnsi="Arial" w:cs="Arial"/>
          <w:i/>
          <w:iCs/>
          <w:sz w:val="22"/>
          <w:szCs w:val="22"/>
        </w:rPr>
        <w:t>International journal for equity in health</w:t>
      </w:r>
      <w:r>
        <w:rPr>
          <w:rFonts w:ascii="Arial" w:hAnsi="Arial" w:cs="Arial"/>
          <w:sz w:val="22"/>
          <w:szCs w:val="22"/>
        </w:rPr>
        <w:t xml:space="preserve">, [online] 23(1). </w:t>
      </w:r>
      <w:hyperlink r:id="rId20" w:history="1">
        <w:r w:rsidRPr="00467284">
          <w:rPr>
            <w:rStyle w:val="Hyperlink"/>
            <w:rFonts w:ascii="Arial" w:hAnsi="Arial" w:cs="Arial"/>
            <w:sz w:val="22"/>
            <w:szCs w:val="22"/>
          </w:rPr>
          <w:t>https://doi.org/10.1186/s12939-024-02216-1</w:t>
        </w:r>
      </w:hyperlink>
      <w:r>
        <w:rPr>
          <w:rFonts w:ascii="Arial" w:hAnsi="Arial" w:cs="Arial"/>
          <w:sz w:val="22"/>
          <w:szCs w:val="22"/>
        </w:rPr>
        <w:t xml:space="preserve">. </w:t>
      </w:r>
    </w:p>
    <w:p w14:paraId="523830F5" w14:textId="77777777" w:rsidR="00D07230" w:rsidRDefault="00D07230" w:rsidP="0061045F">
      <w:pPr>
        <w:pStyle w:val="NormalWeb"/>
        <w:spacing w:after="240" w:line="240" w:lineRule="auto"/>
        <w:ind w:left="720" w:hanging="720"/>
        <w:rPr>
          <w:rFonts w:ascii="Arial" w:hAnsi="Arial" w:cs="Arial"/>
          <w:sz w:val="22"/>
          <w:szCs w:val="22"/>
        </w:rPr>
      </w:pPr>
      <w:r>
        <w:rPr>
          <w:rFonts w:ascii="Arial" w:hAnsi="Arial" w:cs="Arial"/>
          <w:sz w:val="22"/>
          <w:szCs w:val="22"/>
        </w:rPr>
        <w:t xml:space="preserve">van Loon, J., Janssen, M., Janssen, B., de Rooij, I. and Luijkx, K. (2023). Developing a person-centred care environment aiming to enhance the autonomy of nursing home residents with physical impairments, a descriptive study. </w:t>
      </w:r>
      <w:r>
        <w:rPr>
          <w:rFonts w:ascii="Arial" w:hAnsi="Arial" w:cs="Arial"/>
          <w:i/>
          <w:iCs/>
          <w:sz w:val="22"/>
          <w:szCs w:val="22"/>
        </w:rPr>
        <w:t>BMC Geriatrics</w:t>
      </w:r>
      <w:r>
        <w:rPr>
          <w:rFonts w:ascii="Arial" w:hAnsi="Arial" w:cs="Arial"/>
          <w:sz w:val="22"/>
          <w:szCs w:val="22"/>
        </w:rPr>
        <w:t xml:space="preserve">, [online] 23(1). </w:t>
      </w:r>
      <w:hyperlink r:id="rId21" w:history="1">
        <w:r w:rsidRPr="00467284">
          <w:rPr>
            <w:rStyle w:val="Hyperlink"/>
            <w:rFonts w:ascii="Arial" w:hAnsi="Arial" w:cs="Arial"/>
            <w:sz w:val="22"/>
            <w:szCs w:val="22"/>
          </w:rPr>
          <w:t>https://doi.org/10.1186/s12877-023-04434-8</w:t>
        </w:r>
      </w:hyperlink>
      <w:r>
        <w:rPr>
          <w:rFonts w:ascii="Arial" w:hAnsi="Arial" w:cs="Arial"/>
          <w:sz w:val="22"/>
          <w:szCs w:val="22"/>
        </w:rPr>
        <w:t xml:space="preserve">. </w:t>
      </w:r>
    </w:p>
    <w:p w14:paraId="50BB136D" w14:textId="77777777" w:rsidR="00D07230" w:rsidRPr="00D07230" w:rsidRDefault="00D07230" w:rsidP="00D07230">
      <w:pPr>
        <w:pStyle w:val="NormalWeb"/>
        <w:spacing w:after="240" w:line="240" w:lineRule="auto"/>
        <w:ind w:left="720" w:hanging="720"/>
        <w:rPr>
          <w:rFonts w:ascii="Arial" w:hAnsi="Arial" w:cs="Arial"/>
          <w:sz w:val="22"/>
          <w:szCs w:val="22"/>
        </w:rPr>
      </w:pPr>
      <w:r w:rsidRPr="00D07230">
        <w:rPr>
          <w:rFonts w:ascii="Arial" w:hAnsi="Arial" w:cs="Arial"/>
          <w:sz w:val="22"/>
          <w:szCs w:val="22"/>
        </w:rPr>
        <w:t xml:space="preserve">Voie, K.S., Wiles, J., Kjersti Sunde Mæhre, Kristiansen, M., Helgesen, A.K. and Blix, B.H. (2024). The timescapes of older adults living alone and receiving home care: An interview study. </w:t>
      </w:r>
      <w:r w:rsidRPr="00D07230">
        <w:rPr>
          <w:rFonts w:ascii="Arial" w:hAnsi="Arial" w:cs="Arial"/>
          <w:i/>
          <w:iCs/>
          <w:sz w:val="22"/>
          <w:szCs w:val="22"/>
        </w:rPr>
        <w:t>Journal of Aging Studies</w:t>
      </w:r>
      <w:r w:rsidRPr="00D07230">
        <w:rPr>
          <w:rFonts w:ascii="Arial" w:hAnsi="Arial" w:cs="Arial"/>
          <w:sz w:val="22"/>
          <w:szCs w:val="22"/>
        </w:rPr>
        <w:t xml:space="preserve">, 68, pp.101212–101212. </w:t>
      </w:r>
      <w:hyperlink r:id="rId22" w:history="1">
        <w:r w:rsidRPr="00AA302C">
          <w:rPr>
            <w:rStyle w:val="Hyperlink"/>
            <w:rFonts w:ascii="Arial" w:hAnsi="Arial" w:cs="Arial"/>
            <w:sz w:val="22"/>
            <w:szCs w:val="22"/>
          </w:rPr>
          <w:t>https://doi.org/10.1016/j.jaging.2024.101212</w:t>
        </w:r>
      </w:hyperlink>
      <w:r w:rsidRPr="00D07230">
        <w:rPr>
          <w:rFonts w:ascii="Arial" w:hAnsi="Arial" w:cs="Arial"/>
          <w:sz w:val="22"/>
          <w:szCs w:val="22"/>
        </w:rPr>
        <w:t>.</w:t>
      </w:r>
      <w:r>
        <w:rPr>
          <w:rFonts w:ascii="Arial" w:hAnsi="Arial" w:cs="Arial"/>
          <w:sz w:val="22"/>
          <w:szCs w:val="22"/>
        </w:rPr>
        <w:t xml:space="preserve"> </w:t>
      </w:r>
    </w:p>
    <w:p w14:paraId="33E51012" w14:textId="77777777" w:rsidR="00D07230" w:rsidRDefault="00D07230" w:rsidP="0061045F">
      <w:pPr>
        <w:pStyle w:val="NormalWeb"/>
        <w:spacing w:after="240" w:line="240" w:lineRule="auto"/>
        <w:ind w:left="720" w:hanging="720"/>
        <w:rPr>
          <w:rFonts w:ascii="Arial" w:hAnsi="Arial" w:cs="Arial"/>
          <w:sz w:val="22"/>
          <w:szCs w:val="22"/>
        </w:rPr>
      </w:pPr>
    </w:p>
    <w:p w14:paraId="75A64359" w14:textId="77777777" w:rsidR="0061045F" w:rsidRPr="0061045F" w:rsidRDefault="0061045F" w:rsidP="0061045F"/>
    <w:sectPr w:rsidR="0061045F" w:rsidRPr="0061045F">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3CB5CF7" w14:textId="77777777" w:rsidR="00FB352D" w:rsidRDefault="00FB352D" w:rsidP="00A87747">
      <w:pPr>
        <w:spacing w:line="240" w:lineRule="auto"/>
      </w:pPr>
      <w:r>
        <w:separator/>
      </w:r>
    </w:p>
  </w:endnote>
  <w:endnote w:type="continuationSeparator" w:id="0">
    <w:p w14:paraId="20D9A36D" w14:textId="77777777" w:rsidR="00FB352D" w:rsidRDefault="00FB352D"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MS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Aptos Display">
    <w:panose1 w:val="020B0004020202020204"/>
    <w:charset w:val="00"/>
    <w:family w:val="swiss"/>
    <w:notTrueType/>
    <w:pitch w:val="variable"/>
    <w:sig w:usb0="20000287" w:usb1="00000003" w:usb2="00000000" w:usb3="00000000" w:csb0="0000019F" w:csb1="00000000"/>
  </w:font>
  <w:font w:name="Aptos">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6B10EC" w14:textId="77777777" w:rsidR="004D1E47" w:rsidRDefault="004D1E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FB5A14A" w14:textId="77777777" w:rsidR="00A87747" w:rsidRDefault="00A87747">
    <w:pPr>
      <w:pStyle w:val="Footer"/>
      <w:jc w:val="center"/>
    </w:pPr>
    <w:r>
      <w:fldChar w:fldCharType="begin"/>
    </w:r>
    <w:r>
      <w:instrText xml:space="preserve"> PAGE   \* MERGEFORMAT </w:instrText>
    </w:r>
    <w:r>
      <w:fldChar w:fldCharType="separate"/>
    </w:r>
    <w:r w:rsidR="00E02070">
      <w:rPr>
        <w:noProof/>
      </w:rPr>
      <w:t>1</w:t>
    </w:r>
    <w:r>
      <w:rPr>
        <w:noProof/>
      </w:rPr>
      <w:fldChar w:fldCharType="end"/>
    </w:r>
  </w:p>
  <w:p w14:paraId="15F94AE2"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D951F26" w14:textId="77777777" w:rsidR="004D1E47" w:rsidRDefault="004D1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4BC141" w14:textId="77777777" w:rsidR="00FB352D" w:rsidRDefault="00FB352D" w:rsidP="00A87747">
      <w:pPr>
        <w:spacing w:line="240" w:lineRule="auto"/>
      </w:pPr>
      <w:r>
        <w:separator/>
      </w:r>
    </w:p>
  </w:footnote>
  <w:footnote w:type="continuationSeparator" w:id="0">
    <w:p w14:paraId="55A96F59" w14:textId="77777777" w:rsidR="00FB352D" w:rsidRDefault="00FB352D"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70E788F" w14:textId="77777777" w:rsidR="004D1E47" w:rsidRDefault="004D1E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CFD490" w14:textId="77777777" w:rsidR="004D1E47" w:rsidRDefault="004D1E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CDF0F8" w14:textId="77777777" w:rsidR="004D1E47" w:rsidRDefault="004D1E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2"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3"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0449338">
    <w:abstractNumId w:val="1"/>
  </w:num>
  <w:num w:numId="2" w16cid:durableId="1680741982">
    <w:abstractNumId w:val="2"/>
  </w:num>
  <w:num w:numId="3" w16cid:durableId="1285581177">
    <w:abstractNumId w:val="11"/>
  </w:num>
  <w:num w:numId="4" w16cid:durableId="402415750">
    <w:abstractNumId w:val="25"/>
  </w:num>
  <w:num w:numId="5" w16cid:durableId="944922149">
    <w:abstractNumId w:val="10"/>
  </w:num>
  <w:num w:numId="6" w16cid:durableId="1957132621">
    <w:abstractNumId w:val="24"/>
  </w:num>
  <w:num w:numId="7" w16cid:durableId="1616978724">
    <w:abstractNumId w:val="28"/>
  </w:num>
  <w:num w:numId="8" w16cid:durableId="1293906279">
    <w:abstractNumId w:val="20"/>
  </w:num>
  <w:num w:numId="9" w16cid:durableId="1108500411">
    <w:abstractNumId w:val="7"/>
  </w:num>
  <w:num w:numId="10" w16cid:durableId="1213031216">
    <w:abstractNumId w:val="17"/>
  </w:num>
  <w:num w:numId="11" w16cid:durableId="1719209422">
    <w:abstractNumId w:val="21"/>
  </w:num>
  <w:num w:numId="12" w16cid:durableId="994407163">
    <w:abstractNumId w:val="12"/>
  </w:num>
  <w:num w:numId="13" w16cid:durableId="1345399767">
    <w:abstractNumId w:val="5"/>
  </w:num>
  <w:num w:numId="14" w16cid:durableId="127364710">
    <w:abstractNumId w:val="18"/>
  </w:num>
  <w:num w:numId="15" w16cid:durableId="120196853">
    <w:abstractNumId w:val="6"/>
  </w:num>
  <w:num w:numId="16" w16cid:durableId="2098356550">
    <w:abstractNumId w:val="23"/>
  </w:num>
  <w:num w:numId="17" w16cid:durableId="67070810">
    <w:abstractNumId w:val="4"/>
  </w:num>
  <w:num w:numId="18" w16cid:durableId="707531659">
    <w:abstractNumId w:val="19"/>
  </w:num>
  <w:num w:numId="19" w16cid:durableId="1620722738">
    <w:abstractNumId w:val="3"/>
  </w:num>
  <w:num w:numId="20" w16cid:durableId="37559198">
    <w:abstractNumId w:val="27"/>
  </w:num>
  <w:num w:numId="21" w16cid:durableId="1055856892">
    <w:abstractNumId w:val="14"/>
  </w:num>
  <w:num w:numId="22" w16cid:durableId="995232340">
    <w:abstractNumId w:val="13"/>
  </w:num>
  <w:num w:numId="23" w16cid:durableId="1613973081">
    <w:abstractNumId w:val="26"/>
  </w:num>
  <w:num w:numId="24" w16cid:durableId="96105044">
    <w:abstractNumId w:val="29"/>
  </w:num>
  <w:num w:numId="25" w16cid:durableId="1267733108">
    <w:abstractNumId w:val="8"/>
  </w:num>
  <w:num w:numId="26" w16cid:durableId="239681826">
    <w:abstractNumId w:val="16"/>
  </w:num>
  <w:num w:numId="27" w16cid:durableId="109015860">
    <w:abstractNumId w:val="15"/>
  </w:num>
  <w:num w:numId="28" w16cid:durableId="1960070497">
    <w:abstractNumId w:val="22"/>
  </w:num>
  <w:num w:numId="29" w16cid:durableId="1101218290">
    <w:abstractNumId w:val="9"/>
  </w:num>
  <w:num w:numId="30" w16cid:durableId="37384810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gwNagHjVD2ZLQAAAA=="/>
  </w:docVars>
  <w:rsids>
    <w:rsidRoot w:val="008D09FF"/>
    <w:rsid w:val="000143B4"/>
    <w:rsid w:val="000157F7"/>
    <w:rsid w:val="000169FC"/>
    <w:rsid w:val="00017DBB"/>
    <w:rsid w:val="00026F62"/>
    <w:rsid w:val="0003210E"/>
    <w:rsid w:val="00033E1E"/>
    <w:rsid w:val="00043DD1"/>
    <w:rsid w:val="00044E03"/>
    <w:rsid w:val="00051B13"/>
    <w:rsid w:val="0005499F"/>
    <w:rsid w:val="00073CCE"/>
    <w:rsid w:val="00077B6D"/>
    <w:rsid w:val="000824D7"/>
    <w:rsid w:val="00086364"/>
    <w:rsid w:val="0009752E"/>
    <w:rsid w:val="000A0300"/>
    <w:rsid w:val="000A2736"/>
    <w:rsid w:val="000A693F"/>
    <w:rsid w:val="000B55F1"/>
    <w:rsid w:val="000B7C25"/>
    <w:rsid w:val="000C54FA"/>
    <w:rsid w:val="000D13F2"/>
    <w:rsid w:val="000D1E89"/>
    <w:rsid w:val="000D5F91"/>
    <w:rsid w:val="000E3657"/>
    <w:rsid w:val="000E5B1D"/>
    <w:rsid w:val="000E7C63"/>
    <w:rsid w:val="000F799F"/>
    <w:rsid w:val="000F7A29"/>
    <w:rsid w:val="0010080F"/>
    <w:rsid w:val="001127EC"/>
    <w:rsid w:val="00115FA2"/>
    <w:rsid w:val="0011725C"/>
    <w:rsid w:val="0012311E"/>
    <w:rsid w:val="00124129"/>
    <w:rsid w:val="00131CE2"/>
    <w:rsid w:val="0013391F"/>
    <w:rsid w:val="00135FA8"/>
    <w:rsid w:val="00136BC9"/>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3768A"/>
    <w:rsid w:val="00245957"/>
    <w:rsid w:val="00245FD9"/>
    <w:rsid w:val="0024714F"/>
    <w:rsid w:val="00251842"/>
    <w:rsid w:val="00255300"/>
    <w:rsid w:val="0025778E"/>
    <w:rsid w:val="00260A36"/>
    <w:rsid w:val="00267D0D"/>
    <w:rsid w:val="00273F83"/>
    <w:rsid w:val="002923C2"/>
    <w:rsid w:val="0029461D"/>
    <w:rsid w:val="002A218E"/>
    <w:rsid w:val="002B1C88"/>
    <w:rsid w:val="002B6D16"/>
    <w:rsid w:val="002C58C6"/>
    <w:rsid w:val="002C5976"/>
    <w:rsid w:val="002C5AFE"/>
    <w:rsid w:val="002C5DF6"/>
    <w:rsid w:val="002D1AFD"/>
    <w:rsid w:val="002D5608"/>
    <w:rsid w:val="002E2445"/>
    <w:rsid w:val="002F3715"/>
    <w:rsid w:val="002F4C8F"/>
    <w:rsid w:val="00306373"/>
    <w:rsid w:val="0033095C"/>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10CC"/>
    <w:rsid w:val="00454D5E"/>
    <w:rsid w:val="00455304"/>
    <w:rsid w:val="00460545"/>
    <w:rsid w:val="0046208D"/>
    <w:rsid w:val="00466441"/>
    <w:rsid w:val="0047293C"/>
    <w:rsid w:val="00480840"/>
    <w:rsid w:val="004836C4"/>
    <w:rsid w:val="0049537E"/>
    <w:rsid w:val="00496C57"/>
    <w:rsid w:val="004A17F2"/>
    <w:rsid w:val="004A42D9"/>
    <w:rsid w:val="004A6F78"/>
    <w:rsid w:val="004A78C8"/>
    <w:rsid w:val="004B2DC1"/>
    <w:rsid w:val="004B6253"/>
    <w:rsid w:val="004B637E"/>
    <w:rsid w:val="004C33E1"/>
    <w:rsid w:val="004D1E47"/>
    <w:rsid w:val="004D5B16"/>
    <w:rsid w:val="004D5BFC"/>
    <w:rsid w:val="004E44CC"/>
    <w:rsid w:val="004F2301"/>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1A99"/>
    <w:rsid w:val="005A4881"/>
    <w:rsid w:val="005A4EB5"/>
    <w:rsid w:val="005B1D0F"/>
    <w:rsid w:val="005B3892"/>
    <w:rsid w:val="005C2B38"/>
    <w:rsid w:val="005C6F1F"/>
    <w:rsid w:val="005C729D"/>
    <w:rsid w:val="005C73F9"/>
    <w:rsid w:val="005C740A"/>
    <w:rsid w:val="005D49B9"/>
    <w:rsid w:val="005F292C"/>
    <w:rsid w:val="0060463A"/>
    <w:rsid w:val="00607926"/>
    <w:rsid w:val="0060794E"/>
    <w:rsid w:val="0061045F"/>
    <w:rsid w:val="0061173B"/>
    <w:rsid w:val="00615B24"/>
    <w:rsid w:val="00621B9C"/>
    <w:rsid w:val="006237FB"/>
    <w:rsid w:val="00625FFA"/>
    <w:rsid w:val="006302B6"/>
    <w:rsid w:val="006407FE"/>
    <w:rsid w:val="006438EC"/>
    <w:rsid w:val="006475FF"/>
    <w:rsid w:val="00654A6E"/>
    <w:rsid w:val="00661773"/>
    <w:rsid w:val="0066496D"/>
    <w:rsid w:val="00671F66"/>
    <w:rsid w:val="006736B5"/>
    <w:rsid w:val="00674A76"/>
    <w:rsid w:val="00682A76"/>
    <w:rsid w:val="00682D74"/>
    <w:rsid w:val="00684916"/>
    <w:rsid w:val="006948E8"/>
    <w:rsid w:val="00697727"/>
    <w:rsid w:val="00697A37"/>
    <w:rsid w:val="006A724A"/>
    <w:rsid w:val="006B65D2"/>
    <w:rsid w:val="006C4A7F"/>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03E3"/>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853CB"/>
    <w:rsid w:val="008934D6"/>
    <w:rsid w:val="008A4FEE"/>
    <w:rsid w:val="008A5AAC"/>
    <w:rsid w:val="008B1220"/>
    <w:rsid w:val="008B1D5E"/>
    <w:rsid w:val="008B6785"/>
    <w:rsid w:val="008C4464"/>
    <w:rsid w:val="008C5894"/>
    <w:rsid w:val="008D09FF"/>
    <w:rsid w:val="008E6B1D"/>
    <w:rsid w:val="008F29E6"/>
    <w:rsid w:val="008F447F"/>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02715"/>
    <w:rsid w:val="00C106CE"/>
    <w:rsid w:val="00C14BE6"/>
    <w:rsid w:val="00C24BF1"/>
    <w:rsid w:val="00C41329"/>
    <w:rsid w:val="00C42A3F"/>
    <w:rsid w:val="00C42CEC"/>
    <w:rsid w:val="00C433FF"/>
    <w:rsid w:val="00C47BCC"/>
    <w:rsid w:val="00C52007"/>
    <w:rsid w:val="00C53CCD"/>
    <w:rsid w:val="00C57D30"/>
    <w:rsid w:val="00C64C11"/>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07230"/>
    <w:rsid w:val="00D20ECD"/>
    <w:rsid w:val="00D2166C"/>
    <w:rsid w:val="00D23569"/>
    <w:rsid w:val="00D30910"/>
    <w:rsid w:val="00D35421"/>
    <w:rsid w:val="00D4151E"/>
    <w:rsid w:val="00D444CD"/>
    <w:rsid w:val="00D50037"/>
    <w:rsid w:val="00D73C7F"/>
    <w:rsid w:val="00D77CC5"/>
    <w:rsid w:val="00D81130"/>
    <w:rsid w:val="00D942AF"/>
    <w:rsid w:val="00D9463B"/>
    <w:rsid w:val="00DA01EB"/>
    <w:rsid w:val="00DA3189"/>
    <w:rsid w:val="00DA3A21"/>
    <w:rsid w:val="00DA5D0B"/>
    <w:rsid w:val="00DB19D0"/>
    <w:rsid w:val="00DB5216"/>
    <w:rsid w:val="00DC13DA"/>
    <w:rsid w:val="00DC49BD"/>
    <w:rsid w:val="00DC5F06"/>
    <w:rsid w:val="00DD45E3"/>
    <w:rsid w:val="00DD6A76"/>
    <w:rsid w:val="00DE0958"/>
    <w:rsid w:val="00DE64C4"/>
    <w:rsid w:val="00DF037E"/>
    <w:rsid w:val="00DF1339"/>
    <w:rsid w:val="00DF2060"/>
    <w:rsid w:val="00DF6304"/>
    <w:rsid w:val="00E000B9"/>
    <w:rsid w:val="00E02070"/>
    <w:rsid w:val="00E039C5"/>
    <w:rsid w:val="00E03A4B"/>
    <w:rsid w:val="00E27145"/>
    <w:rsid w:val="00E315EE"/>
    <w:rsid w:val="00E37264"/>
    <w:rsid w:val="00E41AB6"/>
    <w:rsid w:val="00E4715B"/>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5A66"/>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71CCB"/>
    <w:rsid w:val="00FA1905"/>
    <w:rsid w:val="00FA3835"/>
    <w:rsid w:val="00FB012C"/>
    <w:rsid w:val="00FB352D"/>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AC1436A"/>
  <w15:chartTrackingRefBased/>
  <w15:docId w15:val="{7D86B798-C6AD-7946-869C-1470D1E21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5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paragraph" w:styleId="ListBullet">
    <w:name w:val="List Bullet"/>
    <w:basedOn w:val="Normal"/>
    <w:uiPriority w:val="99"/>
    <w:unhideWhenUsed/>
    <w:rsid w:val="00DA01EB"/>
    <w:pPr>
      <w:numPr>
        <w:numId w:val="30"/>
      </w:numPr>
      <w:tabs>
        <w:tab w:val="clear" w:pos="360"/>
        <w:tab w:val="num" w:pos="0"/>
      </w:tabs>
      <w:suppressAutoHyphens w:val="0"/>
      <w:spacing w:after="120"/>
      <w:ind w:left="432" w:hanging="432"/>
      <w:contextualSpacing/>
    </w:pPr>
    <w:rPr>
      <w:rFonts w:ascii="Arial" w:eastAsia="Arial" w:hAnsi="Arial"/>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297837281">
      <w:bodyDiv w:val="1"/>
      <w:marLeft w:val="0"/>
      <w:marRight w:val="0"/>
      <w:marTop w:val="0"/>
      <w:marBottom w:val="0"/>
      <w:divBdr>
        <w:top w:val="none" w:sz="0" w:space="0" w:color="auto"/>
        <w:left w:val="none" w:sz="0" w:space="0" w:color="auto"/>
        <w:bottom w:val="none" w:sz="0" w:space="0" w:color="auto"/>
        <w:right w:val="none" w:sz="0" w:space="0" w:color="auto"/>
      </w:divBdr>
      <w:divsChild>
        <w:div w:id="1530098511">
          <w:marLeft w:val="0"/>
          <w:marRight w:val="0"/>
          <w:marTop w:val="0"/>
          <w:marBottom w:val="0"/>
          <w:divBdr>
            <w:top w:val="none" w:sz="0" w:space="0" w:color="auto"/>
            <w:left w:val="none" w:sz="0" w:space="0" w:color="auto"/>
            <w:bottom w:val="none" w:sz="0" w:space="0" w:color="auto"/>
            <w:right w:val="none" w:sz="0" w:space="0" w:color="auto"/>
          </w:divBdr>
        </w:div>
      </w:divsChild>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57697208">
      <w:bodyDiv w:val="1"/>
      <w:marLeft w:val="0"/>
      <w:marRight w:val="0"/>
      <w:marTop w:val="0"/>
      <w:marBottom w:val="0"/>
      <w:divBdr>
        <w:top w:val="none" w:sz="0" w:space="0" w:color="auto"/>
        <w:left w:val="none" w:sz="0" w:space="0" w:color="auto"/>
        <w:bottom w:val="none" w:sz="0" w:space="0" w:color="auto"/>
        <w:right w:val="none" w:sz="0" w:space="0" w:color="auto"/>
      </w:divBdr>
      <w:divsChild>
        <w:div w:id="1006320810">
          <w:marLeft w:val="0"/>
          <w:marRight w:val="0"/>
          <w:marTop w:val="0"/>
          <w:marBottom w:val="0"/>
          <w:divBdr>
            <w:top w:val="none" w:sz="0" w:space="0" w:color="auto"/>
            <w:left w:val="none" w:sz="0" w:space="0" w:color="auto"/>
            <w:bottom w:val="none" w:sz="0" w:space="0" w:color="auto"/>
            <w:right w:val="none" w:sz="0" w:space="0" w:color="auto"/>
          </w:divBdr>
        </w:div>
      </w:divsChild>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publichealth.biomedcentral.com/articles/10.1186/s12889-024-20089-5" TargetMode="External"/><Relationship Id="rId13" Type="http://schemas.openxmlformats.org/officeDocument/2006/relationships/hyperlink" Target="https://doi.org/10.1186/s12913-022-08516-y" TargetMode="External"/><Relationship Id="rId18" Type="http://schemas.openxmlformats.org/officeDocument/2006/relationships/hyperlink" Target="https://doi.org/10.1186/s12909-023-04730-2"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1186/s12877-023-04434-8" TargetMode="External"/><Relationship Id="rId7" Type="http://schemas.openxmlformats.org/officeDocument/2006/relationships/endnotes" Target="endnotes.xml"/><Relationship Id="rId12" Type="http://schemas.openxmlformats.org/officeDocument/2006/relationships/hyperlink" Target="https://doi.org/10.13140/RG.2.2.36765.78563" TargetMode="External"/><Relationship Id="rId17" Type="http://schemas.openxmlformats.org/officeDocument/2006/relationships/hyperlink" Target="https://doi.org/10.3390/healthcare12222269"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46692/9781447331803.014" TargetMode="External"/><Relationship Id="rId20" Type="http://schemas.openxmlformats.org/officeDocument/2006/relationships/hyperlink" Target="https://doi.org/10.1186/s12939-024-02216-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875-023-02189-0"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1016/j.pec.2023.107965"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doi.org/10.1186/s12877-023-04533-6" TargetMode="External"/><Relationship Id="rId19" Type="http://schemas.openxmlformats.org/officeDocument/2006/relationships/hyperlink" Target="https://www.england.nhs.uk/personalisedcare/comprehensive-model/case-studies/robyns-story/" TargetMode="External"/><Relationship Id="rId4" Type="http://schemas.openxmlformats.org/officeDocument/2006/relationships/settings" Target="settings.xml"/><Relationship Id="rId9" Type="http://schemas.openxmlformats.org/officeDocument/2006/relationships/hyperlink" Target="https://doi.org/10.1186/s12913-022-07917-3" TargetMode="External"/><Relationship Id="rId14" Type="http://schemas.openxmlformats.org/officeDocument/2006/relationships/hyperlink" Target="https://doi.org/10.1016/j.jaging.2024.101215" TargetMode="External"/><Relationship Id="rId22" Type="http://schemas.openxmlformats.org/officeDocument/2006/relationships/hyperlink" Target="https://doi.org/10.1016/j.jaging.2024.101212"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907A5-FBC5-4158-994A-937601E62D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3217</Words>
  <Characters>18339</Characters>
  <Application>Microsoft Office Word</Application>
  <DocSecurity>0</DocSecurity>
  <Lines>152</Lines>
  <Paragraphs>43</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1. Introduction</vt:lpstr>
      <vt:lpstr>2. Task 1: Reflection on the Importance of Principles of Health and Social Care</vt:lpstr>
      <vt:lpstr>    2.1 Person-centred care</vt:lpstr>
      <vt:lpstr>    2.2 Partnership working</vt:lpstr>
      <vt:lpstr>    2.3 Ethical practice</vt:lpstr>
      <vt:lpstr>3. Task 2: Practical Example in Practice - Robyn’s Story</vt:lpstr>
      <vt:lpstr>    3.1 Case context and person-centred care</vt:lpstr>
      <vt:lpstr>    3.2 Partnership working and implementation limitations</vt:lpstr>
      <vt:lpstr>    3.3 Ethical practice and impact</vt:lpstr>
      <vt:lpstr/>
      <vt:lpstr>4. Task 3: Self-Reflection as a Health and Social Care Professional</vt:lpstr>
      <vt:lpstr>    4.1 Description and feelings</vt:lpstr>
      <vt:lpstr>    4.2 Evaluation and critical analysis</vt:lpstr>
      <vt:lpstr>    4.3 Strengths, limitations and professional development</vt:lpstr>
      <vt:lpstr>5. Conclusion</vt:lpstr>
      <vt:lpstr/>
      <vt:lpstr/>
      <vt:lpstr>References</vt:lpstr>
    </vt:vector>
  </TitlesOfParts>
  <Company/>
  <LinksUpToDate>false</LinksUpToDate>
  <CharactersWithSpaces>21513</CharactersWithSpaces>
  <SharedDoc>false</SharedDoc>
  <HLinks>
    <vt:vector size="108" baseType="variant">
      <vt:variant>
        <vt:i4>5046350</vt:i4>
      </vt:variant>
      <vt:variant>
        <vt:i4>105</vt:i4>
      </vt:variant>
      <vt:variant>
        <vt:i4>0</vt:i4>
      </vt:variant>
      <vt:variant>
        <vt:i4>5</vt:i4>
      </vt:variant>
      <vt:variant>
        <vt:lpwstr>https://doi.org/10.1016/j.jaging.2024.101212</vt:lpwstr>
      </vt:variant>
      <vt:variant>
        <vt:lpwstr/>
      </vt:variant>
      <vt:variant>
        <vt:i4>3014707</vt:i4>
      </vt:variant>
      <vt:variant>
        <vt:i4>102</vt:i4>
      </vt:variant>
      <vt:variant>
        <vt:i4>0</vt:i4>
      </vt:variant>
      <vt:variant>
        <vt:i4>5</vt:i4>
      </vt:variant>
      <vt:variant>
        <vt:lpwstr>https://doi.org/10.1186/s12877-023-04434-8</vt:lpwstr>
      </vt:variant>
      <vt:variant>
        <vt:lpwstr/>
      </vt:variant>
      <vt:variant>
        <vt:i4>2818099</vt:i4>
      </vt:variant>
      <vt:variant>
        <vt:i4>99</vt:i4>
      </vt:variant>
      <vt:variant>
        <vt:i4>0</vt:i4>
      </vt:variant>
      <vt:variant>
        <vt:i4>5</vt:i4>
      </vt:variant>
      <vt:variant>
        <vt:lpwstr>https://doi.org/10.1186/s12939-024-02216-1</vt:lpwstr>
      </vt:variant>
      <vt:variant>
        <vt:lpwstr/>
      </vt:variant>
      <vt:variant>
        <vt:i4>6881395</vt:i4>
      </vt:variant>
      <vt:variant>
        <vt:i4>96</vt:i4>
      </vt:variant>
      <vt:variant>
        <vt:i4>0</vt:i4>
      </vt:variant>
      <vt:variant>
        <vt:i4>5</vt:i4>
      </vt:variant>
      <vt:variant>
        <vt:lpwstr>https://www.england.nhs.uk/personalisedcare/comprehensive-model/case-studies/robyns-story/</vt:lpwstr>
      </vt:variant>
      <vt:variant>
        <vt:lpwstr/>
      </vt:variant>
      <vt:variant>
        <vt:i4>2883636</vt:i4>
      </vt:variant>
      <vt:variant>
        <vt:i4>93</vt:i4>
      </vt:variant>
      <vt:variant>
        <vt:i4>0</vt:i4>
      </vt:variant>
      <vt:variant>
        <vt:i4>5</vt:i4>
      </vt:variant>
      <vt:variant>
        <vt:lpwstr>https://doi.org/10.1186/s12909-023-04730-2</vt:lpwstr>
      </vt:variant>
      <vt:variant>
        <vt:lpwstr/>
      </vt:variant>
      <vt:variant>
        <vt:i4>7733298</vt:i4>
      </vt:variant>
      <vt:variant>
        <vt:i4>90</vt:i4>
      </vt:variant>
      <vt:variant>
        <vt:i4>0</vt:i4>
      </vt:variant>
      <vt:variant>
        <vt:i4>5</vt:i4>
      </vt:variant>
      <vt:variant>
        <vt:lpwstr>https://doi.org/10.3390/healthcare12222269</vt:lpwstr>
      </vt:variant>
      <vt:variant>
        <vt:lpwstr/>
      </vt:variant>
      <vt:variant>
        <vt:i4>3342437</vt:i4>
      </vt:variant>
      <vt:variant>
        <vt:i4>87</vt:i4>
      </vt:variant>
      <vt:variant>
        <vt:i4>0</vt:i4>
      </vt:variant>
      <vt:variant>
        <vt:i4>5</vt:i4>
      </vt:variant>
      <vt:variant>
        <vt:lpwstr>https://doi.org/10.46692/9781447331803.014</vt:lpwstr>
      </vt:variant>
      <vt:variant>
        <vt:lpwstr/>
      </vt:variant>
      <vt:variant>
        <vt:i4>4456450</vt:i4>
      </vt:variant>
      <vt:variant>
        <vt:i4>84</vt:i4>
      </vt:variant>
      <vt:variant>
        <vt:i4>0</vt:i4>
      </vt:variant>
      <vt:variant>
        <vt:i4>5</vt:i4>
      </vt:variant>
      <vt:variant>
        <vt:lpwstr>https://doi.org/10.1016/j.pec.2023.107965</vt:lpwstr>
      </vt:variant>
      <vt:variant>
        <vt:lpwstr/>
      </vt:variant>
      <vt:variant>
        <vt:i4>4849742</vt:i4>
      </vt:variant>
      <vt:variant>
        <vt:i4>81</vt:i4>
      </vt:variant>
      <vt:variant>
        <vt:i4>0</vt:i4>
      </vt:variant>
      <vt:variant>
        <vt:i4>5</vt:i4>
      </vt:variant>
      <vt:variant>
        <vt:lpwstr>https://doi.org/10.1016/j.jaging.2024.101215</vt:lpwstr>
      </vt:variant>
      <vt:variant>
        <vt:lpwstr/>
      </vt:variant>
      <vt:variant>
        <vt:i4>6815803</vt:i4>
      </vt:variant>
      <vt:variant>
        <vt:i4>78</vt:i4>
      </vt:variant>
      <vt:variant>
        <vt:i4>0</vt:i4>
      </vt:variant>
      <vt:variant>
        <vt:i4>5</vt:i4>
      </vt:variant>
      <vt:variant>
        <vt:lpwstr>https://doi.org/10.1186/s12913-022-08516-y</vt:lpwstr>
      </vt:variant>
      <vt:variant>
        <vt:lpwstr/>
      </vt:variant>
      <vt:variant>
        <vt:i4>7405606</vt:i4>
      </vt:variant>
      <vt:variant>
        <vt:i4>75</vt:i4>
      </vt:variant>
      <vt:variant>
        <vt:i4>0</vt:i4>
      </vt:variant>
      <vt:variant>
        <vt:i4>5</vt:i4>
      </vt:variant>
      <vt:variant>
        <vt:lpwstr>https://doi.org/10.13140/RG.2.2.36765.78563</vt:lpwstr>
      </vt:variant>
      <vt:variant>
        <vt:lpwstr/>
      </vt:variant>
      <vt:variant>
        <vt:i4>2883646</vt:i4>
      </vt:variant>
      <vt:variant>
        <vt:i4>72</vt:i4>
      </vt:variant>
      <vt:variant>
        <vt:i4>0</vt:i4>
      </vt:variant>
      <vt:variant>
        <vt:i4>5</vt:i4>
      </vt:variant>
      <vt:variant>
        <vt:lpwstr>https://doi.org/10.1186/s12875-023-02189-0</vt:lpwstr>
      </vt:variant>
      <vt:variant>
        <vt:lpwstr/>
      </vt:variant>
      <vt:variant>
        <vt:i4>2490419</vt:i4>
      </vt:variant>
      <vt:variant>
        <vt:i4>69</vt:i4>
      </vt:variant>
      <vt:variant>
        <vt:i4>0</vt:i4>
      </vt:variant>
      <vt:variant>
        <vt:i4>5</vt:i4>
      </vt:variant>
      <vt:variant>
        <vt:lpwstr>https://doi.org/10.1186/s12877-023-04533-6</vt:lpwstr>
      </vt:variant>
      <vt:variant>
        <vt:lpwstr/>
      </vt:variant>
      <vt:variant>
        <vt:i4>3080244</vt:i4>
      </vt:variant>
      <vt:variant>
        <vt:i4>66</vt:i4>
      </vt:variant>
      <vt:variant>
        <vt:i4>0</vt:i4>
      </vt:variant>
      <vt:variant>
        <vt:i4>5</vt:i4>
      </vt:variant>
      <vt:variant>
        <vt:lpwstr>https://doi.org/10.1186/s12913-022-07917-3</vt:lpwstr>
      </vt:variant>
      <vt:variant>
        <vt:lpwstr/>
      </vt:variant>
      <vt:variant>
        <vt:i4>5767178</vt:i4>
      </vt:variant>
      <vt:variant>
        <vt:i4>63</vt:i4>
      </vt:variant>
      <vt:variant>
        <vt:i4>0</vt:i4>
      </vt:variant>
      <vt:variant>
        <vt:i4>5</vt:i4>
      </vt:variant>
      <vt:variant>
        <vt:lpwstr>https://bmcpublichealth.biomedcentral.com/articles/10.1186/s12889-024-20089-5</vt:lpwstr>
      </vt:variant>
      <vt:variant>
        <vt:lpwstr/>
      </vt:variant>
      <vt:variant>
        <vt:i4>1572916</vt:i4>
      </vt:variant>
      <vt:variant>
        <vt:i4>47</vt:i4>
      </vt:variant>
      <vt:variant>
        <vt:i4>0</vt:i4>
      </vt:variant>
      <vt:variant>
        <vt:i4>5</vt:i4>
      </vt:variant>
      <vt:variant>
        <vt:lpwstr/>
      </vt:variant>
      <vt:variant>
        <vt:lpwstr>_Toc242371396</vt:lpwstr>
      </vt:variant>
      <vt:variant>
        <vt:i4>1572916</vt:i4>
      </vt:variant>
      <vt:variant>
        <vt:i4>41</vt:i4>
      </vt:variant>
      <vt:variant>
        <vt:i4>0</vt:i4>
      </vt:variant>
      <vt:variant>
        <vt:i4>5</vt:i4>
      </vt:variant>
      <vt:variant>
        <vt:lpwstr/>
      </vt:variant>
      <vt:variant>
        <vt:lpwstr>_Toc242371395</vt:lpwstr>
      </vt:variant>
      <vt:variant>
        <vt:i4>1572916</vt:i4>
      </vt:variant>
      <vt:variant>
        <vt:i4>35</vt:i4>
      </vt:variant>
      <vt:variant>
        <vt:i4>0</vt:i4>
      </vt:variant>
      <vt:variant>
        <vt:i4>5</vt:i4>
      </vt:variant>
      <vt:variant>
        <vt:lpwstr/>
      </vt:variant>
      <vt:variant>
        <vt:lpwstr>_Toc242371394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samaria bibi</cp:lastModifiedBy>
  <cp:revision>2</cp:revision>
  <cp:lastPrinted>1900-01-01T00:00:00Z</cp:lastPrinted>
  <dcterms:created xsi:type="dcterms:W3CDTF">2026-10-21T10:11:00Z</dcterms:created>
  <dcterms:modified xsi:type="dcterms:W3CDTF">2026-10-21T10:11:00Z</dcterms:modified>
</cp:coreProperties>
</file>