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71E5F" w:rsidRPr="000B6C33" w:rsidRDefault="00B71E5F" w:rsidP="000B6C33">
      <w:pPr>
        <w:spacing w:line="360" w:lineRule="auto"/>
        <w:jc w:val="both"/>
        <w:rPr>
          <w:b/>
        </w:rPr>
      </w:pPr>
    </w:p>
    <w:p w:rsidR="00B71E5F" w:rsidRPr="000B6C33" w:rsidRDefault="00B71E5F" w:rsidP="000B6C33">
      <w:pPr>
        <w:spacing w:line="360" w:lineRule="auto"/>
        <w:jc w:val="both"/>
        <w:rPr>
          <w:b/>
        </w:rPr>
      </w:pPr>
    </w:p>
    <w:p w:rsidR="00B71E5F" w:rsidRPr="000B6C33" w:rsidRDefault="00B71E5F" w:rsidP="000B6C33">
      <w:pPr>
        <w:spacing w:line="360" w:lineRule="auto"/>
        <w:jc w:val="both"/>
        <w:rPr>
          <w:b/>
        </w:rPr>
      </w:pPr>
    </w:p>
    <w:p w:rsidR="00B71E5F" w:rsidRPr="000B6C33" w:rsidRDefault="00B71E5F" w:rsidP="000B6C33">
      <w:pPr>
        <w:spacing w:line="360" w:lineRule="auto"/>
        <w:jc w:val="both"/>
        <w:rPr>
          <w:b/>
        </w:rPr>
      </w:pPr>
    </w:p>
    <w:p w:rsidR="00B71E5F" w:rsidRPr="000B6C33" w:rsidRDefault="00B71E5F" w:rsidP="000B6C33">
      <w:pPr>
        <w:spacing w:line="360" w:lineRule="auto"/>
        <w:jc w:val="both"/>
        <w:rPr>
          <w:b/>
        </w:rPr>
      </w:pPr>
    </w:p>
    <w:p w:rsidR="00B71E5F" w:rsidRPr="000B6C33" w:rsidRDefault="00B71E5F" w:rsidP="000B6C33">
      <w:pPr>
        <w:spacing w:line="360" w:lineRule="auto"/>
        <w:jc w:val="both"/>
        <w:rPr>
          <w:b/>
        </w:rPr>
      </w:pPr>
    </w:p>
    <w:p w:rsidR="00B71E5F" w:rsidRPr="000B6C33" w:rsidRDefault="00B71E5F" w:rsidP="000B6C33">
      <w:pPr>
        <w:spacing w:line="360" w:lineRule="auto"/>
        <w:jc w:val="center"/>
        <w:rPr>
          <w:b/>
          <w:sz w:val="36"/>
        </w:rPr>
      </w:pPr>
    </w:p>
    <w:p w:rsidR="00B71E5F" w:rsidRPr="000B6C33" w:rsidRDefault="00B670EF" w:rsidP="000B6C33">
      <w:pPr>
        <w:spacing w:line="360" w:lineRule="auto"/>
        <w:jc w:val="center"/>
        <w:rPr>
          <w:b/>
          <w:sz w:val="36"/>
        </w:rPr>
      </w:pPr>
      <w:r w:rsidRPr="000B6C33">
        <w:rPr>
          <w:b/>
          <w:sz w:val="36"/>
        </w:rPr>
        <w:t>ACCOUNTING FUNDAMENTALS</w:t>
      </w:r>
    </w:p>
    <w:p w:rsidR="00B71E5F" w:rsidRPr="000B6C33" w:rsidRDefault="00B71E5F" w:rsidP="000B6C33">
      <w:pPr>
        <w:spacing w:line="360" w:lineRule="auto"/>
        <w:jc w:val="both"/>
        <w:rPr>
          <w:b/>
        </w:rPr>
      </w:pPr>
    </w:p>
    <w:p w:rsidR="00B71E5F" w:rsidRPr="000B6C33" w:rsidRDefault="00B71E5F" w:rsidP="000B6C33">
      <w:pPr>
        <w:spacing w:line="360" w:lineRule="auto"/>
        <w:jc w:val="both"/>
        <w:rPr>
          <w:b/>
        </w:rPr>
      </w:pPr>
    </w:p>
    <w:p w:rsidR="00B71E5F" w:rsidRPr="000B6C33" w:rsidRDefault="00B71E5F" w:rsidP="000B6C33">
      <w:pPr>
        <w:spacing w:line="360" w:lineRule="auto"/>
        <w:jc w:val="both"/>
        <w:rPr>
          <w:b/>
        </w:rPr>
      </w:pPr>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71E5F" w:rsidRPr="000B6C33">
        <w:tc>
          <w:tcPr>
            <w:tcW w:w="4514" w:type="dxa"/>
            <w:shd w:val="clear" w:color="auto" w:fill="auto"/>
            <w:tcMar>
              <w:top w:w="100" w:type="dxa"/>
              <w:left w:w="100" w:type="dxa"/>
              <w:bottom w:w="100" w:type="dxa"/>
              <w:right w:w="100" w:type="dxa"/>
            </w:tcMar>
          </w:tcPr>
          <w:p w:rsidR="00B71E5F" w:rsidRPr="000B6C33" w:rsidRDefault="00B670EF" w:rsidP="000B6C33">
            <w:pPr>
              <w:widowControl w:val="0"/>
              <w:pBdr>
                <w:top w:val="nil"/>
                <w:left w:val="nil"/>
                <w:bottom w:val="nil"/>
                <w:right w:val="nil"/>
                <w:between w:val="nil"/>
              </w:pBdr>
              <w:spacing w:line="360" w:lineRule="auto"/>
              <w:jc w:val="both"/>
              <w:rPr>
                <w:b/>
              </w:rPr>
            </w:pPr>
            <w:r w:rsidRPr="000B6C33">
              <w:rPr>
                <w:b/>
              </w:rPr>
              <w:t>Student Name</w:t>
            </w:r>
          </w:p>
        </w:tc>
        <w:tc>
          <w:tcPr>
            <w:tcW w:w="4514" w:type="dxa"/>
            <w:shd w:val="clear" w:color="auto" w:fill="auto"/>
            <w:tcMar>
              <w:top w:w="100" w:type="dxa"/>
              <w:left w:w="100" w:type="dxa"/>
              <w:bottom w:w="100" w:type="dxa"/>
              <w:right w:w="100" w:type="dxa"/>
            </w:tcMar>
          </w:tcPr>
          <w:p w:rsidR="00B71E5F" w:rsidRPr="000B6C33" w:rsidRDefault="006B7225" w:rsidP="000B6C33">
            <w:pPr>
              <w:widowControl w:val="0"/>
              <w:pBdr>
                <w:top w:val="nil"/>
                <w:left w:val="nil"/>
                <w:bottom w:val="nil"/>
                <w:right w:val="nil"/>
                <w:between w:val="nil"/>
              </w:pBdr>
              <w:spacing w:line="360" w:lineRule="auto"/>
              <w:jc w:val="both"/>
              <w:rPr>
                <w:b/>
              </w:rPr>
            </w:pPr>
            <w:r>
              <w:rPr>
                <w:b/>
              </w:rPr>
              <w:t>FLORINA Roxana Gavril</w:t>
            </w:r>
          </w:p>
        </w:tc>
      </w:tr>
      <w:tr w:rsidR="00B71E5F" w:rsidRPr="000B6C33">
        <w:tc>
          <w:tcPr>
            <w:tcW w:w="4514" w:type="dxa"/>
            <w:shd w:val="clear" w:color="auto" w:fill="auto"/>
            <w:tcMar>
              <w:top w:w="100" w:type="dxa"/>
              <w:left w:w="100" w:type="dxa"/>
              <w:bottom w:w="100" w:type="dxa"/>
              <w:right w:w="100" w:type="dxa"/>
            </w:tcMar>
          </w:tcPr>
          <w:p w:rsidR="00B71E5F" w:rsidRPr="000B6C33" w:rsidRDefault="00B670EF" w:rsidP="000B6C33">
            <w:pPr>
              <w:widowControl w:val="0"/>
              <w:pBdr>
                <w:top w:val="nil"/>
                <w:left w:val="nil"/>
                <w:bottom w:val="nil"/>
                <w:right w:val="nil"/>
                <w:between w:val="nil"/>
              </w:pBdr>
              <w:spacing w:line="360" w:lineRule="auto"/>
              <w:jc w:val="both"/>
              <w:rPr>
                <w:b/>
              </w:rPr>
            </w:pPr>
            <w:r w:rsidRPr="000B6C33">
              <w:rPr>
                <w:b/>
              </w:rPr>
              <w:t>Student ID Number</w:t>
            </w:r>
          </w:p>
        </w:tc>
        <w:tc>
          <w:tcPr>
            <w:tcW w:w="4514" w:type="dxa"/>
            <w:shd w:val="clear" w:color="auto" w:fill="auto"/>
            <w:tcMar>
              <w:top w:w="100" w:type="dxa"/>
              <w:left w:w="100" w:type="dxa"/>
              <w:bottom w:w="100" w:type="dxa"/>
              <w:right w:w="100" w:type="dxa"/>
            </w:tcMar>
          </w:tcPr>
          <w:p w:rsidR="00B71E5F" w:rsidRPr="000B6C33" w:rsidRDefault="006B7225" w:rsidP="000B6C33">
            <w:pPr>
              <w:widowControl w:val="0"/>
              <w:pBdr>
                <w:top w:val="nil"/>
                <w:left w:val="nil"/>
                <w:bottom w:val="nil"/>
                <w:right w:val="nil"/>
                <w:between w:val="nil"/>
              </w:pBdr>
              <w:spacing w:line="360" w:lineRule="auto"/>
              <w:jc w:val="both"/>
              <w:rPr>
                <w:b/>
              </w:rPr>
            </w:pPr>
            <w:r>
              <w:rPr>
                <w:b/>
              </w:rPr>
              <w:t>2108397</w:t>
            </w:r>
          </w:p>
        </w:tc>
      </w:tr>
      <w:tr w:rsidR="00B71E5F" w:rsidRPr="000B6C33">
        <w:tc>
          <w:tcPr>
            <w:tcW w:w="4514" w:type="dxa"/>
            <w:shd w:val="clear" w:color="auto" w:fill="auto"/>
            <w:tcMar>
              <w:top w:w="100" w:type="dxa"/>
              <w:left w:w="100" w:type="dxa"/>
              <w:bottom w:w="100" w:type="dxa"/>
              <w:right w:w="100" w:type="dxa"/>
            </w:tcMar>
          </w:tcPr>
          <w:p w:rsidR="00B71E5F" w:rsidRPr="000B6C33" w:rsidRDefault="00B670EF" w:rsidP="000B6C33">
            <w:pPr>
              <w:widowControl w:val="0"/>
              <w:pBdr>
                <w:top w:val="nil"/>
                <w:left w:val="nil"/>
                <w:bottom w:val="nil"/>
                <w:right w:val="nil"/>
                <w:between w:val="nil"/>
              </w:pBdr>
              <w:spacing w:line="360" w:lineRule="auto"/>
              <w:jc w:val="both"/>
              <w:rPr>
                <w:b/>
              </w:rPr>
            </w:pPr>
            <w:r w:rsidRPr="000B6C33">
              <w:rPr>
                <w:b/>
              </w:rPr>
              <w:t>Module Code</w:t>
            </w:r>
          </w:p>
        </w:tc>
        <w:tc>
          <w:tcPr>
            <w:tcW w:w="4514" w:type="dxa"/>
            <w:shd w:val="clear" w:color="auto" w:fill="auto"/>
            <w:tcMar>
              <w:top w:w="100" w:type="dxa"/>
              <w:left w:w="100" w:type="dxa"/>
              <w:bottom w:w="100" w:type="dxa"/>
              <w:right w:w="100" w:type="dxa"/>
            </w:tcMar>
          </w:tcPr>
          <w:p w:rsidR="00B71E5F" w:rsidRPr="000B6C33" w:rsidRDefault="006B7225" w:rsidP="000B6C33">
            <w:pPr>
              <w:widowControl w:val="0"/>
              <w:pBdr>
                <w:top w:val="nil"/>
                <w:left w:val="nil"/>
                <w:bottom w:val="nil"/>
                <w:right w:val="nil"/>
                <w:between w:val="nil"/>
              </w:pBdr>
              <w:spacing w:line="360" w:lineRule="auto"/>
              <w:jc w:val="both"/>
              <w:rPr>
                <w:b/>
              </w:rPr>
            </w:pPr>
            <w:r>
              <w:rPr>
                <w:b/>
              </w:rPr>
              <w:t>LCBB4001</w:t>
            </w:r>
          </w:p>
        </w:tc>
      </w:tr>
      <w:tr w:rsidR="00B71E5F" w:rsidRPr="000B6C33">
        <w:tc>
          <w:tcPr>
            <w:tcW w:w="4514" w:type="dxa"/>
            <w:shd w:val="clear" w:color="auto" w:fill="auto"/>
            <w:tcMar>
              <w:top w:w="100" w:type="dxa"/>
              <w:left w:w="100" w:type="dxa"/>
              <w:bottom w:w="100" w:type="dxa"/>
              <w:right w:w="100" w:type="dxa"/>
            </w:tcMar>
          </w:tcPr>
          <w:p w:rsidR="00B71E5F" w:rsidRPr="000B6C33" w:rsidRDefault="00B670EF" w:rsidP="000B6C33">
            <w:pPr>
              <w:widowControl w:val="0"/>
              <w:pBdr>
                <w:top w:val="nil"/>
                <w:left w:val="nil"/>
                <w:bottom w:val="nil"/>
                <w:right w:val="nil"/>
                <w:between w:val="nil"/>
              </w:pBdr>
              <w:spacing w:line="360" w:lineRule="auto"/>
              <w:jc w:val="both"/>
              <w:rPr>
                <w:b/>
              </w:rPr>
            </w:pPr>
            <w:r w:rsidRPr="000B6C33">
              <w:rPr>
                <w:b/>
              </w:rPr>
              <w:t>Module Title</w:t>
            </w:r>
          </w:p>
        </w:tc>
        <w:tc>
          <w:tcPr>
            <w:tcW w:w="4514" w:type="dxa"/>
            <w:shd w:val="clear" w:color="auto" w:fill="auto"/>
            <w:tcMar>
              <w:top w:w="100" w:type="dxa"/>
              <w:left w:w="100" w:type="dxa"/>
              <w:bottom w:w="100" w:type="dxa"/>
              <w:right w:w="100" w:type="dxa"/>
            </w:tcMar>
          </w:tcPr>
          <w:p w:rsidR="00B71E5F" w:rsidRPr="000B6C33" w:rsidRDefault="00342F3D" w:rsidP="000B6C33">
            <w:pPr>
              <w:widowControl w:val="0"/>
              <w:pBdr>
                <w:top w:val="nil"/>
                <w:left w:val="nil"/>
                <w:bottom w:val="nil"/>
                <w:right w:val="nil"/>
                <w:between w:val="nil"/>
              </w:pBdr>
              <w:spacing w:line="360" w:lineRule="auto"/>
              <w:jc w:val="both"/>
              <w:rPr>
                <w:b/>
              </w:rPr>
            </w:pPr>
            <w:r>
              <w:rPr>
                <w:b/>
              </w:rPr>
              <w:t xml:space="preserve">Accounting </w:t>
            </w:r>
            <w:r w:rsidR="00A33A39">
              <w:rPr>
                <w:b/>
              </w:rPr>
              <w:t xml:space="preserve">Fundamentals </w:t>
            </w:r>
          </w:p>
        </w:tc>
      </w:tr>
      <w:tr w:rsidR="00B71E5F" w:rsidRPr="000B6C33">
        <w:tc>
          <w:tcPr>
            <w:tcW w:w="4514" w:type="dxa"/>
            <w:shd w:val="clear" w:color="auto" w:fill="auto"/>
            <w:tcMar>
              <w:top w:w="100" w:type="dxa"/>
              <w:left w:w="100" w:type="dxa"/>
              <w:bottom w:w="100" w:type="dxa"/>
              <w:right w:w="100" w:type="dxa"/>
            </w:tcMar>
          </w:tcPr>
          <w:p w:rsidR="00B71E5F" w:rsidRPr="000B6C33" w:rsidRDefault="00B670EF" w:rsidP="000B6C33">
            <w:pPr>
              <w:widowControl w:val="0"/>
              <w:pBdr>
                <w:top w:val="nil"/>
                <w:left w:val="nil"/>
                <w:bottom w:val="nil"/>
                <w:right w:val="nil"/>
                <w:between w:val="nil"/>
              </w:pBdr>
              <w:spacing w:line="360" w:lineRule="auto"/>
              <w:jc w:val="both"/>
              <w:rPr>
                <w:b/>
              </w:rPr>
            </w:pPr>
            <w:r w:rsidRPr="000B6C33">
              <w:rPr>
                <w:b/>
              </w:rPr>
              <w:t xml:space="preserve">Lecturer’s Name </w:t>
            </w:r>
          </w:p>
        </w:tc>
        <w:tc>
          <w:tcPr>
            <w:tcW w:w="4514" w:type="dxa"/>
            <w:shd w:val="clear" w:color="auto" w:fill="auto"/>
            <w:tcMar>
              <w:top w:w="100" w:type="dxa"/>
              <w:left w:w="100" w:type="dxa"/>
              <w:bottom w:w="100" w:type="dxa"/>
              <w:right w:w="100" w:type="dxa"/>
            </w:tcMar>
          </w:tcPr>
          <w:p w:rsidR="00B71E5F" w:rsidRPr="000B6C33" w:rsidRDefault="007153F8" w:rsidP="000B6C33">
            <w:pPr>
              <w:widowControl w:val="0"/>
              <w:pBdr>
                <w:top w:val="nil"/>
                <w:left w:val="nil"/>
                <w:bottom w:val="nil"/>
                <w:right w:val="nil"/>
                <w:between w:val="nil"/>
              </w:pBdr>
              <w:spacing w:line="360" w:lineRule="auto"/>
              <w:jc w:val="both"/>
              <w:rPr>
                <w:b/>
              </w:rPr>
            </w:pPr>
            <w:r>
              <w:rPr>
                <w:b/>
              </w:rPr>
              <w:t>Isaiah Oino</w:t>
            </w:r>
          </w:p>
        </w:tc>
      </w:tr>
    </w:tbl>
    <w:p w:rsidR="00B71E5F" w:rsidRPr="000B6C33" w:rsidRDefault="00B71E5F" w:rsidP="000B6C33">
      <w:pPr>
        <w:spacing w:line="360" w:lineRule="auto"/>
        <w:jc w:val="both"/>
        <w:rPr>
          <w:b/>
        </w:rPr>
      </w:pPr>
    </w:p>
    <w:p w:rsidR="00B71E5F" w:rsidRPr="000B6C33" w:rsidRDefault="00B71E5F" w:rsidP="000B6C33">
      <w:pPr>
        <w:spacing w:line="360" w:lineRule="auto"/>
        <w:jc w:val="both"/>
      </w:pPr>
    </w:p>
    <w:p w:rsidR="00B71E5F" w:rsidRPr="000B6C33" w:rsidRDefault="00B670EF" w:rsidP="000B6C33">
      <w:pPr>
        <w:spacing w:line="360" w:lineRule="auto"/>
        <w:jc w:val="both"/>
      </w:pPr>
      <w:r w:rsidRPr="000B6C33">
        <w:br w:type="page"/>
      </w:r>
    </w:p>
    <w:p w:rsidR="00B71E5F" w:rsidRPr="000B6C33" w:rsidRDefault="00594AD8" w:rsidP="00594AD8">
      <w:pPr>
        <w:pStyle w:val="Titlu1"/>
        <w:rPr>
          <w:sz w:val="22"/>
          <w:szCs w:val="22"/>
        </w:rPr>
      </w:pPr>
      <w:r>
        <w:lastRenderedPageBreak/>
        <w:t>Question 1</w:t>
      </w:r>
    </w:p>
    <w:p w:rsidR="00B71E5F" w:rsidRPr="000B6C33" w:rsidRDefault="00B71E5F" w:rsidP="000B6C33">
      <w:pPr>
        <w:spacing w:line="360" w:lineRule="auto"/>
        <w:jc w:val="both"/>
        <w:rPr>
          <w:b/>
        </w:rPr>
      </w:pPr>
    </w:p>
    <w:p w:rsidR="00B71E5F" w:rsidRPr="000B6C33" w:rsidRDefault="00B670EF" w:rsidP="000B6C33">
      <w:pPr>
        <w:spacing w:line="360" w:lineRule="auto"/>
        <w:jc w:val="both"/>
        <w:rPr>
          <w:b/>
        </w:rPr>
      </w:pPr>
      <w:r w:rsidRPr="000B6C33">
        <w:rPr>
          <w:b/>
        </w:rPr>
        <w:t>Answer:</w:t>
      </w:r>
    </w:p>
    <w:p w:rsidR="00B71E5F" w:rsidRPr="000B6C33" w:rsidRDefault="00B71E5F" w:rsidP="000B6C33">
      <w:pPr>
        <w:spacing w:line="360" w:lineRule="auto"/>
        <w:jc w:val="both"/>
        <w:rPr>
          <w:b/>
        </w:rPr>
      </w:pPr>
    </w:p>
    <w:p w:rsidR="00B71E5F" w:rsidRPr="000B6C33" w:rsidRDefault="00B670EF" w:rsidP="000B6C33">
      <w:pPr>
        <w:spacing w:line="360" w:lineRule="auto"/>
        <w:jc w:val="both"/>
      </w:pPr>
      <w:r w:rsidRPr="000B6C33">
        <w:t>Adjustments calculation:</w:t>
      </w:r>
    </w:p>
    <w:p w:rsidR="00B71E5F" w:rsidRPr="000B6C33" w:rsidRDefault="00B71E5F" w:rsidP="000B6C33">
      <w:pPr>
        <w:spacing w:line="360" w:lineRule="auto"/>
        <w:jc w:val="both"/>
      </w:pPr>
    </w:p>
    <w:p w:rsidR="00B71E5F" w:rsidRPr="000B6C33" w:rsidRDefault="00B670EF" w:rsidP="000B6C33">
      <w:pPr>
        <w:numPr>
          <w:ilvl w:val="0"/>
          <w:numId w:val="1"/>
        </w:numPr>
        <w:spacing w:line="360" w:lineRule="auto"/>
        <w:jc w:val="both"/>
      </w:pPr>
      <w:r w:rsidRPr="000B6C33">
        <w:t xml:space="preserve">Provision for depreciation (buildings) at 5% reducing balance method (750000-100000) = 650000, </w:t>
      </w:r>
    </w:p>
    <w:p w:rsidR="00B71E5F" w:rsidRPr="000B6C33" w:rsidRDefault="00B670EF" w:rsidP="000B6C33">
      <w:pPr>
        <w:spacing w:line="360" w:lineRule="auto"/>
        <w:ind w:left="720"/>
        <w:jc w:val="both"/>
      </w:pPr>
      <w:r w:rsidRPr="000B6C33">
        <w:t>Or, 650000*5% = 32500</w:t>
      </w:r>
    </w:p>
    <w:p w:rsidR="00B71E5F" w:rsidRPr="000B6C33" w:rsidRDefault="00B670EF" w:rsidP="000B6C33">
      <w:pPr>
        <w:spacing w:line="360" w:lineRule="auto"/>
        <w:ind w:left="720"/>
        <w:jc w:val="both"/>
      </w:pPr>
      <w:r w:rsidRPr="000B6C33">
        <w:t xml:space="preserve">Or, provision for depreciation buildings = 100000 + 32500 = 132500 </w:t>
      </w:r>
    </w:p>
    <w:p w:rsidR="00B71E5F" w:rsidRPr="000B6C33" w:rsidRDefault="00B670EF" w:rsidP="000B6C33">
      <w:pPr>
        <w:numPr>
          <w:ilvl w:val="0"/>
          <w:numId w:val="1"/>
        </w:numPr>
        <w:spacing w:line="360" w:lineRule="auto"/>
        <w:jc w:val="both"/>
      </w:pPr>
      <w:r w:rsidRPr="000B6C33">
        <w:t>Provision for depreciation (machinery) at 25% straight-line method</w:t>
      </w:r>
    </w:p>
    <w:p w:rsidR="00B71E5F" w:rsidRPr="000B6C33" w:rsidRDefault="00B670EF" w:rsidP="000B6C33">
      <w:pPr>
        <w:spacing w:line="360" w:lineRule="auto"/>
        <w:ind w:left="720"/>
        <w:jc w:val="both"/>
      </w:pPr>
      <w:r w:rsidRPr="000B6C33">
        <w:t>(120000*25%) = 30000</w:t>
      </w:r>
    </w:p>
    <w:p w:rsidR="00B71E5F" w:rsidRPr="000B6C33" w:rsidRDefault="00B670EF" w:rsidP="000B6C33">
      <w:pPr>
        <w:spacing w:line="360" w:lineRule="auto"/>
        <w:ind w:left="720"/>
        <w:jc w:val="both"/>
      </w:pPr>
      <w:r w:rsidRPr="000B6C33">
        <w:t>Or, provision for depreciation machinery = 30000 + 25000 = 55000</w:t>
      </w:r>
    </w:p>
    <w:p w:rsidR="00B71E5F" w:rsidRPr="000B6C33" w:rsidRDefault="00B670EF" w:rsidP="000B6C33">
      <w:pPr>
        <w:numPr>
          <w:ilvl w:val="0"/>
          <w:numId w:val="1"/>
        </w:numPr>
        <w:spacing w:line="360" w:lineRule="auto"/>
        <w:jc w:val="both"/>
      </w:pPr>
      <w:r w:rsidRPr="000B6C33">
        <w:t>Rent and rates total = (24780 + 3220) = 28000</w:t>
      </w:r>
    </w:p>
    <w:p w:rsidR="00B71E5F" w:rsidRPr="000B6C33" w:rsidRDefault="00B670EF" w:rsidP="000B6C33">
      <w:pPr>
        <w:numPr>
          <w:ilvl w:val="0"/>
          <w:numId w:val="1"/>
        </w:numPr>
        <w:spacing w:line="360" w:lineRule="auto"/>
        <w:jc w:val="both"/>
      </w:pPr>
      <w:r w:rsidRPr="000B6C33">
        <w:t xml:space="preserve">Rates of £ 3220 have not been paid which is outstanding for the year. </w:t>
      </w:r>
    </w:p>
    <w:p w:rsidR="00B71E5F" w:rsidRPr="000B6C33" w:rsidRDefault="00B670EF" w:rsidP="000B6C33">
      <w:pPr>
        <w:numPr>
          <w:ilvl w:val="0"/>
          <w:numId w:val="1"/>
        </w:numPr>
        <w:spacing w:line="360" w:lineRule="auto"/>
        <w:jc w:val="both"/>
      </w:pPr>
      <w:r w:rsidRPr="000B6C33">
        <w:t>Bad Debts amount = 4000 - provision for bad debts 3000 = 1000</w:t>
      </w:r>
    </w:p>
    <w:p w:rsidR="00B71E5F" w:rsidRPr="000B6C33" w:rsidRDefault="00B670EF" w:rsidP="000B6C33">
      <w:pPr>
        <w:numPr>
          <w:ilvl w:val="0"/>
          <w:numId w:val="1"/>
        </w:numPr>
        <w:spacing w:line="360" w:lineRule="auto"/>
        <w:jc w:val="both"/>
      </w:pPr>
      <w:r w:rsidRPr="000B6C33">
        <w:t>Bad debt provision 1% of outstanding trade receivables = 400000* 1% = 4000</w:t>
      </w:r>
    </w:p>
    <w:p w:rsidR="00B71E5F" w:rsidRPr="000B6C33" w:rsidRDefault="00B670EF" w:rsidP="000B6C33">
      <w:pPr>
        <w:numPr>
          <w:ilvl w:val="0"/>
          <w:numId w:val="1"/>
        </w:numPr>
        <w:spacing w:line="360" w:lineRule="auto"/>
        <w:jc w:val="both"/>
      </w:pPr>
      <w:r w:rsidRPr="000B6C33">
        <w:t>Closing inventory is valued at £ 125000</w:t>
      </w:r>
      <w:r w:rsidRPr="000B6C33">
        <w:br w:type="page"/>
      </w:r>
    </w:p>
    <w:p w:rsidR="00B71E5F" w:rsidRPr="000B6C33" w:rsidRDefault="00B670EF" w:rsidP="000B6C33">
      <w:pPr>
        <w:numPr>
          <w:ilvl w:val="0"/>
          <w:numId w:val="2"/>
        </w:numPr>
        <w:spacing w:line="360" w:lineRule="auto"/>
        <w:jc w:val="both"/>
      </w:pPr>
      <w:r w:rsidRPr="000B6C33">
        <w:lastRenderedPageBreak/>
        <w:t xml:space="preserve">Calculation of Trial Balance </w:t>
      </w:r>
    </w:p>
    <w:p w:rsidR="00B71E5F" w:rsidRPr="000B6C33" w:rsidRDefault="00B71E5F" w:rsidP="000B6C33">
      <w:pPr>
        <w:spacing w:line="360" w:lineRule="auto"/>
        <w:ind w:left="720"/>
        <w:jc w:val="both"/>
      </w:pPr>
    </w:p>
    <w:tbl>
      <w:tblPr>
        <w:tblStyle w:val="Table2"/>
        <w:tblW w:w="8851" w:type="dxa"/>
        <w:jc w:val="center"/>
        <w:tblBorders>
          <w:top w:val="nil"/>
          <w:left w:val="nil"/>
          <w:bottom w:val="nil"/>
          <w:right w:val="nil"/>
          <w:insideH w:val="nil"/>
          <w:insideV w:val="nil"/>
        </w:tblBorders>
        <w:tblLayout w:type="fixed"/>
        <w:tblLook w:val="0600" w:firstRow="0" w:lastRow="0" w:firstColumn="0" w:lastColumn="0" w:noHBand="1" w:noVBand="1"/>
      </w:tblPr>
      <w:tblGrid>
        <w:gridCol w:w="6075"/>
        <w:gridCol w:w="1396"/>
        <w:gridCol w:w="1380"/>
      </w:tblGrid>
      <w:tr w:rsidR="00B71E5F" w:rsidRPr="000B6C33" w:rsidTr="00594AD8">
        <w:trPr>
          <w:trHeight w:val="360"/>
          <w:jc w:val="center"/>
        </w:trPr>
        <w:tc>
          <w:tcPr>
            <w:tcW w:w="8851" w:type="dxa"/>
            <w:gridSpan w:val="3"/>
            <w:tcBorders>
              <w:top w:val="single" w:sz="8" w:space="0" w:color="000000"/>
              <w:left w:val="single" w:sz="8" w:space="0" w:color="000000"/>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Adjusted Trial Balance of General Supplies Ltd</w:t>
            </w:r>
          </w:p>
        </w:tc>
      </w:tr>
      <w:tr w:rsidR="00B71E5F" w:rsidRPr="000B6C33" w:rsidTr="00594AD8">
        <w:trPr>
          <w:trHeight w:val="360"/>
          <w:jc w:val="center"/>
        </w:trPr>
        <w:tc>
          <w:tcPr>
            <w:tcW w:w="8851" w:type="dxa"/>
            <w:gridSpan w:val="3"/>
            <w:tcBorders>
              <w:top w:val="nil"/>
              <w:left w:val="single" w:sz="8" w:space="0" w:color="000000"/>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For the year ended 31st December 2021</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Particulars</w:t>
            </w:r>
          </w:p>
        </w:tc>
        <w:tc>
          <w:tcPr>
            <w:tcW w:w="1396"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Debit (£)</w:t>
            </w:r>
          </w:p>
        </w:tc>
        <w:tc>
          <w:tcPr>
            <w:tcW w:w="13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Credit (£)</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Finance Income</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4000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Finance Expenses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16000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Share Capital</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347900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Bank</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2000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Opening Inventory</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90000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Machinery at cost</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120000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Building at cost</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750000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Provision for depreciation - Buildings (refer to adjustment 1)</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132500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Provision for depreciation - Machinery (refer to adjustment 2)</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55000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Legal expenses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7000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Reserve for depreciation</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62500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lastRenderedPageBreak/>
              <w:t>Heating and lighting</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10000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Long term loans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200000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Rent and Rates (refer to adjustment 3)</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28000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Outstanding liability (refer to adjustment 4)</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3220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Insurance</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16000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Pre-payment for the insurance</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1520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Postage and stationery</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6000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Share premium</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100000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Sales revenue</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900000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Retained profits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50000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Traveling expenses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5000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Motor running expenses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8700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Salaries and wages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150000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Bad debt (refer to adjustment 5)</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lastRenderedPageBreak/>
              <w:t>Purchases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560000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Revaluation reserve</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100000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Provision for bad debts (refer to adjustment 6)</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4000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Reserve for bad and doubtful debts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4000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Taxation</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12900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Trade receivables (debtors)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400000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Trade payables (creditors)</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350000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Closing Inventory (refer to adjustment 7)</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125000</w:t>
            </w: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D9EAD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Closing stock</w:t>
            </w:r>
          </w:p>
        </w:tc>
        <w:tc>
          <w:tcPr>
            <w:tcW w:w="1396"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38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125000</w:t>
            </w:r>
          </w:p>
        </w:tc>
      </w:tr>
      <w:tr w:rsidR="00B71E5F" w:rsidRPr="000B6C33" w:rsidTr="00594AD8">
        <w:trPr>
          <w:trHeight w:val="360"/>
          <w:jc w:val="center"/>
        </w:trPr>
        <w:tc>
          <w:tcPr>
            <w:tcW w:w="6075" w:type="dxa"/>
            <w:tcBorders>
              <w:top w:val="nil"/>
              <w:left w:val="single" w:sz="8" w:space="0" w:color="000000"/>
              <w:bottom w:val="single" w:sz="8" w:space="0" w:color="000000"/>
              <w:right w:val="single" w:sz="8" w:space="0" w:color="000000"/>
            </w:tcBorders>
            <w:shd w:val="clear" w:color="auto" w:fill="E06666"/>
            <w:tcMar>
              <w:top w:w="40" w:type="dxa"/>
              <w:left w:w="40" w:type="dxa"/>
              <w:bottom w:w="40" w:type="dxa"/>
              <w:right w:w="40" w:type="dxa"/>
            </w:tcMar>
            <w:vAlign w:val="bottom"/>
          </w:tcPr>
          <w:p w:rsidR="00B71E5F" w:rsidRPr="000B6C33" w:rsidRDefault="00B670EF" w:rsidP="000B6C33">
            <w:pPr>
              <w:spacing w:before="240" w:after="240" w:line="360" w:lineRule="auto"/>
              <w:jc w:val="both"/>
              <w:rPr>
                <w:b/>
              </w:rPr>
            </w:pPr>
            <w:r w:rsidRPr="000B6C33">
              <w:rPr>
                <w:b/>
              </w:rPr>
              <w:t>Total</w:t>
            </w:r>
          </w:p>
        </w:tc>
        <w:tc>
          <w:tcPr>
            <w:tcW w:w="1396" w:type="dxa"/>
            <w:tcBorders>
              <w:top w:val="nil"/>
              <w:left w:val="nil"/>
              <w:bottom w:val="single" w:sz="8" w:space="0" w:color="000000"/>
              <w:right w:val="single" w:sz="8" w:space="0" w:color="000000"/>
            </w:tcBorders>
            <w:shd w:val="clear" w:color="auto" w:fill="E06666"/>
            <w:tcMar>
              <w:top w:w="40" w:type="dxa"/>
              <w:left w:w="40" w:type="dxa"/>
              <w:bottom w:w="40" w:type="dxa"/>
              <w:right w:w="40" w:type="dxa"/>
            </w:tcMar>
            <w:vAlign w:val="bottom"/>
          </w:tcPr>
          <w:p w:rsidR="00B71E5F" w:rsidRPr="000B6C33" w:rsidRDefault="00B670EF" w:rsidP="000B6C33">
            <w:pPr>
              <w:spacing w:before="240" w:after="240" w:line="360" w:lineRule="auto"/>
              <w:jc w:val="both"/>
              <w:rPr>
                <w:b/>
              </w:rPr>
            </w:pPr>
            <w:r w:rsidRPr="000B6C33">
              <w:rPr>
                <w:b/>
              </w:rPr>
              <w:t>2373620</w:t>
            </w:r>
          </w:p>
        </w:tc>
        <w:tc>
          <w:tcPr>
            <w:tcW w:w="1380" w:type="dxa"/>
            <w:tcBorders>
              <w:top w:val="nil"/>
              <w:left w:val="nil"/>
              <w:bottom w:val="single" w:sz="8" w:space="0" w:color="000000"/>
              <w:right w:val="single" w:sz="8" w:space="0" w:color="000000"/>
            </w:tcBorders>
            <w:shd w:val="clear" w:color="auto" w:fill="E06666"/>
            <w:tcMar>
              <w:top w:w="40" w:type="dxa"/>
              <w:left w:w="40" w:type="dxa"/>
              <w:bottom w:w="40" w:type="dxa"/>
              <w:right w:w="40" w:type="dxa"/>
            </w:tcMar>
            <w:vAlign w:val="bottom"/>
          </w:tcPr>
          <w:p w:rsidR="00B71E5F" w:rsidRPr="000B6C33" w:rsidRDefault="00B670EF" w:rsidP="000B6C33">
            <w:pPr>
              <w:spacing w:before="240" w:after="240" w:line="360" w:lineRule="auto"/>
              <w:jc w:val="both"/>
              <w:rPr>
                <w:b/>
              </w:rPr>
            </w:pPr>
            <w:r w:rsidRPr="000B6C33">
              <w:rPr>
                <w:b/>
              </w:rPr>
              <w:t>2373620</w:t>
            </w:r>
          </w:p>
        </w:tc>
      </w:tr>
    </w:tbl>
    <w:p w:rsidR="00B71E5F" w:rsidRPr="000B6C33" w:rsidRDefault="00B670EF" w:rsidP="00594AD8">
      <w:pPr>
        <w:spacing w:line="360" w:lineRule="auto"/>
        <w:jc w:val="center"/>
        <w:rPr>
          <w:b/>
        </w:rPr>
      </w:pPr>
      <w:r w:rsidRPr="000B6C33">
        <w:rPr>
          <w:b/>
        </w:rPr>
        <w:t>Table 1: Adjusted Trial Balance</w:t>
      </w:r>
    </w:p>
    <w:p w:rsidR="00B71E5F" w:rsidRPr="000B6C33" w:rsidRDefault="00B670EF" w:rsidP="00594AD8">
      <w:pPr>
        <w:spacing w:line="360" w:lineRule="auto"/>
        <w:jc w:val="center"/>
      </w:pPr>
      <w:r w:rsidRPr="000B6C33">
        <w:t>(Source: Created by the learner)</w:t>
      </w:r>
    </w:p>
    <w:p w:rsidR="00B71E5F" w:rsidRPr="000B6C33" w:rsidRDefault="00B71E5F" w:rsidP="000B6C33">
      <w:pPr>
        <w:spacing w:line="360" w:lineRule="auto"/>
        <w:jc w:val="both"/>
      </w:pPr>
    </w:p>
    <w:p w:rsidR="00B71E5F" w:rsidRPr="000B6C33" w:rsidRDefault="00B670EF" w:rsidP="000B6C33">
      <w:pPr>
        <w:spacing w:line="360" w:lineRule="auto"/>
        <w:jc w:val="both"/>
      </w:pPr>
      <w:r w:rsidRPr="000B6C33">
        <w:br w:type="page"/>
      </w:r>
    </w:p>
    <w:p w:rsidR="00B71E5F" w:rsidRPr="000B6C33" w:rsidRDefault="00B71E5F" w:rsidP="000B6C33">
      <w:pPr>
        <w:spacing w:line="360" w:lineRule="auto"/>
        <w:jc w:val="both"/>
      </w:pPr>
    </w:p>
    <w:p w:rsidR="00B71E5F" w:rsidRPr="000B6C33" w:rsidRDefault="00B71E5F" w:rsidP="000B6C33">
      <w:pPr>
        <w:spacing w:line="360" w:lineRule="auto"/>
        <w:jc w:val="both"/>
      </w:pPr>
    </w:p>
    <w:p w:rsidR="00B71E5F" w:rsidRPr="000B6C33" w:rsidRDefault="00B670EF" w:rsidP="000B6C33">
      <w:pPr>
        <w:numPr>
          <w:ilvl w:val="0"/>
          <w:numId w:val="2"/>
        </w:numPr>
        <w:spacing w:line="360" w:lineRule="auto"/>
        <w:jc w:val="both"/>
      </w:pPr>
      <w:r w:rsidRPr="000B6C33">
        <w:t xml:space="preserve">Preparation of Income Statement </w:t>
      </w:r>
    </w:p>
    <w:p w:rsidR="00B71E5F" w:rsidRPr="000B6C33" w:rsidRDefault="00B71E5F" w:rsidP="000B6C33">
      <w:pPr>
        <w:spacing w:line="360" w:lineRule="auto"/>
        <w:ind w:left="720"/>
        <w:jc w:val="both"/>
      </w:pPr>
    </w:p>
    <w:tbl>
      <w:tblPr>
        <w:tblStyle w:val="Table3"/>
        <w:tblW w:w="9720" w:type="dxa"/>
        <w:jc w:val="center"/>
        <w:tblBorders>
          <w:top w:val="nil"/>
          <w:left w:val="nil"/>
          <w:bottom w:val="nil"/>
          <w:right w:val="nil"/>
          <w:insideH w:val="nil"/>
          <w:insideV w:val="nil"/>
        </w:tblBorders>
        <w:tblLayout w:type="fixed"/>
        <w:tblLook w:val="0600" w:firstRow="0" w:lastRow="0" w:firstColumn="0" w:lastColumn="0" w:noHBand="1" w:noVBand="1"/>
      </w:tblPr>
      <w:tblGrid>
        <w:gridCol w:w="4126"/>
        <w:gridCol w:w="1634"/>
        <w:gridCol w:w="2340"/>
        <w:gridCol w:w="1620"/>
      </w:tblGrid>
      <w:tr w:rsidR="00B71E5F" w:rsidRPr="000B6C33" w:rsidTr="00594AD8">
        <w:trPr>
          <w:trHeight w:val="360"/>
          <w:jc w:val="center"/>
        </w:trPr>
        <w:tc>
          <w:tcPr>
            <w:tcW w:w="9720" w:type="dxa"/>
            <w:gridSpan w:val="4"/>
            <w:tcBorders>
              <w:top w:val="single" w:sz="8" w:space="0" w:color="000000"/>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594AD8" w:rsidRDefault="00B670EF" w:rsidP="00594AD8">
            <w:pPr>
              <w:spacing w:before="240" w:after="240" w:line="360" w:lineRule="auto"/>
              <w:jc w:val="center"/>
              <w:rPr>
                <w:b/>
              </w:rPr>
            </w:pPr>
            <w:r w:rsidRPr="00594AD8">
              <w:rPr>
                <w:b/>
              </w:rPr>
              <w:t>Income Statement</w:t>
            </w:r>
          </w:p>
        </w:tc>
      </w:tr>
      <w:tr w:rsidR="00B71E5F" w:rsidRPr="000B6C33" w:rsidTr="00594AD8">
        <w:trPr>
          <w:trHeight w:val="360"/>
          <w:jc w:val="center"/>
        </w:trPr>
        <w:tc>
          <w:tcPr>
            <w:tcW w:w="9720" w:type="dxa"/>
            <w:gridSpan w:val="4"/>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594AD8" w:rsidRDefault="00B670EF" w:rsidP="00594AD8">
            <w:pPr>
              <w:spacing w:before="240" w:after="240" w:line="360" w:lineRule="auto"/>
              <w:jc w:val="center"/>
              <w:rPr>
                <w:b/>
              </w:rPr>
            </w:pPr>
            <w:r w:rsidRPr="00594AD8">
              <w:rPr>
                <w:b/>
              </w:rPr>
              <w:t>For the year ending 31st December 2021</w:t>
            </w:r>
          </w:p>
        </w:tc>
      </w:tr>
      <w:tr w:rsidR="00B71E5F" w:rsidRPr="000B6C33" w:rsidTr="00594AD8">
        <w:trPr>
          <w:trHeight w:val="645"/>
          <w:jc w:val="center"/>
        </w:trPr>
        <w:tc>
          <w:tcPr>
            <w:tcW w:w="4126" w:type="dxa"/>
            <w:tcBorders>
              <w:top w:val="nil"/>
              <w:left w:val="single" w:sz="8" w:space="0" w:color="000000"/>
              <w:bottom w:val="single" w:sz="8" w:space="0" w:color="000000"/>
              <w:right w:val="single" w:sz="8" w:space="0" w:color="000000"/>
            </w:tcBorders>
            <w:shd w:val="clear" w:color="auto" w:fill="EA9999"/>
            <w:tcMar>
              <w:top w:w="40" w:type="dxa"/>
              <w:left w:w="40" w:type="dxa"/>
              <w:bottom w:w="40" w:type="dxa"/>
              <w:right w:w="40" w:type="dxa"/>
            </w:tcMar>
            <w:vAlign w:val="bottom"/>
          </w:tcPr>
          <w:p w:rsidR="00B71E5F" w:rsidRPr="00594AD8" w:rsidRDefault="00B670EF" w:rsidP="00594AD8">
            <w:pPr>
              <w:spacing w:before="240" w:after="240" w:line="360" w:lineRule="auto"/>
              <w:jc w:val="center"/>
              <w:rPr>
                <w:b/>
              </w:rPr>
            </w:pPr>
            <w:r w:rsidRPr="00594AD8">
              <w:rPr>
                <w:b/>
              </w:rPr>
              <w:t>Particulars</w:t>
            </w:r>
          </w:p>
        </w:tc>
        <w:tc>
          <w:tcPr>
            <w:tcW w:w="1634" w:type="dxa"/>
            <w:tcBorders>
              <w:top w:val="nil"/>
              <w:left w:val="nil"/>
              <w:bottom w:val="single" w:sz="8" w:space="0" w:color="000000"/>
              <w:right w:val="single" w:sz="8" w:space="0" w:color="000000"/>
            </w:tcBorders>
            <w:shd w:val="clear" w:color="auto" w:fill="EA9999"/>
            <w:tcMar>
              <w:top w:w="40" w:type="dxa"/>
              <w:left w:w="40" w:type="dxa"/>
              <w:bottom w:w="40" w:type="dxa"/>
              <w:right w:w="40" w:type="dxa"/>
            </w:tcMar>
            <w:vAlign w:val="bottom"/>
          </w:tcPr>
          <w:p w:rsidR="00B71E5F" w:rsidRPr="00594AD8" w:rsidRDefault="00B670EF" w:rsidP="00594AD8">
            <w:pPr>
              <w:spacing w:before="240" w:after="240" w:line="360" w:lineRule="auto"/>
              <w:jc w:val="center"/>
              <w:rPr>
                <w:b/>
              </w:rPr>
            </w:pPr>
            <w:r w:rsidRPr="00594AD8">
              <w:rPr>
                <w:b/>
              </w:rPr>
              <w:t>Amount (£)</w:t>
            </w:r>
          </w:p>
        </w:tc>
        <w:tc>
          <w:tcPr>
            <w:tcW w:w="2340" w:type="dxa"/>
            <w:tcBorders>
              <w:top w:val="nil"/>
              <w:left w:val="nil"/>
              <w:bottom w:val="single" w:sz="8" w:space="0" w:color="000000"/>
              <w:right w:val="single" w:sz="8" w:space="0" w:color="000000"/>
            </w:tcBorders>
            <w:shd w:val="clear" w:color="auto" w:fill="EA9999"/>
            <w:tcMar>
              <w:top w:w="40" w:type="dxa"/>
              <w:left w:w="40" w:type="dxa"/>
              <w:bottom w:w="40" w:type="dxa"/>
              <w:right w:w="40" w:type="dxa"/>
            </w:tcMar>
            <w:vAlign w:val="bottom"/>
          </w:tcPr>
          <w:p w:rsidR="00B71E5F" w:rsidRPr="00594AD8" w:rsidRDefault="00B670EF" w:rsidP="00594AD8">
            <w:pPr>
              <w:spacing w:before="240" w:after="240" w:line="360" w:lineRule="auto"/>
              <w:jc w:val="center"/>
              <w:rPr>
                <w:b/>
              </w:rPr>
            </w:pPr>
            <w:r w:rsidRPr="00594AD8">
              <w:rPr>
                <w:b/>
              </w:rPr>
              <w:t>Particulars</w:t>
            </w:r>
          </w:p>
        </w:tc>
        <w:tc>
          <w:tcPr>
            <w:tcW w:w="1620" w:type="dxa"/>
            <w:tcBorders>
              <w:top w:val="nil"/>
              <w:left w:val="nil"/>
              <w:bottom w:val="single" w:sz="8" w:space="0" w:color="000000"/>
              <w:right w:val="single" w:sz="8" w:space="0" w:color="000000"/>
            </w:tcBorders>
            <w:shd w:val="clear" w:color="auto" w:fill="EA9999"/>
            <w:tcMar>
              <w:top w:w="40" w:type="dxa"/>
              <w:left w:w="40" w:type="dxa"/>
              <w:bottom w:w="40" w:type="dxa"/>
              <w:right w:w="40" w:type="dxa"/>
            </w:tcMar>
            <w:vAlign w:val="bottom"/>
          </w:tcPr>
          <w:p w:rsidR="00B71E5F" w:rsidRPr="00594AD8" w:rsidRDefault="00B670EF" w:rsidP="00594AD8">
            <w:pPr>
              <w:spacing w:before="240" w:after="240" w:line="360" w:lineRule="auto"/>
              <w:jc w:val="center"/>
              <w:rPr>
                <w:b/>
              </w:rPr>
            </w:pPr>
            <w:r w:rsidRPr="00594AD8">
              <w:rPr>
                <w:b/>
              </w:rPr>
              <w:t>Amount (£)</w:t>
            </w: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Opening Stock</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90000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By Sales Revenue</w:t>
            </w: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900000</w:t>
            </w: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Purchases</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560000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By Closing Stock</w:t>
            </w: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125000</w:t>
            </w: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FF00FF"/>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Gross Profit (c/d)</w:t>
            </w:r>
          </w:p>
        </w:tc>
        <w:tc>
          <w:tcPr>
            <w:tcW w:w="1634" w:type="dxa"/>
            <w:tcBorders>
              <w:top w:val="nil"/>
              <w:left w:val="nil"/>
              <w:bottom w:val="single" w:sz="8" w:space="0" w:color="000000"/>
              <w:right w:val="single" w:sz="8" w:space="0" w:color="000000"/>
            </w:tcBorders>
            <w:shd w:val="clear" w:color="auto" w:fill="00FFFF"/>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375000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c>
          <w:tcPr>
            <w:tcW w:w="1634" w:type="dxa"/>
            <w:tcBorders>
              <w:top w:val="nil"/>
              <w:left w:val="nil"/>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1025000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1025000</w:t>
            </w:r>
          </w:p>
        </w:tc>
      </w:tr>
      <w:tr w:rsidR="00B71E5F" w:rsidRPr="000B6C33" w:rsidTr="00594AD8">
        <w:trPr>
          <w:trHeight w:val="645"/>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Finance expenses</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16000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By Gross Profit (b/d)</w:t>
            </w: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375000</w:t>
            </w: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Depreciation (30000+32500)</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62500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By Finance Income</w:t>
            </w: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4000</w:t>
            </w: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Legal expenses</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7000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Heating and Lighting</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10000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Rent and Rates</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28000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Insurance</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16000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lastRenderedPageBreak/>
              <w:t>To Postage and Stationary</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6000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Travelling expenses</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5000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Motor running expenses</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8700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Salaries and Wages</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150000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Bad debt</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Provision for Bad Debts</w:t>
            </w:r>
          </w:p>
        </w:tc>
        <w:tc>
          <w:tcPr>
            <w:tcW w:w="1634"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4000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645"/>
          <w:jc w:val="center"/>
        </w:trPr>
        <w:tc>
          <w:tcPr>
            <w:tcW w:w="4126" w:type="dxa"/>
            <w:tcBorders>
              <w:top w:val="nil"/>
              <w:left w:val="single" w:sz="8" w:space="0" w:color="000000"/>
              <w:bottom w:val="single" w:sz="8" w:space="0" w:color="000000"/>
              <w:right w:val="single" w:sz="8" w:space="0" w:color="000000"/>
            </w:tcBorders>
            <w:shd w:val="clear" w:color="auto" w:fill="FF00FF"/>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To Net Profit (Transferred to Balance Sheet)</w:t>
            </w:r>
          </w:p>
        </w:tc>
        <w:tc>
          <w:tcPr>
            <w:tcW w:w="1634" w:type="dxa"/>
            <w:tcBorders>
              <w:top w:val="nil"/>
              <w:left w:val="nil"/>
              <w:bottom w:val="single" w:sz="8" w:space="0" w:color="000000"/>
              <w:right w:val="single" w:sz="8" w:space="0" w:color="000000"/>
            </w:tcBorders>
            <w:shd w:val="clear" w:color="auto" w:fill="00FFFF"/>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64800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6B26B"/>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r>
      <w:tr w:rsidR="00B71E5F" w:rsidRPr="000B6C33" w:rsidTr="00594AD8">
        <w:trPr>
          <w:trHeight w:val="360"/>
          <w:jc w:val="center"/>
        </w:trPr>
        <w:tc>
          <w:tcPr>
            <w:tcW w:w="4126" w:type="dxa"/>
            <w:tcBorders>
              <w:top w:val="nil"/>
              <w:left w:val="single" w:sz="8" w:space="0" w:color="000000"/>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c>
          <w:tcPr>
            <w:tcW w:w="1634" w:type="dxa"/>
            <w:tcBorders>
              <w:top w:val="nil"/>
              <w:left w:val="nil"/>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379000</w:t>
            </w:r>
          </w:p>
        </w:tc>
        <w:tc>
          <w:tcPr>
            <w:tcW w:w="2340" w:type="dxa"/>
            <w:tcBorders>
              <w:top w:val="nil"/>
              <w:left w:val="nil"/>
              <w:bottom w:val="single" w:sz="8" w:space="0" w:color="000000"/>
              <w:right w:val="single" w:sz="8" w:space="0" w:color="000000"/>
            </w:tcBorders>
            <w:shd w:val="clear" w:color="auto" w:fill="B6D7A8"/>
            <w:tcMar>
              <w:top w:w="40" w:type="dxa"/>
              <w:left w:w="40" w:type="dxa"/>
              <w:bottom w:w="40" w:type="dxa"/>
              <w:right w:w="40" w:type="dxa"/>
            </w:tcMar>
            <w:vAlign w:val="bottom"/>
          </w:tcPr>
          <w:p w:rsidR="00B71E5F" w:rsidRPr="000B6C33" w:rsidRDefault="00B71E5F" w:rsidP="000B6C33">
            <w:pPr>
              <w:spacing w:line="360" w:lineRule="auto"/>
              <w:ind w:left="720"/>
              <w:jc w:val="both"/>
            </w:pPr>
          </w:p>
        </w:tc>
        <w:tc>
          <w:tcPr>
            <w:tcW w:w="1620" w:type="dxa"/>
            <w:tcBorders>
              <w:top w:val="nil"/>
              <w:left w:val="nil"/>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379000</w:t>
            </w:r>
          </w:p>
        </w:tc>
      </w:tr>
    </w:tbl>
    <w:p w:rsidR="00B71E5F" w:rsidRPr="000B6C33" w:rsidRDefault="00B670EF" w:rsidP="00594AD8">
      <w:pPr>
        <w:spacing w:line="360" w:lineRule="auto"/>
        <w:jc w:val="center"/>
        <w:rPr>
          <w:b/>
        </w:rPr>
      </w:pPr>
      <w:r w:rsidRPr="000B6C33">
        <w:rPr>
          <w:b/>
        </w:rPr>
        <w:t>Table 2: Income Statement</w:t>
      </w:r>
    </w:p>
    <w:p w:rsidR="00B71E5F" w:rsidRPr="000B6C33" w:rsidRDefault="00B670EF" w:rsidP="00594AD8">
      <w:pPr>
        <w:spacing w:line="360" w:lineRule="auto"/>
        <w:jc w:val="center"/>
      </w:pPr>
      <w:r w:rsidRPr="000B6C33">
        <w:t>(Source: Created by the learner)</w:t>
      </w:r>
    </w:p>
    <w:p w:rsidR="00B71E5F" w:rsidRPr="000B6C33" w:rsidRDefault="00B670EF" w:rsidP="000B6C33">
      <w:pPr>
        <w:spacing w:line="360" w:lineRule="auto"/>
        <w:jc w:val="both"/>
      </w:pPr>
      <w:r w:rsidRPr="000B6C33">
        <w:br w:type="page"/>
      </w:r>
    </w:p>
    <w:p w:rsidR="00B71E5F" w:rsidRPr="000B6C33" w:rsidRDefault="00B71E5F" w:rsidP="000B6C33">
      <w:pPr>
        <w:spacing w:line="360" w:lineRule="auto"/>
        <w:jc w:val="both"/>
      </w:pPr>
    </w:p>
    <w:p w:rsidR="00B71E5F" w:rsidRPr="000B6C33" w:rsidRDefault="00B71E5F" w:rsidP="000B6C33">
      <w:pPr>
        <w:spacing w:line="360" w:lineRule="auto"/>
        <w:jc w:val="both"/>
      </w:pPr>
    </w:p>
    <w:p w:rsidR="00B71E5F" w:rsidRPr="000B6C33" w:rsidRDefault="00B670EF" w:rsidP="000B6C33">
      <w:pPr>
        <w:numPr>
          <w:ilvl w:val="0"/>
          <w:numId w:val="2"/>
        </w:numPr>
        <w:spacing w:line="360" w:lineRule="auto"/>
        <w:jc w:val="both"/>
      </w:pPr>
      <w:r w:rsidRPr="000B6C33">
        <w:t>Preparation of Balance Sheet</w:t>
      </w:r>
    </w:p>
    <w:p w:rsidR="00B71E5F" w:rsidRPr="000B6C33" w:rsidRDefault="00B71E5F" w:rsidP="000B6C33">
      <w:pPr>
        <w:spacing w:line="360" w:lineRule="auto"/>
        <w:jc w:val="both"/>
      </w:pPr>
    </w:p>
    <w:p w:rsidR="00B71E5F" w:rsidRPr="000B6C33" w:rsidRDefault="00B71E5F" w:rsidP="000B6C33">
      <w:pPr>
        <w:spacing w:line="360" w:lineRule="auto"/>
        <w:jc w:val="both"/>
      </w:pPr>
    </w:p>
    <w:tbl>
      <w:tblPr>
        <w:tblStyle w:val="Table4"/>
        <w:tblW w:w="934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370"/>
        <w:gridCol w:w="1320"/>
        <w:gridCol w:w="1305"/>
        <w:gridCol w:w="1680"/>
        <w:gridCol w:w="1350"/>
        <w:gridCol w:w="1320"/>
      </w:tblGrid>
      <w:tr w:rsidR="00B71E5F" w:rsidRPr="000B6C33">
        <w:trPr>
          <w:trHeight w:val="360"/>
        </w:trPr>
        <w:tc>
          <w:tcPr>
            <w:tcW w:w="9345" w:type="dxa"/>
            <w:gridSpan w:val="6"/>
            <w:tcBorders>
              <w:top w:val="single" w:sz="8" w:space="0" w:color="000000"/>
              <w:left w:val="single" w:sz="8" w:space="0" w:color="000000"/>
              <w:bottom w:val="single" w:sz="8" w:space="0" w:color="000000"/>
              <w:right w:val="single" w:sz="8" w:space="0" w:color="000000"/>
            </w:tcBorders>
            <w:shd w:val="clear" w:color="auto" w:fill="00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General Supplies Ltd</w:t>
            </w:r>
          </w:p>
        </w:tc>
      </w:tr>
      <w:tr w:rsidR="00B71E5F" w:rsidRPr="000B6C33">
        <w:trPr>
          <w:trHeight w:val="360"/>
        </w:trPr>
        <w:tc>
          <w:tcPr>
            <w:tcW w:w="9345" w:type="dxa"/>
            <w:gridSpan w:val="6"/>
            <w:tcBorders>
              <w:top w:val="nil"/>
              <w:left w:val="single" w:sz="8" w:space="0" w:color="000000"/>
              <w:bottom w:val="single" w:sz="8" w:space="0" w:color="000000"/>
              <w:right w:val="single" w:sz="8" w:space="0" w:color="000000"/>
            </w:tcBorders>
            <w:shd w:val="clear" w:color="auto" w:fill="00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Statement of Financial Position</w:t>
            </w:r>
          </w:p>
        </w:tc>
      </w:tr>
      <w:tr w:rsidR="00B71E5F" w:rsidRPr="000B6C33">
        <w:trPr>
          <w:trHeight w:val="360"/>
        </w:trPr>
        <w:tc>
          <w:tcPr>
            <w:tcW w:w="9345" w:type="dxa"/>
            <w:gridSpan w:val="6"/>
            <w:tcBorders>
              <w:top w:val="nil"/>
              <w:left w:val="single" w:sz="8" w:space="0" w:color="000000"/>
              <w:bottom w:val="single" w:sz="8" w:space="0" w:color="000000"/>
              <w:right w:val="single" w:sz="8" w:space="0" w:color="000000"/>
            </w:tcBorders>
            <w:shd w:val="clear" w:color="auto" w:fill="00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As of 31st December 2021</w:t>
            </w:r>
          </w:p>
        </w:tc>
      </w:tr>
      <w:tr w:rsidR="00B71E5F" w:rsidRPr="000B6C33">
        <w:trPr>
          <w:trHeight w:val="645"/>
        </w:trPr>
        <w:tc>
          <w:tcPr>
            <w:tcW w:w="2370" w:type="dxa"/>
            <w:tcBorders>
              <w:top w:val="nil"/>
              <w:left w:val="single" w:sz="8" w:space="0" w:color="000000"/>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Liabilities</w:t>
            </w:r>
          </w:p>
        </w:tc>
        <w:tc>
          <w:tcPr>
            <w:tcW w:w="1320" w:type="dxa"/>
            <w:tcBorders>
              <w:top w:val="nil"/>
              <w:left w:val="nil"/>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Amount (£)</w:t>
            </w:r>
          </w:p>
        </w:tc>
        <w:tc>
          <w:tcPr>
            <w:tcW w:w="1305" w:type="dxa"/>
            <w:tcBorders>
              <w:top w:val="nil"/>
              <w:left w:val="nil"/>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Amount (£)</w:t>
            </w:r>
          </w:p>
        </w:tc>
        <w:tc>
          <w:tcPr>
            <w:tcW w:w="1680" w:type="dxa"/>
            <w:tcBorders>
              <w:top w:val="nil"/>
              <w:left w:val="nil"/>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Assets</w:t>
            </w:r>
          </w:p>
        </w:tc>
        <w:tc>
          <w:tcPr>
            <w:tcW w:w="1350" w:type="dxa"/>
            <w:tcBorders>
              <w:top w:val="nil"/>
              <w:left w:val="nil"/>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Amount (£)</w:t>
            </w:r>
          </w:p>
        </w:tc>
        <w:tc>
          <w:tcPr>
            <w:tcW w:w="1320" w:type="dxa"/>
            <w:tcBorders>
              <w:top w:val="nil"/>
              <w:left w:val="nil"/>
              <w:bottom w:val="single" w:sz="8" w:space="0" w:color="000000"/>
              <w:right w:val="single" w:sz="8" w:space="0" w:color="000000"/>
            </w:tcBorders>
            <w:shd w:val="clear" w:color="auto" w:fill="FFFF00"/>
            <w:tcMar>
              <w:top w:w="40" w:type="dxa"/>
              <w:left w:w="40" w:type="dxa"/>
              <w:bottom w:w="40" w:type="dxa"/>
              <w:right w:w="40" w:type="dxa"/>
            </w:tcMar>
            <w:vAlign w:val="bottom"/>
          </w:tcPr>
          <w:p w:rsidR="00B71E5F" w:rsidRPr="000B6C33" w:rsidRDefault="00B670EF" w:rsidP="00594AD8">
            <w:pPr>
              <w:spacing w:before="240" w:after="240" w:line="360" w:lineRule="auto"/>
              <w:jc w:val="center"/>
              <w:rPr>
                <w:b/>
              </w:rPr>
            </w:pPr>
            <w:r w:rsidRPr="000B6C33">
              <w:rPr>
                <w:b/>
              </w:rPr>
              <w:t>Amount (£)</w:t>
            </w:r>
          </w:p>
        </w:tc>
      </w:tr>
      <w:tr w:rsidR="00B71E5F" w:rsidRPr="000B6C33">
        <w:trPr>
          <w:trHeight w:val="360"/>
        </w:trPr>
        <w:tc>
          <w:tcPr>
            <w:tcW w:w="2370"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Share Capital</w:t>
            </w:r>
          </w:p>
        </w:tc>
        <w:tc>
          <w:tcPr>
            <w:tcW w:w="132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jc w:val="both"/>
            </w:pPr>
          </w:p>
        </w:tc>
        <w:tc>
          <w:tcPr>
            <w:tcW w:w="1305" w:type="dxa"/>
            <w:tcBorders>
              <w:top w:val="nil"/>
              <w:left w:val="nil"/>
              <w:bottom w:val="single" w:sz="8" w:space="0" w:color="000000"/>
              <w:right w:val="single" w:sz="8" w:space="0" w:color="000000"/>
            </w:tcBorders>
            <w:shd w:val="clear" w:color="auto" w:fill="CFE2F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347900</w:t>
            </w:r>
          </w:p>
        </w:tc>
        <w:tc>
          <w:tcPr>
            <w:tcW w:w="16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Building</w:t>
            </w:r>
          </w:p>
        </w:tc>
        <w:tc>
          <w:tcPr>
            <w:tcW w:w="135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750000</w:t>
            </w:r>
          </w:p>
        </w:tc>
        <w:tc>
          <w:tcPr>
            <w:tcW w:w="132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vAlign w:val="bottom"/>
          </w:tcPr>
          <w:p w:rsidR="00B71E5F" w:rsidRPr="000B6C33" w:rsidRDefault="00B71E5F" w:rsidP="000B6C33">
            <w:pPr>
              <w:spacing w:line="360" w:lineRule="auto"/>
              <w:jc w:val="both"/>
            </w:pPr>
          </w:p>
        </w:tc>
      </w:tr>
      <w:tr w:rsidR="00B71E5F" w:rsidRPr="000B6C33">
        <w:trPr>
          <w:trHeight w:val="360"/>
        </w:trPr>
        <w:tc>
          <w:tcPr>
            <w:tcW w:w="2370"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Share premium</w:t>
            </w:r>
          </w:p>
        </w:tc>
        <w:tc>
          <w:tcPr>
            <w:tcW w:w="132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jc w:val="both"/>
            </w:pPr>
          </w:p>
        </w:tc>
        <w:tc>
          <w:tcPr>
            <w:tcW w:w="1305" w:type="dxa"/>
            <w:tcBorders>
              <w:top w:val="nil"/>
              <w:left w:val="nil"/>
              <w:bottom w:val="single" w:sz="8" w:space="0" w:color="000000"/>
              <w:right w:val="single" w:sz="8" w:space="0" w:color="000000"/>
            </w:tcBorders>
            <w:shd w:val="clear" w:color="auto" w:fill="CFE2F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100000</w:t>
            </w:r>
          </w:p>
        </w:tc>
        <w:tc>
          <w:tcPr>
            <w:tcW w:w="16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Less: Depreciation</w:t>
            </w:r>
          </w:p>
        </w:tc>
        <w:tc>
          <w:tcPr>
            <w:tcW w:w="135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132500</w:t>
            </w:r>
          </w:p>
        </w:tc>
        <w:tc>
          <w:tcPr>
            <w:tcW w:w="132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617500</w:t>
            </w:r>
          </w:p>
        </w:tc>
      </w:tr>
      <w:tr w:rsidR="00B71E5F" w:rsidRPr="000B6C33">
        <w:trPr>
          <w:trHeight w:val="645"/>
        </w:trPr>
        <w:tc>
          <w:tcPr>
            <w:tcW w:w="2370"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Retained Profits + Net Profit</w:t>
            </w:r>
          </w:p>
        </w:tc>
        <w:tc>
          <w:tcPr>
            <w:tcW w:w="1320" w:type="dxa"/>
            <w:tcBorders>
              <w:top w:val="nil"/>
              <w:left w:val="nil"/>
              <w:bottom w:val="single" w:sz="8" w:space="0" w:color="000000"/>
              <w:right w:val="single" w:sz="8" w:space="0" w:color="000000"/>
            </w:tcBorders>
            <w:shd w:val="clear" w:color="auto" w:fill="FFFFFF"/>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50000 + 64800</w:t>
            </w:r>
          </w:p>
        </w:tc>
        <w:tc>
          <w:tcPr>
            <w:tcW w:w="1305" w:type="dxa"/>
            <w:tcBorders>
              <w:top w:val="nil"/>
              <w:left w:val="nil"/>
              <w:bottom w:val="single" w:sz="8" w:space="0" w:color="000000"/>
              <w:right w:val="single" w:sz="8" w:space="0" w:color="000000"/>
            </w:tcBorders>
            <w:shd w:val="clear" w:color="auto" w:fill="CFE2F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114800</w:t>
            </w:r>
          </w:p>
        </w:tc>
        <w:tc>
          <w:tcPr>
            <w:tcW w:w="16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Machinery</w:t>
            </w:r>
          </w:p>
        </w:tc>
        <w:tc>
          <w:tcPr>
            <w:tcW w:w="135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120000</w:t>
            </w:r>
          </w:p>
        </w:tc>
        <w:tc>
          <w:tcPr>
            <w:tcW w:w="132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vAlign w:val="bottom"/>
          </w:tcPr>
          <w:p w:rsidR="00B71E5F" w:rsidRPr="000B6C33" w:rsidRDefault="00B71E5F" w:rsidP="000B6C33">
            <w:pPr>
              <w:spacing w:line="360" w:lineRule="auto"/>
              <w:jc w:val="both"/>
            </w:pPr>
          </w:p>
        </w:tc>
      </w:tr>
      <w:tr w:rsidR="00B71E5F" w:rsidRPr="000B6C33">
        <w:trPr>
          <w:trHeight w:val="360"/>
        </w:trPr>
        <w:tc>
          <w:tcPr>
            <w:tcW w:w="2370"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Bank</w:t>
            </w:r>
          </w:p>
        </w:tc>
        <w:tc>
          <w:tcPr>
            <w:tcW w:w="132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jc w:val="both"/>
            </w:pPr>
          </w:p>
        </w:tc>
        <w:tc>
          <w:tcPr>
            <w:tcW w:w="1305" w:type="dxa"/>
            <w:tcBorders>
              <w:top w:val="nil"/>
              <w:left w:val="nil"/>
              <w:bottom w:val="single" w:sz="8" w:space="0" w:color="000000"/>
              <w:right w:val="single" w:sz="8" w:space="0" w:color="000000"/>
            </w:tcBorders>
            <w:shd w:val="clear" w:color="auto" w:fill="CFE2F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2000</w:t>
            </w:r>
          </w:p>
        </w:tc>
        <w:tc>
          <w:tcPr>
            <w:tcW w:w="16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Less: Depreciation</w:t>
            </w:r>
          </w:p>
        </w:tc>
        <w:tc>
          <w:tcPr>
            <w:tcW w:w="135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55000</w:t>
            </w:r>
          </w:p>
        </w:tc>
        <w:tc>
          <w:tcPr>
            <w:tcW w:w="132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65000</w:t>
            </w:r>
          </w:p>
        </w:tc>
      </w:tr>
      <w:tr w:rsidR="00B71E5F" w:rsidRPr="000B6C33">
        <w:trPr>
          <w:trHeight w:val="360"/>
        </w:trPr>
        <w:tc>
          <w:tcPr>
            <w:tcW w:w="2370"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Revaluation Reserve</w:t>
            </w:r>
          </w:p>
        </w:tc>
        <w:tc>
          <w:tcPr>
            <w:tcW w:w="132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jc w:val="both"/>
            </w:pPr>
          </w:p>
        </w:tc>
        <w:tc>
          <w:tcPr>
            <w:tcW w:w="1305" w:type="dxa"/>
            <w:tcBorders>
              <w:top w:val="nil"/>
              <w:left w:val="nil"/>
              <w:bottom w:val="single" w:sz="8" w:space="0" w:color="000000"/>
              <w:right w:val="single" w:sz="8" w:space="0" w:color="000000"/>
            </w:tcBorders>
            <w:shd w:val="clear" w:color="auto" w:fill="CFE2F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100000</w:t>
            </w:r>
          </w:p>
        </w:tc>
        <w:tc>
          <w:tcPr>
            <w:tcW w:w="16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Prepaid expenses</w:t>
            </w:r>
          </w:p>
        </w:tc>
        <w:tc>
          <w:tcPr>
            <w:tcW w:w="135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jc w:val="both"/>
            </w:pPr>
          </w:p>
        </w:tc>
        <w:tc>
          <w:tcPr>
            <w:tcW w:w="132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1520</w:t>
            </w:r>
          </w:p>
        </w:tc>
      </w:tr>
      <w:tr w:rsidR="00B71E5F" w:rsidRPr="000B6C33">
        <w:trPr>
          <w:trHeight w:val="360"/>
        </w:trPr>
        <w:tc>
          <w:tcPr>
            <w:tcW w:w="2370"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Long Term loans</w:t>
            </w:r>
          </w:p>
        </w:tc>
        <w:tc>
          <w:tcPr>
            <w:tcW w:w="132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jc w:val="both"/>
            </w:pPr>
          </w:p>
        </w:tc>
        <w:tc>
          <w:tcPr>
            <w:tcW w:w="1305" w:type="dxa"/>
            <w:tcBorders>
              <w:top w:val="nil"/>
              <w:left w:val="nil"/>
              <w:bottom w:val="single" w:sz="8" w:space="0" w:color="000000"/>
              <w:right w:val="single" w:sz="8" w:space="0" w:color="000000"/>
            </w:tcBorders>
            <w:shd w:val="clear" w:color="auto" w:fill="CFE2F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200000</w:t>
            </w:r>
          </w:p>
        </w:tc>
        <w:tc>
          <w:tcPr>
            <w:tcW w:w="16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Taxation</w:t>
            </w:r>
          </w:p>
        </w:tc>
        <w:tc>
          <w:tcPr>
            <w:tcW w:w="135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jc w:val="both"/>
            </w:pPr>
          </w:p>
        </w:tc>
        <w:tc>
          <w:tcPr>
            <w:tcW w:w="132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12900</w:t>
            </w:r>
          </w:p>
        </w:tc>
      </w:tr>
      <w:tr w:rsidR="00B71E5F" w:rsidRPr="000B6C33">
        <w:trPr>
          <w:trHeight w:val="645"/>
        </w:trPr>
        <w:tc>
          <w:tcPr>
            <w:tcW w:w="2370"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 xml:space="preserve">Trade Payables </w:t>
            </w:r>
            <w:r w:rsidRPr="000B6C33">
              <w:lastRenderedPageBreak/>
              <w:t>(Creditors)</w:t>
            </w:r>
          </w:p>
        </w:tc>
        <w:tc>
          <w:tcPr>
            <w:tcW w:w="132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jc w:val="both"/>
            </w:pPr>
          </w:p>
        </w:tc>
        <w:tc>
          <w:tcPr>
            <w:tcW w:w="1305" w:type="dxa"/>
            <w:tcBorders>
              <w:top w:val="nil"/>
              <w:left w:val="nil"/>
              <w:bottom w:val="single" w:sz="8" w:space="0" w:color="000000"/>
              <w:right w:val="single" w:sz="8" w:space="0" w:color="000000"/>
            </w:tcBorders>
            <w:shd w:val="clear" w:color="auto" w:fill="CFE2F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350000</w:t>
            </w:r>
          </w:p>
        </w:tc>
        <w:tc>
          <w:tcPr>
            <w:tcW w:w="16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 xml:space="preserve">Trade Receivables </w:t>
            </w:r>
            <w:r w:rsidRPr="000B6C33">
              <w:lastRenderedPageBreak/>
              <w:t>(Debtors)</w:t>
            </w:r>
          </w:p>
        </w:tc>
        <w:tc>
          <w:tcPr>
            <w:tcW w:w="135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lastRenderedPageBreak/>
              <w:t>400000</w:t>
            </w:r>
          </w:p>
        </w:tc>
        <w:tc>
          <w:tcPr>
            <w:tcW w:w="132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vAlign w:val="bottom"/>
          </w:tcPr>
          <w:p w:rsidR="00B71E5F" w:rsidRPr="000B6C33" w:rsidRDefault="00B71E5F" w:rsidP="000B6C33">
            <w:pPr>
              <w:spacing w:line="360" w:lineRule="auto"/>
              <w:jc w:val="both"/>
            </w:pPr>
          </w:p>
        </w:tc>
      </w:tr>
      <w:tr w:rsidR="00B71E5F" w:rsidRPr="000B6C33">
        <w:trPr>
          <w:trHeight w:val="645"/>
        </w:trPr>
        <w:tc>
          <w:tcPr>
            <w:tcW w:w="2370"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Outstanding Liability (rent and rates)</w:t>
            </w:r>
          </w:p>
        </w:tc>
        <w:tc>
          <w:tcPr>
            <w:tcW w:w="132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jc w:val="both"/>
            </w:pPr>
          </w:p>
        </w:tc>
        <w:tc>
          <w:tcPr>
            <w:tcW w:w="1305" w:type="dxa"/>
            <w:tcBorders>
              <w:top w:val="nil"/>
              <w:left w:val="nil"/>
              <w:bottom w:val="single" w:sz="8" w:space="0" w:color="000000"/>
              <w:right w:val="single" w:sz="8" w:space="0" w:color="000000"/>
            </w:tcBorders>
            <w:shd w:val="clear" w:color="auto" w:fill="CFE2F3"/>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3220</w:t>
            </w:r>
          </w:p>
        </w:tc>
        <w:tc>
          <w:tcPr>
            <w:tcW w:w="16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Less: Reserve for Bad Debts</w:t>
            </w:r>
          </w:p>
        </w:tc>
        <w:tc>
          <w:tcPr>
            <w:tcW w:w="135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4000</w:t>
            </w:r>
          </w:p>
        </w:tc>
        <w:tc>
          <w:tcPr>
            <w:tcW w:w="132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396000</w:t>
            </w:r>
          </w:p>
        </w:tc>
      </w:tr>
      <w:tr w:rsidR="00B71E5F" w:rsidRPr="000B6C33">
        <w:trPr>
          <w:trHeight w:val="360"/>
        </w:trPr>
        <w:tc>
          <w:tcPr>
            <w:tcW w:w="2370"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71E5F" w:rsidP="000B6C33">
            <w:pPr>
              <w:spacing w:line="360" w:lineRule="auto"/>
              <w:jc w:val="both"/>
            </w:pPr>
          </w:p>
        </w:tc>
        <w:tc>
          <w:tcPr>
            <w:tcW w:w="132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c>
          <w:tcPr>
            <w:tcW w:w="1305" w:type="dxa"/>
            <w:tcBorders>
              <w:top w:val="nil"/>
              <w:left w:val="nil"/>
              <w:bottom w:val="single" w:sz="8" w:space="0" w:color="000000"/>
              <w:right w:val="single" w:sz="8" w:space="0" w:color="000000"/>
            </w:tcBorders>
            <w:shd w:val="clear" w:color="auto" w:fill="CFE2F3"/>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c>
          <w:tcPr>
            <w:tcW w:w="16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Closing stock</w:t>
            </w:r>
          </w:p>
        </w:tc>
        <w:tc>
          <w:tcPr>
            <w:tcW w:w="135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spacing w:line="360" w:lineRule="auto"/>
              <w:jc w:val="both"/>
            </w:pPr>
          </w:p>
        </w:tc>
        <w:tc>
          <w:tcPr>
            <w:tcW w:w="132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vAlign w:val="bottom"/>
          </w:tcPr>
          <w:p w:rsidR="00B71E5F" w:rsidRPr="000B6C33" w:rsidRDefault="00B670EF" w:rsidP="000B6C33">
            <w:pPr>
              <w:spacing w:before="240" w:after="240" w:line="360" w:lineRule="auto"/>
              <w:jc w:val="both"/>
            </w:pPr>
            <w:r w:rsidRPr="000B6C33">
              <w:t>125000</w:t>
            </w:r>
          </w:p>
        </w:tc>
      </w:tr>
      <w:tr w:rsidR="00B71E5F" w:rsidRPr="000B6C33">
        <w:trPr>
          <w:trHeight w:val="360"/>
        </w:trPr>
        <w:tc>
          <w:tcPr>
            <w:tcW w:w="2370" w:type="dxa"/>
            <w:tcBorders>
              <w:top w:val="nil"/>
              <w:left w:val="single" w:sz="8" w:space="0" w:color="000000"/>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71E5F" w:rsidP="000B6C33">
            <w:pPr>
              <w:spacing w:line="360" w:lineRule="auto"/>
              <w:jc w:val="both"/>
            </w:pPr>
          </w:p>
        </w:tc>
        <w:tc>
          <w:tcPr>
            <w:tcW w:w="132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c>
          <w:tcPr>
            <w:tcW w:w="1305" w:type="dxa"/>
            <w:tcBorders>
              <w:top w:val="nil"/>
              <w:left w:val="nil"/>
              <w:bottom w:val="single" w:sz="8" w:space="0" w:color="000000"/>
              <w:right w:val="single" w:sz="8" w:space="0" w:color="000000"/>
            </w:tcBorders>
            <w:shd w:val="clear" w:color="auto" w:fill="CFE2F3"/>
            <w:tcMar>
              <w:top w:w="40" w:type="dxa"/>
              <w:left w:w="40" w:type="dxa"/>
              <w:bottom w:w="40" w:type="dxa"/>
              <w:right w:w="40" w:type="dxa"/>
            </w:tcMar>
            <w:vAlign w:val="bottom"/>
          </w:tcPr>
          <w:p w:rsidR="00B71E5F" w:rsidRPr="000B6C33" w:rsidRDefault="00B670EF" w:rsidP="000B6C33">
            <w:pPr>
              <w:spacing w:before="240" w:after="240" w:line="360" w:lineRule="auto"/>
              <w:jc w:val="both"/>
              <w:rPr>
                <w:b/>
              </w:rPr>
            </w:pPr>
            <w:r w:rsidRPr="000B6C33">
              <w:rPr>
                <w:b/>
              </w:rPr>
              <w:t>1217920</w:t>
            </w:r>
          </w:p>
        </w:tc>
        <w:tc>
          <w:tcPr>
            <w:tcW w:w="1680" w:type="dxa"/>
            <w:tcBorders>
              <w:top w:val="nil"/>
              <w:left w:val="nil"/>
              <w:bottom w:val="single" w:sz="8" w:space="0" w:color="000000"/>
              <w:right w:val="single" w:sz="8" w:space="0" w:color="000000"/>
            </w:tcBorders>
            <w:shd w:val="clear" w:color="auto" w:fill="FF9900"/>
            <w:tcMar>
              <w:top w:w="40" w:type="dxa"/>
              <w:left w:w="40" w:type="dxa"/>
              <w:bottom w:w="40" w:type="dxa"/>
              <w:right w:w="40" w:type="dxa"/>
            </w:tcMar>
            <w:vAlign w:val="bottom"/>
          </w:tcPr>
          <w:p w:rsidR="00B71E5F" w:rsidRPr="000B6C33" w:rsidRDefault="00B71E5F" w:rsidP="000B6C33">
            <w:pPr>
              <w:spacing w:line="360" w:lineRule="auto"/>
              <w:jc w:val="both"/>
            </w:pPr>
          </w:p>
        </w:tc>
        <w:tc>
          <w:tcPr>
            <w:tcW w:w="1350" w:type="dxa"/>
            <w:tcBorders>
              <w:top w:val="nil"/>
              <w:left w:val="nil"/>
              <w:bottom w:val="single" w:sz="8" w:space="0" w:color="000000"/>
              <w:right w:val="single" w:sz="8" w:space="0" w:color="000000"/>
            </w:tcBorders>
            <w:shd w:val="clear" w:color="auto" w:fill="auto"/>
            <w:tcMar>
              <w:top w:w="40" w:type="dxa"/>
              <w:left w:w="40" w:type="dxa"/>
              <w:bottom w:w="40" w:type="dxa"/>
              <w:right w:w="40" w:type="dxa"/>
            </w:tcMar>
            <w:vAlign w:val="bottom"/>
          </w:tcPr>
          <w:p w:rsidR="00B71E5F" w:rsidRPr="000B6C33" w:rsidRDefault="00B71E5F" w:rsidP="000B6C33">
            <w:pPr>
              <w:widowControl w:val="0"/>
              <w:pBdr>
                <w:top w:val="nil"/>
                <w:left w:val="nil"/>
                <w:bottom w:val="nil"/>
                <w:right w:val="nil"/>
                <w:between w:val="nil"/>
              </w:pBdr>
              <w:spacing w:line="360" w:lineRule="auto"/>
              <w:jc w:val="both"/>
            </w:pPr>
          </w:p>
        </w:tc>
        <w:tc>
          <w:tcPr>
            <w:tcW w:w="132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vAlign w:val="bottom"/>
          </w:tcPr>
          <w:p w:rsidR="00B71E5F" w:rsidRPr="000B6C33" w:rsidRDefault="00B670EF" w:rsidP="000B6C33">
            <w:pPr>
              <w:spacing w:before="240" w:after="240" w:line="360" w:lineRule="auto"/>
              <w:jc w:val="both"/>
              <w:rPr>
                <w:b/>
              </w:rPr>
            </w:pPr>
            <w:r w:rsidRPr="000B6C33">
              <w:rPr>
                <w:b/>
              </w:rPr>
              <w:t>1217920</w:t>
            </w:r>
          </w:p>
        </w:tc>
      </w:tr>
    </w:tbl>
    <w:p w:rsidR="00B71E5F" w:rsidRPr="000B6C33" w:rsidRDefault="00B670EF" w:rsidP="00263612">
      <w:pPr>
        <w:spacing w:line="360" w:lineRule="auto"/>
        <w:jc w:val="center"/>
        <w:rPr>
          <w:b/>
        </w:rPr>
      </w:pPr>
      <w:r w:rsidRPr="000B6C33">
        <w:rPr>
          <w:b/>
        </w:rPr>
        <w:t>Table 3: Balance Sheet</w:t>
      </w:r>
    </w:p>
    <w:p w:rsidR="00B71E5F" w:rsidRPr="000B6C33" w:rsidRDefault="00B670EF" w:rsidP="00263612">
      <w:pPr>
        <w:spacing w:line="360" w:lineRule="auto"/>
        <w:jc w:val="center"/>
      </w:pPr>
      <w:r w:rsidRPr="000B6C33">
        <w:t>(Source: Created by the learner)</w:t>
      </w:r>
    </w:p>
    <w:p w:rsidR="00B71E5F" w:rsidRPr="000B6C33" w:rsidRDefault="00B71E5F" w:rsidP="000B6C33">
      <w:pPr>
        <w:spacing w:line="360" w:lineRule="auto"/>
        <w:jc w:val="both"/>
      </w:pPr>
    </w:p>
    <w:p w:rsidR="00B71E5F" w:rsidRPr="000B6C33" w:rsidRDefault="00B670EF" w:rsidP="000B6C33">
      <w:pPr>
        <w:spacing w:line="360" w:lineRule="auto"/>
        <w:jc w:val="both"/>
      </w:pPr>
      <w:r w:rsidRPr="000B6C33">
        <w:br w:type="page"/>
      </w:r>
    </w:p>
    <w:p w:rsidR="00B71E5F" w:rsidRPr="000B6C33" w:rsidRDefault="00B670EF" w:rsidP="00263612">
      <w:pPr>
        <w:pStyle w:val="Titlu1"/>
      </w:pPr>
      <w:r w:rsidRPr="000B6C33">
        <w:lastRenderedPageBreak/>
        <w:t>Question 2</w:t>
      </w:r>
    </w:p>
    <w:p w:rsidR="00B71E5F" w:rsidRPr="000B6C33" w:rsidRDefault="00B71E5F" w:rsidP="000B6C33">
      <w:pPr>
        <w:spacing w:line="360" w:lineRule="auto"/>
        <w:jc w:val="both"/>
        <w:rPr>
          <w:b/>
        </w:rPr>
      </w:pPr>
    </w:p>
    <w:p w:rsidR="00B71E5F" w:rsidRPr="000B6C33" w:rsidRDefault="00B670EF" w:rsidP="000B6C33">
      <w:pPr>
        <w:spacing w:line="360" w:lineRule="auto"/>
        <w:jc w:val="both"/>
        <w:rPr>
          <w:b/>
        </w:rPr>
      </w:pPr>
      <w:r w:rsidRPr="000B6C33">
        <w:rPr>
          <w:b/>
        </w:rPr>
        <w:t>Answer:</w:t>
      </w:r>
    </w:p>
    <w:p w:rsidR="00B71E5F" w:rsidRPr="000B6C33" w:rsidRDefault="00B71E5F" w:rsidP="000B6C33">
      <w:pPr>
        <w:spacing w:line="360" w:lineRule="auto"/>
        <w:jc w:val="both"/>
        <w:rPr>
          <w:b/>
        </w:rPr>
      </w:pPr>
    </w:p>
    <w:p w:rsidR="00B71E5F" w:rsidRPr="000B6C33" w:rsidRDefault="00B670EF" w:rsidP="000B6C33">
      <w:pPr>
        <w:spacing w:line="360" w:lineRule="auto"/>
        <w:jc w:val="both"/>
      </w:pPr>
      <w:r w:rsidRPr="000B6C33">
        <w:t xml:space="preserve">The “accounting principles” refers to the framework that presents the </w:t>
      </w:r>
      <w:r w:rsidRPr="000B6C33">
        <w:rPr>
          <w:b/>
          <w:i/>
        </w:rPr>
        <w:t>“rules and guidelines</w:t>
      </w:r>
      <w:r w:rsidR="00263612">
        <w:rPr>
          <w:b/>
          <w:i/>
        </w:rPr>
        <w:t xml:space="preserve">”, </w:t>
      </w:r>
      <w:r w:rsidRPr="000B6C33">
        <w:t>that the companies need to follow when they are preparing financial statements (</w:t>
      </w:r>
      <w:r w:rsidRPr="000B6C33">
        <w:rPr>
          <w:rFonts w:eastAsia="Times New Roman"/>
        </w:rPr>
        <w:t>Tuovila, 2021</w:t>
      </w:r>
      <w:r w:rsidRPr="000B6C33">
        <w:t>). This framework needs to be followed for examining the financial records and data by standardizing the methods which the organization must follow. The "accounting principles" are fundamental aspects of recording the accounts in the system. The principles thus help the accountants to conduct the work of the present and future consistently, provide balance and stability, easier for comparing the data, and maintaining objectivity concepts. The principles that have been designed will be useful in the practical implications of financial statements (</w:t>
      </w:r>
      <w:r w:rsidRPr="000B6C33">
        <w:rPr>
          <w:rFonts w:eastAsia="Times New Roman"/>
        </w:rPr>
        <w:t>Patrascu, 2015</w:t>
      </w:r>
      <w:r w:rsidRPr="000B6C33">
        <w:t xml:space="preserve">). Thus, according to the size and the purpose of the organization the relevant principles are chosen by the accounting managers which will help in interpreting the financial data more easily. There are various "accounting principles" such as "consistency, materiality, monetary unit and going concern" which the organization follows to maintain the standards so that the financial accounts can be prepared and presented efficiently.  </w:t>
      </w:r>
    </w:p>
    <w:p w:rsidR="00B71E5F" w:rsidRPr="000B6C33" w:rsidRDefault="00B670EF" w:rsidP="000B6C33">
      <w:pPr>
        <w:spacing w:line="360" w:lineRule="auto"/>
        <w:jc w:val="both"/>
        <w:rPr>
          <w:color w:val="222222"/>
          <w:highlight w:val="white"/>
        </w:rPr>
      </w:pPr>
      <w:r w:rsidRPr="000B6C33">
        <w:t>The “consistency principle” is one of the techniques adopted by the organization which states that the accounting methods that are used must be followed consistently in preparing the financial statements and records in the future (</w:t>
      </w:r>
      <w:r w:rsidRPr="000B6C33">
        <w:rPr>
          <w:rFonts w:eastAsia="Times New Roman"/>
          <w:color w:val="222222"/>
          <w:highlight w:val="white"/>
        </w:rPr>
        <w:t>Accounting Tools, 2022</w:t>
      </w:r>
      <w:r w:rsidRPr="000B6C33">
        <w:t xml:space="preserve">). The accountants and the auditors of the organization want the financial statements to be presented consistently so that they can be compared with the historical records for identifying the issues of consistency. This indicates that the organization will find it easy for comparing the financial statements accurately if they follow up with the same accounting method. The changes in the accounting principle by the organization for some reasons must be notified and disclose the reason for changes, the nature of changes, and their impact on the statement of financials. For example, when an organization is following a depreciation method such as the "reducing balance method" for the buildings and for machinery it is using the "straight-line method", the organization must follow it consistently the same methods for the respective type of assets. As per the article of </w:t>
      </w:r>
      <w:r w:rsidRPr="000B6C33">
        <w:rPr>
          <w:color w:val="222222"/>
          <w:highlight w:val="white"/>
        </w:rPr>
        <w:t xml:space="preserve">Kiabel and Nwanyanwu (2014), it is also observed that when one type of depreciation method is being used it helps compare the records. This indicates that it helps in facilitating the comparison of financial records with different accounting periods (Kiabel and Nwanyanwu, 2014). In addition, it can be stated that the relevancy of the "consistency principle" is very high as the change in the accounting method such as shifting from the "written-down value method" to the "straight line method" </w:t>
      </w:r>
      <w:r w:rsidRPr="000B6C33">
        <w:rPr>
          <w:color w:val="222222"/>
          <w:highlight w:val="white"/>
        </w:rPr>
        <w:lastRenderedPageBreak/>
        <w:t>may affect the profit position of the company, as well as, there will be huge changes in the assets side of the company.</w:t>
      </w:r>
    </w:p>
    <w:p w:rsidR="00B71E5F" w:rsidRPr="000B6C33" w:rsidRDefault="00B670EF" w:rsidP="000B6C33">
      <w:pPr>
        <w:spacing w:line="360" w:lineRule="auto"/>
        <w:jc w:val="both"/>
        <w:rPr>
          <w:color w:val="222222"/>
          <w:highlight w:val="white"/>
        </w:rPr>
      </w:pPr>
      <w:r w:rsidRPr="000B6C33">
        <w:rPr>
          <w:color w:val="222222"/>
          <w:highlight w:val="white"/>
        </w:rPr>
        <w:t>The “materiality concept” refers to the financial items which will have an impact on the organization’s financial statements if the items are omitted or information about the items is misstated. This will lead to a change in the decision of the company’s management. When the information is not misstated or omitted then the actions of the management would have changed and consider the items of the company to be material (Accounting Tools, 2022). The items will be considered immaterial when the company is not changing its decisions or actions related to the omitted items or the misinformation stated in the financial items. This indicates that the financial items recorded by the organization must have some “relevance” and “significance”. For example, when the company is buying stationery items such as pens are considered an asset for the company. The pen will be utilized at the end of the year which indicates that the cost of the pen is unimportant and will not be considered an item in the closing inventory. Thus it will be written down as an expense for the month in which it is bought (</w:t>
      </w:r>
      <w:r w:rsidRPr="000B6C33">
        <w:rPr>
          <w:rFonts w:eastAsia="Times New Roman"/>
          <w:color w:val="222222"/>
          <w:highlight w:val="white"/>
        </w:rPr>
        <w:t>Finance Strategist, 2021</w:t>
      </w:r>
      <w:r w:rsidRPr="000B6C33">
        <w:rPr>
          <w:color w:val="222222"/>
          <w:highlight w:val="white"/>
        </w:rPr>
        <w:t xml:space="preserve">). Say for another example, the internet bill can be charged as an expense for the current period rather than opting for the period in which the services were used by the company. This will collide with the "matching principle of accounting". Thus, the bills for internet services based on cash are much easier to do as the whole amount of the bill is not known until the internet utility receipt is received. Thus, the internet bill will be considered an expense and these changes will not be affected in the statements of the financials which indicates that the item is immaterial. This indicates that the "materiality concept" is an essential element while preparing the accounts of the company and recording the transactions in the appropriate heads. </w:t>
      </w:r>
    </w:p>
    <w:p w:rsidR="00B71E5F" w:rsidRPr="000B6C33" w:rsidRDefault="00B670EF" w:rsidP="000B6C33">
      <w:pPr>
        <w:spacing w:line="360" w:lineRule="auto"/>
        <w:jc w:val="both"/>
        <w:rPr>
          <w:color w:val="222222"/>
          <w:highlight w:val="white"/>
        </w:rPr>
      </w:pPr>
      <w:r w:rsidRPr="000B6C33">
        <w:rPr>
          <w:color w:val="222222"/>
          <w:highlight w:val="white"/>
        </w:rPr>
        <w:t xml:space="preserve">The "monetary unit principle" is one of the concepts that depict the organizations must enter the transactions and record them that will be measured and expressed in terms of money. This principle will not be able to measure the low-level confidence of the staff, the abilities, and skills of the employees, and the services provided by the employees (Accounting Tools, 2022). This indicates that for example when the CEO of the company is providing a motivational speech to its employees to boost their morale and confidence for finishing up the project with efficiency. This purpose cannot be measured in terms of money and hence will not have any business transactions entry for the same. For calculating the assets and the liabilities of the company it is assumed that the value of the monetary unit is stable (Finance Strategist, 2022). This assumption is made because there exist inflation rates and deflation rates which makes it difficult for measuring the asset value of the business. Thus the business transactions related to the assets must be recorded by adhering to the same measurement unit. This indicates that the proper adjustments must be considered for calculating the assets and liabilities figures by giving importance to the aspects of </w:t>
      </w:r>
      <w:r w:rsidRPr="000B6C33">
        <w:rPr>
          <w:color w:val="222222"/>
          <w:highlight w:val="white"/>
        </w:rPr>
        <w:lastRenderedPageBreak/>
        <w:t xml:space="preserve">depreciation and amortization. However, an article by Kiabel and Nwanyanwu (2014), states that inflation does affect the value of the money. This value of money instability creates problems when the assets purchased before and the current value of the assets is altogether being calculated in the same period of instability due to the inflation or deflation phase. When calculating the financial statements of the company there arises a problem as the recording of the assets is done at the cost price which will not depict the true and fair view of the financial position of the organization. This is due to the fluctuations in the money value because of the rate of inflation and the rate of deflation. However, some accounting managers state that inflation and deflation affect the economy and affect business transactions. Thus, this must be clearly stated in the schedules of the financial statements so that the statement of the financial position can be presented and prepared effectively and efficiently. </w:t>
      </w:r>
    </w:p>
    <w:p w:rsidR="00B71E5F" w:rsidRPr="000B6C33" w:rsidRDefault="00B670EF" w:rsidP="000B6C33">
      <w:pPr>
        <w:spacing w:line="360" w:lineRule="auto"/>
        <w:jc w:val="both"/>
        <w:rPr>
          <w:color w:val="222222"/>
          <w:highlight w:val="white"/>
        </w:rPr>
      </w:pPr>
      <w:r w:rsidRPr="000B6C33">
        <w:rPr>
          <w:color w:val="222222"/>
          <w:highlight w:val="white"/>
        </w:rPr>
        <w:t>The “going concern principle” is one of the concepts that state that the organization is having enough resources which will help them to continue to run its business indefinitely in the future until and unless it provides reasons that it will not be able to sustain itself in the future (</w:t>
      </w:r>
      <w:r w:rsidRPr="000B6C33">
        <w:rPr>
          <w:rFonts w:eastAsia="Times New Roman"/>
          <w:color w:val="222222"/>
          <w:highlight w:val="white"/>
        </w:rPr>
        <w:t>Kenton, 2021</w:t>
      </w:r>
      <w:r w:rsidRPr="000B6C33">
        <w:rPr>
          <w:color w:val="222222"/>
          <w:highlight w:val="white"/>
        </w:rPr>
        <w:t xml:space="preserve">). This concept clearly states that the organization will be able to make enough revenues to sustain the business environment and also avoid the aspects of bankruptcy. This indicates that if the company is not considered as a going concern this means that the organization is bankrupt and all the assets of the organization are liquidated. The “going-concern principle” is relevant in the preparation and presentation of the financial accounts of the company (Accounting Tools, 2022). This indicates that the assumption made by the organization regarding the “going concern” is due to the lack of information. The financial statements will depict the accounting managers of the organization whether the company will be able to continue as a “going concern” or not. With the help of the financial accounts say for example results of the operating profit are decli89ningt every year, default in the repayment of the loan, legal status of the company are certain problems and doubts that will state the company will be able to run its business operations in future or not. In addition, </w:t>
      </w:r>
      <w:r w:rsidRPr="000B6C33">
        <w:rPr>
          <w:rFonts w:eastAsia="Times New Roman"/>
          <w:color w:val="222222"/>
          <w:highlight w:val="white"/>
        </w:rPr>
        <w:t xml:space="preserve">Seyam and Brickman (2016), stated in their article that the “going-concern principle” is an assumption made by the organization that will remain to operate in the upcoming future. Thus the financial statements are prepared on that basis only and help in recognizing the organization's income and expenses that will impact the financial performance of the company (Seyam and Brickman, 2016). In addition, preparing the financial statements in each period will help in analyzing the events that will hamper the continuity of the business or create certain doubts regarding their existence in the future.  </w:t>
      </w:r>
    </w:p>
    <w:p w:rsidR="00B71E5F" w:rsidRPr="000B6C33" w:rsidRDefault="00B670EF" w:rsidP="000B6C33">
      <w:pPr>
        <w:spacing w:line="360" w:lineRule="auto"/>
        <w:jc w:val="both"/>
        <w:rPr>
          <w:color w:val="222222"/>
          <w:highlight w:val="white"/>
        </w:rPr>
      </w:pPr>
      <w:r w:rsidRPr="000B6C33">
        <w:rPr>
          <w:color w:val="222222"/>
          <w:highlight w:val="white"/>
        </w:rPr>
        <w:t xml:space="preserve">                        </w:t>
      </w:r>
    </w:p>
    <w:p w:rsidR="00B71E5F" w:rsidRPr="000B6C33" w:rsidRDefault="00B670EF" w:rsidP="000B6C33">
      <w:pPr>
        <w:spacing w:line="360" w:lineRule="auto"/>
        <w:jc w:val="both"/>
        <w:rPr>
          <w:color w:val="222222"/>
          <w:highlight w:val="white"/>
        </w:rPr>
      </w:pPr>
      <w:r w:rsidRPr="000B6C33">
        <w:rPr>
          <w:color w:val="222222"/>
          <w:highlight w:val="white"/>
        </w:rPr>
        <w:t xml:space="preserve"> </w:t>
      </w:r>
    </w:p>
    <w:p w:rsidR="00B670EF" w:rsidRDefault="00B670EF" w:rsidP="00B670EF">
      <w:pPr>
        <w:spacing w:line="360" w:lineRule="auto"/>
        <w:jc w:val="both"/>
        <w:rPr>
          <w:color w:val="222222"/>
          <w:highlight w:val="white"/>
        </w:rPr>
      </w:pPr>
      <w:r w:rsidRPr="000B6C33">
        <w:rPr>
          <w:color w:val="222222"/>
          <w:highlight w:val="white"/>
        </w:rPr>
        <w:t xml:space="preserve">  </w:t>
      </w:r>
    </w:p>
    <w:p w:rsidR="00B71E5F" w:rsidRPr="00B670EF" w:rsidRDefault="00B670EF" w:rsidP="00B670EF">
      <w:pPr>
        <w:pStyle w:val="Titlu1"/>
        <w:rPr>
          <w:color w:val="222222"/>
          <w:highlight w:val="white"/>
        </w:rPr>
      </w:pPr>
      <w:r>
        <w:lastRenderedPageBreak/>
        <w:t xml:space="preserve">References </w:t>
      </w:r>
    </w:p>
    <w:p w:rsidR="00B670EF" w:rsidRDefault="00B670EF" w:rsidP="00B670EF">
      <w:pPr>
        <w:spacing w:line="360" w:lineRule="auto"/>
        <w:jc w:val="both"/>
      </w:pPr>
      <w:r>
        <w:t xml:space="preserve">Accounting Tools, 2022. </w:t>
      </w:r>
      <w:r w:rsidRPr="00FE4010">
        <w:rPr>
          <w:i/>
        </w:rPr>
        <w:t>Consistency principle definition</w:t>
      </w:r>
      <w:r>
        <w:t xml:space="preserve"> </w:t>
      </w:r>
      <w:r w:rsidRPr="00A3150B">
        <w:t>[online] Available at: &lt;</w:t>
      </w:r>
      <w:r w:rsidRPr="00FE4010">
        <w:t xml:space="preserve"> https://www.accountingtools.com/articles/the-consistency-principle</w:t>
      </w:r>
      <w:r w:rsidRPr="00A3150B">
        <w:t xml:space="preserve">&gt; Accessed on 04 August 2022. </w:t>
      </w:r>
    </w:p>
    <w:p w:rsidR="00B670EF" w:rsidRPr="00A3150B" w:rsidRDefault="00B670EF" w:rsidP="00B670EF">
      <w:pPr>
        <w:spacing w:line="360" w:lineRule="auto"/>
        <w:jc w:val="both"/>
      </w:pPr>
      <w:r>
        <w:t xml:space="preserve">Accounting Tools, 2022. </w:t>
      </w:r>
      <w:r w:rsidRPr="00364956">
        <w:rPr>
          <w:i/>
        </w:rPr>
        <w:t>The going concern principle</w:t>
      </w:r>
      <w:r w:rsidRPr="00364956">
        <w:t xml:space="preserve"> </w:t>
      </w:r>
      <w:r w:rsidRPr="00A3150B">
        <w:t>[online] Available at: &lt;</w:t>
      </w:r>
      <w:r w:rsidRPr="00364956">
        <w:t xml:space="preserve"> https://www.accountingtools.com/articles/the-going-concern-principle</w:t>
      </w:r>
      <w:r w:rsidRPr="00A3150B">
        <w:t xml:space="preserve">&gt; Accessed on 04 August 2022. </w:t>
      </w:r>
    </w:p>
    <w:p w:rsidR="00B670EF" w:rsidRPr="00A3150B" w:rsidRDefault="00B670EF" w:rsidP="00B670EF">
      <w:pPr>
        <w:spacing w:line="360" w:lineRule="auto"/>
        <w:jc w:val="both"/>
      </w:pPr>
      <w:r>
        <w:t xml:space="preserve">Accounting Tools, 2022. </w:t>
      </w:r>
      <w:r w:rsidRPr="00381538">
        <w:rPr>
          <w:i/>
        </w:rPr>
        <w:t>The monetary unit principle</w:t>
      </w:r>
      <w:r w:rsidRPr="00381538">
        <w:t xml:space="preserve"> </w:t>
      </w:r>
      <w:r w:rsidRPr="00A3150B">
        <w:t>[online] Available at: &lt;</w:t>
      </w:r>
      <w:r w:rsidRPr="00381538">
        <w:t xml:space="preserve"> https://www.accountingtools.com/articles/the-monetary-unit-principle</w:t>
      </w:r>
      <w:r w:rsidRPr="00A3150B">
        <w:t xml:space="preserve">&gt; Accessed on 04 August 2022. </w:t>
      </w:r>
    </w:p>
    <w:p w:rsidR="00B670EF" w:rsidRDefault="00B670EF" w:rsidP="00B670EF">
      <w:pPr>
        <w:spacing w:line="360" w:lineRule="auto"/>
        <w:jc w:val="both"/>
      </w:pPr>
      <w:r>
        <w:t xml:space="preserve">Accounting Tools, 2022. </w:t>
      </w:r>
      <w:r w:rsidRPr="007A5146">
        <w:rPr>
          <w:i/>
        </w:rPr>
        <w:t>What is materiality in accounting information?</w:t>
      </w:r>
      <w:r w:rsidRPr="007A5146">
        <w:t xml:space="preserve"> </w:t>
      </w:r>
      <w:r w:rsidRPr="00A3150B">
        <w:t>[online] Available at: &lt;</w:t>
      </w:r>
      <w:r w:rsidRPr="007A5146">
        <w:t xml:space="preserve"> https://www.accountingtools.com/articles/what-is-materiality-in-accounting-information.html</w:t>
      </w:r>
      <w:r w:rsidRPr="00A3150B">
        <w:t xml:space="preserve">&gt; Accessed on 04 August 2022. </w:t>
      </w:r>
    </w:p>
    <w:p w:rsidR="00B670EF" w:rsidRDefault="00B670EF" w:rsidP="00B670EF">
      <w:pPr>
        <w:spacing w:line="360" w:lineRule="auto"/>
        <w:jc w:val="both"/>
      </w:pPr>
      <w:r>
        <w:t xml:space="preserve">Finance Strategist, 2021. </w:t>
      </w:r>
      <w:r w:rsidRPr="00FC4EA9">
        <w:rPr>
          <w:i/>
        </w:rPr>
        <w:t>Materiality Concept of Accounting</w:t>
      </w:r>
      <w:r w:rsidRPr="00FC4EA9">
        <w:t xml:space="preserve"> </w:t>
      </w:r>
      <w:r w:rsidRPr="00A3150B">
        <w:t>[online] Available at: &lt;</w:t>
      </w:r>
      <w:r w:rsidRPr="00FC4EA9">
        <w:t xml:space="preserve"> https://learn.financestrategists.com/explanation/accounting-concepts-and-principles/materiality-principle/</w:t>
      </w:r>
      <w:r w:rsidRPr="00A3150B">
        <w:t xml:space="preserve">&gt; Accessed on 04 August 2022. </w:t>
      </w:r>
    </w:p>
    <w:p w:rsidR="00B670EF" w:rsidRDefault="00B670EF" w:rsidP="00B670EF">
      <w:pPr>
        <w:spacing w:line="360" w:lineRule="auto"/>
        <w:jc w:val="both"/>
      </w:pPr>
      <w:r>
        <w:t xml:space="preserve">Finance Strategists, 2022. </w:t>
      </w:r>
      <w:r w:rsidRPr="00830B2E">
        <w:rPr>
          <w:i/>
        </w:rPr>
        <w:t>Monetary Unit Assumption</w:t>
      </w:r>
      <w:r w:rsidRPr="00830B2E">
        <w:t xml:space="preserve"> </w:t>
      </w:r>
      <w:r w:rsidRPr="00A3150B">
        <w:t>[online] Available at: &lt;</w:t>
      </w:r>
      <w:r w:rsidRPr="00830B2E">
        <w:t xml:space="preserve"> https://learn.financestrategists.com/explanation/accounting-concepts-and-principles/monetary-unit-assumption/</w:t>
      </w:r>
      <w:r w:rsidRPr="00A3150B">
        <w:t>&gt; Accessed on 04 August 2022.</w:t>
      </w:r>
    </w:p>
    <w:p w:rsidR="00B670EF" w:rsidRPr="00A3150B" w:rsidRDefault="00B670EF" w:rsidP="00B670EF">
      <w:pPr>
        <w:spacing w:line="360" w:lineRule="auto"/>
        <w:jc w:val="both"/>
      </w:pPr>
      <w:r>
        <w:t xml:space="preserve">Kenton, W., 2021. </w:t>
      </w:r>
      <w:r w:rsidRPr="00282282">
        <w:rPr>
          <w:i/>
        </w:rPr>
        <w:t>Going Concern</w:t>
      </w:r>
      <w:r w:rsidRPr="00282282">
        <w:t xml:space="preserve"> </w:t>
      </w:r>
      <w:r w:rsidRPr="00A3150B">
        <w:t>[online] Available at: &lt;</w:t>
      </w:r>
      <w:r w:rsidRPr="00282282">
        <w:t xml:space="preserve"> https://www.investopedia.com/terms/g/goingconcern.asp</w:t>
      </w:r>
      <w:r w:rsidRPr="00A3150B">
        <w:t xml:space="preserve">&gt; Accessed on 04 August 2022. </w:t>
      </w:r>
    </w:p>
    <w:p w:rsidR="00B670EF" w:rsidRDefault="00B670EF" w:rsidP="00B670EF">
      <w:pPr>
        <w:spacing w:line="360" w:lineRule="auto"/>
        <w:jc w:val="both"/>
      </w:pPr>
      <w:r w:rsidRPr="009F7D23">
        <w:rPr>
          <w:lang w:val="en-GB"/>
        </w:rPr>
        <w:t>Kiabel, B.D. and Nwanyanwu, L.A., 2014. Some basic concepts of accounting: a critical appraisal. </w:t>
      </w:r>
      <w:r w:rsidRPr="009F7D23">
        <w:rPr>
          <w:i/>
          <w:iCs/>
          <w:lang w:val="en-GB"/>
        </w:rPr>
        <w:t>Research journal of finance and accounting</w:t>
      </w:r>
      <w:r w:rsidRPr="009F7D23">
        <w:rPr>
          <w:lang w:val="en-GB"/>
        </w:rPr>
        <w:t>, (7), pp.197-204.</w:t>
      </w:r>
    </w:p>
    <w:p w:rsidR="00B670EF" w:rsidRDefault="00B670EF" w:rsidP="00B670EF">
      <w:pPr>
        <w:spacing w:line="360" w:lineRule="auto"/>
        <w:jc w:val="both"/>
      </w:pPr>
      <w:r w:rsidRPr="00A3150B">
        <w:t xml:space="preserve"> </w:t>
      </w:r>
      <w:r w:rsidRPr="00051EC4">
        <w:rPr>
          <w:lang w:val="en-GB"/>
        </w:rPr>
        <w:t>Patrascu, D., 2015. The importance of accounting principles in the accounting profession. </w:t>
      </w:r>
      <w:r w:rsidRPr="00051EC4">
        <w:rPr>
          <w:i/>
          <w:iCs/>
          <w:lang w:val="en-GB"/>
        </w:rPr>
        <w:t>Available at SSRN 2546830</w:t>
      </w:r>
      <w:r w:rsidRPr="00051EC4">
        <w:rPr>
          <w:lang w:val="en-GB"/>
        </w:rPr>
        <w:t>.</w:t>
      </w:r>
    </w:p>
    <w:p w:rsidR="00B670EF" w:rsidRDefault="00B670EF" w:rsidP="00B670EF">
      <w:pPr>
        <w:spacing w:line="360" w:lineRule="auto"/>
        <w:jc w:val="both"/>
      </w:pPr>
      <w:r w:rsidRPr="00282282">
        <w:t>Seyam, A.A. and Brickman, S., 2016. The going concern assumptions and presentation on financial statements. </w:t>
      </w:r>
      <w:r w:rsidRPr="00282282">
        <w:rPr>
          <w:i/>
          <w:iCs/>
        </w:rPr>
        <w:t>The Business &amp; Management Review</w:t>
      </w:r>
      <w:r w:rsidRPr="00282282">
        <w:t>, </w:t>
      </w:r>
      <w:r w:rsidRPr="00282282">
        <w:rPr>
          <w:i/>
          <w:iCs/>
        </w:rPr>
        <w:t>7</w:t>
      </w:r>
      <w:r w:rsidRPr="00282282">
        <w:t>(3), p.241.</w:t>
      </w:r>
    </w:p>
    <w:p w:rsidR="00B670EF" w:rsidRDefault="00B670EF" w:rsidP="00B670EF">
      <w:pPr>
        <w:spacing w:line="360" w:lineRule="auto"/>
        <w:jc w:val="both"/>
      </w:pPr>
      <w:r>
        <w:t xml:space="preserve">Tuovila, A., 2021. </w:t>
      </w:r>
      <w:r>
        <w:rPr>
          <w:i/>
        </w:rPr>
        <w:t xml:space="preserve">Accounting Principles </w:t>
      </w:r>
      <w:r>
        <w:t>[online] Available at: &lt;</w:t>
      </w:r>
      <w:r w:rsidRPr="00A3150B">
        <w:t>https://www.investopedia.com/terms/a/accounting-principles.asp</w:t>
      </w:r>
      <w:r>
        <w:t xml:space="preserve">&gt; Accessed on 04 August 2022. </w:t>
      </w:r>
    </w:p>
    <w:sectPr w:rsidR="00B670EF">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F8925"/>
    <w:multiLevelType w:val="hybridMultilevel"/>
    <w:tmpl w:val="00000000"/>
    <w:lvl w:ilvl="0" w:tplc="4B3A8494">
      <w:start w:val="1"/>
      <w:numFmt w:val="decimal"/>
      <w:lvlText w:val="%1)"/>
      <w:lvlJc w:val="left"/>
      <w:pPr>
        <w:ind w:left="720" w:hanging="360"/>
      </w:pPr>
      <w:rPr>
        <w:u w:val="none"/>
      </w:rPr>
    </w:lvl>
    <w:lvl w:ilvl="1" w:tplc="A83C88CE">
      <w:start w:val="1"/>
      <w:numFmt w:val="lowerLetter"/>
      <w:lvlText w:val="%2)"/>
      <w:lvlJc w:val="left"/>
      <w:pPr>
        <w:ind w:left="1440" w:hanging="360"/>
      </w:pPr>
      <w:rPr>
        <w:u w:val="none"/>
      </w:rPr>
    </w:lvl>
    <w:lvl w:ilvl="2" w:tplc="BBC2A130">
      <w:start w:val="1"/>
      <w:numFmt w:val="lowerRoman"/>
      <w:lvlText w:val="%3)"/>
      <w:lvlJc w:val="right"/>
      <w:pPr>
        <w:ind w:left="2160" w:hanging="360"/>
      </w:pPr>
      <w:rPr>
        <w:u w:val="none"/>
      </w:rPr>
    </w:lvl>
    <w:lvl w:ilvl="3" w:tplc="5848288C">
      <w:start w:val="1"/>
      <w:numFmt w:val="decimal"/>
      <w:lvlText w:val="(%4)"/>
      <w:lvlJc w:val="left"/>
      <w:pPr>
        <w:ind w:left="2880" w:hanging="360"/>
      </w:pPr>
      <w:rPr>
        <w:u w:val="none"/>
      </w:rPr>
    </w:lvl>
    <w:lvl w:ilvl="4" w:tplc="EB4683FC">
      <w:start w:val="1"/>
      <w:numFmt w:val="lowerLetter"/>
      <w:lvlText w:val="(%5)"/>
      <w:lvlJc w:val="left"/>
      <w:pPr>
        <w:ind w:left="3600" w:hanging="360"/>
      </w:pPr>
      <w:rPr>
        <w:u w:val="none"/>
      </w:rPr>
    </w:lvl>
    <w:lvl w:ilvl="5" w:tplc="E8EC69A6">
      <w:start w:val="1"/>
      <w:numFmt w:val="lowerRoman"/>
      <w:lvlText w:val="(%6)"/>
      <w:lvlJc w:val="right"/>
      <w:pPr>
        <w:ind w:left="4320" w:hanging="360"/>
      </w:pPr>
      <w:rPr>
        <w:u w:val="none"/>
      </w:rPr>
    </w:lvl>
    <w:lvl w:ilvl="6" w:tplc="A6EC58F4">
      <w:start w:val="1"/>
      <w:numFmt w:val="decimal"/>
      <w:lvlText w:val="%7."/>
      <w:lvlJc w:val="left"/>
      <w:pPr>
        <w:ind w:left="5040" w:hanging="360"/>
      </w:pPr>
      <w:rPr>
        <w:u w:val="none"/>
      </w:rPr>
    </w:lvl>
    <w:lvl w:ilvl="7" w:tplc="2160AA92">
      <w:start w:val="1"/>
      <w:numFmt w:val="lowerLetter"/>
      <w:lvlText w:val="%8."/>
      <w:lvlJc w:val="left"/>
      <w:pPr>
        <w:ind w:left="5760" w:hanging="360"/>
      </w:pPr>
      <w:rPr>
        <w:u w:val="none"/>
      </w:rPr>
    </w:lvl>
    <w:lvl w:ilvl="8" w:tplc="0F824DD8">
      <w:start w:val="1"/>
      <w:numFmt w:val="lowerRoman"/>
      <w:lvlText w:val="%9."/>
      <w:lvlJc w:val="right"/>
      <w:pPr>
        <w:ind w:left="6480" w:hanging="360"/>
      </w:pPr>
      <w:rPr>
        <w:u w:val="none"/>
      </w:rPr>
    </w:lvl>
  </w:abstractNum>
  <w:abstractNum w:abstractNumId="1" w15:restartNumberingAfterBreak="0">
    <w:nsid w:val="6E185E3D"/>
    <w:multiLevelType w:val="hybridMultilevel"/>
    <w:tmpl w:val="00000000"/>
    <w:lvl w:ilvl="0" w:tplc="19DC6AAA">
      <w:start w:val="1"/>
      <w:numFmt w:val="lowerLetter"/>
      <w:lvlText w:val="%1)"/>
      <w:lvlJc w:val="left"/>
      <w:pPr>
        <w:ind w:left="720" w:hanging="360"/>
      </w:pPr>
      <w:rPr>
        <w:u w:val="none"/>
      </w:rPr>
    </w:lvl>
    <w:lvl w:ilvl="1" w:tplc="9A227588">
      <w:start w:val="1"/>
      <w:numFmt w:val="lowerRoman"/>
      <w:lvlText w:val="%2)"/>
      <w:lvlJc w:val="right"/>
      <w:pPr>
        <w:ind w:left="1440" w:hanging="360"/>
      </w:pPr>
      <w:rPr>
        <w:u w:val="none"/>
      </w:rPr>
    </w:lvl>
    <w:lvl w:ilvl="2" w:tplc="56986F68">
      <w:start w:val="1"/>
      <w:numFmt w:val="decimal"/>
      <w:lvlText w:val="%3)"/>
      <w:lvlJc w:val="left"/>
      <w:pPr>
        <w:ind w:left="2160" w:hanging="360"/>
      </w:pPr>
      <w:rPr>
        <w:u w:val="none"/>
      </w:rPr>
    </w:lvl>
    <w:lvl w:ilvl="3" w:tplc="683EB23E">
      <w:start w:val="1"/>
      <w:numFmt w:val="lowerLetter"/>
      <w:lvlText w:val="(%4)"/>
      <w:lvlJc w:val="left"/>
      <w:pPr>
        <w:ind w:left="2880" w:hanging="360"/>
      </w:pPr>
      <w:rPr>
        <w:u w:val="none"/>
      </w:rPr>
    </w:lvl>
    <w:lvl w:ilvl="4" w:tplc="6EF88D68">
      <w:start w:val="1"/>
      <w:numFmt w:val="lowerRoman"/>
      <w:lvlText w:val="(%5)"/>
      <w:lvlJc w:val="right"/>
      <w:pPr>
        <w:ind w:left="3600" w:hanging="360"/>
      </w:pPr>
      <w:rPr>
        <w:u w:val="none"/>
      </w:rPr>
    </w:lvl>
    <w:lvl w:ilvl="5" w:tplc="4726E3DC">
      <w:start w:val="1"/>
      <w:numFmt w:val="decimal"/>
      <w:lvlText w:val="(%6)"/>
      <w:lvlJc w:val="left"/>
      <w:pPr>
        <w:ind w:left="4320" w:hanging="360"/>
      </w:pPr>
      <w:rPr>
        <w:u w:val="none"/>
      </w:rPr>
    </w:lvl>
    <w:lvl w:ilvl="6" w:tplc="346CA380">
      <w:start w:val="1"/>
      <w:numFmt w:val="lowerLetter"/>
      <w:lvlText w:val="%7."/>
      <w:lvlJc w:val="left"/>
      <w:pPr>
        <w:ind w:left="5040" w:hanging="360"/>
      </w:pPr>
      <w:rPr>
        <w:u w:val="none"/>
      </w:rPr>
    </w:lvl>
    <w:lvl w:ilvl="7" w:tplc="E3C494AA">
      <w:start w:val="1"/>
      <w:numFmt w:val="lowerRoman"/>
      <w:lvlText w:val="%8."/>
      <w:lvlJc w:val="right"/>
      <w:pPr>
        <w:ind w:left="5760" w:hanging="360"/>
      </w:pPr>
      <w:rPr>
        <w:u w:val="none"/>
      </w:rPr>
    </w:lvl>
    <w:lvl w:ilvl="8" w:tplc="A5D8E2E2">
      <w:start w:val="1"/>
      <w:numFmt w:val="decimal"/>
      <w:lvlText w:val="%9."/>
      <w:lvlJc w:val="left"/>
      <w:pPr>
        <w:ind w:left="6480" w:hanging="360"/>
      </w:pPr>
      <w:rPr>
        <w:u w:val="none"/>
      </w:rPr>
    </w:lvl>
  </w:abstractNum>
  <w:num w:numId="1" w16cid:durableId="1137650843">
    <w:abstractNumId w:val="0"/>
  </w:num>
  <w:num w:numId="2" w16cid:durableId="10290648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E5F"/>
    <w:rsid w:val="000B6C33"/>
    <w:rsid w:val="00263612"/>
    <w:rsid w:val="00342F3D"/>
    <w:rsid w:val="00594AD8"/>
    <w:rsid w:val="006B7225"/>
    <w:rsid w:val="007153F8"/>
    <w:rsid w:val="00A33A39"/>
    <w:rsid w:val="00B670EF"/>
    <w:rsid w:val="00B71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91F13"/>
  <w15:docId w15:val="{3CCE32ED-E918-0149-B054-82BD358A8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rsid w:val="00594AD8"/>
    <w:pPr>
      <w:keepNext/>
      <w:keepLines/>
      <w:spacing w:before="400" w:after="120" w:line="360" w:lineRule="auto"/>
      <w:jc w:val="both"/>
      <w:outlineLvl w:val="0"/>
    </w:pPr>
    <w:rPr>
      <w:b/>
      <w:sz w:val="28"/>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customStyle="1" w:styleId="Table1">
    <w:name w:val="Table1"/>
    <w:basedOn w:val="TabelNormal"/>
    <w:tblPr>
      <w:tblStyleRowBandSize w:val="1"/>
      <w:tblStyleColBandSize w:val="1"/>
      <w:tblCellMar>
        <w:top w:w="100" w:type="dxa"/>
        <w:left w:w="100" w:type="dxa"/>
        <w:bottom w:w="100" w:type="dxa"/>
        <w:right w:w="100" w:type="dxa"/>
      </w:tblCellMar>
    </w:tblPr>
  </w:style>
  <w:style w:type="table" w:customStyle="1" w:styleId="Table2">
    <w:name w:val="Table2"/>
    <w:basedOn w:val="TabelNormal"/>
    <w:tblPr>
      <w:tblStyleRowBandSize w:val="1"/>
      <w:tblStyleColBandSize w:val="1"/>
      <w:tblCellMar>
        <w:top w:w="100" w:type="dxa"/>
        <w:left w:w="100" w:type="dxa"/>
        <w:bottom w:w="100" w:type="dxa"/>
        <w:right w:w="100" w:type="dxa"/>
      </w:tblCellMar>
    </w:tblPr>
  </w:style>
  <w:style w:type="table" w:customStyle="1" w:styleId="Table3">
    <w:name w:val="Table3"/>
    <w:basedOn w:val="TabelNormal"/>
    <w:tblPr>
      <w:tblStyleRowBandSize w:val="1"/>
      <w:tblStyleColBandSize w:val="1"/>
      <w:tblCellMar>
        <w:top w:w="100" w:type="dxa"/>
        <w:left w:w="100" w:type="dxa"/>
        <w:bottom w:w="100" w:type="dxa"/>
        <w:right w:w="100" w:type="dxa"/>
      </w:tblCellMar>
    </w:tblPr>
  </w:style>
  <w:style w:type="table" w:customStyle="1" w:styleId="Table4">
    <w:name w:val="Table4"/>
    <w:basedOn w:val="Tabel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13</Pages>
  <Words>2182</Words>
  <Characters>12662</Characters>
  <Application>Microsoft Office Word</Application>
  <DocSecurity>0</DocSecurity>
  <Lines>105</Lines>
  <Paragraphs>29</Paragraphs>
  <ScaleCrop>false</ScaleCrop>
  <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Roxana Gavril (2108397)</cp:lastModifiedBy>
  <cp:revision>8</cp:revision>
  <dcterms:created xsi:type="dcterms:W3CDTF">2022-08-04T10:41:00Z</dcterms:created>
  <dcterms:modified xsi:type="dcterms:W3CDTF">2022-08-14T16:12:00Z</dcterms:modified>
</cp:coreProperties>
</file>