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2325135" wp14:paraId="56716A6B" wp14:textId="7A26F40E">
      <w:pPr>
        <w:rPr>
          <w:rFonts w:ascii="Calibri" w:hAnsi="Calibri" w:eastAsia="Calibri" w:cs="Calibri"/>
          <w:b w:val="0"/>
          <w:bCs w:val="0"/>
          <w:i w:val="0"/>
          <w:iCs w:val="0"/>
          <w:caps w:val="0"/>
          <w:smallCaps w:val="0"/>
          <w:noProof w:val="0"/>
          <w:color w:val="000000" w:themeColor="text1" w:themeTint="FF" w:themeShade="FF"/>
          <w:sz w:val="22"/>
          <w:szCs w:val="22"/>
          <w:lang w:val="en-US"/>
        </w:rPr>
      </w:pPr>
      <w:r w:rsidR="6C8DCC5B">
        <w:drawing>
          <wp:inline xmlns:wp14="http://schemas.microsoft.com/office/word/2010/wordprocessingDrawing" wp14:editId="5A9B0D34" wp14:anchorId="736C1840">
            <wp:extent cx="1790700" cy="714375"/>
            <wp:effectExtent l="0" t="0" r="0" b="0"/>
            <wp:docPr id="1241947486" name="" title=""/>
            <wp:cNvGraphicFramePr>
              <a:graphicFrameLocks noChangeAspect="1"/>
            </wp:cNvGraphicFramePr>
            <a:graphic>
              <a:graphicData uri="http://schemas.openxmlformats.org/drawingml/2006/picture">
                <pic:pic>
                  <pic:nvPicPr>
                    <pic:cNvPr id="0" name=""/>
                    <pic:cNvPicPr/>
                  </pic:nvPicPr>
                  <pic:blipFill>
                    <a:blip r:embed="R8c0b21b3c09b47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90700" cy="714375"/>
                    </a:xfrm>
                    <a:prstGeom prst="rect">
                      <a:avLst/>
                    </a:prstGeom>
                  </pic:spPr>
                </pic:pic>
              </a:graphicData>
            </a:graphic>
          </wp:inline>
        </w:drawing>
      </w:r>
    </w:p>
    <w:p xmlns:wp14="http://schemas.microsoft.com/office/word/2010/wordml" w:rsidP="52325135" wp14:paraId="5FC0BB7B" wp14:textId="53557F72">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2325135" wp14:paraId="78C365EE" wp14:textId="4C4BE2C3">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2325135" wp14:paraId="796ABE29" wp14:textId="646F8728">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2325135" wp14:paraId="2803F3EC" wp14:textId="71478D1A">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2325135" wp14:paraId="6CDC4939" wp14:textId="61B77E30">
      <w:pPr>
        <w:pStyle w:val="Normal"/>
        <w:spacing w:before="0" w:beforeAutospacing="off" w:after="0" w:afterAutospacing="off" w:line="257" w:lineRule="auto"/>
        <w:ind w:left="0" w:right="0" w:hanging="0"/>
        <w:rPr>
          <w:rFonts w:ascii="Calibri" w:hAnsi="Calibri" w:eastAsia="Calibri" w:cs="Calibri"/>
          <w:b w:val="1"/>
          <w:bCs w:val="1"/>
          <w:noProof w:val="0"/>
          <w:color w:val="0E2740" w:themeColor="text2" w:themeTint="FF" w:themeShade="FF"/>
          <w:sz w:val="48"/>
          <w:szCs w:val="48"/>
          <w:lang w:val="en-GB"/>
        </w:rPr>
      </w:pPr>
      <w:r w:rsidRPr="52325135" w:rsidR="6C8DCC5B">
        <w:rPr>
          <w:rFonts w:ascii="Calibri" w:hAnsi="Calibri" w:eastAsia="Calibri" w:cs="Calibri"/>
          <w:b w:val="1"/>
          <w:bCs w:val="1"/>
          <w:color w:val="0E2740"/>
          <w:sz w:val="48"/>
          <w:szCs w:val="48"/>
        </w:rPr>
        <w:t>Evaluate what are the primary factors that contribute to an individual’s vulnerability in the content of policing.</w:t>
      </w:r>
    </w:p>
    <w:p xmlns:wp14="http://schemas.microsoft.com/office/word/2010/wordml" w:rsidP="52325135" wp14:paraId="50008D63" wp14:textId="71F77AAF">
      <w:pPr>
        <w:rPr>
          <w:rFonts w:ascii="Grandview Display" w:hAnsi="Grandview Display" w:eastAsia="Grandview Display" w:cs="Grandview Display"/>
          <w:b w:val="1"/>
          <w:bCs w:val="1"/>
          <w:i w:val="1"/>
          <w:iCs w:val="1"/>
          <w:caps w:val="0"/>
          <w:smallCaps w:val="0"/>
          <w:noProof w:val="0"/>
          <w:color w:val="0E2740" w:themeColor="text2" w:themeTint="FF" w:themeShade="FF"/>
          <w:sz w:val="48"/>
          <w:szCs w:val="48"/>
          <w:vertAlign w:val="subscript"/>
          <w:lang w:val="en-GB"/>
        </w:rPr>
      </w:pPr>
    </w:p>
    <w:p xmlns:wp14="http://schemas.microsoft.com/office/word/2010/wordml" w:rsidP="52325135" wp14:paraId="6DAF7070" wp14:textId="70842377">
      <w:pPr>
        <w:ind w:left="1440"/>
        <w:rPr>
          <w:rFonts w:ascii="Grandview Display" w:hAnsi="Grandview Display" w:eastAsia="Grandview Display" w:cs="Grandview Display"/>
          <w:b w:val="0"/>
          <w:bCs w:val="0"/>
          <w:i w:val="0"/>
          <w:iCs w:val="0"/>
          <w:caps w:val="0"/>
          <w:smallCaps w:val="0"/>
          <w:noProof w:val="0"/>
          <w:color w:val="0070C0"/>
          <w:sz w:val="64"/>
          <w:szCs w:val="64"/>
          <w:lang w:val="en-US"/>
        </w:rPr>
      </w:pPr>
    </w:p>
    <w:p xmlns:wp14="http://schemas.microsoft.com/office/word/2010/wordml" w:rsidP="52325135" wp14:paraId="5A403095" wp14:textId="543F08BE">
      <w:pPr>
        <w:spacing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52325135" w:rsidR="6C8DCC5B">
        <w:rPr>
          <w:rFonts w:ascii="Bahnschrift" w:hAnsi="Bahnschrift" w:eastAsia="Bahnschrift" w:cs="Bahnschrift"/>
          <w:b w:val="0"/>
          <w:bCs w:val="0"/>
          <w:i w:val="0"/>
          <w:iCs w:val="0"/>
          <w:caps w:val="1"/>
          <w:color w:val="0070C0"/>
          <w:sz w:val="28"/>
          <w:szCs w:val="28"/>
          <w:vertAlign w:val="subscript"/>
        </w:rPr>
        <w:t>STUDENT NAME</w:t>
      </w:r>
      <w:r w:rsidRPr="52325135" w:rsidR="6C8DCC5B">
        <w:rPr>
          <w:rFonts w:ascii="Bahnschrift" w:hAnsi="Bahnschrift" w:eastAsia="Bahnschrift" w:cs="Bahnschrift"/>
          <w:b w:val="0"/>
          <w:bCs w:val="0"/>
          <w:i w:val="0"/>
          <w:iCs w:val="0"/>
          <w:caps w:val="1"/>
          <w:color w:val="000000" w:themeColor="text1" w:themeTint="FF" w:themeShade="FF"/>
          <w:sz w:val="28"/>
          <w:szCs w:val="28"/>
          <w:vertAlign w:val="subscript"/>
        </w:rPr>
        <w:t>: NATALIA MARIA KONCIAK</w:t>
      </w:r>
    </w:p>
    <w:p xmlns:wp14="http://schemas.microsoft.com/office/word/2010/wordml" w:rsidP="52325135" wp14:paraId="1D2E5B1C" wp14:textId="1241FA74">
      <w:pPr>
        <w:spacing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52325135" w:rsidR="6C8DCC5B">
        <w:rPr>
          <w:rFonts w:ascii="Bahnschrift" w:hAnsi="Bahnschrift" w:eastAsia="Bahnschrift" w:cs="Bahnschrift"/>
          <w:b w:val="0"/>
          <w:bCs w:val="0"/>
          <w:i w:val="0"/>
          <w:iCs w:val="0"/>
          <w:caps w:val="1"/>
          <w:color w:val="0070C0"/>
          <w:sz w:val="28"/>
          <w:szCs w:val="28"/>
          <w:vertAlign w:val="subscript"/>
        </w:rPr>
        <w:t>STUDENT ID NUMBER</w:t>
      </w:r>
      <w:r w:rsidRPr="52325135" w:rsidR="6C8DCC5B">
        <w:rPr>
          <w:rFonts w:ascii="Bahnschrift" w:hAnsi="Bahnschrift" w:eastAsia="Bahnschrift" w:cs="Bahnschrift"/>
          <w:b w:val="0"/>
          <w:bCs w:val="0"/>
          <w:i w:val="0"/>
          <w:iCs w:val="0"/>
          <w:caps w:val="1"/>
          <w:color w:val="000000" w:themeColor="text1" w:themeTint="FF" w:themeShade="FF"/>
          <w:sz w:val="28"/>
          <w:szCs w:val="28"/>
          <w:vertAlign w:val="subscript"/>
        </w:rPr>
        <w:t>: 2238990</w:t>
      </w:r>
    </w:p>
    <w:p xmlns:wp14="http://schemas.microsoft.com/office/word/2010/wordml" w:rsidP="52325135" wp14:paraId="2DB54B47" wp14:textId="6984F501">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r w:rsidRPr="52325135" w:rsidR="6C8DCC5B">
        <w:rPr>
          <w:rFonts w:ascii="Bahnschrift" w:hAnsi="Bahnschrift" w:eastAsia="Bahnschrift" w:cs="Bahnschrift"/>
          <w:b w:val="0"/>
          <w:bCs w:val="0"/>
          <w:i w:val="0"/>
          <w:iCs w:val="0"/>
          <w:caps w:val="1"/>
          <w:color w:val="0070C0"/>
          <w:sz w:val="28"/>
          <w:szCs w:val="28"/>
          <w:vertAlign w:val="subscript"/>
        </w:rPr>
        <w:t>MODULE</w:t>
      </w:r>
      <w:r w:rsidRPr="52325135" w:rsidR="6C8DCC5B">
        <w:rPr>
          <w:rFonts w:ascii="Bahnschrift" w:hAnsi="Bahnschrift" w:eastAsia="Bahnschrift" w:cs="Bahnschrift"/>
          <w:b w:val="0"/>
          <w:bCs w:val="0"/>
          <w:i w:val="0"/>
          <w:iCs w:val="0"/>
          <w:caps w:val="1"/>
          <w:color w:val="000000" w:themeColor="text1" w:themeTint="FF" w:themeShade="FF"/>
          <w:sz w:val="28"/>
          <w:szCs w:val="28"/>
          <w:vertAlign w:val="subscript"/>
        </w:rPr>
        <w:t xml:space="preserve">: </w:t>
      </w:r>
      <w:r w:rsidRPr="52325135" w:rsidR="611AC30B">
        <w:rPr>
          <w:rFonts w:ascii="Bahnschrift" w:hAnsi="Bahnschrift" w:eastAsia="Bahnschrift" w:cs="Bahnschrift"/>
          <w:b w:val="0"/>
          <w:bCs w:val="0"/>
          <w:i w:val="0"/>
          <w:iCs w:val="0"/>
          <w:caps w:val="1"/>
          <w:color w:val="000000" w:themeColor="text1" w:themeTint="FF" w:themeShade="FF"/>
          <w:sz w:val="28"/>
          <w:szCs w:val="28"/>
          <w:vertAlign w:val="subscript"/>
        </w:rPr>
        <w:t>policing vulnerability and risk</w:t>
      </w:r>
    </w:p>
    <w:p xmlns:wp14="http://schemas.microsoft.com/office/word/2010/wordml" w:rsidP="52325135" wp14:paraId="0C30324F" wp14:textId="594708A9">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r w:rsidRPr="52325135" w:rsidR="6C8DCC5B">
        <w:rPr>
          <w:rFonts w:ascii="Bahnschrift" w:hAnsi="Bahnschrift" w:eastAsia="Bahnschrift" w:cs="Bahnschrift"/>
          <w:b w:val="0"/>
          <w:bCs w:val="0"/>
          <w:i w:val="0"/>
          <w:iCs w:val="0"/>
          <w:caps w:val="1"/>
          <w:color w:val="4472C4"/>
          <w:sz w:val="28"/>
          <w:szCs w:val="28"/>
          <w:vertAlign w:val="subscript"/>
        </w:rPr>
        <w:t>MODULE CODE</w:t>
      </w:r>
      <w:r w:rsidRPr="52325135" w:rsidR="6C8DCC5B">
        <w:rPr>
          <w:rFonts w:ascii="Bahnschrift" w:hAnsi="Bahnschrift" w:eastAsia="Bahnschrift" w:cs="Bahnschrift"/>
          <w:b w:val="0"/>
          <w:bCs w:val="0"/>
          <w:i w:val="0"/>
          <w:iCs w:val="0"/>
          <w:caps w:val="1"/>
          <w:color w:val="000000" w:themeColor="text1" w:themeTint="FF" w:themeShade="FF"/>
          <w:sz w:val="28"/>
          <w:szCs w:val="28"/>
          <w:vertAlign w:val="subscript"/>
        </w:rPr>
        <w:t>- BMPL</w:t>
      </w:r>
      <w:r w:rsidRPr="52325135" w:rsidR="569C9374">
        <w:rPr>
          <w:rFonts w:ascii="Bahnschrift" w:hAnsi="Bahnschrift" w:eastAsia="Bahnschrift" w:cs="Bahnschrift"/>
          <w:b w:val="0"/>
          <w:bCs w:val="0"/>
          <w:i w:val="0"/>
          <w:iCs w:val="0"/>
          <w:caps w:val="1"/>
          <w:color w:val="000000" w:themeColor="text1" w:themeTint="FF" w:themeShade="FF"/>
          <w:sz w:val="28"/>
          <w:szCs w:val="28"/>
          <w:vertAlign w:val="subscript"/>
        </w:rPr>
        <w:t>5015</w:t>
      </w:r>
    </w:p>
    <w:p xmlns:wp14="http://schemas.microsoft.com/office/word/2010/wordml" w:rsidP="52325135" wp14:paraId="6F8553BB" wp14:textId="6D4D478B">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6FE72F69" wp14:textId="0D3A46A7">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4E77F449" wp14:textId="705C30D8">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40E791A9" wp14:textId="4E7BCD41">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2BE6D71D" wp14:textId="799EE863">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4C4213CF" wp14:textId="3C89B3E3">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094AD960" wp14:textId="30361664">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1C0B7016" wp14:textId="2D6A15AB">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xmlns:wp14="http://schemas.microsoft.com/office/word/2010/wordml" w:rsidP="52325135" wp14:paraId="13BC3928" wp14:textId="51A734C8">
      <w:pPr>
        <w:spacing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w:rsidR="09ACFEB7" w:rsidP="7032660E" w:rsidRDefault="09ACFEB7" w14:paraId="23D8BEBC" w14:textId="6DB7B3A1">
      <w:pPr>
        <w:pStyle w:val="Normal"/>
        <w:spacing w:before="240" w:beforeAutospacing="off" w:after="240" w:afterAutospacing="off" w:line="240" w:lineRule="exact"/>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pPr>
    </w:p>
    <w:p w:rsidR="09ACFEB7" w:rsidP="306771C4" w:rsidRDefault="09ACFEB7" w14:paraId="5AF85DE9" w14:textId="345ECC0F">
      <w:pPr>
        <w:spacing w:before="240" w:beforeAutospacing="off" w:after="240" w:afterAutospacing="off"/>
      </w:pPr>
      <w:r w:rsidRPr="52325135" w:rsidR="5FBF0FD5">
        <w:rPr>
          <w:rFonts w:ascii="Aptos" w:hAnsi="Aptos" w:eastAsia="Aptos" w:cs="Aptos"/>
          <w:sz w:val="24"/>
          <w:szCs w:val="24"/>
        </w:rPr>
        <w:t xml:space="preserve">The increase in dangers such as natural disasters, technological failures, terrorist incidents, nuclear conflicts, and environmental degradation </w:t>
      </w:r>
      <w:r w:rsidRPr="52325135" w:rsidR="5FBF0FD5">
        <w:rPr>
          <w:rFonts w:ascii="Aptos" w:hAnsi="Aptos" w:eastAsia="Aptos" w:cs="Aptos"/>
          <w:sz w:val="24"/>
          <w:szCs w:val="24"/>
        </w:rPr>
        <w:t>indicates</w:t>
      </w:r>
      <w:r w:rsidRPr="52325135" w:rsidR="5FBF0FD5">
        <w:rPr>
          <w:rFonts w:ascii="Aptos" w:hAnsi="Aptos" w:eastAsia="Aptos" w:cs="Aptos"/>
          <w:sz w:val="24"/>
          <w:szCs w:val="24"/>
        </w:rPr>
        <w:t xml:space="preserve"> a growing vulnerability among humans (Forbes-</w:t>
      </w:r>
      <w:r w:rsidRPr="52325135" w:rsidR="5FBF0FD5">
        <w:rPr>
          <w:rFonts w:ascii="Aptos" w:hAnsi="Aptos" w:eastAsia="Aptos" w:cs="Aptos"/>
          <w:sz w:val="24"/>
          <w:szCs w:val="24"/>
        </w:rPr>
        <w:t>Mewwet</w:t>
      </w:r>
      <w:r w:rsidRPr="52325135" w:rsidR="5FBF0FD5">
        <w:rPr>
          <w:rFonts w:ascii="Aptos" w:hAnsi="Aptos" w:eastAsia="Aptos" w:cs="Aptos"/>
          <w:sz w:val="24"/>
          <w:szCs w:val="24"/>
        </w:rPr>
        <w:t xml:space="preserve">, 2019). Vulnerability refers to a state characterized by being open to potential harm or danger, including those that are physical, emotional, or psychological in nature. This definition considers an individual vulnerable based on their status or circumstances, making them incapable of safeguarding themselves or others from harm or victimization. Vulnerability in law enforcement may result from a wide variety of sources. Some of the factors that may fall under this category include a deep sense of self-awareness, a dedication to honesty and authenticity with oneself and others, the capacity for empathy and understanding, and a supportive environment that encourages emotional expression and vulnerability (College of Policing, 2021). According to Williams (2023), a range of factors, such as individual circumstances, situational contexts, childhood traumas, mental illness, age, and learning difficulties, shape vulnerability. These factors also include the individual's environment, their surroundings, and the presence of criminals. </w:t>
      </w:r>
      <w:r w:rsidRPr="52325135" w:rsidR="5FBF0FD5">
        <w:rPr>
          <w:rFonts w:ascii="Aptos" w:hAnsi="Aptos" w:eastAsia="Aptos" w:cs="Aptos"/>
          <w:sz w:val="24"/>
          <w:szCs w:val="24"/>
        </w:rPr>
        <w:t>This paper will conduct an analysis of the key elements that contribute to individual vulnerability in the field of policing.</w:t>
      </w:r>
      <w:r w:rsidRPr="52325135" w:rsidR="5FBF0FD5">
        <w:rPr>
          <w:rFonts w:ascii="Aptos" w:hAnsi="Aptos" w:eastAsia="Aptos" w:cs="Aptos"/>
          <w:sz w:val="24"/>
          <w:szCs w:val="24"/>
        </w:rPr>
        <w:t xml:space="preserve"> These aspects include socio-economic variations, biases based on race and ethnicity, concerns over mental health, gender, sexuality, and age differences. </w:t>
      </w:r>
      <w:r w:rsidRPr="52325135" w:rsidR="5FBF0FD5">
        <w:rPr>
          <w:rFonts w:ascii="Aptos" w:hAnsi="Aptos" w:eastAsia="Aptos" w:cs="Aptos"/>
          <w:sz w:val="24"/>
          <w:szCs w:val="24"/>
        </w:rPr>
        <w:t>The purpose of this essay is to demonstrate that they are essential elements for successful crime prevention and maintaining confidence between law enforcement and communities.</w:t>
      </w:r>
      <w:r w:rsidRPr="52325135" w:rsidR="5FBF0FD5">
        <w:rPr>
          <w:rFonts w:ascii="Aptos" w:hAnsi="Aptos" w:eastAsia="Aptos" w:cs="Aptos"/>
          <w:sz w:val="24"/>
          <w:szCs w:val="24"/>
        </w:rPr>
        <w:t xml:space="preserve"> </w:t>
      </w:r>
    </w:p>
    <w:p w:rsidR="09ACFEB7" w:rsidP="306771C4" w:rsidRDefault="09ACFEB7" w14:paraId="2454B5E2" w14:textId="154C3A8C">
      <w:pPr>
        <w:spacing w:before="240" w:beforeAutospacing="off" w:after="240" w:afterAutospacing="off"/>
      </w:pPr>
      <w:r w:rsidRPr="52325135" w:rsidR="5FBF0FD5">
        <w:rPr>
          <w:rFonts w:ascii="Aptos" w:hAnsi="Aptos" w:eastAsia="Aptos" w:cs="Aptos"/>
          <w:sz w:val="24"/>
          <w:szCs w:val="24"/>
        </w:rPr>
        <w:t xml:space="preserve"> </w:t>
      </w:r>
    </w:p>
    <w:p w:rsidR="09ACFEB7" w:rsidP="306771C4" w:rsidRDefault="09ACFEB7" w14:paraId="64681955" w14:textId="776E2D2D">
      <w:pPr>
        <w:spacing w:before="240" w:beforeAutospacing="off" w:after="240" w:afterAutospacing="off"/>
      </w:pPr>
      <w:r w:rsidRPr="52325135" w:rsidR="5FBF0FD5">
        <w:rPr>
          <w:rFonts w:ascii="Aptos" w:hAnsi="Aptos" w:eastAsia="Aptos" w:cs="Aptos"/>
          <w:sz w:val="24"/>
          <w:szCs w:val="24"/>
        </w:rPr>
        <w:t xml:space="preserve"> </w:t>
      </w:r>
    </w:p>
    <w:p w:rsidR="09ACFEB7" w:rsidP="306771C4" w:rsidRDefault="09ACFEB7" w14:paraId="4EF436FC" w14:textId="662EEA08">
      <w:pPr>
        <w:spacing w:before="240" w:beforeAutospacing="off" w:after="240" w:afterAutospacing="off"/>
      </w:pPr>
      <w:r w:rsidRPr="52325135" w:rsidR="5FBF0FD5">
        <w:rPr>
          <w:rFonts w:ascii="Aptos" w:hAnsi="Aptos" w:eastAsia="Aptos" w:cs="Aptos"/>
          <w:sz w:val="24"/>
          <w:szCs w:val="24"/>
        </w:rPr>
        <w:t xml:space="preserve"> </w:t>
      </w:r>
    </w:p>
    <w:p w:rsidR="09ACFEB7" w:rsidP="306771C4" w:rsidRDefault="09ACFEB7" w14:paraId="69FEB44B" w14:textId="706EAB23">
      <w:pPr>
        <w:spacing w:before="240" w:beforeAutospacing="off" w:after="240" w:afterAutospacing="off"/>
      </w:pPr>
      <w:r w:rsidRPr="52325135" w:rsidR="5FBF0FD5">
        <w:rPr>
          <w:rFonts w:ascii="Aptos" w:hAnsi="Aptos" w:eastAsia="Aptos" w:cs="Aptos"/>
          <w:sz w:val="24"/>
          <w:szCs w:val="24"/>
        </w:rPr>
        <w:t xml:space="preserve"> </w:t>
      </w:r>
    </w:p>
    <w:p w:rsidR="09ACFEB7" w:rsidP="306771C4" w:rsidRDefault="09ACFEB7" w14:paraId="1A5FD7F8" w14:textId="35A0C404">
      <w:pPr>
        <w:spacing w:before="240" w:beforeAutospacing="off" w:after="240" w:afterAutospacing="off"/>
      </w:pPr>
      <w:r w:rsidRPr="52325135" w:rsidR="5FBF0FD5">
        <w:rPr>
          <w:rFonts w:ascii="Aptos" w:hAnsi="Aptos" w:eastAsia="Aptos" w:cs="Aptos"/>
          <w:sz w:val="24"/>
          <w:szCs w:val="24"/>
        </w:rPr>
        <w:t xml:space="preserve"> </w:t>
      </w:r>
    </w:p>
    <w:p w:rsidR="09ACFEB7" w:rsidP="7032660E" w:rsidRDefault="09ACFEB7" w14:paraId="2A51317D" w14:textId="5E671A5E">
      <w:pPr>
        <w:spacing w:before="240" w:beforeAutospacing="off" w:after="240" w:afterAutospacing="off"/>
        <w:rPr>
          <w:rFonts w:ascii="Aptos" w:hAnsi="Aptos" w:eastAsia="Aptos" w:cs="Aptos"/>
          <w:sz w:val="24"/>
          <w:szCs w:val="24"/>
        </w:rPr>
      </w:pPr>
    </w:p>
    <w:p w:rsidR="7032660E" w:rsidP="7032660E" w:rsidRDefault="7032660E" w14:paraId="5281B44D" w14:textId="6B134350">
      <w:pPr>
        <w:spacing w:before="240" w:beforeAutospacing="off" w:after="240" w:afterAutospacing="off"/>
        <w:rPr>
          <w:rFonts w:ascii="Aptos" w:hAnsi="Aptos" w:eastAsia="Aptos" w:cs="Aptos"/>
          <w:sz w:val="24"/>
          <w:szCs w:val="24"/>
        </w:rPr>
      </w:pPr>
    </w:p>
    <w:p w:rsidR="09ACFEB7" w:rsidP="7032660E" w:rsidRDefault="09ACFEB7" w14:paraId="5411D19A" w14:textId="27F9D8B9">
      <w:pPr>
        <w:pStyle w:val="Normal"/>
        <w:spacing w:before="240" w:beforeAutospacing="off" w:after="240" w:afterAutospacing="off"/>
      </w:pPr>
      <w:r w:rsidRPr="7032660E" w:rsidR="5FBF0FD5">
        <w:rPr>
          <w:rFonts w:ascii="Aptos" w:hAnsi="Aptos" w:eastAsia="Aptos" w:cs="Aptos"/>
          <w:sz w:val="24"/>
          <w:szCs w:val="24"/>
        </w:rPr>
        <w:t xml:space="preserve">Socioeconomic status (SES) significantly influences a person's vulnerability to law enforcement. Income, education, occupation, and communal position all contribute to the structure of socioeconomic status. When difficulties come to individuals from lower socioeconomic status backgrounds, the emotional impact is extremely significant compared to those from higher socioeconomic status backgrounds. Limited access to essential services such as quality healthcare, legal representation, and education is a common reality for individuals coming from lower socioeconomic </w:t>
      </w:r>
      <w:r w:rsidRPr="7032660E" w:rsidR="318253E2">
        <w:rPr>
          <w:rFonts w:ascii="Aptos" w:hAnsi="Aptos" w:eastAsia="Aptos" w:cs="Aptos"/>
          <w:sz w:val="24"/>
          <w:szCs w:val="24"/>
        </w:rPr>
        <w:t>classes (</w:t>
      </w:r>
      <w:r w:rsidRPr="7032660E" w:rsidR="318253E2">
        <w:rPr>
          <w:rFonts w:ascii="Aptos" w:hAnsi="Aptos" w:eastAsia="Aptos" w:cs="Aptos"/>
          <w:sz w:val="24"/>
          <w:szCs w:val="24"/>
        </w:rPr>
        <w:t>Chakraborty,2020).</w:t>
      </w:r>
      <w:r w:rsidRPr="7032660E" w:rsidR="5FBF0FD5">
        <w:rPr>
          <w:rFonts w:ascii="Aptos" w:hAnsi="Aptos" w:eastAsia="Aptos" w:cs="Aptos"/>
          <w:sz w:val="24"/>
          <w:szCs w:val="24"/>
        </w:rPr>
        <w:t xml:space="preserve"> Education usually enhances people's communication skills. Lower-educated people may not have access to these resources, making them more exposed to police confrontations and less prepared to manage the judicial system. Education strongly affects job prospects. Less-educated people may have trouble finding work, which can put them in financial danger and increase their risk of police encounters. Economic hardship can lead to criminal </w:t>
      </w:r>
      <w:r w:rsidRPr="7032660E" w:rsidR="3CCC7785">
        <w:rPr>
          <w:rFonts w:ascii="Aptos" w:hAnsi="Aptos" w:eastAsia="Aptos" w:cs="Aptos"/>
          <w:sz w:val="24"/>
          <w:szCs w:val="24"/>
        </w:rPr>
        <w:t>behaviours</w:t>
      </w:r>
      <w:r w:rsidRPr="7032660E" w:rsidR="5FBF0FD5">
        <w:rPr>
          <w:rFonts w:ascii="Aptos" w:hAnsi="Aptos" w:eastAsia="Aptos" w:cs="Aptos"/>
          <w:sz w:val="24"/>
          <w:szCs w:val="24"/>
        </w:rPr>
        <w:t xml:space="preserve"> that entrench people in the judicial system. This barrier may hinder individuals' understanding and use of the legal system, thereby complicating their capacity to assert their rights during interactions with law enforcement (Grzywacz, 2004). Poverty-stricken areas may experience heightened law enforcement presence due to observed or </w:t>
      </w:r>
      <w:r w:rsidRPr="7032660E" w:rsidR="5FBF0FD5">
        <w:rPr>
          <w:rFonts w:ascii="Aptos" w:hAnsi="Aptos" w:eastAsia="Aptos" w:cs="Aptos"/>
          <w:sz w:val="24"/>
          <w:szCs w:val="24"/>
        </w:rPr>
        <w:t>anticipated</w:t>
      </w:r>
      <w:r w:rsidRPr="7032660E" w:rsidR="5FBF0FD5">
        <w:rPr>
          <w:rFonts w:ascii="Aptos" w:hAnsi="Aptos" w:eastAsia="Aptos" w:cs="Aptos"/>
          <w:sz w:val="24"/>
          <w:szCs w:val="24"/>
        </w:rPr>
        <w:t xml:space="preserve"> increases in criminal activity. This increased visibility may lead to more frequent and potentially adverse interactions with law enforcement. Feelings of isolation or categorization may make individuals in these groups more vulnerable. Individuals from poor backgrounds often find themselves turning to unlawful </w:t>
      </w:r>
      <w:r w:rsidRPr="7032660E" w:rsidR="5A15D8A2">
        <w:rPr>
          <w:rFonts w:ascii="Aptos" w:hAnsi="Aptos" w:eastAsia="Aptos" w:cs="Aptos"/>
          <w:sz w:val="24"/>
          <w:szCs w:val="24"/>
        </w:rPr>
        <w:t>behaviours</w:t>
      </w:r>
      <w:r w:rsidRPr="7032660E" w:rsidR="5FBF0FD5">
        <w:rPr>
          <w:rFonts w:ascii="Aptos" w:hAnsi="Aptos" w:eastAsia="Aptos" w:cs="Aptos"/>
          <w:sz w:val="24"/>
          <w:szCs w:val="24"/>
        </w:rPr>
        <w:t xml:space="preserve">, such as minor thefts or loitering, driven by fundamental necessities. In times of financial hardship, individuals may resort to unlawful methods, potentially resulting in deeper interactions with the legal system. The increased expression of feelings of vulnerability and mistrust toward law enforcement, coupled with stereotypes and assumptions surrounding poverty, can result in unlawful </w:t>
      </w:r>
      <w:r w:rsidRPr="7032660E" w:rsidR="789A920F">
        <w:rPr>
          <w:rFonts w:ascii="Aptos" w:hAnsi="Aptos" w:eastAsia="Aptos" w:cs="Aptos"/>
          <w:sz w:val="24"/>
          <w:szCs w:val="24"/>
        </w:rPr>
        <w:t>behaviour</w:t>
      </w:r>
      <w:r w:rsidRPr="7032660E" w:rsidR="5FBF0FD5">
        <w:rPr>
          <w:rFonts w:ascii="Aptos" w:hAnsi="Aptos" w:eastAsia="Aptos" w:cs="Aptos"/>
          <w:sz w:val="24"/>
          <w:szCs w:val="24"/>
        </w:rPr>
        <w:t xml:space="preserve"> and discrimination. Access to legal </w:t>
      </w:r>
      <w:r w:rsidRPr="7032660E" w:rsidR="5FBF0FD5">
        <w:rPr>
          <w:rFonts w:ascii="Aptos" w:hAnsi="Aptos" w:eastAsia="Aptos" w:cs="Aptos"/>
          <w:sz w:val="24"/>
          <w:szCs w:val="24"/>
        </w:rPr>
        <w:t>assistance</w:t>
      </w:r>
      <w:r w:rsidRPr="7032660E" w:rsidR="5FBF0FD5">
        <w:rPr>
          <w:rFonts w:ascii="Aptos" w:hAnsi="Aptos" w:eastAsia="Aptos" w:cs="Aptos"/>
          <w:sz w:val="24"/>
          <w:szCs w:val="24"/>
        </w:rPr>
        <w:t xml:space="preserve">, advocacy groups, and community resources tends to be more prevalent among individuals hailing from wealthy socioeconomic backgrounds. Conversely, individuals hailing from less affluent socioeconomic backgrounds may lack access to these resources, </w:t>
      </w:r>
      <w:r w:rsidRPr="7032660E" w:rsidR="5FBF0FD5">
        <w:rPr>
          <w:rFonts w:ascii="Aptos" w:hAnsi="Aptos" w:eastAsia="Aptos" w:cs="Aptos"/>
          <w:sz w:val="24"/>
          <w:szCs w:val="24"/>
        </w:rPr>
        <w:t>rendering</w:t>
      </w:r>
      <w:r w:rsidRPr="7032660E" w:rsidR="5FBF0FD5">
        <w:rPr>
          <w:rFonts w:ascii="Aptos" w:hAnsi="Aptos" w:eastAsia="Aptos" w:cs="Aptos"/>
          <w:sz w:val="24"/>
          <w:szCs w:val="24"/>
        </w:rPr>
        <w:t xml:space="preserve"> them more vulnerable to adverse outcomes in their interactions with law enforcement (McLeod, 1990). </w:t>
      </w:r>
      <w:r w:rsidRPr="7032660E" w:rsidR="21B1BFE0">
        <w:rPr>
          <w:rFonts w:ascii="Aptos" w:hAnsi="Aptos" w:eastAsia="Aptos" w:cs="Aptos"/>
          <w:sz w:val="24"/>
          <w:szCs w:val="24"/>
        </w:rPr>
        <w:t>In opinion of Tura (2024),</w:t>
      </w:r>
      <w:r w:rsidRPr="7032660E" w:rsidR="2555888A">
        <w:rPr>
          <w:rFonts w:ascii="Aptos" w:hAnsi="Aptos" w:eastAsia="Aptos" w:cs="Aptos"/>
          <w:noProof w:val="0"/>
          <w:sz w:val="24"/>
          <w:szCs w:val="24"/>
          <w:lang w:val="en-GB"/>
        </w:rPr>
        <w:t xml:space="preserve"> building increased trust in law enforcement requires engagement with the community at the lowest level and comprehensive officer training on interacting with people from varied backgrounds.</w:t>
      </w:r>
    </w:p>
    <w:p w:rsidR="09ACFEB7" w:rsidP="7032660E" w:rsidRDefault="09ACFEB7" w14:paraId="1B5C1E08" w14:textId="133652E6">
      <w:pPr>
        <w:pStyle w:val="Normal"/>
        <w:spacing w:before="240" w:beforeAutospacing="off" w:after="240" w:afterAutospacing="off"/>
      </w:pPr>
      <w:r w:rsidRPr="7032660E" w:rsidR="5FBF0FD5">
        <w:rPr>
          <w:rFonts w:ascii="Aptos" w:hAnsi="Aptos" w:eastAsia="Aptos" w:cs="Aptos"/>
          <w:sz w:val="24"/>
          <w:szCs w:val="24"/>
        </w:rPr>
        <w:t xml:space="preserve">According to Williams (2023), the connection between mental health and disability plays a crucial role in shaping a person's vulnerability within the framework of law enforcement. </w:t>
      </w:r>
      <w:r w:rsidRPr="7032660E" w:rsidR="5FBF0FD5">
        <w:rPr>
          <w:rFonts w:ascii="Aptos" w:hAnsi="Aptos" w:eastAsia="Aptos" w:cs="Aptos"/>
          <w:sz w:val="24"/>
          <w:szCs w:val="24"/>
        </w:rPr>
        <w:t xml:space="preserve">The difficult nature of mental health profoundly influences individual interactions with law enforcement, </w:t>
      </w:r>
      <w:r w:rsidRPr="7032660E" w:rsidR="5FBF0FD5">
        <w:rPr>
          <w:rFonts w:ascii="Aptos" w:hAnsi="Aptos" w:eastAsia="Aptos" w:cs="Aptos"/>
          <w:sz w:val="24"/>
          <w:szCs w:val="24"/>
        </w:rPr>
        <w:t>frequently</w:t>
      </w:r>
      <w:r w:rsidRPr="7032660E" w:rsidR="5FBF0FD5">
        <w:rPr>
          <w:rFonts w:ascii="Aptos" w:hAnsi="Aptos" w:eastAsia="Aptos" w:cs="Aptos"/>
          <w:sz w:val="24"/>
          <w:szCs w:val="24"/>
        </w:rPr>
        <w:t xml:space="preserve"> resulting in misunderstandings, judgements, and adverse effects.</w:t>
      </w:r>
      <w:r w:rsidRPr="7032660E" w:rsidR="5FBF0FD5">
        <w:rPr>
          <w:rFonts w:ascii="Aptos" w:hAnsi="Aptos" w:eastAsia="Aptos" w:cs="Aptos"/>
          <w:sz w:val="24"/>
          <w:szCs w:val="24"/>
        </w:rPr>
        <w:t xml:space="preserve"> A rising number of chronic diseases, inadequate access to affordable healthcare, and a shortage of mental health services and resources can negatively influence a person's overall well-being and their potential for achievement (Williams, 2023). Violence and general hardships can </w:t>
      </w:r>
      <w:r w:rsidRPr="7032660E" w:rsidR="5FBF0FD5">
        <w:rPr>
          <w:rFonts w:ascii="Aptos" w:hAnsi="Aptos" w:eastAsia="Aptos" w:cs="Aptos"/>
          <w:sz w:val="24"/>
          <w:szCs w:val="24"/>
        </w:rPr>
        <w:t>impact</w:t>
      </w:r>
      <w:r w:rsidRPr="7032660E" w:rsidR="5FBF0FD5">
        <w:rPr>
          <w:rFonts w:ascii="Aptos" w:hAnsi="Aptos" w:eastAsia="Aptos" w:cs="Aptos"/>
          <w:sz w:val="24"/>
          <w:szCs w:val="24"/>
        </w:rPr>
        <w:t xml:space="preserve"> a population's mental health, leading to the development of new mental health conditions, most commonly post-traumatic stress disorder (PTSD), depression, and anxiety, as well as the worsening of pre-existing mental health </w:t>
      </w:r>
      <w:r w:rsidRPr="7032660E" w:rsidR="40BEA523">
        <w:rPr>
          <w:rFonts w:ascii="Aptos" w:hAnsi="Aptos" w:eastAsia="Aptos" w:cs="Aptos"/>
          <w:sz w:val="24"/>
          <w:szCs w:val="24"/>
        </w:rPr>
        <w:t>conditions (</w:t>
      </w:r>
      <w:r w:rsidRPr="7032660E" w:rsidR="7E8C1D65">
        <w:rPr>
          <w:rFonts w:ascii="Aptos" w:hAnsi="Aptos" w:eastAsia="Aptos" w:cs="Aptos"/>
          <w:sz w:val="24"/>
          <w:szCs w:val="24"/>
        </w:rPr>
        <w:t>College of Policing,2016).</w:t>
      </w:r>
      <w:r w:rsidRPr="7032660E" w:rsidR="5FBF0FD5">
        <w:rPr>
          <w:rFonts w:ascii="Aptos" w:hAnsi="Aptos" w:eastAsia="Aptos" w:cs="Aptos"/>
          <w:sz w:val="24"/>
          <w:szCs w:val="24"/>
        </w:rPr>
        <w:t xml:space="preserve"> Researchers have </w:t>
      </w:r>
      <w:r w:rsidRPr="7032660E" w:rsidR="5FBF0FD5">
        <w:rPr>
          <w:rFonts w:ascii="Aptos" w:hAnsi="Aptos" w:eastAsia="Aptos" w:cs="Aptos"/>
          <w:sz w:val="24"/>
          <w:szCs w:val="24"/>
        </w:rPr>
        <w:t>identified</w:t>
      </w:r>
      <w:r w:rsidRPr="7032660E" w:rsidR="5FBF0FD5">
        <w:rPr>
          <w:rFonts w:ascii="Aptos" w:hAnsi="Aptos" w:eastAsia="Aptos" w:cs="Aptos"/>
          <w:sz w:val="24"/>
          <w:szCs w:val="24"/>
        </w:rPr>
        <w:t xml:space="preserve"> violence, stigma, social and physical capital, gender, and access to healthcare as the primary vulnerability factors that influence the relationship between conflict and mental health outcomes. There is a possibility that the connections between violence, vulnerability, and mental health are not just interconnected but also multi-directional. The links between conflict and trauma and mental health are thought to be affected by vulnerability, which is regarded as an effect modifier. Due to their increased susceptibility to trauma and adversity compared to those without such conditions, people with mental health conditions may be considered vulnerable. Additionally, stigma and discrimination may lead to a diminished willingness to pursue treatment (Brasholt, 2023). </w:t>
      </w:r>
    </w:p>
    <w:p w:rsidR="09ACFEB7" w:rsidP="7032660E" w:rsidRDefault="09ACFEB7" w14:paraId="5777F162" w14:textId="197F1A11">
      <w:pPr>
        <w:pStyle w:val="Normal"/>
        <w:spacing w:before="240" w:beforeAutospacing="off" w:after="240" w:afterAutospacing="off"/>
      </w:pPr>
      <w:r w:rsidRPr="7032660E" w:rsidR="5FBF0FD5">
        <w:rPr>
          <w:rFonts w:ascii="Aptos" w:hAnsi="Aptos" w:eastAsia="Aptos" w:cs="Aptos"/>
          <w:sz w:val="24"/>
          <w:szCs w:val="24"/>
        </w:rPr>
        <w:t xml:space="preserve">It is essential to examine the link between ageing and the possibility of </w:t>
      </w:r>
      <w:r w:rsidRPr="7032660E" w:rsidR="2D5991AA">
        <w:rPr>
          <w:rFonts w:ascii="Aptos" w:hAnsi="Aptos" w:eastAsia="Aptos" w:cs="Aptos"/>
          <w:sz w:val="24"/>
          <w:szCs w:val="24"/>
        </w:rPr>
        <w:t>victimization</w:t>
      </w:r>
      <w:r w:rsidRPr="7032660E" w:rsidR="5FBF0FD5">
        <w:rPr>
          <w:rFonts w:ascii="Aptos" w:hAnsi="Aptos" w:eastAsia="Aptos" w:cs="Aptos"/>
          <w:sz w:val="24"/>
          <w:szCs w:val="24"/>
        </w:rPr>
        <w:t xml:space="preserve">. Teenagers and younger children are more vulnerable to sexual assault, cyberbullying, and internet harassment than older </w:t>
      </w:r>
      <w:r w:rsidRPr="7032660E" w:rsidR="04C3609A">
        <w:rPr>
          <w:rFonts w:ascii="Aptos" w:hAnsi="Aptos" w:eastAsia="Aptos" w:cs="Aptos"/>
          <w:sz w:val="24"/>
          <w:szCs w:val="24"/>
        </w:rPr>
        <w:t>individuals (</w:t>
      </w:r>
      <w:r w:rsidRPr="7032660E" w:rsidR="0456E050">
        <w:rPr>
          <w:rFonts w:ascii="Source Sans Pro" w:hAnsi="Source Sans Pro" w:eastAsia="Source Sans Pro" w:cs="Source Sans Pro"/>
          <w:noProof w:val="0"/>
          <w:sz w:val="22"/>
          <w:szCs w:val="22"/>
          <w:lang w:val="en-US"/>
        </w:rPr>
        <w:t>McKibbin,</w:t>
      </w:r>
      <w:r w:rsidRPr="7032660E" w:rsidR="04C3609A">
        <w:rPr>
          <w:rFonts w:ascii="Aptos" w:hAnsi="Aptos" w:eastAsia="Aptos" w:cs="Aptos"/>
          <w:sz w:val="24"/>
          <w:szCs w:val="24"/>
        </w:rPr>
        <w:t>20</w:t>
      </w:r>
      <w:r w:rsidRPr="7032660E" w:rsidR="55509ED2">
        <w:rPr>
          <w:rFonts w:ascii="Aptos" w:hAnsi="Aptos" w:eastAsia="Aptos" w:cs="Aptos"/>
          <w:sz w:val="24"/>
          <w:szCs w:val="24"/>
        </w:rPr>
        <w:t>21</w:t>
      </w:r>
      <w:r w:rsidRPr="7032660E" w:rsidR="04C3609A">
        <w:rPr>
          <w:rFonts w:ascii="Aptos" w:hAnsi="Aptos" w:eastAsia="Aptos" w:cs="Aptos"/>
          <w:sz w:val="24"/>
          <w:szCs w:val="24"/>
        </w:rPr>
        <w:t>).</w:t>
      </w:r>
      <w:r w:rsidRPr="7032660E" w:rsidR="5FBF0FD5">
        <w:rPr>
          <w:rFonts w:ascii="Aptos" w:hAnsi="Aptos" w:eastAsia="Aptos" w:cs="Aptos"/>
          <w:sz w:val="24"/>
          <w:szCs w:val="24"/>
        </w:rPr>
        <w:t xml:space="preserve"> They may lack the necessary understanding or skills to deal with potential dangers. </w:t>
      </w:r>
      <w:r w:rsidRPr="7032660E" w:rsidR="5FBF0FD5">
        <w:rPr>
          <w:rFonts w:ascii="Aptos" w:hAnsi="Aptos" w:eastAsia="Aptos" w:cs="Aptos"/>
          <w:sz w:val="24"/>
          <w:szCs w:val="24"/>
        </w:rPr>
        <w:t>Neighbourhoods</w:t>
      </w:r>
      <w:r w:rsidRPr="7032660E" w:rsidR="5FBF0FD5">
        <w:rPr>
          <w:rFonts w:ascii="Aptos" w:hAnsi="Aptos" w:eastAsia="Aptos" w:cs="Aptos"/>
          <w:sz w:val="24"/>
          <w:szCs w:val="24"/>
        </w:rPr>
        <w:t xml:space="preserve"> with increased crime rates put young individuals at a heightened risk of becoming victims of often violent </w:t>
      </w:r>
      <w:r w:rsidRPr="7032660E" w:rsidR="5B03A865">
        <w:rPr>
          <w:rFonts w:ascii="Aptos" w:hAnsi="Aptos" w:eastAsia="Aptos" w:cs="Aptos"/>
          <w:sz w:val="24"/>
          <w:szCs w:val="24"/>
        </w:rPr>
        <w:t>offenses</w:t>
      </w:r>
      <w:r w:rsidRPr="7032660E" w:rsidR="5FBF0FD5">
        <w:rPr>
          <w:rFonts w:ascii="Aptos" w:hAnsi="Aptos" w:eastAsia="Aptos" w:cs="Aptos"/>
          <w:sz w:val="24"/>
          <w:szCs w:val="24"/>
        </w:rPr>
        <w:t xml:space="preserve">. Children with restricted knowledge of their rights and legal system are at a higher risk of having negative interactions with enforcement authorities. Children are </w:t>
      </w:r>
      <w:r w:rsidRPr="7032660E" w:rsidR="5FBF0FD5">
        <w:rPr>
          <w:rFonts w:ascii="Aptos" w:hAnsi="Aptos" w:eastAsia="Aptos" w:cs="Aptos"/>
          <w:sz w:val="24"/>
          <w:szCs w:val="24"/>
        </w:rPr>
        <w:t>frequently</w:t>
      </w:r>
      <w:r w:rsidRPr="7032660E" w:rsidR="5FBF0FD5">
        <w:rPr>
          <w:rFonts w:ascii="Aptos" w:hAnsi="Aptos" w:eastAsia="Aptos" w:cs="Aptos"/>
          <w:sz w:val="24"/>
          <w:szCs w:val="24"/>
        </w:rPr>
        <w:t xml:space="preserve"> exploited </w:t>
      </w:r>
      <w:r w:rsidRPr="7032660E" w:rsidR="5FBF0FD5">
        <w:rPr>
          <w:rFonts w:ascii="Aptos" w:hAnsi="Aptos" w:eastAsia="Aptos" w:cs="Aptos"/>
          <w:sz w:val="24"/>
          <w:szCs w:val="24"/>
        </w:rPr>
        <w:t>for</w:t>
      </w:r>
      <w:r w:rsidRPr="7032660E" w:rsidR="5FBF0FD5">
        <w:rPr>
          <w:rFonts w:ascii="Aptos" w:hAnsi="Aptos" w:eastAsia="Aptos" w:cs="Aptos"/>
          <w:sz w:val="24"/>
          <w:szCs w:val="24"/>
        </w:rPr>
        <w:t xml:space="preserve"> theft, violence, and risky </w:t>
      </w:r>
      <w:r w:rsidRPr="7032660E" w:rsidR="14F12FBD">
        <w:rPr>
          <w:rFonts w:ascii="Aptos" w:hAnsi="Aptos" w:eastAsia="Aptos" w:cs="Aptos"/>
          <w:sz w:val="24"/>
          <w:szCs w:val="24"/>
        </w:rPr>
        <w:t>behaviour</w:t>
      </w:r>
      <w:r w:rsidRPr="7032660E" w:rsidR="20C8ADD8">
        <w:rPr>
          <w:rFonts w:ascii="Aptos" w:hAnsi="Aptos" w:eastAsia="Aptos" w:cs="Aptos"/>
          <w:sz w:val="24"/>
          <w:szCs w:val="24"/>
        </w:rPr>
        <w:t xml:space="preserve"> (</w:t>
      </w:r>
      <w:r w:rsidRPr="7032660E" w:rsidR="20C8ADD8">
        <w:rPr>
          <w:rFonts w:ascii="Aptos" w:hAnsi="Aptos" w:eastAsia="Aptos" w:cs="Aptos"/>
          <w:sz w:val="24"/>
          <w:szCs w:val="24"/>
        </w:rPr>
        <w:t>Gerra,2020).</w:t>
      </w:r>
      <w:r w:rsidRPr="7032660E" w:rsidR="5FBF0FD5">
        <w:rPr>
          <w:rFonts w:ascii="Aptos" w:hAnsi="Aptos" w:eastAsia="Aptos" w:cs="Aptos"/>
          <w:sz w:val="24"/>
          <w:szCs w:val="24"/>
        </w:rPr>
        <w:t xml:space="preserve"> Children from poor households, without education or belonging to ethnic minorities, </w:t>
      </w:r>
      <w:r w:rsidRPr="7032660E" w:rsidR="5FBF0FD5">
        <w:rPr>
          <w:rFonts w:ascii="Aptos" w:hAnsi="Aptos" w:eastAsia="Aptos" w:cs="Aptos"/>
          <w:sz w:val="24"/>
          <w:szCs w:val="24"/>
        </w:rPr>
        <w:t>frequently</w:t>
      </w:r>
      <w:r w:rsidRPr="7032660E" w:rsidR="5FBF0FD5">
        <w:rPr>
          <w:rFonts w:ascii="Aptos" w:hAnsi="Aptos" w:eastAsia="Aptos" w:cs="Aptos"/>
          <w:sz w:val="24"/>
          <w:szCs w:val="24"/>
        </w:rPr>
        <w:t xml:space="preserve"> fall vulnerable to this form of crime. Children from dysfunctional households who lack enough care and support can experience a negative environment that encourages criminality or inappropriate </w:t>
      </w:r>
      <w:r w:rsidRPr="7032660E" w:rsidR="0E1DEC4A">
        <w:rPr>
          <w:rFonts w:ascii="Aptos" w:hAnsi="Aptos" w:eastAsia="Aptos" w:cs="Aptos"/>
          <w:sz w:val="24"/>
          <w:szCs w:val="24"/>
        </w:rPr>
        <w:t>behaviour</w:t>
      </w:r>
      <w:r w:rsidRPr="7032660E" w:rsidR="5FBF0FD5">
        <w:rPr>
          <w:rFonts w:ascii="Aptos" w:hAnsi="Aptos" w:eastAsia="Aptos" w:cs="Aptos"/>
          <w:sz w:val="24"/>
          <w:szCs w:val="24"/>
        </w:rPr>
        <w:t xml:space="preserve"> (Johnson, 2013). </w:t>
      </w:r>
    </w:p>
    <w:p w:rsidR="09ACFEB7" w:rsidP="7032660E" w:rsidRDefault="09ACFEB7" w14:paraId="5B34EC89" w14:textId="1EBCB529">
      <w:pPr>
        <w:pStyle w:val="Normal"/>
        <w:spacing w:before="240" w:beforeAutospacing="off" w:after="240" w:afterAutospacing="off"/>
      </w:pPr>
      <w:r w:rsidRPr="7032660E" w:rsidR="5FBF0FD5">
        <w:rPr>
          <w:rFonts w:ascii="Aptos" w:hAnsi="Aptos" w:eastAsia="Aptos" w:cs="Aptos"/>
          <w:sz w:val="24"/>
          <w:szCs w:val="24"/>
        </w:rPr>
        <w:t xml:space="preserve">Elderly individuals are more susceptible to victimization due to their ages and diminished </w:t>
      </w:r>
      <w:r w:rsidRPr="7032660E" w:rsidR="284715C9">
        <w:rPr>
          <w:rFonts w:ascii="Aptos" w:hAnsi="Aptos" w:eastAsia="Aptos" w:cs="Aptos"/>
          <w:sz w:val="24"/>
          <w:szCs w:val="24"/>
        </w:rPr>
        <w:t>defences</w:t>
      </w:r>
      <w:r w:rsidRPr="7032660E" w:rsidR="5FBF0FD5">
        <w:rPr>
          <w:rFonts w:ascii="Aptos" w:hAnsi="Aptos" w:eastAsia="Aptos" w:cs="Aptos"/>
          <w:sz w:val="24"/>
          <w:szCs w:val="24"/>
        </w:rPr>
        <w:t xml:space="preserve">. Financial crimes, including fraud and </w:t>
      </w:r>
      <w:bookmarkStart w:name="_Int_K9McM1yN" w:id="457019858"/>
      <w:r w:rsidRPr="7032660E" w:rsidR="5FBF0FD5">
        <w:rPr>
          <w:rFonts w:ascii="Aptos" w:hAnsi="Aptos" w:eastAsia="Aptos" w:cs="Aptos"/>
          <w:sz w:val="24"/>
          <w:szCs w:val="24"/>
        </w:rPr>
        <w:t>scams</w:t>
      </w:r>
      <w:bookmarkEnd w:id="457019858"/>
      <w:r w:rsidRPr="7032660E" w:rsidR="5FBF0FD5">
        <w:rPr>
          <w:rFonts w:ascii="Aptos" w:hAnsi="Aptos" w:eastAsia="Aptos" w:cs="Aptos"/>
          <w:sz w:val="24"/>
          <w:szCs w:val="24"/>
        </w:rPr>
        <w:t xml:space="preserve">, often target the elderly. Their naivety and lack of technological knowledge make them vulnerable to victimization. Even family members or carers working in nursing homes can commit domestic violence against elderly or disabled individuals. This assault often goes unreported due to victims' limited mobility and fear of speaking </w:t>
      </w:r>
      <w:r w:rsidRPr="7032660E" w:rsidR="62D6522C">
        <w:rPr>
          <w:rFonts w:ascii="Aptos" w:hAnsi="Aptos" w:eastAsia="Aptos" w:cs="Aptos"/>
          <w:sz w:val="24"/>
          <w:szCs w:val="24"/>
        </w:rPr>
        <w:t>out (</w:t>
      </w:r>
      <w:r w:rsidRPr="7032660E" w:rsidR="62D6522C">
        <w:rPr>
          <w:rFonts w:ascii="Aptos" w:hAnsi="Aptos" w:eastAsia="Aptos" w:cs="Aptos"/>
          <w:sz w:val="24"/>
          <w:szCs w:val="24"/>
        </w:rPr>
        <w:t>Mattsson,2020).</w:t>
      </w:r>
      <w:r w:rsidRPr="7032660E" w:rsidR="5FBF0FD5">
        <w:rPr>
          <w:rFonts w:ascii="Aptos" w:hAnsi="Aptos" w:eastAsia="Aptos" w:cs="Aptos"/>
          <w:sz w:val="24"/>
          <w:szCs w:val="24"/>
        </w:rPr>
        <w:t xml:space="preserve"> Individuals in their senior years are more vulnerable to criminal </w:t>
      </w:r>
      <w:r w:rsidRPr="7032660E" w:rsidR="5FBF0FD5">
        <w:rPr>
          <w:rFonts w:ascii="Aptos" w:hAnsi="Aptos" w:eastAsia="Aptos" w:cs="Aptos"/>
          <w:sz w:val="24"/>
          <w:szCs w:val="24"/>
        </w:rPr>
        <w:t>victimisation</w:t>
      </w:r>
      <w:r w:rsidRPr="7032660E" w:rsidR="5FBF0FD5">
        <w:rPr>
          <w:rFonts w:ascii="Aptos" w:hAnsi="Aptos" w:eastAsia="Aptos" w:cs="Aptos"/>
          <w:sz w:val="24"/>
          <w:szCs w:val="24"/>
        </w:rPr>
        <w:t xml:space="preserve"> and less able to defend themselves while facing problems with mobility or dementia. Due to adverse past experiences, many elderly people </w:t>
      </w:r>
      <w:r w:rsidRPr="7032660E" w:rsidR="5FBF0FD5">
        <w:rPr>
          <w:rFonts w:ascii="Aptos" w:hAnsi="Aptos" w:eastAsia="Aptos" w:cs="Aptos"/>
          <w:sz w:val="24"/>
          <w:szCs w:val="24"/>
        </w:rPr>
        <w:t>maintain</w:t>
      </w:r>
      <w:r w:rsidRPr="7032660E" w:rsidR="5FBF0FD5">
        <w:rPr>
          <w:rFonts w:ascii="Aptos" w:hAnsi="Aptos" w:eastAsia="Aptos" w:cs="Aptos"/>
          <w:sz w:val="24"/>
          <w:szCs w:val="24"/>
        </w:rPr>
        <w:t xml:space="preserve"> distrust toward the police (Penhale, 2008). </w:t>
      </w:r>
      <w:r w:rsidRPr="7032660E" w:rsidR="50903E48">
        <w:rPr>
          <w:rFonts w:ascii="Aptos" w:hAnsi="Aptos" w:eastAsia="Aptos" w:cs="Aptos"/>
          <w:noProof w:val="0"/>
          <w:sz w:val="24"/>
          <w:szCs w:val="24"/>
          <w:lang w:val="en-GB"/>
        </w:rPr>
        <w:t xml:space="preserve">Consistent work, focus, and engagement are necessary for police to earn the trust of the elderly. Police may </w:t>
      </w:r>
      <w:r w:rsidRPr="7032660E" w:rsidR="50903E48">
        <w:rPr>
          <w:rFonts w:ascii="Aptos" w:hAnsi="Aptos" w:eastAsia="Aptos" w:cs="Aptos"/>
          <w:noProof w:val="0"/>
          <w:sz w:val="24"/>
          <w:szCs w:val="24"/>
          <w:lang w:val="en-GB"/>
        </w:rPr>
        <w:t>establish</w:t>
      </w:r>
      <w:r w:rsidRPr="7032660E" w:rsidR="50903E48">
        <w:rPr>
          <w:rFonts w:ascii="Aptos" w:hAnsi="Aptos" w:eastAsia="Aptos" w:cs="Aptos"/>
          <w:noProof w:val="0"/>
          <w:sz w:val="24"/>
          <w:szCs w:val="24"/>
          <w:lang w:val="en-GB"/>
        </w:rPr>
        <w:t xml:space="preserve"> positive relationships with elders and make the community safer by utilising these methods (Hough,2012).</w:t>
      </w:r>
    </w:p>
    <w:p w:rsidR="09ACFEB7" w:rsidP="306771C4" w:rsidRDefault="09ACFEB7" w14:paraId="4AFBB574" w14:textId="741A54A9">
      <w:pPr>
        <w:spacing w:before="240" w:beforeAutospacing="off" w:after="240" w:afterAutospacing="off"/>
      </w:pPr>
      <w:r w:rsidRPr="7032660E" w:rsidR="5FBF0FD5">
        <w:rPr>
          <w:rFonts w:ascii="Aptos" w:hAnsi="Aptos" w:eastAsia="Aptos" w:cs="Aptos"/>
          <w:sz w:val="24"/>
          <w:szCs w:val="24"/>
        </w:rPr>
        <w:t xml:space="preserve">People specifically perceive young people who identify as lesbian, homosexual, bisexual, and transgender (LGBT) as vulnerable to victimization and/or legal danger. This </w:t>
      </w:r>
      <w:r w:rsidRPr="7032660E" w:rsidR="5FBF0FD5">
        <w:rPr>
          <w:rFonts w:ascii="Aptos" w:hAnsi="Aptos" w:eastAsia="Aptos" w:cs="Aptos"/>
          <w:sz w:val="24"/>
          <w:szCs w:val="24"/>
        </w:rPr>
        <w:t>perception</w:t>
      </w:r>
      <w:r w:rsidRPr="7032660E" w:rsidR="5FBF0FD5">
        <w:rPr>
          <w:rFonts w:ascii="Aptos" w:hAnsi="Aptos" w:eastAsia="Aptos" w:cs="Aptos"/>
          <w:sz w:val="24"/>
          <w:szCs w:val="24"/>
        </w:rPr>
        <w:t xml:space="preserve"> of LGBT individuals as a vulnerable demographic has become widespread in recent years. Researchers have conducted a significant amount of research to explore the increasing </w:t>
      </w:r>
      <w:r w:rsidRPr="7032660E" w:rsidR="5FBF0FD5">
        <w:rPr>
          <w:rFonts w:ascii="Aptos" w:hAnsi="Aptos" w:eastAsia="Aptos" w:cs="Aptos"/>
          <w:sz w:val="24"/>
          <w:szCs w:val="24"/>
        </w:rPr>
        <w:t>victimisation</w:t>
      </w:r>
      <w:r w:rsidRPr="7032660E" w:rsidR="5FBF0FD5">
        <w:rPr>
          <w:rFonts w:ascii="Aptos" w:hAnsi="Aptos" w:eastAsia="Aptos" w:cs="Aptos"/>
          <w:sz w:val="24"/>
          <w:szCs w:val="24"/>
        </w:rPr>
        <w:t xml:space="preserve"> and prejudice that young people who identify as LGBT face in various aspects of their </w:t>
      </w:r>
      <w:r w:rsidRPr="7032660E" w:rsidR="481DE28F">
        <w:rPr>
          <w:rFonts w:ascii="Aptos" w:hAnsi="Aptos" w:eastAsia="Aptos" w:cs="Aptos"/>
          <w:sz w:val="24"/>
          <w:szCs w:val="24"/>
        </w:rPr>
        <w:t>lives (</w:t>
      </w:r>
      <w:r w:rsidRPr="7032660E" w:rsidR="04E2167F">
        <w:rPr>
          <w:rFonts w:ascii="Aptos" w:hAnsi="Aptos" w:eastAsia="Aptos" w:cs="Aptos"/>
          <w:sz w:val="24"/>
          <w:szCs w:val="24"/>
        </w:rPr>
        <w:t>Gatehouse,2018).</w:t>
      </w:r>
      <w:r w:rsidRPr="7032660E" w:rsidR="5FBF0FD5">
        <w:rPr>
          <w:rFonts w:ascii="Aptos" w:hAnsi="Aptos" w:eastAsia="Aptos" w:cs="Aptos"/>
          <w:sz w:val="24"/>
          <w:szCs w:val="24"/>
        </w:rPr>
        <w:t xml:space="preserve"> Concerns </w:t>
      </w:r>
      <w:r w:rsidRPr="7032660E" w:rsidR="5FBF0FD5">
        <w:rPr>
          <w:rFonts w:ascii="Aptos" w:hAnsi="Aptos" w:eastAsia="Aptos" w:cs="Aptos"/>
          <w:sz w:val="24"/>
          <w:szCs w:val="24"/>
        </w:rPr>
        <w:t>frequently</w:t>
      </w:r>
      <w:r w:rsidRPr="7032660E" w:rsidR="5FBF0FD5">
        <w:rPr>
          <w:rFonts w:ascii="Aptos" w:hAnsi="Aptos" w:eastAsia="Aptos" w:cs="Aptos"/>
          <w:sz w:val="24"/>
          <w:szCs w:val="24"/>
        </w:rPr>
        <w:t xml:space="preserve"> arise about issues such as homelessness, drug usage, self-harm, suicide, and sexual abuse among LGBT young people worldwide. </w:t>
      </w:r>
      <w:r w:rsidRPr="7032660E" w:rsidR="5FBF0FD5">
        <w:rPr>
          <w:rFonts w:ascii="Aptos" w:hAnsi="Aptos" w:eastAsia="Aptos" w:cs="Aptos"/>
          <w:sz w:val="24"/>
          <w:szCs w:val="24"/>
        </w:rPr>
        <w:t>It is impossible to consider young individuals who identify as LGBT as anything other than vulnerable, given the prevalent assumption that they will experience violence before reaching adulthood. Notably, an increasing number of studies are starting to show that these young people's exposure to this form of victimization will unavoidably lead to their encounters with the law and the police (Bartkowiak, 2019).</w:t>
      </w:r>
    </w:p>
    <w:p w:rsidR="09ACFEB7" w:rsidP="306771C4" w:rsidRDefault="09ACFEB7" w14:paraId="20B48875" w14:textId="48027A2C">
      <w:pPr>
        <w:spacing w:before="240" w:beforeAutospacing="off" w:after="240" w:afterAutospacing="off"/>
      </w:pPr>
      <w:r w:rsidRPr="7032660E" w:rsidR="6DCEEA46">
        <w:rPr>
          <w:rFonts w:ascii="Aptos" w:hAnsi="Aptos" w:eastAsia="Aptos" w:cs="Aptos"/>
          <w:sz w:val="24"/>
          <w:szCs w:val="24"/>
        </w:rPr>
        <w:t xml:space="preserve">Children and teenage migrants are especially vulnerable to modern day </w:t>
      </w:r>
      <w:r w:rsidRPr="7032660E" w:rsidR="4FA6F0F3">
        <w:rPr>
          <w:rFonts w:ascii="Aptos" w:hAnsi="Aptos" w:eastAsia="Aptos" w:cs="Aptos"/>
          <w:sz w:val="24"/>
          <w:szCs w:val="24"/>
        </w:rPr>
        <w:t>slavery. Children</w:t>
      </w:r>
      <w:r w:rsidRPr="7032660E" w:rsidR="6DCEEA46">
        <w:rPr>
          <w:rFonts w:ascii="Aptos" w:hAnsi="Aptos" w:eastAsia="Aptos" w:cs="Aptos"/>
          <w:sz w:val="24"/>
          <w:szCs w:val="24"/>
        </w:rPr>
        <w:t xml:space="preserve"> and adolescents are particularly vulnerable while travelling alone or when away from their family. Racism and discrimination can unfairly target child migrants from specific national or ethnic backgrounds, leading to higher rates of victimization. Research </w:t>
      </w:r>
      <w:r w:rsidRPr="7032660E" w:rsidR="6DCEEA46">
        <w:rPr>
          <w:rFonts w:ascii="Aptos" w:hAnsi="Aptos" w:eastAsia="Aptos" w:cs="Aptos"/>
          <w:sz w:val="24"/>
          <w:szCs w:val="24"/>
        </w:rPr>
        <w:t>indicates</w:t>
      </w:r>
      <w:r w:rsidRPr="7032660E" w:rsidR="6DCEEA46">
        <w:rPr>
          <w:rFonts w:ascii="Aptos" w:hAnsi="Aptos" w:eastAsia="Aptos" w:cs="Aptos"/>
          <w:sz w:val="24"/>
          <w:szCs w:val="24"/>
        </w:rPr>
        <w:t xml:space="preserve"> that young people and migrants often face </w:t>
      </w:r>
      <w:r w:rsidRPr="7032660E" w:rsidR="6DCEEA46">
        <w:rPr>
          <w:rFonts w:ascii="Aptos" w:hAnsi="Aptos" w:eastAsia="Aptos" w:cs="Aptos"/>
          <w:sz w:val="24"/>
          <w:szCs w:val="24"/>
        </w:rPr>
        <w:t>additional</w:t>
      </w:r>
      <w:r w:rsidRPr="7032660E" w:rsidR="6DCEEA46">
        <w:rPr>
          <w:rFonts w:ascii="Aptos" w:hAnsi="Aptos" w:eastAsia="Aptos" w:cs="Aptos"/>
          <w:sz w:val="24"/>
          <w:szCs w:val="24"/>
        </w:rPr>
        <w:t xml:space="preserve"> barriers to reporting crimes against children, including fear of imprisonment and </w:t>
      </w:r>
      <w:r w:rsidRPr="7032660E" w:rsidR="3A0FB868">
        <w:rPr>
          <w:rFonts w:ascii="Aptos" w:hAnsi="Aptos" w:eastAsia="Aptos" w:cs="Aptos"/>
          <w:sz w:val="24"/>
          <w:szCs w:val="24"/>
        </w:rPr>
        <w:t>deportation (Latham-Sprincle,2019</w:t>
      </w:r>
      <w:r w:rsidRPr="7032660E" w:rsidR="3BE52CC3">
        <w:rPr>
          <w:rFonts w:ascii="Aptos" w:hAnsi="Aptos" w:eastAsia="Aptos" w:cs="Aptos"/>
          <w:sz w:val="24"/>
          <w:szCs w:val="24"/>
        </w:rPr>
        <w:t>). Migrants</w:t>
      </w:r>
      <w:r w:rsidRPr="7032660E" w:rsidR="4A156522">
        <w:rPr>
          <w:rFonts w:ascii="Aptos" w:hAnsi="Aptos" w:eastAsia="Aptos" w:cs="Aptos"/>
          <w:sz w:val="24"/>
          <w:szCs w:val="24"/>
        </w:rPr>
        <w:t xml:space="preserve"> </w:t>
      </w:r>
      <w:r w:rsidRPr="7032660E" w:rsidR="4A156522">
        <w:rPr>
          <w:rFonts w:ascii="Aptos" w:hAnsi="Aptos" w:eastAsia="Aptos" w:cs="Aptos"/>
          <w:sz w:val="24"/>
          <w:szCs w:val="24"/>
        </w:rPr>
        <w:t>encounter</w:t>
      </w:r>
      <w:r w:rsidRPr="7032660E" w:rsidR="4A156522">
        <w:rPr>
          <w:rFonts w:ascii="Aptos" w:hAnsi="Aptos" w:eastAsia="Aptos" w:cs="Aptos"/>
          <w:sz w:val="24"/>
          <w:szCs w:val="24"/>
        </w:rPr>
        <w:t xml:space="preserve"> vulnerability when escaping violent and wartime conditions, characterized by state breakdowns and societal turmoil. Despite escaping conflict, migrants continue to be vulnerable due to the breakdown of community and familial support systems, leading to limited access to jobs, legal status, and social protection. The use of irregular channels increases the risk of opportunists exploiting migrants due to their precarious </w:t>
      </w:r>
      <w:r w:rsidRPr="7032660E" w:rsidR="1E78F3B9">
        <w:rPr>
          <w:rFonts w:ascii="Aptos" w:hAnsi="Aptos" w:eastAsia="Aptos" w:cs="Aptos"/>
          <w:sz w:val="24"/>
          <w:szCs w:val="24"/>
        </w:rPr>
        <w:t>circumstances. Migrant</w:t>
      </w:r>
      <w:r w:rsidRPr="7032660E" w:rsidR="4A156522">
        <w:rPr>
          <w:rFonts w:ascii="Aptos" w:hAnsi="Aptos" w:eastAsia="Aptos" w:cs="Aptos"/>
          <w:sz w:val="24"/>
          <w:szCs w:val="24"/>
        </w:rPr>
        <w:t xml:space="preserve"> workers may </w:t>
      </w:r>
      <w:r w:rsidRPr="7032660E" w:rsidR="4A156522">
        <w:rPr>
          <w:rFonts w:ascii="Aptos" w:hAnsi="Aptos" w:eastAsia="Aptos" w:cs="Aptos"/>
          <w:sz w:val="24"/>
          <w:szCs w:val="24"/>
        </w:rPr>
        <w:t>encounter</w:t>
      </w:r>
      <w:r w:rsidRPr="7032660E" w:rsidR="4A156522">
        <w:rPr>
          <w:rFonts w:ascii="Aptos" w:hAnsi="Aptos" w:eastAsia="Aptos" w:cs="Aptos"/>
          <w:sz w:val="24"/>
          <w:szCs w:val="24"/>
        </w:rPr>
        <w:t xml:space="preserve"> concealed </w:t>
      </w:r>
      <w:r w:rsidRPr="7032660E" w:rsidR="12895F38">
        <w:rPr>
          <w:rFonts w:ascii="Aptos" w:hAnsi="Aptos" w:eastAsia="Aptos" w:cs="Aptos"/>
          <w:sz w:val="24"/>
          <w:szCs w:val="24"/>
        </w:rPr>
        <w:t>labour</w:t>
      </w:r>
      <w:r w:rsidRPr="7032660E" w:rsidR="4A156522">
        <w:rPr>
          <w:rFonts w:ascii="Aptos" w:hAnsi="Aptos" w:eastAsia="Aptos" w:cs="Aptos"/>
          <w:sz w:val="24"/>
          <w:szCs w:val="24"/>
        </w:rPr>
        <w:t xml:space="preserve"> conditions that lack legal protections or are difficult to access. This encompasses situations where migrant workers are employed at sea or in private homes as domestic workers, as well as those who are confined to their workplaces by private employers or agencies that control their visas, living conditions, and </w:t>
      </w:r>
      <w:r w:rsidRPr="7032660E" w:rsidR="5C3D2558">
        <w:rPr>
          <w:rFonts w:ascii="Aptos" w:hAnsi="Aptos" w:eastAsia="Aptos" w:cs="Aptos"/>
          <w:sz w:val="24"/>
          <w:szCs w:val="24"/>
        </w:rPr>
        <w:t>mobility (</w:t>
      </w:r>
      <w:r w:rsidRPr="7032660E" w:rsidR="079D0666">
        <w:rPr>
          <w:rFonts w:ascii="Aptos" w:hAnsi="Aptos" w:eastAsia="Aptos" w:cs="Aptos"/>
          <w:sz w:val="24"/>
          <w:szCs w:val="24"/>
        </w:rPr>
        <w:t>Duffy,2016).</w:t>
      </w:r>
    </w:p>
    <w:p w:rsidR="09ACFEB7" w:rsidP="33E8DFAB" w:rsidRDefault="09ACFEB7" w14:paraId="25BF2FA4" w14:textId="6761C03D">
      <w:pPr>
        <w:spacing w:before="240" w:beforeAutospacing="off" w:after="240" w:afterAutospacing="off"/>
        <w:rPr>
          <w:rFonts w:ascii="Aptos" w:hAnsi="Aptos" w:eastAsia="Aptos" w:cs="Aptos"/>
          <w:noProof w:val="0"/>
          <w:sz w:val="24"/>
          <w:szCs w:val="24"/>
          <w:lang w:val="en-US"/>
        </w:rPr>
      </w:pPr>
    </w:p>
    <w:p w:rsidR="09ACFEB7" w:rsidP="33E8DFAB" w:rsidRDefault="09ACFEB7" w14:paraId="7054040A" w14:textId="022F0498">
      <w:pPr>
        <w:spacing w:before="240" w:beforeAutospacing="off" w:after="240" w:afterAutospacing="off"/>
        <w:rPr>
          <w:rFonts w:ascii="Aptos" w:hAnsi="Aptos" w:eastAsia="Aptos" w:cs="Aptos"/>
          <w:noProof w:val="0"/>
          <w:sz w:val="24"/>
          <w:szCs w:val="24"/>
          <w:lang w:val="en-US"/>
        </w:rPr>
      </w:pPr>
    </w:p>
    <w:p w:rsidR="09ACFEB7" w:rsidP="33E8DFAB" w:rsidRDefault="09ACFEB7" w14:paraId="06C1598F" w14:textId="689756E6">
      <w:pPr>
        <w:spacing w:before="240" w:beforeAutospacing="off" w:after="240" w:afterAutospacing="off"/>
        <w:rPr>
          <w:rFonts w:ascii="Aptos" w:hAnsi="Aptos" w:eastAsia="Aptos" w:cs="Aptos"/>
          <w:noProof w:val="0"/>
          <w:sz w:val="24"/>
          <w:szCs w:val="24"/>
          <w:lang w:val="en-US"/>
        </w:rPr>
      </w:pPr>
    </w:p>
    <w:p w:rsidR="09ACFEB7" w:rsidP="7032660E" w:rsidRDefault="09ACFEB7" w14:paraId="65BC5664" w14:textId="55F66771">
      <w:pPr>
        <w:pStyle w:val="Normal"/>
        <w:spacing w:before="240" w:beforeAutospacing="off" w:after="240" w:afterAutospacing="off"/>
        <w:rPr>
          <w:rFonts w:ascii="Aptos" w:hAnsi="Aptos" w:eastAsia="Aptos" w:cs="Aptos"/>
          <w:noProof w:val="0"/>
          <w:sz w:val="24"/>
          <w:szCs w:val="24"/>
          <w:lang w:val="en-US"/>
        </w:rPr>
      </w:pPr>
    </w:p>
    <w:p w:rsidR="09ACFEB7" w:rsidP="33E8DFAB" w:rsidRDefault="09ACFEB7" w14:paraId="3FF95701" w14:textId="6EE7D9A8">
      <w:pPr>
        <w:spacing w:before="240" w:beforeAutospacing="off" w:after="240" w:afterAutospacing="off"/>
        <w:rPr>
          <w:rFonts w:ascii="Aptos" w:hAnsi="Aptos" w:eastAsia="Aptos" w:cs="Aptos"/>
          <w:noProof w:val="0"/>
          <w:sz w:val="24"/>
          <w:szCs w:val="24"/>
          <w:lang w:val="en-US"/>
        </w:rPr>
      </w:pPr>
    </w:p>
    <w:p w:rsidR="09ACFEB7" w:rsidP="306771C4" w:rsidRDefault="09ACFEB7" w14:paraId="624B1370" w14:textId="1E1A321F">
      <w:pPr>
        <w:spacing w:before="240" w:beforeAutospacing="off" w:after="240" w:afterAutospacing="off"/>
      </w:pPr>
      <w:r w:rsidRPr="7032660E" w:rsidR="65765B5A">
        <w:rPr>
          <w:rFonts w:ascii="Aptos" w:hAnsi="Aptos" w:eastAsia="Aptos" w:cs="Aptos"/>
          <w:sz w:val="24"/>
          <w:szCs w:val="24"/>
        </w:rPr>
        <w:t xml:space="preserve">In conclusion, a multitude of factors, including socioeconomic status, race, mental health, and community relations, can influence vulnerability. </w:t>
      </w:r>
      <w:r w:rsidRPr="7032660E" w:rsidR="475EB766">
        <w:rPr>
          <w:rFonts w:ascii="Aptos" w:hAnsi="Aptos" w:eastAsia="Aptos" w:cs="Aptos"/>
          <w:sz w:val="24"/>
          <w:szCs w:val="24"/>
        </w:rPr>
        <w:t>All</w:t>
      </w:r>
      <w:r w:rsidRPr="7032660E" w:rsidR="65765B5A">
        <w:rPr>
          <w:rFonts w:ascii="Aptos" w:hAnsi="Aptos" w:eastAsia="Aptos" w:cs="Aptos"/>
          <w:sz w:val="24"/>
          <w:szCs w:val="24"/>
        </w:rPr>
        <w:t xml:space="preserve"> the </w:t>
      </w:r>
      <w:r w:rsidRPr="7032660E" w:rsidR="09903D80">
        <w:rPr>
          <w:rFonts w:ascii="Aptos" w:hAnsi="Aptos" w:eastAsia="Aptos" w:cs="Aptos"/>
          <w:sz w:val="24"/>
          <w:szCs w:val="24"/>
        </w:rPr>
        <w:t>elements</w:t>
      </w:r>
      <w:r w:rsidRPr="7032660E" w:rsidR="65765B5A">
        <w:rPr>
          <w:rFonts w:ascii="Aptos" w:hAnsi="Aptos" w:eastAsia="Aptos" w:cs="Aptos"/>
          <w:sz w:val="24"/>
          <w:szCs w:val="24"/>
        </w:rPr>
        <w:t xml:space="preserve"> influence one another in intricate ways, shaping the way police perceive and deal with citizens and the societal impact of these dynamics. A person's money, level of education, profession, and community position all contribute to their socioeconomic status, which in turn </w:t>
      </w:r>
      <w:r w:rsidRPr="7032660E" w:rsidR="6125ECD6">
        <w:rPr>
          <w:rFonts w:ascii="Aptos" w:hAnsi="Aptos" w:eastAsia="Aptos" w:cs="Aptos"/>
          <w:sz w:val="24"/>
          <w:szCs w:val="24"/>
        </w:rPr>
        <w:t>affects</w:t>
      </w:r>
      <w:r w:rsidRPr="7032660E" w:rsidR="65765B5A">
        <w:rPr>
          <w:rFonts w:ascii="Aptos" w:hAnsi="Aptos" w:eastAsia="Aptos" w:cs="Aptos"/>
          <w:sz w:val="24"/>
          <w:szCs w:val="24"/>
        </w:rPr>
        <w:t xml:space="preserve"> their vulnerability to law enforcement. People from lower socioeconomic origins experience the emotional toll of insufficient access to healthcare, legal counsel, and education. Individual</w:t>
      </w:r>
      <w:r w:rsidRPr="7032660E" w:rsidR="65765B5A">
        <w:rPr>
          <w:rFonts w:ascii="Aptos" w:hAnsi="Aptos" w:eastAsia="Aptos" w:cs="Aptos"/>
          <w:sz w:val="24"/>
          <w:szCs w:val="24"/>
        </w:rPr>
        <w:t xml:space="preserve">s experiencing economic hardships may engage in illegal </w:t>
      </w:r>
      <w:r w:rsidRPr="7032660E" w:rsidR="68C77199">
        <w:rPr>
          <w:rFonts w:ascii="Aptos" w:hAnsi="Aptos" w:eastAsia="Aptos" w:cs="Aptos"/>
          <w:sz w:val="24"/>
          <w:szCs w:val="24"/>
        </w:rPr>
        <w:t>behaviour</w:t>
      </w:r>
      <w:r w:rsidRPr="7032660E" w:rsidR="65765B5A">
        <w:rPr>
          <w:rFonts w:ascii="Aptos" w:hAnsi="Aptos" w:eastAsia="Aptos" w:cs="Aptos"/>
          <w:sz w:val="24"/>
          <w:szCs w:val="24"/>
        </w:rPr>
        <w:t xml:space="preserve">, which can further entangle them in the judicial system and make it more difficult for them to assert their rights when interacting with law enforcement. Due to actual or predicted spikes in criminal activity, police may station more officers in low-income </w:t>
      </w:r>
      <w:r w:rsidRPr="7032660E" w:rsidR="100276AD">
        <w:rPr>
          <w:rFonts w:ascii="Aptos" w:hAnsi="Aptos" w:eastAsia="Aptos" w:cs="Aptos"/>
          <w:sz w:val="24"/>
          <w:szCs w:val="24"/>
        </w:rPr>
        <w:t>neighbourhoods</w:t>
      </w:r>
      <w:r w:rsidRPr="7032660E" w:rsidR="65765B5A">
        <w:rPr>
          <w:rFonts w:ascii="Aptos" w:hAnsi="Aptos" w:eastAsia="Aptos" w:cs="Aptos"/>
          <w:sz w:val="24"/>
          <w:szCs w:val="24"/>
        </w:rPr>
        <w:t xml:space="preserve">, which could lead to more frequent and unpleasant encounters between residents and the police. When it comes to the justice system, a person's mental health and disability are major factors in </w:t>
      </w:r>
      <w:r w:rsidRPr="7032660E" w:rsidR="65765B5A">
        <w:rPr>
          <w:rFonts w:ascii="Aptos" w:hAnsi="Aptos" w:eastAsia="Aptos" w:cs="Aptos"/>
          <w:sz w:val="24"/>
          <w:szCs w:val="24"/>
        </w:rPr>
        <w:t>determining</w:t>
      </w:r>
      <w:r w:rsidRPr="7032660E" w:rsidR="65765B5A">
        <w:rPr>
          <w:rFonts w:ascii="Aptos" w:hAnsi="Aptos" w:eastAsia="Aptos" w:cs="Aptos"/>
          <w:sz w:val="24"/>
          <w:szCs w:val="24"/>
        </w:rPr>
        <w:t xml:space="preserve"> how vulnerable they are. Due to the complex nature of mental health, individuals' interactions with law enforcement often result in misunderstandings, prejudices, and negative outcomes. Anxieties, depression, and post-traumatic stress disorder (PTSD) are some of the most prevalent men</w:t>
      </w:r>
      <w:r w:rsidRPr="7032660E" w:rsidR="65765B5A">
        <w:rPr>
          <w:rFonts w:ascii="Aptos" w:hAnsi="Aptos" w:eastAsia="Aptos" w:cs="Aptos"/>
          <w:sz w:val="24"/>
          <w:szCs w:val="24"/>
        </w:rPr>
        <w:t>tal</w:t>
      </w:r>
      <w:r w:rsidRPr="7032660E" w:rsidR="65765B5A">
        <w:rPr>
          <w:rFonts w:ascii="Aptos" w:hAnsi="Aptos" w:eastAsia="Aptos" w:cs="Aptos"/>
          <w:sz w:val="24"/>
          <w:szCs w:val="24"/>
        </w:rPr>
        <w:t xml:space="preserve"> health issues that can </w:t>
      </w:r>
      <w:r w:rsidRPr="7032660E" w:rsidR="65765B5A">
        <w:rPr>
          <w:rFonts w:ascii="Aptos" w:hAnsi="Aptos" w:eastAsia="Aptos" w:cs="Aptos"/>
          <w:sz w:val="24"/>
          <w:szCs w:val="24"/>
        </w:rPr>
        <w:t>emerge</w:t>
      </w:r>
      <w:r w:rsidRPr="7032660E" w:rsidR="65765B5A">
        <w:rPr>
          <w:rFonts w:ascii="Aptos" w:hAnsi="Aptos" w:eastAsia="Aptos" w:cs="Aptos"/>
          <w:sz w:val="24"/>
          <w:szCs w:val="24"/>
        </w:rPr>
        <w:t xml:space="preserve"> or worsen in a community after experiencing widespread violence and other traumatic events. Another aspect that </w:t>
      </w:r>
      <w:r w:rsidRPr="7032660E" w:rsidR="65765B5A">
        <w:rPr>
          <w:rFonts w:ascii="Aptos" w:hAnsi="Aptos" w:eastAsia="Aptos" w:cs="Aptos"/>
          <w:sz w:val="24"/>
          <w:szCs w:val="24"/>
        </w:rPr>
        <w:t>impacts</w:t>
      </w:r>
      <w:r w:rsidRPr="7032660E" w:rsidR="65765B5A">
        <w:rPr>
          <w:rFonts w:ascii="Aptos" w:hAnsi="Aptos" w:eastAsia="Aptos" w:cs="Aptos"/>
          <w:sz w:val="24"/>
          <w:szCs w:val="24"/>
        </w:rPr>
        <w:t xml:space="preserve"> vulnerability is age; sexual assault, cyberbullying, and online harassment are more common among younger children and teenagers. Because of their age and weaker </w:t>
      </w:r>
      <w:r w:rsidRPr="7032660E" w:rsidR="65765B5A">
        <w:rPr>
          <w:rFonts w:ascii="Aptos" w:hAnsi="Aptos" w:eastAsia="Aptos" w:cs="Aptos"/>
          <w:sz w:val="24"/>
          <w:szCs w:val="24"/>
        </w:rPr>
        <w:t>defences</w:t>
      </w:r>
      <w:r w:rsidRPr="7032660E" w:rsidR="65765B5A">
        <w:rPr>
          <w:rFonts w:ascii="Aptos" w:hAnsi="Aptos" w:eastAsia="Aptos" w:cs="Aptos"/>
          <w:sz w:val="24"/>
          <w:szCs w:val="24"/>
        </w:rPr>
        <w:t xml:space="preserve">, the elderly are more likely to be victims of </w:t>
      </w:r>
      <w:r w:rsidRPr="7032660E" w:rsidR="65765B5A">
        <w:rPr>
          <w:rFonts w:ascii="Aptos" w:hAnsi="Aptos" w:eastAsia="Aptos" w:cs="Aptos"/>
          <w:sz w:val="24"/>
          <w:szCs w:val="24"/>
        </w:rPr>
        <w:t>victimisation</w:t>
      </w:r>
      <w:r w:rsidRPr="7032660E" w:rsidR="65765B5A">
        <w:rPr>
          <w:rFonts w:ascii="Aptos" w:hAnsi="Aptos" w:eastAsia="Aptos" w:cs="Aptos"/>
          <w:sz w:val="24"/>
          <w:szCs w:val="24"/>
        </w:rPr>
        <w:t xml:space="preserve">, </w:t>
      </w:r>
      <w:r w:rsidRPr="7032660E" w:rsidR="65765B5A">
        <w:rPr>
          <w:rFonts w:ascii="Aptos" w:hAnsi="Aptos" w:eastAsia="Aptos" w:cs="Aptos"/>
          <w:sz w:val="24"/>
          <w:szCs w:val="24"/>
        </w:rPr>
        <w:t>whereas</w:t>
      </w:r>
      <w:r w:rsidRPr="7032660E" w:rsidR="65765B5A">
        <w:rPr>
          <w:rFonts w:ascii="Aptos" w:hAnsi="Aptos" w:eastAsia="Aptos" w:cs="Aptos"/>
          <w:sz w:val="24"/>
          <w:szCs w:val="24"/>
        </w:rPr>
        <w:t xml:space="preserve"> young people who identify as LGBT are more likely to be victims of </w:t>
      </w:r>
      <w:r w:rsidRPr="7032660E" w:rsidR="65765B5A">
        <w:rPr>
          <w:rFonts w:ascii="Aptos" w:hAnsi="Aptos" w:eastAsia="Aptos" w:cs="Aptos"/>
          <w:sz w:val="24"/>
          <w:szCs w:val="24"/>
        </w:rPr>
        <w:t>victimisation</w:t>
      </w:r>
      <w:r w:rsidRPr="7032660E" w:rsidR="65765B5A">
        <w:rPr>
          <w:rFonts w:ascii="Aptos" w:hAnsi="Aptos" w:eastAsia="Aptos" w:cs="Aptos"/>
          <w:sz w:val="24"/>
          <w:szCs w:val="24"/>
        </w:rPr>
        <w:t xml:space="preserve"> and legal danger. Migrant children and teenagers face unique threats from racism and other forms of discrimination based on their race or ethnicity, making them convenient prey for modern-day slave </w:t>
      </w:r>
      <w:r w:rsidRPr="7032660E" w:rsidR="47387EA5">
        <w:rPr>
          <w:rFonts w:ascii="Aptos" w:hAnsi="Aptos" w:eastAsia="Aptos" w:cs="Aptos"/>
          <w:sz w:val="24"/>
          <w:szCs w:val="24"/>
        </w:rPr>
        <w:t>owners. In</w:t>
      </w:r>
      <w:r w:rsidRPr="7032660E" w:rsidR="29D15ED5">
        <w:rPr>
          <w:rFonts w:ascii="Aptos" w:hAnsi="Aptos" w:eastAsia="Aptos" w:cs="Aptos"/>
          <w:sz w:val="24"/>
          <w:szCs w:val="24"/>
        </w:rPr>
        <w:t xml:space="preserve"> conclusion law enforcement officer training, community involvement programs, and regulations to reduce systemic biases are all necessary to address these vulnerabilities. If police focus on listening and understanding, they may perform better and gain community trust. </w:t>
      </w:r>
      <w:r w:rsidRPr="7032660E" w:rsidR="6B519578">
        <w:rPr>
          <w:rFonts w:ascii="Aptos" w:hAnsi="Aptos" w:eastAsia="Aptos" w:cs="Aptos"/>
          <w:sz w:val="24"/>
          <w:szCs w:val="24"/>
        </w:rPr>
        <w:t>To</w:t>
      </w:r>
      <w:r w:rsidRPr="7032660E" w:rsidR="29D15ED5">
        <w:rPr>
          <w:rFonts w:ascii="Aptos" w:hAnsi="Aptos" w:eastAsia="Aptos" w:cs="Aptos"/>
          <w:sz w:val="24"/>
          <w:szCs w:val="24"/>
        </w:rPr>
        <w:t xml:space="preserve"> </w:t>
      </w:r>
      <w:r w:rsidRPr="7032660E" w:rsidR="29D15ED5">
        <w:rPr>
          <w:rFonts w:ascii="Aptos" w:hAnsi="Aptos" w:eastAsia="Aptos" w:cs="Aptos"/>
          <w:sz w:val="24"/>
          <w:szCs w:val="24"/>
        </w:rPr>
        <w:t xml:space="preserve">promote justice, equity, and positive results in policing, it is important to </w:t>
      </w:r>
      <w:r w:rsidRPr="7032660E" w:rsidR="29D15ED5">
        <w:rPr>
          <w:rFonts w:ascii="Aptos" w:hAnsi="Aptos" w:eastAsia="Aptos" w:cs="Aptos"/>
          <w:sz w:val="24"/>
          <w:szCs w:val="24"/>
        </w:rPr>
        <w:t>i</w:t>
      </w:r>
      <w:r w:rsidRPr="7032660E" w:rsidR="29D15ED5">
        <w:rPr>
          <w:rFonts w:ascii="Aptos" w:hAnsi="Aptos" w:eastAsia="Aptos" w:cs="Aptos"/>
          <w:sz w:val="24"/>
          <w:szCs w:val="24"/>
        </w:rPr>
        <w:t>dentify</w:t>
      </w:r>
      <w:r w:rsidRPr="7032660E" w:rsidR="29D15ED5">
        <w:rPr>
          <w:rFonts w:ascii="Aptos" w:hAnsi="Aptos" w:eastAsia="Aptos" w:cs="Aptos"/>
          <w:sz w:val="24"/>
          <w:szCs w:val="24"/>
        </w:rPr>
        <w:t xml:space="preserve"> </w:t>
      </w:r>
      <w:r w:rsidRPr="7032660E" w:rsidR="29D15ED5">
        <w:rPr>
          <w:rFonts w:ascii="Aptos" w:hAnsi="Aptos" w:eastAsia="Aptos" w:cs="Aptos"/>
          <w:sz w:val="24"/>
          <w:szCs w:val="24"/>
        </w:rPr>
        <w:t>and address the elements that contribute to individual vulnerability.</w:t>
      </w:r>
    </w:p>
    <w:p w:rsidR="09ACFEB7" w:rsidP="33E8DFAB" w:rsidRDefault="09ACFEB7" w14:paraId="3BC80C5C" w14:textId="509FCF0E">
      <w:pPr>
        <w:spacing w:before="240" w:beforeAutospacing="off" w:after="240" w:afterAutospacing="off"/>
        <w:rPr>
          <w:rFonts w:ascii="Aptos" w:hAnsi="Aptos" w:eastAsia="Aptos" w:cs="Aptos"/>
          <w:noProof w:val="0"/>
          <w:sz w:val="24"/>
          <w:szCs w:val="24"/>
          <w:lang w:val="en-US"/>
        </w:rPr>
      </w:pPr>
    </w:p>
    <w:p w:rsidR="09ACFEB7" w:rsidP="306771C4" w:rsidRDefault="09ACFEB7" w14:paraId="2FFAEB5C" w14:textId="113117B7">
      <w:pPr>
        <w:spacing w:before="240" w:beforeAutospacing="off" w:after="240" w:afterAutospacing="off"/>
      </w:pPr>
      <w:r w:rsidRPr="52325135" w:rsidR="580CB340">
        <w:rPr>
          <w:rFonts w:ascii="Aptos" w:hAnsi="Aptos" w:eastAsia="Aptos" w:cs="Aptos"/>
          <w:sz w:val="24"/>
          <w:szCs w:val="24"/>
        </w:rPr>
        <w:t xml:space="preserve"> </w:t>
      </w:r>
    </w:p>
    <w:p w:rsidR="09ACFEB7" w:rsidP="33E8DFAB" w:rsidRDefault="09ACFEB7" w14:paraId="2EA5851B" w14:textId="28BD4C98">
      <w:pPr>
        <w:spacing w:before="240" w:beforeAutospacing="off" w:after="240" w:afterAutospacing="off"/>
        <w:rPr>
          <w:rFonts w:ascii="Aptos" w:hAnsi="Aptos" w:eastAsia="Aptos" w:cs="Aptos"/>
          <w:noProof w:val="0"/>
          <w:sz w:val="24"/>
          <w:szCs w:val="24"/>
          <w:lang w:val="en-US"/>
        </w:rPr>
      </w:pPr>
    </w:p>
    <w:p w:rsidR="09ACFEB7" w:rsidP="7032660E" w:rsidRDefault="09ACFEB7" w14:paraId="7578CCD2" w14:textId="07121B8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 List:</w:t>
      </w:r>
    </w:p>
    <w:p w:rsidR="09ACFEB7" w:rsidP="7032660E" w:rsidRDefault="09ACFEB7" w14:paraId="00FAC280" w14:textId="28B0EB1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3316CB12" w14:textId="0022CA9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Bartkowiak-Theron, I. and Asquith, N., 2019. Policing vulnerable people.</w:t>
      </w:r>
      <w:hyperlink r:id="Rcb73780d48ab4b07">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Policing vulnerable people (utas.edu.au)</w:t>
        </w:r>
      </w:hyperlink>
      <w:r w:rsidRPr="7032660E" w:rsidR="3ED2CC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November 7,2024).</w:t>
      </w:r>
    </w:p>
    <w:p w:rsidR="09ACFEB7" w:rsidP="7032660E" w:rsidRDefault="09ACFEB7" w14:paraId="004F2BF9" w14:textId="2B354E6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7CBC3C2A" w14:textId="00BC44A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Chakraborty, L.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‘A place-based socioeconomic status index: Measuring social vulnerability to flood hazards in the context of environmental justice’,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disaster risk reduction</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43, pp. 101394-. Available at: </w:t>
      </w:r>
      <w:hyperlink r:id="R2c2b9aac1fa44f75">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https://doi.org/10.1016/j.ijdrr.2019.101394.(Accessed</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7,2024).</w:t>
      </w:r>
    </w:p>
    <w:p w:rsidR="09ACFEB7" w:rsidP="7032660E" w:rsidRDefault="09ACFEB7" w14:paraId="33C2A6C8" w14:textId="799B6A6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4A23153C" w14:textId="00922B0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College of Policing (2021). Introduction to vulnerability-related risk.Available at:</w:t>
      </w:r>
      <w:hyperlink r:id="R8a2d485abc2b47cf">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Introduction to vulnerability-related risk | College of Policing</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November 7,2024).</w:t>
      </w:r>
    </w:p>
    <w:p w:rsidR="09ACFEB7" w:rsidP="7032660E" w:rsidRDefault="09ACFEB7" w14:paraId="536DB6E2" w14:textId="781348A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2641A937" w14:textId="0AC8714D">
      <w:pPr>
        <w:pStyle w:val="Normal"/>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College of Policing (2016</w:t>
      </w:r>
      <w:r w:rsidRPr="7032660E" w:rsidR="1D194220">
        <w:rPr>
          <w:rFonts w:ascii="Times New Roman" w:hAnsi="Times New Roman" w:eastAsia="Times New Roman" w:cs="Times New Roman"/>
          <w:b w:val="0"/>
          <w:bCs w:val="0"/>
          <w:i w:val="0"/>
          <w:iCs w:val="0"/>
          <w:caps w:val="0"/>
          <w:smallCaps w:val="0"/>
          <w:noProof w:val="0"/>
          <w:color w:val="222222"/>
          <w:sz w:val="24"/>
          <w:szCs w:val="24"/>
          <w:lang w:val="en-GB"/>
        </w:rPr>
        <w:t>). Mental</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 xml:space="preserve"> vulnerability and illness. Available at:</w:t>
      </w:r>
      <w:hyperlink r:id="R885fe8efb9db4d1b">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Mental vulnerability</w:t>
        </w:r>
      </w:hyperlink>
      <w:hyperlink r:id="R7653a0b9f76d4c66">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and illness | College of Policing.</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November 7,2024).</w:t>
      </w:r>
    </w:p>
    <w:p w:rsidR="09ACFEB7" w:rsidP="7032660E" w:rsidRDefault="09ACFEB7" w14:paraId="26CC246C" w14:textId="637AEC5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Duffy, H. (2016) ‘Litigating modern day slavery in regional courts: A nascent contribution’,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international criminal justice</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14(2), pp. 375–403. Available at: </w:t>
      </w:r>
      <w:hyperlink r:id="Rfc36a6239f1840c5">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https://doi.org/10.1093/jicj/mqv079</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7,2024).</w:t>
      </w:r>
    </w:p>
    <w:p w:rsidR="09ACFEB7" w:rsidP="7032660E" w:rsidRDefault="09ACFEB7" w14:paraId="62AE322E" w14:textId="0FD6A0A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Forbes-</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Mewett</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 xml:space="preserve">, H. and Nguyen-Trung, K., 2019. Defining vulnerability. In </w:t>
      </w:r>
      <w:r w:rsidRPr="7032660E" w:rsidR="3ED2CC31">
        <w:rPr>
          <w:rFonts w:ascii="Times New Roman" w:hAnsi="Times New Roman" w:eastAsia="Times New Roman" w:cs="Times New Roman"/>
          <w:b w:val="0"/>
          <w:bCs w:val="0"/>
          <w:i w:val="1"/>
          <w:iCs w:val="1"/>
          <w:caps w:val="0"/>
          <w:smallCaps w:val="0"/>
          <w:noProof w:val="0"/>
          <w:color w:val="222222"/>
          <w:sz w:val="24"/>
          <w:szCs w:val="24"/>
          <w:lang w:val="en-GB"/>
        </w:rPr>
        <w:t>Vulnerability in a Mobile World</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 xml:space="preserve"> (pp. 5-27). Emerald Publishing Limited.</w:t>
      </w:r>
      <w:hyperlink r:id="Rb731e87fbf5b4877">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Defining Vulnerability | Emerald Insight</w:t>
        </w:r>
      </w:hyperlink>
      <w:r w:rsidRPr="7032660E" w:rsidR="3ED2CC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November7,2024).</w:t>
      </w:r>
    </w:p>
    <w:p w:rsidR="09ACFEB7" w:rsidP="7032660E" w:rsidRDefault="09ACFEB7" w14:paraId="4622B478" w14:textId="0ED99BB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Gatehouse, C.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‘Troubling Vulnerability: Designing with LGBT Young People’s Ambivalence Towards Hate Crime Reporting’, in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Proceedings of the 2018 CHI Conference on Human Factors in Computing Systems</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NY, USA: ACM, pp. 1–13. Available at: </w:t>
      </w:r>
      <w:hyperlink r:id="R2daa081eb4ba414a">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https://doi.org/10.1145/3173574.3173683</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7,2024).</w:t>
      </w:r>
    </w:p>
    <w:p w:rsidR="09ACFEB7" w:rsidP="7032660E" w:rsidRDefault="09ACFEB7" w14:paraId="0A10D1D4" w14:textId="3069AD3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712A7CD6" w14:textId="1E637D7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Gerra, G.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‘Socioeconomic Status, Parental Education, School Connectedness and Individual Socio-Cultural Resources in Vulnerability for Drug Use among Students’,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17(4), pp. 1306-. Available at: </w:t>
      </w:r>
      <w:hyperlink r:id="R8238021d968d403f">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https://doi.org/10.3390/ijerph17041306</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November,2024).</w:t>
      </w:r>
    </w:p>
    <w:p w:rsidR="09ACFEB7" w:rsidP="7032660E" w:rsidRDefault="09ACFEB7" w14:paraId="51216B70" w14:textId="04C1189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1660E63B" w14:textId="75EED26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Grzywacz, J.G.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(2004) ‘Socioeconomic Status and Health: A Micro-Level Analysis of Exposure and Vulnerability to Daily Stressors’,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health and social behaviour</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45(1), pp. 1–16. Available at:</w:t>
      </w:r>
      <w:hyperlink r:id="R8d700e9b02c04b6e">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https://doi.org/10.1177/002214650404500101</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7,2024).</w:t>
      </w:r>
    </w:p>
    <w:p w:rsidR="09ACFEB7" w:rsidP="7032660E" w:rsidRDefault="09ACFEB7" w14:paraId="574104DB" w14:textId="076FEA7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Hough, M. (2012) ‘Researching trust in the police and trust in justice: a UK perspective’,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Policing &amp; society</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22(3), pp. 332–345. Available at: </w:t>
      </w:r>
      <w:hyperlink r:id="R71e55b11d3484e06">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https://doi.org/10.1080/10439463.2012.671826.(Accessed</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7,2024).</w:t>
      </w:r>
    </w:p>
    <w:p w:rsidR="09ACFEB7" w:rsidP="7032660E" w:rsidRDefault="09ACFEB7" w14:paraId="574BAE57" w14:textId="61EB778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Johnson, D.J., Agbenyiga, D.L. and Hitchcock, R.K. (2013)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Vulnerable children: global challenges in education, health, well-being, and child rights</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1st ed. 2013. New York: Springer Science. Available at: </w:t>
      </w:r>
      <w:hyperlink r:id="R737727615bd047b3">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https://doi.org/10.1007/978-1-4614-6780-9</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7,2024).</w:t>
      </w:r>
    </w:p>
    <w:p w:rsidR="09ACFEB7" w:rsidP="7032660E" w:rsidRDefault="09ACFEB7" w14:paraId="45FF7496" w14:textId="6C63A82A">
      <w:pPr>
        <w:spacing w:before="0" w:beforeAutospacing="off" w:after="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09ACFEB7" w:rsidP="7032660E" w:rsidRDefault="09ACFEB7" w14:paraId="76591520" w14:textId="1E3DD0D1">
      <w:pPr>
        <w:spacing w:before="0" w:beforeAutospacing="off" w:after="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Latham-Sprinkle, J., David, F., Bryant, K. and Larsen, J., 2019. Migrants and their vulnerability to human trafficking, modern slavery and forced labour.</w:t>
      </w:r>
    </w:p>
    <w:p w:rsidR="09ACFEB7" w:rsidP="7032660E" w:rsidRDefault="09ACFEB7" w14:paraId="549E4A61" w14:textId="59664EAF">
      <w:pPr>
        <w:spacing w:before="0" w:beforeAutospacing="off" w:after="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09ACFEB7" w:rsidP="7032660E" w:rsidRDefault="09ACFEB7" w14:paraId="6E82B19F" w14:textId="2BAE5DDB">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222222"/>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Mattsson, T. and Giertz, L., 2020. Vulnerability, law, and dementia: An interdisciplinary</w:t>
      </w:r>
    </w:p>
    <w:p w:rsidR="09ACFEB7" w:rsidP="7032660E" w:rsidRDefault="09ACFEB7" w14:paraId="4369834B" w14:textId="4B4DE2B6">
      <w:pPr>
        <w:spacing w:before="0" w:beforeAutospacing="off" w:after="0" w:afterAutospacing="off" w:line="480" w:lineRule="auto"/>
        <w:ind w:left="0" w:right="0" w:hanging="0"/>
        <w:jc w:val="left"/>
        <w:rPr>
          <w:rFonts w:ascii="Times New Roman" w:hAnsi="Times New Roman" w:eastAsia="Times New Roman" w:cs="Times New Roman"/>
          <w:b w:val="0"/>
          <w:bCs w:val="0"/>
          <w:i w:val="0"/>
          <w:iCs w:val="0"/>
          <w:caps w:val="0"/>
          <w:smallCaps w:val="0"/>
          <w:noProof w:val="0"/>
          <w:color w:val="222222"/>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discussion of legislation and practice. Theoretical inquiries in law, 21(1), pp.139-159.</w:t>
      </w:r>
    </w:p>
    <w:p w:rsidR="09ACFEB7" w:rsidP="7032660E" w:rsidRDefault="09ACFEB7" w14:paraId="35FB065D" w14:textId="1FDCD16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13AACC6C" w14:textId="323AF6A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McKibbin, G.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‘Using sexual health and safety education to protect against child sexual abuse in residential care: The LINC model’,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 &amp; family social work</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26(3), pp. 394–403. Available at: </w:t>
      </w:r>
      <w:hyperlink r:id="Rd4184a82abd64079">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https://doi.org/10.1111/cfs.12821.(Accessed</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7,2024).</w:t>
      </w:r>
    </w:p>
    <w:p w:rsidR="09ACFEB7" w:rsidP="7032660E" w:rsidRDefault="09ACFEB7" w14:paraId="0174BBEF" w14:textId="32C8848B">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222222"/>
          <w:sz w:val="24"/>
          <w:szCs w:val="24"/>
          <w:lang w:val="en-US"/>
        </w:rPr>
      </w:pPr>
    </w:p>
    <w:p w:rsidR="09ACFEB7" w:rsidP="7032660E" w:rsidRDefault="09ACFEB7" w14:paraId="55ED84CF" w14:textId="188531C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J.D. and Kessler, R.C. (1990) ‘Socioeconomic Status Differences in Vulnerability to Undesirable Life Events’,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health and social behaviour</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31(2), pp. 162–172. Available at: </w:t>
      </w:r>
      <w:hyperlink r:id="R4abbfa4d52434a06">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https://doi.org/10.2307/2137170</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7,2024).</w:t>
      </w:r>
    </w:p>
    <w:p w:rsidR="09ACFEB7" w:rsidP="7032660E" w:rsidRDefault="09ACFEB7" w14:paraId="59AE6CFC" w14:textId="3981307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4368541E" w14:textId="6D1474E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 xml:space="preserve">Østergaard, M.L.D., Aponte-Canencio, D.M., Barajas Ortiz, Y., Velez Botero, H.J., Simon Modvig, J. and Brasholt, M., 2023. Vulnerability factors in conflict-related mental health. </w:t>
      </w:r>
      <w:r w:rsidRPr="7032660E" w:rsidR="3ED2CC31">
        <w:rPr>
          <w:rFonts w:ascii="Times New Roman" w:hAnsi="Times New Roman" w:eastAsia="Times New Roman" w:cs="Times New Roman"/>
          <w:b w:val="0"/>
          <w:bCs w:val="0"/>
          <w:i w:val="1"/>
          <w:iCs w:val="1"/>
          <w:caps w:val="0"/>
          <w:smallCaps w:val="0"/>
          <w:noProof w:val="0"/>
          <w:color w:val="222222"/>
          <w:sz w:val="24"/>
          <w:szCs w:val="24"/>
          <w:lang w:val="en-GB"/>
        </w:rPr>
        <w:t>Medicine, conflict and survival</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032660E" w:rsidR="3ED2CC31">
        <w:rPr>
          <w:rFonts w:ascii="Times New Roman" w:hAnsi="Times New Roman" w:eastAsia="Times New Roman" w:cs="Times New Roman"/>
          <w:b w:val="0"/>
          <w:bCs w:val="0"/>
          <w:i w:val="1"/>
          <w:iCs w:val="1"/>
          <w:caps w:val="0"/>
          <w:smallCaps w:val="0"/>
          <w:noProof w:val="0"/>
          <w:color w:val="222222"/>
          <w:sz w:val="24"/>
          <w:szCs w:val="24"/>
          <w:lang w:val="en-GB"/>
        </w:rPr>
        <w:t>39</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GB"/>
        </w:rPr>
        <w:t>(1), pp.63-80.</w:t>
      </w:r>
      <w:hyperlink r:id="R977c56889e634ca1">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Full article: Vulnerability factors in conflict-related mental health (tandfonline.com)</w:t>
        </w:r>
      </w:hyperlink>
      <w:r w:rsidRPr="7032660E" w:rsidR="3ED2CC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November 7,2024).</w:t>
      </w:r>
    </w:p>
    <w:p w:rsidR="09ACFEB7" w:rsidP="7032660E" w:rsidRDefault="09ACFEB7" w14:paraId="5E2EEB2F" w14:textId="1CA9D52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06653A22" w14:textId="489BC6B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Penhale, B. and Parker, J. (2008) </w:t>
      </w:r>
      <w:r w:rsidRPr="7032660E" w:rsidR="3ED2CC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Working with vulnerable adults</w:t>
      </w:r>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Routledge.</w:t>
      </w:r>
    </w:p>
    <w:p w:rsidR="09ACFEB7" w:rsidP="7032660E" w:rsidRDefault="09ACFEB7" w14:paraId="725A971D" w14:textId="0760FBE2">
      <w:pPr>
        <w:spacing w:before="0" w:beforeAutospacing="off" w:after="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09ACFEB7" w:rsidP="7032660E" w:rsidRDefault="09ACFEB7" w14:paraId="602F8384" w14:textId="0332237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222222"/>
          <w:sz w:val="24"/>
          <w:szCs w:val="24"/>
          <w:lang w:val="en-US"/>
        </w:rPr>
        <w:t xml:space="preserve">Tura, F., Pickering, S., Hansen, M.E. and Hunter, J., 2024. Intersectional inequalities in trust in the police in England. </w:t>
      </w:r>
      <w:r w:rsidRPr="7032660E" w:rsidR="3ED2CC31">
        <w:rPr>
          <w:rFonts w:ascii="Times New Roman" w:hAnsi="Times New Roman" w:eastAsia="Times New Roman" w:cs="Times New Roman"/>
          <w:b w:val="0"/>
          <w:bCs w:val="0"/>
          <w:i w:val="1"/>
          <w:iCs w:val="1"/>
          <w:caps w:val="0"/>
          <w:smallCaps w:val="0"/>
          <w:noProof w:val="0"/>
          <w:color w:val="222222"/>
          <w:sz w:val="24"/>
          <w:szCs w:val="24"/>
          <w:lang w:val="en-US"/>
        </w:rPr>
        <w:t>CrimRxiv</w:t>
      </w:r>
      <w:r w:rsidRPr="7032660E" w:rsidR="3ED2CC31">
        <w:rPr>
          <w:rFonts w:ascii="Times New Roman" w:hAnsi="Times New Roman" w:eastAsia="Times New Roman" w:cs="Times New Roman"/>
          <w:b w:val="0"/>
          <w:bCs w:val="0"/>
          <w:i w:val="0"/>
          <w:iCs w:val="0"/>
          <w:caps w:val="0"/>
          <w:smallCaps w:val="0"/>
          <w:noProof w:val="0"/>
          <w:color w:val="222222"/>
          <w:sz w:val="24"/>
          <w:szCs w:val="24"/>
          <w:lang w:val="en-US"/>
        </w:rPr>
        <w:t>.Available at:</w:t>
      </w:r>
      <w:hyperlink r:id="R5e4030d14f574600">
        <w:r w:rsidRPr="7032660E" w:rsidR="3ED2CC3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Intersectional inequalities in trust in the police in England · CrimRxiv</w:t>
        </w:r>
      </w:hyperlink>
      <w:r w:rsidRPr="7032660E" w:rsidR="3ED2C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November 7,2024).</w:t>
      </w:r>
    </w:p>
    <w:p w:rsidR="09ACFEB7" w:rsidP="7032660E" w:rsidRDefault="09ACFEB7" w14:paraId="4FF93B0F" w14:textId="0F03C6CE">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1BF2AE7E" w14:textId="7012593C">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r w:rsidRPr="7032660E" w:rsidR="3ED2CC31">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Williams, B. (2023) </w:t>
      </w:r>
      <w:r w:rsidRPr="7032660E" w:rsidR="3ED2CC31">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Policing Mental Health, Vulnerability and Risk</w:t>
      </w:r>
      <w:r w:rsidRPr="7032660E" w:rsidR="3ED2CC31">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First edition. Edited by T. Blockley. St Albans, England: Critical Publishing Ltd.</w:t>
      </w:r>
    </w:p>
    <w:p w:rsidR="09ACFEB7" w:rsidP="7032660E" w:rsidRDefault="09ACFEB7" w14:paraId="515261B9" w14:textId="64E72A7C">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23ED5363" w14:textId="2635485E">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5B8B4C15" w14:textId="5E5C64FA">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339642B4" w14:textId="4EDD441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24B87F9A" w14:textId="18C646D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48DDCB9D" w14:textId="31B137F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40DB5691" w14:textId="31FB726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03C57DBA" w14:textId="4B844220">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56DD8F50" w14:textId="15A10B6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23E6ADF8" w14:textId="53868AC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617F7724" w14:textId="4D23D32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51D667AB" w14:textId="6D26837C">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4D7E37F9" w14:textId="4584FEC3">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5B62A54D" w14:textId="14DB0169">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5D363088" w14:textId="7679718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71771090" w14:textId="64CCF59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2804BAEE" w14:textId="3AB0782F">
      <w:pPr>
        <w:spacing w:before="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3FA251B6" w14:textId="72D6B548">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1B2D9BBC" w14:textId="683D068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75D9F480" w14:textId="4AFBD6A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2404B427" w14:textId="16014182">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57341C90" w14:textId="28B9297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0AF34B42" w14:textId="42C1384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9ACFEB7" w:rsidP="7032660E" w:rsidRDefault="09ACFEB7" w14:paraId="6ACA8482" w14:textId="50B0DCD1">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7032660E" w:rsidRDefault="09ACFEB7" w14:paraId="22154108" w14:textId="7FDF6BE8">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p>
    <w:p w:rsidR="09ACFEB7" w:rsidP="33E8DFAB" w:rsidRDefault="09ACFEB7" w14:paraId="4AD543F2" w14:textId="527FC555">
      <w:pPr>
        <w:spacing w:before="240" w:beforeAutospacing="off" w:after="240" w:afterAutospacing="off"/>
        <w:rPr>
          <w:rFonts w:ascii="Aptos" w:hAnsi="Aptos" w:eastAsia="Aptos" w:cs="Aptos"/>
          <w:noProof w:val="0"/>
          <w:sz w:val="24"/>
          <w:szCs w:val="24"/>
          <w:lang w:val="en-US"/>
        </w:rPr>
      </w:pPr>
    </w:p>
    <w:p w:rsidR="09ACFEB7" w:rsidP="33E8DFAB" w:rsidRDefault="09ACFEB7" w14:paraId="31DBC155" w14:textId="715576CB">
      <w:pPr>
        <w:spacing w:before="240" w:beforeAutospacing="off" w:after="240" w:afterAutospacing="off"/>
        <w:rPr>
          <w:rFonts w:ascii="Aptos" w:hAnsi="Aptos" w:eastAsia="Aptos" w:cs="Aptos"/>
          <w:noProof w:val="0"/>
          <w:sz w:val="24"/>
          <w:szCs w:val="24"/>
          <w:lang w:val="en-US"/>
        </w:rPr>
      </w:pPr>
    </w:p>
    <w:p w:rsidR="09ACFEB7" w:rsidP="33E8DFAB" w:rsidRDefault="09ACFEB7" w14:paraId="29F0D7BF" w14:textId="2BC07E35">
      <w:pPr>
        <w:spacing w:before="240" w:beforeAutospacing="off" w:after="240" w:afterAutospacing="off"/>
        <w:rPr>
          <w:rFonts w:ascii="Aptos" w:hAnsi="Aptos" w:eastAsia="Aptos" w:cs="Aptos"/>
          <w:noProof w:val="0"/>
          <w:sz w:val="24"/>
          <w:szCs w:val="24"/>
          <w:lang w:val="en-US"/>
        </w:rPr>
      </w:pPr>
    </w:p>
    <w:p w:rsidR="09ACFEB7" w:rsidP="33E8DFAB" w:rsidRDefault="09ACFEB7" w14:paraId="2549EBB5" w14:textId="235F6337">
      <w:pPr>
        <w:spacing w:before="240" w:beforeAutospacing="off" w:after="240" w:afterAutospacing="off"/>
        <w:rPr>
          <w:rFonts w:ascii="Aptos" w:hAnsi="Aptos" w:eastAsia="Aptos" w:cs="Aptos"/>
          <w:noProof w:val="0"/>
          <w:sz w:val="24"/>
          <w:szCs w:val="24"/>
          <w:lang w:val="en-US"/>
        </w:rPr>
      </w:pPr>
    </w:p>
    <w:p w:rsidR="09ACFEB7" w:rsidP="33E8DFAB" w:rsidRDefault="09ACFEB7" w14:paraId="17DDF62F" w14:textId="7745437A">
      <w:pPr>
        <w:spacing w:before="240" w:beforeAutospacing="off" w:after="240" w:afterAutospacing="off"/>
        <w:rPr>
          <w:rFonts w:ascii="Aptos" w:hAnsi="Aptos" w:eastAsia="Aptos" w:cs="Aptos"/>
          <w:noProof w:val="0"/>
          <w:sz w:val="24"/>
          <w:szCs w:val="24"/>
          <w:lang w:val="en-US"/>
        </w:rPr>
      </w:pPr>
    </w:p>
    <w:p w:rsidR="306771C4" w:rsidP="306771C4" w:rsidRDefault="306771C4" w14:paraId="46C56441" w14:textId="7ED99B21">
      <w:pPr>
        <w:spacing w:before="240" w:beforeAutospacing="off" w:after="240" w:afterAutospacing="off"/>
        <w:rPr>
          <w:rFonts w:ascii="Aptos" w:hAnsi="Aptos" w:eastAsia="Aptos" w:cs="Aptos"/>
          <w:noProof w:val="0"/>
          <w:color w:val="FF0000"/>
          <w:sz w:val="24"/>
          <w:szCs w:val="24"/>
          <w:lang w:val="en-US"/>
        </w:rPr>
      </w:pPr>
    </w:p>
    <w:p w:rsidR="306771C4" w:rsidP="306771C4" w:rsidRDefault="306771C4" w14:paraId="3C2B20BE" w14:textId="7C13E0AD">
      <w:pPr>
        <w:spacing w:before="240" w:beforeAutospacing="off" w:after="240" w:afterAutospacing="off"/>
        <w:rPr>
          <w:rFonts w:ascii="Aptos" w:hAnsi="Aptos" w:eastAsia="Aptos" w:cs="Aptos"/>
          <w:noProof w:val="0"/>
          <w:sz w:val="24"/>
          <w:szCs w:val="24"/>
          <w:lang w:val="en-US"/>
        </w:rPr>
      </w:pPr>
    </w:p>
    <w:p w:rsidR="306771C4" w:rsidP="306771C4" w:rsidRDefault="306771C4" w14:paraId="44541723" w14:textId="126CDDE1">
      <w:pPr>
        <w:spacing w:before="240" w:beforeAutospacing="off" w:after="240" w:afterAutospacing="off"/>
        <w:rPr>
          <w:rFonts w:ascii="Aptos" w:hAnsi="Aptos" w:eastAsia="Aptos" w:cs="Aptos"/>
          <w:noProof w:val="0"/>
          <w:sz w:val="24"/>
          <w:szCs w:val="24"/>
          <w:lang w:val="en-US"/>
        </w:rPr>
      </w:pPr>
    </w:p>
    <w:p w:rsidR="306771C4" w:rsidP="306771C4" w:rsidRDefault="306771C4" w14:paraId="142F8C82" w14:textId="2703CB3A">
      <w:pPr>
        <w:spacing w:before="240" w:beforeAutospacing="off" w:after="240" w:afterAutospacing="off"/>
      </w:pPr>
    </w:p>
    <w:p w:rsidR="306771C4" w:rsidP="306771C4" w:rsidRDefault="306771C4" w14:paraId="702F1308" w14:textId="317BB62B">
      <w:pPr>
        <w:spacing w:before="240" w:beforeAutospacing="off" w:after="240" w:afterAutospacing="off"/>
      </w:pPr>
    </w:p>
    <w:p w:rsidR="306771C4" w:rsidP="306771C4" w:rsidRDefault="306771C4" w14:paraId="15F55EB3" w14:textId="4228D954">
      <w:pPr>
        <w:spacing w:before="240" w:beforeAutospacing="off" w:after="240" w:afterAutospacing="off"/>
      </w:pPr>
    </w:p>
    <w:p w:rsidR="306771C4" w:rsidP="306771C4" w:rsidRDefault="306771C4" w14:paraId="07D127C5" w14:textId="4136DEDE">
      <w:pPr>
        <w:spacing w:before="240" w:beforeAutospacing="off" w:after="240" w:afterAutospacing="off"/>
        <w:rPr>
          <w:rFonts w:ascii="Aptos" w:hAnsi="Aptos" w:eastAsia="Aptos" w:cs="Aptos"/>
          <w:noProof w:val="0"/>
          <w:sz w:val="24"/>
          <w:szCs w:val="24"/>
          <w:lang w:val="en-US"/>
        </w:rPr>
      </w:pPr>
    </w:p>
    <w:p w:rsidR="306771C4" w:rsidP="306771C4" w:rsidRDefault="306771C4" w14:paraId="23F44C9E" w14:textId="5A866958">
      <w:pPr>
        <w:spacing w:before="240" w:beforeAutospacing="off" w:after="240" w:afterAutospacing="off"/>
        <w:rPr>
          <w:rFonts w:ascii="Aptos" w:hAnsi="Aptos" w:eastAsia="Aptos" w:cs="Aptos"/>
          <w:noProof w:val="0"/>
          <w:sz w:val="24"/>
          <w:szCs w:val="24"/>
          <w:lang w:val="en-US"/>
        </w:rPr>
      </w:pPr>
    </w:p>
    <w:p w:rsidR="306771C4" w:rsidP="306771C4" w:rsidRDefault="306771C4" w14:paraId="658004A8" w14:textId="55970EEA">
      <w:pPr>
        <w:spacing w:before="240" w:beforeAutospacing="off" w:after="240" w:afterAutospacing="off"/>
        <w:rPr>
          <w:rFonts w:ascii="Aptos" w:hAnsi="Aptos" w:eastAsia="Aptos" w:cs="Aptos"/>
          <w:noProof w:val="0"/>
          <w:sz w:val="24"/>
          <w:szCs w:val="24"/>
          <w:lang w:val="en-US"/>
        </w:rPr>
      </w:pPr>
    </w:p>
    <w:p w:rsidR="306771C4" w:rsidP="306771C4" w:rsidRDefault="306771C4" w14:paraId="149049AB" w14:textId="3A98B399">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604C84C1" w14:textId="1CA5EE96">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2314A08F" w14:textId="53B8EE3A">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7FB821E1" w14:textId="33EBEDF7">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66EDE397" w14:textId="4E4E8CE3">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7C6CE5E8" w14:textId="4F8DC518">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211CA1EF" w14:textId="22AD9736">
      <w:pPr>
        <w:pStyle w:val="Normal"/>
        <w:spacing w:before="240" w:beforeAutospacing="off" w:after="240" w:afterAutospacing="off"/>
        <w:rPr>
          <w:rFonts w:ascii="Aptos" w:hAnsi="Aptos" w:eastAsia="Aptos" w:cs="Aptos"/>
          <w:noProof w:val="0"/>
          <w:sz w:val="24"/>
          <w:szCs w:val="24"/>
          <w:lang w:val="en-US"/>
        </w:rPr>
      </w:pPr>
    </w:p>
    <w:p w:rsidR="306771C4" w:rsidP="306771C4" w:rsidRDefault="306771C4" w14:paraId="6ADF1EBA" w14:textId="16216FED">
      <w:pPr>
        <w:pStyle w:val="Normal"/>
      </w:pPr>
    </w:p>
    <w:p w:rsidR="306771C4" w:rsidP="306771C4" w:rsidRDefault="306771C4" w14:paraId="25090EFF" w14:textId="73F36EC4">
      <w:pPr>
        <w:pStyle w:val="Normal"/>
      </w:pPr>
    </w:p>
    <w:p w:rsidR="306771C4" w:rsidP="306771C4" w:rsidRDefault="306771C4" w14:paraId="0509AF2E" w14:textId="34F67B5B">
      <w:pPr>
        <w:pStyle w:val="Normal"/>
      </w:pPr>
    </w:p>
    <w:p w:rsidR="0BB50F73" w:rsidP="306771C4" w:rsidRDefault="0BB50F73" w14:paraId="558D46B0" w14:textId="2A9B6BA0">
      <w:pPr>
        <w:pStyle w:val="Normal"/>
      </w:pPr>
      <w:r w:rsidR="0BB50F73">
        <w:rPr/>
        <w:t>Reference List:</w:t>
      </w:r>
    </w:p>
    <w:p w:rsidR="306771C4" w:rsidP="306771C4" w:rsidRDefault="306771C4" w14:paraId="179E2CD8" w14:textId="04B53A5D">
      <w:pPr>
        <w:spacing w:before="0" w:beforeAutospacing="off" w:after="0" w:afterAutospacing="off" w:line="480" w:lineRule="auto"/>
        <w:ind w:left="720" w:right="0" w:hanging="720"/>
        <w:rPr>
          <w:rFonts w:ascii="Calibri" w:hAnsi="Calibri" w:eastAsia="Calibri" w:cs="Calibri"/>
          <w:noProof w:val="0"/>
          <w:sz w:val="24"/>
          <w:szCs w:val="24"/>
          <w:lang w:val="en-US"/>
        </w:rPr>
      </w:pPr>
    </w:p>
    <w:p w:rsidR="249E3C82" w:rsidP="249E3C82" w:rsidRDefault="249E3C82" w14:paraId="36F563E2" w14:textId="21B77F17">
      <w:pPr>
        <w:spacing w:before="0" w:beforeAutospacing="off" w:after="0" w:afterAutospacing="off"/>
        <w:rPr>
          <w:rFonts w:ascii="Source Sans Pro" w:hAnsi="Source Sans Pro" w:eastAsia="Source Sans Pro" w:cs="Source Sans Pro"/>
          <w:noProof w:val="0"/>
          <w:sz w:val="22"/>
          <w:szCs w:val="22"/>
          <w:lang w:val="en-US"/>
        </w:rPr>
      </w:pPr>
    </w:p>
    <w:p w:rsidR="33E8DFAB" w:rsidP="33E8DFAB" w:rsidRDefault="33E8DFAB" w14:paraId="2FDECDA5" w14:textId="77B2DEDA">
      <w:pPr>
        <w:pStyle w:val="Normal"/>
        <w:spacing w:before="0" w:beforeAutospacing="off" w:after="0" w:afterAutospacing="off"/>
        <w:rPr>
          <w:rFonts w:ascii="Arial" w:hAnsi="Arial" w:eastAsia="Arial" w:cs="Arial"/>
          <w:noProof w:val="0"/>
          <w:sz w:val="19"/>
          <w:szCs w:val="19"/>
          <w:lang w:val="en-US"/>
        </w:rPr>
      </w:pPr>
    </w:p>
    <w:p w:rsidR="33E8DFAB" w:rsidP="52325135" w:rsidRDefault="33E8DFAB" w14:paraId="72253069" w14:textId="7F908F62">
      <w:pPr>
        <w:pStyle w:val="Normal"/>
        <w:spacing w:before="0" w:beforeAutospacing="off" w:after="0" w:afterAutospacing="off" w:line="480" w:lineRule="auto"/>
        <w:ind w:left="720" w:right="0" w:hanging="72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306771C4" w:rsidP="306771C4" w:rsidRDefault="306771C4" w14:paraId="5732F452" w14:textId="3FA5968F">
      <w:pPr>
        <w:pStyle w:val="Normal"/>
      </w:pPr>
    </w:p>
    <w:p w:rsidR="306771C4" w:rsidP="306771C4" w:rsidRDefault="306771C4" w14:paraId="12B07653" w14:textId="73F36EC4">
      <w:pPr>
        <w:pStyle w:val="Normal"/>
      </w:pPr>
    </w:p>
    <w:p w:rsidR="306771C4" w:rsidP="306771C4" w:rsidRDefault="306771C4" w14:paraId="5889E1C3" w14:textId="1D35062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kX7mHLCvsGsaU" int2:id="11ot5YvK">
      <int2:state int2:type="AugLoop_Text_Critique" int2:value="Rejected"/>
    </int2:textHash>
    <int2:textHash int2:hashCode="iFiO8B2K0LWx0y" int2:id="UTVdDE9u">
      <int2:state int2:type="AugLoop_Text_Critique" int2:value="Rejected"/>
    </int2:textHash>
    <int2:textHash int2:hashCode="WHwwE4sIV7EIIT" int2:id="OfJg62lO">
      <int2:state int2:type="AugLoop_Text_Critique" int2:value="Rejected"/>
    </int2:textHash>
    <int2:textHash int2:hashCode="NcgilPaF6t7hy4" int2:id="3xMyERyn">
      <int2:state int2:type="AugLoop_Text_Critique" int2:value="Rejected"/>
    </int2:textHash>
    <int2:bookmark int2:bookmarkName="_Int_K9McM1yN" int2:invalidationBookmarkName="" int2:hashCode="5mDvL5mIjOXn4o" int2:id="ADct149j">
      <int2:state int2:type="AugLoop_Text_Critique" int2:value="Rejected"/>
    </int2:bookmark>
    <int2:bookmark int2:bookmarkName="_Int_gYBAQltp" int2:invalidationBookmarkName="" int2:hashCode="zzmROS6Z9oWyqU" int2:id="lQopi1E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e438a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6E2D17"/>
    <w:rsid w:val="00332DC8"/>
    <w:rsid w:val="005DEC9A"/>
    <w:rsid w:val="00EB6AC5"/>
    <w:rsid w:val="010C0E69"/>
    <w:rsid w:val="024844C6"/>
    <w:rsid w:val="02DF2076"/>
    <w:rsid w:val="02E1AE81"/>
    <w:rsid w:val="03424AB0"/>
    <w:rsid w:val="0456E050"/>
    <w:rsid w:val="04C3609A"/>
    <w:rsid w:val="04E2167F"/>
    <w:rsid w:val="057798C7"/>
    <w:rsid w:val="0586A8FD"/>
    <w:rsid w:val="05A10E10"/>
    <w:rsid w:val="06432887"/>
    <w:rsid w:val="06AAEF77"/>
    <w:rsid w:val="06E35713"/>
    <w:rsid w:val="06EA010C"/>
    <w:rsid w:val="079D0666"/>
    <w:rsid w:val="08FEBE66"/>
    <w:rsid w:val="09903D80"/>
    <w:rsid w:val="09ACFEB7"/>
    <w:rsid w:val="0A3C25FC"/>
    <w:rsid w:val="0A707A65"/>
    <w:rsid w:val="0BB50F73"/>
    <w:rsid w:val="0D09B1ED"/>
    <w:rsid w:val="0DADC133"/>
    <w:rsid w:val="0DC4EC37"/>
    <w:rsid w:val="0E1DEC4A"/>
    <w:rsid w:val="0E2D8764"/>
    <w:rsid w:val="0E484B2A"/>
    <w:rsid w:val="0E529C5E"/>
    <w:rsid w:val="0E6F1B8E"/>
    <w:rsid w:val="0E7BE838"/>
    <w:rsid w:val="0E7F7BBB"/>
    <w:rsid w:val="0EA30E15"/>
    <w:rsid w:val="0F2C2F9C"/>
    <w:rsid w:val="0FE8B9E4"/>
    <w:rsid w:val="100276AD"/>
    <w:rsid w:val="1040D5B3"/>
    <w:rsid w:val="1084ED8D"/>
    <w:rsid w:val="10BA93DE"/>
    <w:rsid w:val="10EE76BB"/>
    <w:rsid w:val="11D05988"/>
    <w:rsid w:val="126E944F"/>
    <w:rsid w:val="12895F38"/>
    <w:rsid w:val="12DB09B9"/>
    <w:rsid w:val="1334D980"/>
    <w:rsid w:val="1351C460"/>
    <w:rsid w:val="1462E337"/>
    <w:rsid w:val="14784397"/>
    <w:rsid w:val="14F12FBD"/>
    <w:rsid w:val="15FC0848"/>
    <w:rsid w:val="174E51EF"/>
    <w:rsid w:val="17942B3A"/>
    <w:rsid w:val="17DFD527"/>
    <w:rsid w:val="17ECCCDB"/>
    <w:rsid w:val="1827BAAF"/>
    <w:rsid w:val="19B68CE2"/>
    <w:rsid w:val="1C82A8A2"/>
    <w:rsid w:val="1CA86AC5"/>
    <w:rsid w:val="1D194220"/>
    <w:rsid w:val="1DE1B8D4"/>
    <w:rsid w:val="1E040736"/>
    <w:rsid w:val="1E1FC369"/>
    <w:rsid w:val="1E308A19"/>
    <w:rsid w:val="1E73F372"/>
    <w:rsid w:val="1E78F3B9"/>
    <w:rsid w:val="1E78F885"/>
    <w:rsid w:val="1F25C938"/>
    <w:rsid w:val="20C8ADD8"/>
    <w:rsid w:val="20D7CD45"/>
    <w:rsid w:val="21B1BFE0"/>
    <w:rsid w:val="2298F8EA"/>
    <w:rsid w:val="23D04174"/>
    <w:rsid w:val="2482EDCC"/>
    <w:rsid w:val="249E3C82"/>
    <w:rsid w:val="24A2288A"/>
    <w:rsid w:val="24F7C6FC"/>
    <w:rsid w:val="2555888A"/>
    <w:rsid w:val="25BF3F9E"/>
    <w:rsid w:val="26D6A870"/>
    <w:rsid w:val="27537141"/>
    <w:rsid w:val="284715C9"/>
    <w:rsid w:val="28945E31"/>
    <w:rsid w:val="28CE7E42"/>
    <w:rsid w:val="28FA2B54"/>
    <w:rsid w:val="2968ACD2"/>
    <w:rsid w:val="297108B5"/>
    <w:rsid w:val="29A566F6"/>
    <w:rsid w:val="29B92340"/>
    <w:rsid w:val="29D15ED5"/>
    <w:rsid w:val="2A3C4E57"/>
    <w:rsid w:val="2B669D1B"/>
    <w:rsid w:val="2C7AFA19"/>
    <w:rsid w:val="2D5991AA"/>
    <w:rsid w:val="2D630C7B"/>
    <w:rsid w:val="2DB08B72"/>
    <w:rsid w:val="2E754491"/>
    <w:rsid w:val="2E8C9652"/>
    <w:rsid w:val="2E975236"/>
    <w:rsid w:val="2EA47888"/>
    <w:rsid w:val="2FAA5782"/>
    <w:rsid w:val="301FDD4D"/>
    <w:rsid w:val="306771C4"/>
    <w:rsid w:val="318253E2"/>
    <w:rsid w:val="334B0A08"/>
    <w:rsid w:val="336C0462"/>
    <w:rsid w:val="33BFC1E3"/>
    <w:rsid w:val="33E8DFAB"/>
    <w:rsid w:val="34AEC352"/>
    <w:rsid w:val="34D51705"/>
    <w:rsid w:val="34E359C3"/>
    <w:rsid w:val="34F59DDA"/>
    <w:rsid w:val="3526E96C"/>
    <w:rsid w:val="359236D7"/>
    <w:rsid w:val="35CBBEE9"/>
    <w:rsid w:val="38804B58"/>
    <w:rsid w:val="38C04614"/>
    <w:rsid w:val="3945003D"/>
    <w:rsid w:val="39928466"/>
    <w:rsid w:val="3A0FB868"/>
    <w:rsid w:val="3ABBCBC5"/>
    <w:rsid w:val="3AF9CD57"/>
    <w:rsid w:val="3B43FD73"/>
    <w:rsid w:val="3B550005"/>
    <w:rsid w:val="3BE52CC3"/>
    <w:rsid w:val="3C67A992"/>
    <w:rsid w:val="3CCC7785"/>
    <w:rsid w:val="3D3FC918"/>
    <w:rsid w:val="3DF5CE2E"/>
    <w:rsid w:val="3E3C7437"/>
    <w:rsid w:val="3E4D3DCE"/>
    <w:rsid w:val="3E579BE4"/>
    <w:rsid w:val="3ED2CC31"/>
    <w:rsid w:val="3F4753C9"/>
    <w:rsid w:val="3F829D9E"/>
    <w:rsid w:val="40630DD8"/>
    <w:rsid w:val="40BEA523"/>
    <w:rsid w:val="40E4FBCA"/>
    <w:rsid w:val="40F14BE2"/>
    <w:rsid w:val="412EAA21"/>
    <w:rsid w:val="42026C81"/>
    <w:rsid w:val="428777E1"/>
    <w:rsid w:val="429B06C6"/>
    <w:rsid w:val="42DFB345"/>
    <w:rsid w:val="42EE8549"/>
    <w:rsid w:val="4313A642"/>
    <w:rsid w:val="431FC90D"/>
    <w:rsid w:val="433341C4"/>
    <w:rsid w:val="435E3688"/>
    <w:rsid w:val="4400C0D2"/>
    <w:rsid w:val="4418722B"/>
    <w:rsid w:val="449821BE"/>
    <w:rsid w:val="45BEEA2D"/>
    <w:rsid w:val="46ED6E03"/>
    <w:rsid w:val="472D9104"/>
    <w:rsid w:val="4731920A"/>
    <w:rsid w:val="47387EA5"/>
    <w:rsid w:val="47419EE9"/>
    <w:rsid w:val="475EB766"/>
    <w:rsid w:val="481DE28F"/>
    <w:rsid w:val="48721213"/>
    <w:rsid w:val="48ADEC83"/>
    <w:rsid w:val="48B0A09F"/>
    <w:rsid w:val="4A156522"/>
    <w:rsid w:val="4A4C65DA"/>
    <w:rsid w:val="4ACB6D7D"/>
    <w:rsid w:val="4B6BCB4C"/>
    <w:rsid w:val="4BAEA05D"/>
    <w:rsid w:val="4D979802"/>
    <w:rsid w:val="4DBF834E"/>
    <w:rsid w:val="4E6A88BB"/>
    <w:rsid w:val="4F30BB71"/>
    <w:rsid w:val="4F97F1DE"/>
    <w:rsid w:val="4FA6F0F3"/>
    <w:rsid w:val="5057E107"/>
    <w:rsid w:val="507587ED"/>
    <w:rsid w:val="50903E48"/>
    <w:rsid w:val="51739DC7"/>
    <w:rsid w:val="517DDF91"/>
    <w:rsid w:val="52325135"/>
    <w:rsid w:val="528BD6F3"/>
    <w:rsid w:val="537FF15B"/>
    <w:rsid w:val="5433E563"/>
    <w:rsid w:val="5445AA4C"/>
    <w:rsid w:val="54C8E61C"/>
    <w:rsid w:val="54F136E0"/>
    <w:rsid w:val="55017B5B"/>
    <w:rsid w:val="550C9809"/>
    <w:rsid w:val="55509ED2"/>
    <w:rsid w:val="5570C5E6"/>
    <w:rsid w:val="55C8F25E"/>
    <w:rsid w:val="56680E50"/>
    <w:rsid w:val="569C9374"/>
    <w:rsid w:val="580CB340"/>
    <w:rsid w:val="59F87931"/>
    <w:rsid w:val="5A0F9B9C"/>
    <w:rsid w:val="5A15D8A2"/>
    <w:rsid w:val="5A194E91"/>
    <w:rsid w:val="5A7B1318"/>
    <w:rsid w:val="5AD5B6D1"/>
    <w:rsid w:val="5B03A865"/>
    <w:rsid w:val="5BBF9CA1"/>
    <w:rsid w:val="5C3D2558"/>
    <w:rsid w:val="5D443A62"/>
    <w:rsid w:val="5D689F7D"/>
    <w:rsid w:val="5F481317"/>
    <w:rsid w:val="5FBF0FD5"/>
    <w:rsid w:val="6057F691"/>
    <w:rsid w:val="6060A87A"/>
    <w:rsid w:val="60AFD290"/>
    <w:rsid w:val="611AC30B"/>
    <w:rsid w:val="6125ECD6"/>
    <w:rsid w:val="619ACDE9"/>
    <w:rsid w:val="61BA1717"/>
    <w:rsid w:val="62819D53"/>
    <w:rsid w:val="62CA0CFE"/>
    <w:rsid w:val="62D6522C"/>
    <w:rsid w:val="633BED49"/>
    <w:rsid w:val="63B19FE0"/>
    <w:rsid w:val="647915E7"/>
    <w:rsid w:val="64AE8994"/>
    <w:rsid w:val="6520D95F"/>
    <w:rsid w:val="655C3DA6"/>
    <w:rsid w:val="65765B5A"/>
    <w:rsid w:val="659459FC"/>
    <w:rsid w:val="65C34CE6"/>
    <w:rsid w:val="65E94399"/>
    <w:rsid w:val="66E998AD"/>
    <w:rsid w:val="670FECA8"/>
    <w:rsid w:val="6725ED0A"/>
    <w:rsid w:val="67763777"/>
    <w:rsid w:val="687F74F2"/>
    <w:rsid w:val="68C77199"/>
    <w:rsid w:val="6A66106E"/>
    <w:rsid w:val="6B519578"/>
    <w:rsid w:val="6C164FEE"/>
    <w:rsid w:val="6C5969D3"/>
    <w:rsid w:val="6C8DCC5B"/>
    <w:rsid w:val="6D6EB868"/>
    <w:rsid w:val="6DCEEA46"/>
    <w:rsid w:val="6F2B2E47"/>
    <w:rsid w:val="6F3103EF"/>
    <w:rsid w:val="6F4ADA7D"/>
    <w:rsid w:val="6F5441C4"/>
    <w:rsid w:val="7032660E"/>
    <w:rsid w:val="70624E27"/>
    <w:rsid w:val="70E24F85"/>
    <w:rsid w:val="716E2D17"/>
    <w:rsid w:val="71AA2286"/>
    <w:rsid w:val="71BA7205"/>
    <w:rsid w:val="728BEE86"/>
    <w:rsid w:val="72ACEB53"/>
    <w:rsid w:val="72E5E824"/>
    <w:rsid w:val="72F18DAD"/>
    <w:rsid w:val="738DE93D"/>
    <w:rsid w:val="73DFF4BF"/>
    <w:rsid w:val="73F638BD"/>
    <w:rsid w:val="74170857"/>
    <w:rsid w:val="741FC7EB"/>
    <w:rsid w:val="751B2CB8"/>
    <w:rsid w:val="7602AFCA"/>
    <w:rsid w:val="76350E3C"/>
    <w:rsid w:val="7645F8F7"/>
    <w:rsid w:val="771F08A7"/>
    <w:rsid w:val="788F8E3C"/>
    <w:rsid w:val="789A920F"/>
    <w:rsid w:val="78D0B376"/>
    <w:rsid w:val="78F13C50"/>
    <w:rsid w:val="792E0DD2"/>
    <w:rsid w:val="796250C5"/>
    <w:rsid w:val="7BC4898C"/>
    <w:rsid w:val="7BEB2FC0"/>
    <w:rsid w:val="7BF67B85"/>
    <w:rsid w:val="7D1724DA"/>
    <w:rsid w:val="7D54480E"/>
    <w:rsid w:val="7DA167D9"/>
    <w:rsid w:val="7E8C1D65"/>
    <w:rsid w:val="7F6BF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E2D17"/>
  <w15:chartTrackingRefBased/>
  <w15:docId w15:val="{107DDB93-90DB-44D8-9F3D-D2F32EC778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232513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23251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23251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232513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232513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232513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232513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232513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232513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232513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232513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232513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232513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232513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52325135"/>
    <w:pPr>
      <w:spacing/>
      <w:ind w:left="720"/>
      <w:contextualSpacing/>
    </w:pPr>
  </w:style>
  <w:style w:type="paragraph" w:styleId="TOC1">
    <w:uiPriority w:val="39"/>
    <w:name w:val="toc 1"/>
    <w:basedOn w:val="Normal"/>
    <w:next w:val="Normal"/>
    <w:unhideWhenUsed/>
    <w:rsid w:val="52325135"/>
    <w:pPr>
      <w:spacing w:after="100"/>
    </w:pPr>
  </w:style>
  <w:style w:type="paragraph" w:styleId="TOC2">
    <w:uiPriority w:val="39"/>
    <w:name w:val="toc 2"/>
    <w:basedOn w:val="Normal"/>
    <w:next w:val="Normal"/>
    <w:unhideWhenUsed/>
    <w:rsid w:val="52325135"/>
    <w:pPr>
      <w:spacing w:after="100"/>
      <w:ind w:left="220"/>
    </w:pPr>
  </w:style>
  <w:style w:type="paragraph" w:styleId="TOC3">
    <w:uiPriority w:val="39"/>
    <w:name w:val="toc 3"/>
    <w:basedOn w:val="Normal"/>
    <w:next w:val="Normal"/>
    <w:unhideWhenUsed/>
    <w:rsid w:val="52325135"/>
    <w:pPr>
      <w:spacing w:after="100"/>
      <w:ind w:left="440"/>
    </w:pPr>
  </w:style>
  <w:style w:type="paragraph" w:styleId="TOC4">
    <w:uiPriority w:val="39"/>
    <w:name w:val="toc 4"/>
    <w:basedOn w:val="Normal"/>
    <w:next w:val="Normal"/>
    <w:unhideWhenUsed/>
    <w:rsid w:val="52325135"/>
    <w:pPr>
      <w:spacing w:after="100"/>
      <w:ind w:left="660"/>
    </w:pPr>
  </w:style>
  <w:style w:type="paragraph" w:styleId="TOC5">
    <w:uiPriority w:val="39"/>
    <w:name w:val="toc 5"/>
    <w:basedOn w:val="Normal"/>
    <w:next w:val="Normal"/>
    <w:unhideWhenUsed/>
    <w:rsid w:val="52325135"/>
    <w:pPr>
      <w:spacing w:after="100"/>
      <w:ind w:left="880"/>
    </w:pPr>
  </w:style>
  <w:style w:type="paragraph" w:styleId="TOC6">
    <w:uiPriority w:val="39"/>
    <w:name w:val="toc 6"/>
    <w:basedOn w:val="Normal"/>
    <w:next w:val="Normal"/>
    <w:unhideWhenUsed/>
    <w:rsid w:val="52325135"/>
    <w:pPr>
      <w:spacing w:after="100"/>
      <w:ind w:left="1100"/>
    </w:pPr>
  </w:style>
  <w:style w:type="paragraph" w:styleId="TOC7">
    <w:uiPriority w:val="39"/>
    <w:name w:val="toc 7"/>
    <w:basedOn w:val="Normal"/>
    <w:next w:val="Normal"/>
    <w:unhideWhenUsed/>
    <w:rsid w:val="52325135"/>
    <w:pPr>
      <w:spacing w:after="100"/>
      <w:ind w:left="1320"/>
    </w:pPr>
  </w:style>
  <w:style w:type="paragraph" w:styleId="TOC8">
    <w:uiPriority w:val="39"/>
    <w:name w:val="toc 8"/>
    <w:basedOn w:val="Normal"/>
    <w:next w:val="Normal"/>
    <w:unhideWhenUsed/>
    <w:rsid w:val="52325135"/>
    <w:pPr>
      <w:spacing w:after="100"/>
      <w:ind w:left="1540"/>
    </w:pPr>
  </w:style>
  <w:style w:type="paragraph" w:styleId="TOC9">
    <w:uiPriority w:val="39"/>
    <w:name w:val="toc 9"/>
    <w:basedOn w:val="Normal"/>
    <w:next w:val="Normal"/>
    <w:unhideWhenUsed/>
    <w:rsid w:val="52325135"/>
    <w:pPr>
      <w:spacing w:after="100"/>
      <w:ind w:left="1760"/>
    </w:pPr>
  </w:style>
  <w:style w:type="paragraph" w:styleId="EndnoteText">
    <w:uiPriority w:val="99"/>
    <w:name w:val="endnote text"/>
    <w:basedOn w:val="Normal"/>
    <w:semiHidden/>
    <w:unhideWhenUsed/>
    <w:link w:val="EndnoteTextChar"/>
    <w:rsid w:val="52325135"/>
    <w:rPr>
      <w:sz w:val="20"/>
      <w:szCs w:val="20"/>
    </w:rPr>
    <w:pPr>
      <w:spacing w:after="0" w:line="240" w:lineRule="auto"/>
    </w:pPr>
  </w:style>
  <w:style w:type="paragraph" w:styleId="Footer">
    <w:uiPriority w:val="99"/>
    <w:name w:val="footer"/>
    <w:basedOn w:val="Normal"/>
    <w:unhideWhenUsed/>
    <w:link w:val="FooterChar"/>
    <w:rsid w:val="5232513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2325135"/>
    <w:rPr>
      <w:sz w:val="20"/>
      <w:szCs w:val="20"/>
    </w:rPr>
    <w:pPr>
      <w:spacing w:after="0" w:line="240" w:lineRule="auto"/>
    </w:pPr>
  </w:style>
  <w:style w:type="paragraph" w:styleId="Header">
    <w:uiPriority w:val="99"/>
    <w:name w:val="header"/>
    <w:basedOn w:val="Normal"/>
    <w:unhideWhenUsed/>
    <w:link w:val="HeaderChar"/>
    <w:rsid w:val="5232513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016b4e392ac4f63" /><Relationship Type="http://schemas.openxmlformats.org/officeDocument/2006/relationships/image" Target="/media/image2.png" Id="R8c0b21b3c09b47e1" /><Relationship Type="http://schemas.openxmlformats.org/officeDocument/2006/relationships/hyperlink" Target="https://figshare.utas.edu.au/articles/journal_contribution/Policing_vulnerable_people/23036783/1?file=40779446" TargetMode="External" Id="Rcb73780d48ab4b07" /><Relationship Type="http://schemas.openxmlformats.org/officeDocument/2006/relationships/hyperlink" Target="https://doi.org/10.1016/j.ijdrr.2019.101394.(Accessed" TargetMode="External" Id="R2c2b9aac1fa44f75" /><Relationship Type="http://schemas.openxmlformats.org/officeDocument/2006/relationships/hyperlink" Target="https://www.college.police.uk/guidance/vulnerability-related-risks/introduction-vulnerability-related-risk" TargetMode="External" Id="R8a2d485abc2b47cf" /><Relationship Type="http://schemas.openxmlformats.org/officeDocument/2006/relationships/hyperlink" Target="https://www.college.police.uk/app/mental-health/mental-vulnerability-and-illness" TargetMode="External" Id="R885fe8efb9db4d1b" /><Relationship Type="http://schemas.openxmlformats.org/officeDocument/2006/relationships/hyperlink" Target="https://www.college.police.uk/app/mental-health/mental-vulnerability-and-illness" TargetMode="External" Id="R7653a0b9f76d4c66" /><Relationship Type="http://schemas.openxmlformats.org/officeDocument/2006/relationships/hyperlink" Target="https://doi.org/10.1093/jicj/mqv079" TargetMode="External" Id="Rfc36a6239f1840c5" /><Relationship Type="http://schemas.openxmlformats.org/officeDocument/2006/relationships/hyperlink" Target="https://www.emerald.com/insight/content/doi/10.1108/978-1-78756-911-920191004/full/html" TargetMode="External" Id="Rb731e87fbf5b4877" /><Relationship Type="http://schemas.openxmlformats.org/officeDocument/2006/relationships/hyperlink" Target="https://doi.org/10.1145/3173574.3173683" TargetMode="External" Id="R2daa081eb4ba414a" /><Relationship Type="http://schemas.openxmlformats.org/officeDocument/2006/relationships/hyperlink" Target="https://doi.org/10.3390/ijerph17041306" TargetMode="External" Id="R8238021d968d403f" /><Relationship Type="http://schemas.openxmlformats.org/officeDocument/2006/relationships/hyperlink" Target="https://doi.org/10.1177/002214650404500101" TargetMode="External" Id="R8d700e9b02c04b6e" /><Relationship Type="http://schemas.openxmlformats.org/officeDocument/2006/relationships/hyperlink" Target="https://doi.org/10.1080/10439463.2012.671826.(Accessed" TargetMode="External" Id="R71e55b11d3484e06" /><Relationship Type="http://schemas.openxmlformats.org/officeDocument/2006/relationships/hyperlink" Target="https://doi.org/10.1007/978-1-4614-6780-9" TargetMode="External" Id="R737727615bd047b3" /><Relationship Type="http://schemas.openxmlformats.org/officeDocument/2006/relationships/hyperlink" Target="https://doi.org/10.1111/cfs.12821.(Accessed" TargetMode="External" Id="Rd4184a82abd64079" /><Relationship Type="http://schemas.openxmlformats.org/officeDocument/2006/relationships/hyperlink" Target="https://doi.org/10.2307/2137170" TargetMode="External" Id="R4abbfa4d52434a06" /><Relationship Type="http://schemas.openxmlformats.org/officeDocument/2006/relationships/hyperlink" Target="https://www.tandfonline.com/doi/full/10.1080/13623699.2022.2156232" TargetMode="External" Id="R977c56889e634ca1" /><Relationship Type="http://schemas.openxmlformats.org/officeDocument/2006/relationships/hyperlink" Target="https://www.crimrxiv.com/pub/k7ilnmd0/release/1" TargetMode="External" Id="R5e4030d14f574600" /><Relationship Type="http://schemas.microsoft.com/office/2020/10/relationships/intelligence" Target="intelligence2.xml" Id="Rd1625671fa9f4b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2024-10-13T08:34:26.2148519Z</dcterms:created>
  <dcterms:modified xsi:type="dcterms:W3CDTF">2024-11-07T18:49:34.0851434Z</dcterms:modified>
  <dc:creator>Natalia Maria Konciak (2238990)</dc:creator>
  <lastModifiedBy>Natalia Maria Konciak (2238990)</lastModifiedBy>
</coreProperties>
</file>