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0D6FA" w14:textId="4CA437ED" w:rsidR="006F016C" w:rsidRPr="006F016C" w:rsidRDefault="006F016C" w:rsidP="006F016C">
      <w:pPr>
        <w:jc w:val="center"/>
        <w:rPr>
          <w:sz w:val="40"/>
          <w:szCs w:val="40"/>
        </w:rPr>
      </w:pPr>
      <w:r w:rsidRPr="006F016C">
        <w:rPr>
          <w:sz w:val="40"/>
          <w:szCs w:val="40"/>
        </w:rPr>
        <w:t>Decision Tree and Random Forest Algorithms</w:t>
      </w:r>
    </w:p>
    <w:p w14:paraId="2F7CEE65" w14:textId="77777777" w:rsidR="006F016C" w:rsidRPr="006F016C" w:rsidRDefault="006F016C" w:rsidP="006F016C">
      <w:pPr>
        <w:jc w:val="both"/>
        <w:rPr>
          <w:rFonts w:ascii="Arial" w:hAnsi="Arial" w:cs="Arial"/>
        </w:rPr>
      </w:pPr>
    </w:p>
    <w:p w14:paraId="1C2F62A1" w14:textId="49550A79" w:rsidR="006F016C" w:rsidRPr="006F016C" w:rsidRDefault="006F016C" w:rsidP="006F016C">
      <w:pPr>
        <w:jc w:val="both"/>
        <w:rPr>
          <w:rFonts w:ascii="Arial" w:hAnsi="Arial" w:cs="Arial"/>
        </w:rPr>
      </w:pPr>
      <w:r w:rsidRPr="006F016C">
        <w:rPr>
          <w:rFonts w:ascii="Arial" w:hAnsi="Arial" w:cs="Arial"/>
        </w:rPr>
        <w:t>There are different ways to solve classification and regression problems. Decision Tree and Random Forest are well known supervised learning methods. Both systems are decision trees, but they differ significantly in the way they process input and provide predictions.</w:t>
      </w:r>
    </w:p>
    <w:p w14:paraId="2DAE1DA6" w14:textId="0D7B2C09" w:rsidR="006F016C" w:rsidRPr="006F016C" w:rsidRDefault="006F016C" w:rsidP="006F016C">
      <w:pPr>
        <w:jc w:val="both"/>
        <w:rPr>
          <w:rFonts w:ascii="Arial" w:hAnsi="Arial" w:cs="Arial"/>
        </w:rPr>
      </w:pPr>
      <w:r w:rsidRPr="006F016C">
        <w:rPr>
          <w:rFonts w:ascii="Arial" w:hAnsi="Arial" w:cs="Arial"/>
        </w:rPr>
        <w:t>Decision Trees generate a collection of decision rules by splitting the data into multiple groups based on the relevant attributes. The method of dataset splitting is repeated by the model to reach the final outcome. It is attractive for its simplicity, the final product is easy to picture and admire without requiring a lot of technical understanding [1]. This is particularly beneficial when the explanation for a prediction is as important as the prediction itself.</w:t>
      </w:r>
    </w:p>
    <w:p w14:paraId="1A9275DF" w14:textId="5E7F8D16" w:rsidR="006F016C" w:rsidRPr="006F016C" w:rsidRDefault="006F016C" w:rsidP="006F016C">
      <w:pPr>
        <w:jc w:val="both"/>
        <w:rPr>
          <w:rFonts w:ascii="Arial" w:hAnsi="Arial" w:cs="Arial"/>
        </w:rPr>
      </w:pPr>
      <w:r w:rsidRPr="006F016C">
        <w:rPr>
          <w:rFonts w:ascii="Arial" w:hAnsi="Arial" w:cs="Arial"/>
        </w:rPr>
        <w:t>However, the Decision Tree suffers from the problem of over fitting. When the model is over-fit to the training data, it loses its capacity to predict new observations.  Furthermore, the model is susceptible to instability where slight changes in the data set can produce very diverse tree architectures [2].</w:t>
      </w:r>
    </w:p>
    <w:p w14:paraId="1BD8AE67" w14:textId="5E54699F" w:rsidR="006F016C" w:rsidRPr="006F016C" w:rsidRDefault="006F016C" w:rsidP="006F016C">
      <w:pPr>
        <w:jc w:val="both"/>
        <w:rPr>
          <w:rFonts w:ascii="Arial" w:hAnsi="Arial" w:cs="Arial"/>
        </w:rPr>
      </w:pPr>
      <w:r w:rsidRPr="006F016C">
        <w:rPr>
          <w:rFonts w:ascii="Arial" w:hAnsi="Arial" w:cs="Arial"/>
        </w:rPr>
        <w:t>Random Forest employs ensemble learning to solve these problems. It does not build a tree, but builds multiple trees using randomly generated data and features. Finally, the predictions of all trees are averaged to produce the final results [3]. The proposed technique can reduce the prediction errors and improve the generalization ability of the model on different datasets.</w:t>
      </w:r>
    </w:p>
    <w:p w14:paraId="219CD35F" w14:textId="77777777" w:rsidR="006F016C" w:rsidRPr="006F016C" w:rsidRDefault="006F016C" w:rsidP="006F016C">
      <w:pPr>
        <w:jc w:val="both"/>
        <w:rPr>
          <w:rFonts w:ascii="Arial" w:hAnsi="Arial" w:cs="Arial"/>
        </w:rPr>
      </w:pPr>
    </w:p>
    <w:p w14:paraId="2F6740C6" w14:textId="62A76FAC" w:rsidR="006F016C" w:rsidRPr="006F016C" w:rsidRDefault="006F016C" w:rsidP="006F016C">
      <w:pPr>
        <w:jc w:val="both"/>
        <w:rPr>
          <w:rFonts w:ascii="Arial" w:hAnsi="Arial" w:cs="Arial"/>
        </w:rPr>
      </w:pPr>
      <w:r w:rsidRPr="006F016C">
        <w:rPr>
          <w:rFonts w:ascii="Arial" w:hAnsi="Arial" w:cs="Arial"/>
        </w:rPr>
        <w:t>Single Decision Trees are generally less accurate and robust than Random Forest, particularly for complicated or high dimensional datasets [4]. However, the model has more requirement on computer resource and less transparency, which makes it more difficult to explain specific projections [5].</w:t>
      </w:r>
    </w:p>
    <w:p w14:paraId="6C7BBACE" w14:textId="77777777" w:rsidR="006F016C" w:rsidRPr="006F016C" w:rsidRDefault="006F016C" w:rsidP="006F016C">
      <w:pPr>
        <w:jc w:val="both"/>
        <w:rPr>
          <w:rFonts w:ascii="Arial" w:hAnsi="Arial" w:cs="Arial"/>
          <w:b/>
          <w:bCs/>
        </w:rPr>
      </w:pPr>
    </w:p>
    <w:p w14:paraId="430CC376" w14:textId="6DD055E2" w:rsidR="006F016C" w:rsidRPr="006F016C" w:rsidRDefault="006F016C" w:rsidP="006F016C">
      <w:pPr>
        <w:rPr>
          <w:rFonts w:ascii="Calibri" w:hAnsi="Calibri" w:cs="Calibri"/>
          <w:b/>
          <w:bCs/>
        </w:rPr>
      </w:pPr>
      <w:r w:rsidRPr="006F016C">
        <w:rPr>
          <w:rFonts w:ascii="Calibri" w:hAnsi="Calibri" w:cs="Calibri"/>
          <w:b/>
          <w:bCs/>
        </w:rPr>
        <w:t>References</w:t>
      </w:r>
    </w:p>
    <w:p w14:paraId="5BB35F2E" w14:textId="77777777" w:rsidR="006F016C" w:rsidRPr="006F016C" w:rsidRDefault="006F016C" w:rsidP="006F016C">
      <w:pPr>
        <w:rPr>
          <w:rFonts w:ascii="Calibri" w:hAnsi="Calibri" w:cs="Calibri"/>
          <w:sz w:val="20"/>
          <w:szCs w:val="20"/>
        </w:rPr>
      </w:pPr>
      <w:r w:rsidRPr="006F016C">
        <w:rPr>
          <w:rFonts w:ascii="Calibri" w:hAnsi="Calibri" w:cs="Calibri"/>
          <w:sz w:val="20"/>
          <w:szCs w:val="20"/>
        </w:rPr>
        <w:t xml:space="preserve">[1] E. </w:t>
      </w:r>
      <w:proofErr w:type="spellStart"/>
      <w:r w:rsidRPr="006F016C">
        <w:rPr>
          <w:rFonts w:ascii="Calibri" w:hAnsi="Calibri" w:cs="Calibri"/>
          <w:sz w:val="20"/>
          <w:szCs w:val="20"/>
        </w:rPr>
        <w:t>Alpaydin</w:t>
      </w:r>
      <w:proofErr w:type="spellEnd"/>
      <w:r w:rsidRPr="006F016C">
        <w:rPr>
          <w:rFonts w:ascii="Calibri" w:hAnsi="Calibri" w:cs="Calibri"/>
          <w:sz w:val="20"/>
          <w:szCs w:val="20"/>
        </w:rPr>
        <w:t xml:space="preserve">, </w:t>
      </w:r>
      <w:r w:rsidRPr="006F016C">
        <w:rPr>
          <w:rFonts w:ascii="Calibri" w:hAnsi="Calibri" w:cs="Calibri"/>
          <w:i/>
          <w:iCs/>
          <w:sz w:val="20"/>
          <w:szCs w:val="20"/>
        </w:rPr>
        <w:t>Introduction to Machine Learning</w:t>
      </w:r>
      <w:r w:rsidRPr="006F016C">
        <w:rPr>
          <w:rFonts w:ascii="Calibri" w:hAnsi="Calibri" w:cs="Calibri"/>
          <w:sz w:val="20"/>
          <w:szCs w:val="20"/>
        </w:rPr>
        <w:t>, 4th ed. Cambridge, MA, USA: MIT Press, 2020.</w:t>
      </w:r>
    </w:p>
    <w:p w14:paraId="0B575556" w14:textId="77777777" w:rsidR="006F016C" w:rsidRPr="006F016C" w:rsidRDefault="006F016C" w:rsidP="006F016C">
      <w:pPr>
        <w:rPr>
          <w:rFonts w:ascii="Calibri" w:hAnsi="Calibri" w:cs="Calibri"/>
          <w:sz w:val="20"/>
          <w:szCs w:val="20"/>
        </w:rPr>
      </w:pPr>
      <w:r w:rsidRPr="006F016C">
        <w:rPr>
          <w:rFonts w:ascii="Calibri" w:hAnsi="Calibri" w:cs="Calibri"/>
          <w:sz w:val="20"/>
          <w:szCs w:val="20"/>
        </w:rPr>
        <w:t xml:space="preserve">[2] C. M. Bishop and H. Bishop, </w:t>
      </w:r>
      <w:r w:rsidRPr="006F016C">
        <w:rPr>
          <w:rFonts w:ascii="Calibri" w:hAnsi="Calibri" w:cs="Calibri"/>
          <w:i/>
          <w:iCs/>
          <w:sz w:val="20"/>
          <w:szCs w:val="20"/>
        </w:rPr>
        <w:t>Deep Learning: Foundations and Concepts</w:t>
      </w:r>
      <w:r w:rsidRPr="006F016C">
        <w:rPr>
          <w:rFonts w:ascii="Calibri" w:hAnsi="Calibri" w:cs="Calibri"/>
          <w:sz w:val="20"/>
          <w:szCs w:val="20"/>
        </w:rPr>
        <w:t>. Cham, Switzerland: Springer, 2024.</w:t>
      </w:r>
    </w:p>
    <w:p w14:paraId="30716DC1" w14:textId="77777777" w:rsidR="006F016C" w:rsidRPr="006F016C" w:rsidRDefault="006F016C" w:rsidP="006F016C">
      <w:pPr>
        <w:rPr>
          <w:rFonts w:ascii="Calibri" w:hAnsi="Calibri" w:cs="Calibri"/>
          <w:sz w:val="20"/>
          <w:szCs w:val="20"/>
        </w:rPr>
      </w:pPr>
      <w:r w:rsidRPr="006F016C">
        <w:rPr>
          <w:rFonts w:ascii="Calibri" w:hAnsi="Calibri" w:cs="Calibri"/>
          <w:sz w:val="20"/>
          <w:szCs w:val="20"/>
        </w:rPr>
        <w:t xml:space="preserve">[3] G. James, D. Witten, T. Hastie, and R. </w:t>
      </w:r>
      <w:proofErr w:type="spellStart"/>
      <w:r w:rsidRPr="006F016C">
        <w:rPr>
          <w:rFonts w:ascii="Calibri" w:hAnsi="Calibri" w:cs="Calibri"/>
          <w:sz w:val="20"/>
          <w:szCs w:val="20"/>
        </w:rPr>
        <w:t>Tibshirani</w:t>
      </w:r>
      <w:proofErr w:type="spellEnd"/>
      <w:r w:rsidRPr="006F016C">
        <w:rPr>
          <w:rFonts w:ascii="Calibri" w:hAnsi="Calibri" w:cs="Calibri"/>
          <w:sz w:val="20"/>
          <w:szCs w:val="20"/>
        </w:rPr>
        <w:t xml:space="preserve">, </w:t>
      </w:r>
      <w:r w:rsidRPr="006F016C">
        <w:rPr>
          <w:rFonts w:ascii="Calibri" w:hAnsi="Calibri" w:cs="Calibri"/>
          <w:i/>
          <w:iCs/>
          <w:sz w:val="20"/>
          <w:szCs w:val="20"/>
        </w:rPr>
        <w:t>An Introduction to Statistical Learning with Applications in Python</w:t>
      </w:r>
      <w:r w:rsidRPr="006F016C">
        <w:rPr>
          <w:rFonts w:ascii="Calibri" w:hAnsi="Calibri" w:cs="Calibri"/>
          <w:sz w:val="20"/>
          <w:szCs w:val="20"/>
        </w:rPr>
        <w:t>. New York, NY, USA: Springer, 2023.</w:t>
      </w:r>
    </w:p>
    <w:p w14:paraId="0A8C50B8" w14:textId="77777777" w:rsidR="006F016C" w:rsidRPr="006F016C" w:rsidRDefault="006F016C" w:rsidP="006F016C">
      <w:pPr>
        <w:rPr>
          <w:rFonts w:ascii="Calibri" w:hAnsi="Calibri" w:cs="Calibri"/>
          <w:sz w:val="20"/>
          <w:szCs w:val="20"/>
        </w:rPr>
      </w:pPr>
      <w:r w:rsidRPr="006F016C">
        <w:rPr>
          <w:rFonts w:ascii="Calibri" w:hAnsi="Calibri" w:cs="Calibri"/>
          <w:sz w:val="20"/>
          <w:szCs w:val="20"/>
        </w:rPr>
        <w:t xml:space="preserve">[4] J. H. Friedman, T. Hastie, and R. </w:t>
      </w:r>
      <w:proofErr w:type="spellStart"/>
      <w:r w:rsidRPr="006F016C">
        <w:rPr>
          <w:rFonts w:ascii="Calibri" w:hAnsi="Calibri" w:cs="Calibri"/>
          <w:sz w:val="20"/>
          <w:szCs w:val="20"/>
        </w:rPr>
        <w:t>Tibshirani</w:t>
      </w:r>
      <w:proofErr w:type="spellEnd"/>
      <w:r w:rsidRPr="006F016C">
        <w:rPr>
          <w:rFonts w:ascii="Calibri" w:hAnsi="Calibri" w:cs="Calibri"/>
          <w:sz w:val="20"/>
          <w:szCs w:val="20"/>
        </w:rPr>
        <w:t xml:space="preserve">, </w:t>
      </w:r>
      <w:r w:rsidRPr="006F016C">
        <w:rPr>
          <w:rFonts w:ascii="Calibri" w:hAnsi="Calibri" w:cs="Calibri"/>
          <w:i/>
          <w:iCs/>
          <w:sz w:val="20"/>
          <w:szCs w:val="20"/>
        </w:rPr>
        <w:t>The Elements of Statistical Learning</w:t>
      </w:r>
      <w:r w:rsidRPr="006F016C">
        <w:rPr>
          <w:rFonts w:ascii="Calibri" w:hAnsi="Calibri" w:cs="Calibri"/>
          <w:sz w:val="20"/>
          <w:szCs w:val="20"/>
        </w:rPr>
        <w:t>, 2nd ed. New York, NY, USA: Springer, 2021 reprint edition.</w:t>
      </w:r>
    </w:p>
    <w:p w14:paraId="7BD2450A" w14:textId="1A5E5FBA" w:rsidR="00F069A8" w:rsidRPr="006F016C" w:rsidRDefault="006F016C">
      <w:pPr>
        <w:rPr>
          <w:rFonts w:ascii="Calibri" w:hAnsi="Calibri" w:cs="Calibri"/>
          <w:sz w:val="20"/>
          <w:szCs w:val="20"/>
        </w:rPr>
      </w:pPr>
      <w:r w:rsidRPr="006F016C">
        <w:rPr>
          <w:rFonts w:ascii="Calibri" w:hAnsi="Calibri" w:cs="Calibri"/>
          <w:sz w:val="20"/>
          <w:szCs w:val="20"/>
        </w:rPr>
        <w:t xml:space="preserve">[5] A. Cutler, D. R. Cutler, and J. R. Stevens, “Random Forests,” in </w:t>
      </w:r>
      <w:r w:rsidRPr="006F016C">
        <w:rPr>
          <w:rFonts w:ascii="Calibri" w:hAnsi="Calibri" w:cs="Calibri"/>
          <w:i/>
          <w:iCs/>
          <w:sz w:val="20"/>
          <w:szCs w:val="20"/>
        </w:rPr>
        <w:t>Ensemble Machine Learning</w:t>
      </w:r>
      <w:r w:rsidRPr="006F016C">
        <w:rPr>
          <w:rFonts w:ascii="Calibri" w:hAnsi="Calibri" w:cs="Calibri"/>
          <w:sz w:val="20"/>
          <w:szCs w:val="20"/>
        </w:rPr>
        <w:t>, New York, NY, USA: Springer, 2023, pp. 157–175.</w:t>
      </w:r>
    </w:p>
    <w:sectPr w:rsidR="00F069A8" w:rsidRPr="006F0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16C"/>
    <w:rsid w:val="006F016C"/>
    <w:rsid w:val="00861D7F"/>
    <w:rsid w:val="00967080"/>
    <w:rsid w:val="00F069A8"/>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F9E48"/>
  <w15:chartTrackingRefBased/>
  <w15:docId w15:val="{66340E9A-9DCA-479C-A079-A2ED5ADFB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IN" w:eastAsia="zh-CN"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016C"/>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6F016C"/>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6F016C"/>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6F01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01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01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01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01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01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16C"/>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6F016C"/>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6F016C"/>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6F01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01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01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01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01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016C"/>
    <w:rPr>
      <w:rFonts w:eastAsiaTheme="majorEastAsia" w:cstheme="majorBidi"/>
      <w:color w:val="272727" w:themeColor="text1" w:themeTint="D8"/>
    </w:rPr>
  </w:style>
  <w:style w:type="paragraph" w:styleId="Title">
    <w:name w:val="Title"/>
    <w:basedOn w:val="Normal"/>
    <w:next w:val="Normal"/>
    <w:link w:val="TitleChar"/>
    <w:uiPriority w:val="10"/>
    <w:qFormat/>
    <w:rsid w:val="006F016C"/>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F016C"/>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F016C"/>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F016C"/>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F016C"/>
    <w:pPr>
      <w:spacing w:before="160"/>
      <w:jc w:val="center"/>
    </w:pPr>
    <w:rPr>
      <w:i/>
      <w:iCs/>
      <w:color w:val="404040" w:themeColor="text1" w:themeTint="BF"/>
    </w:rPr>
  </w:style>
  <w:style w:type="character" w:customStyle="1" w:styleId="QuoteChar">
    <w:name w:val="Quote Char"/>
    <w:basedOn w:val="DefaultParagraphFont"/>
    <w:link w:val="Quote"/>
    <w:uiPriority w:val="29"/>
    <w:rsid w:val="006F016C"/>
    <w:rPr>
      <w:i/>
      <w:iCs/>
      <w:color w:val="404040" w:themeColor="text1" w:themeTint="BF"/>
    </w:rPr>
  </w:style>
  <w:style w:type="paragraph" w:styleId="ListParagraph">
    <w:name w:val="List Paragraph"/>
    <w:basedOn w:val="Normal"/>
    <w:uiPriority w:val="34"/>
    <w:qFormat/>
    <w:rsid w:val="006F016C"/>
    <w:pPr>
      <w:ind w:left="720"/>
      <w:contextualSpacing/>
    </w:pPr>
  </w:style>
  <w:style w:type="character" w:styleId="IntenseEmphasis">
    <w:name w:val="Intense Emphasis"/>
    <w:basedOn w:val="DefaultParagraphFont"/>
    <w:uiPriority w:val="21"/>
    <w:qFormat/>
    <w:rsid w:val="006F016C"/>
    <w:rPr>
      <w:i/>
      <w:iCs/>
      <w:color w:val="0F4761" w:themeColor="accent1" w:themeShade="BF"/>
    </w:rPr>
  </w:style>
  <w:style w:type="paragraph" w:styleId="IntenseQuote">
    <w:name w:val="Intense Quote"/>
    <w:basedOn w:val="Normal"/>
    <w:next w:val="Normal"/>
    <w:link w:val="IntenseQuoteChar"/>
    <w:uiPriority w:val="30"/>
    <w:qFormat/>
    <w:rsid w:val="006F01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016C"/>
    <w:rPr>
      <w:i/>
      <w:iCs/>
      <w:color w:val="0F4761" w:themeColor="accent1" w:themeShade="BF"/>
    </w:rPr>
  </w:style>
  <w:style w:type="character" w:styleId="IntenseReference">
    <w:name w:val="Intense Reference"/>
    <w:basedOn w:val="DefaultParagraphFont"/>
    <w:uiPriority w:val="32"/>
    <w:qFormat/>
    <w:rsid w:val="006F016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362</Words>
  <Characters>2068</Characters>
  <Application>Microsoft Office Word</Application>
  <DocSecurity>0</DocSecurity>
  <Lines>17</Lines>
  <Paragraphs>4</Paragraphs>
  <ScaleCrop>false</ScaleCrop>
  <Company/>
  <LinksUpToDate>false</LinksUpToDate>
  <CharactersWithSpaces>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Gaurav Bansod</dc:creator>
  <cp:keywords/>
  <dc:description/>
  <cp:lastModifiedBy>Gaurav Bansod</cp:lastModifiedBy>
  <cp:revision>1</cp:revision>
  <dcterms:created xsi:type="dcterms:W3CDTF">2026-06-02T10:01:00Z</dcterms:created>
  <dcterms:modified xsi:type="dcterms:W3CDTF">2026-06-02T10:10:00Z</dcterms:modified>
</cp:coreProperties>
</file>