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3255" w:rsidRDefault="006C3255" w:rsidP="006C3255">
      <w:pPr>
        <w:jc w:val="center"/>
        <w:rPr>
          <w:rFonts w:eastAsia="Times New Roman"/>
          <w:lang w:eastAsia="en-GB"/>
        </w:rPr>
      </w:pPr>
      <w:r>
        <w:rPr>
          <w:noProof/>
          <w:lang w:eastAsia="en-GB"/>
        </w:rPr>
        <w:drawing>
          <wp:inline distT="0" distB="0" distL="0" distR="0" wp14:anchorId="494A7D99" wp14:editId="49C12C8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6C3255" w:rsidRPr="00065418" w:rsidRDefault="006C3255" w:rsidP="006C3255">
      <w:pPr>
        <w:jc w:val="center"/>
        <w:rPr>
          <w:rFonts w:cs="Times New Roman"/>
          <w:b/>
          <w:bCs/>
        </w:rPr>
      </w:pPr>
      <w:r w:rsidRPr="00065418">
        <w:rPr>
          <w:rFonts w:cs="Times New Roman"/>
          <w:b/>
          <w:bCs/>
        </w:rPr>
        <w:t xml:space="preserve">Student Name: Mohammad </w:t>
      </w:r>
      <w:proofErr w:type="spellStart"/>
      <w:r w:rsidRPr="00065418">
        <w:rPr>
          <w:rFonts w:cs="Times New Roman"/>
          <w:b/>
          <w:bCs/>
        </w:rPr>
        <w:t>Umer</w:t>
      </w:r>
      <w:proofErr w:type="spellEnd"/>
      <w:r w:rsidRPr="00065418">
        <w:rPr>
          <w:rFonts w:cs="Times New Roman"/>
          <w:b/>
          <w:bCs/>
        </w:rPr>
        <w:t xml:space="preserve"> khan</w:t>
      </w:r>
    </w:p>
    <w:p w:rsidR="006C3255" w:rsidRPr="00065418" w:rsidRDefault="006C3255" w:rsidP="006C3255">
      <w:pPr>
        <w:jc w:val="center"/>
        <w:rPr>
          <w:rFonts w:cs="Times New Roman"/>
          <w:b/>
          <w:bCs/>
        </w:rPr>
      </w:pPr>
    </w:p>
    <w:p w:rsidR="006C3255" w:rsidRPr="00065418" w:rsidRDefault="006C3255" w:rsidP="006C3255">
      <w:pPr>
        <w:jc w:val="center"/>
        <w:rPr>
          <w:rFonts w:cs="Times New Roman"/>
          <w:b/>
          <w:bCs/>
        </w:rPr>
      </w:pPr>
      <w:r w:rsidRPr="00065418">
        <w:rPr>
          <w:rFonts w:cs="Times New Roman"/>
          <w:b/>
          <w:bCs/>
        </w:rPr>
        <w:t>Student ID: 2504525</w:t>
      </w:r>
    </w:p>
    <w:p w:rsidR="006C3255" w:rsidRPr="00065418" w:rsidRDefault="006C3255" w:rsidP="006C3255">
      <w:pPr>
        <w:rPr>
          <w:rFonts w:cs="Times New Roman"/>
        </w:rPr>
      </w:pPr>
    </w:p>
    <w:p w:rsidR="006C3255" w:rsidRPr="00065418" w:rsidRDefault="006C3255" w:rsidP="006C3255">
      <w:pPr>
        <w:jc w:val="center"/>
        <w:rPr>
          <w:rFonts w:cs="Times New Roman"/>
          <w:b/>
          <w:bCs/>
        </w:rPr>
      </w:pPr>
      <w:r w:rsidRPr="00065418">
        <w:rPr>
          <w:rFonts w:cs="Times New Roman"/>
          <w:b/>
          <w:bCs/>
        </w:rPr>
        <w:t>Module Name: Marketing Management</w:t>
      </w:r>
    </w:p>
    <w:p w:rsidR="006C3255" w:rsidRPr="00065418" w:rsidRDefault="006C3255" w:rsidP="006C3255">
      <w:pPr>
        <w:jc w:val="center"/>
        <w:rPr>
          <w:rFonts w:cs="Times New Roman"/>
          <w:b/>
          <w:bCs/>
        </w:rPr>
      </w:pPr>
    </w:p>
    <w:p w:rsidR="006C3255" w:rsidRPr="00065418" w:rsidRDefault="006C3255" w:rsidP="006C3255">
      <w:pPr>
        <w:jc w:val="center"/>
        <w:rPr>
          <w:rFonts w:cs="Times New Roman"/>
          <w:b/>
          <w:bCs/>
        </w:rPr>
      </w:pPr>
      <w:r w:rsidRPr="00065418">
        <w:rPr>
          <w:rFonts w:cs="Times New Roman"/>
          <w:b/>
          <w:bCs/>
        </w:rPr>
        <w:t>Module Code: LCMB7024</w:t>
      </w:r>
    </w:p>
    <w:p w:rsidR="006C3255" w:rsidRPr="00F92839" w:rsidRDefault="006C3255" w:rsidP="00F92839">
      <w:pPr>
        <w:jc w:val="center"/>
        <w:rPr>
          <w:rFonts w:cs="Times New Roman"/>
          <w:b/>
          <w:bCs/>
        </w:rPr>
      </w:pPr>
      <w:r w:rsidRPr="00065418">
        <w:rPr>
          <w:rFonts w:cs="Times New Roman"/>
          <w:b/>
          <w:bCs/>
        </w:rPr>
        <w:t>Lecturer’s Name:</w:t>
      </w:r>
      <w:r w:rsidR="00F92839">
        <w:rPr>
          <w:rFonts w:cs="Times New Roman"/>
          <w:b/>
          <w:bCs/>
        </w:rPr>
        <w:t xml:space="preserve"> </w:t>
      </w:r>
      <w:r w:rsidR="00F92839" w:rsidRPr="00F92839">
        <w:rPr>
          <w:rFonts w:cs="Times New Roman"/>
          <w:b/>
          <w:bCs/>
        </w:rPr>
        <w:t xml:space="preserve">Dr Laila </w:t>
      </w:r>
      <w:proofErr w:type="spellStart"/>
      <w:r w:rsidR="00F92839" w:rsidRPr="00F92839">
        <w:rPr>
          <w:rFonts w:cs="Times New Roman"/>
          <w:b/>
          <w:bCs/>
        </w:rPr>
        <w:t>Maazouz</w:t>
      </w:r>
      <w:proofErr w:type="spellEnd"/>
      <w:r w:rsidR="00F92839" w:rsidRPr="00F92839">
        <w:rPr>
          <w:rFonts w:cs="Times New Roman"/>
          <w:b/>
          <w:bCs/>
        </w:rPr>
        <w:t xml:space="preserve"> (London)</w:t>
      </w:r>
    </w:p>
    <w:p w:rsidR="006C3255" w:rsidRPr="00065418" w:rsidRDefault="006C3255" w:rsidP="006C3255">
      <w:pPr>
        <w:rPr>
          <w:rFonts w:cs="Times New Roman"/>
          <w:b/>
          <w:bCs/>
        </w:rPr>
      </w:pPr>
    </w:p>
    <w:p w:rsidR="006C3255" w:rsidRPr="00065418" w:rsidRDefault="006C3255" w:rsidP="006C3255">
      <w:pPr>
        <w:jc w:val="center"/>
        <w:rPr>
          <w:rFonts w:cs="Times New Roman"/>
          <w:b/>
          <w:bCs/>
        </w:rPr>
      </w:pPr>
      <w:r w:rsidRPr="00065418">
        <w:rPr>
          <w:rFonts w:cs="Times New Roman"/>
          <w:b/>
          <w:bCs/>
        </w:rPr>
        <w:t>Work Count:</w:t>
      </w:r>
      <w:r w:rsidR="00FA5021">
        <w:rPr>
          <w:rFonts w:cs="Times New Roman"/>
          <w:b/>
          <w:bCs/>
        </w:rPr>
        <w:t xml:space="preserve"> 2722</w:t>
      </w:r>
    </w:p>
    <w:p w:rsidR="006C3255" w:rsidRPr="00065418" w:rsidRDefault="006C3255" w:rsidP="006C3255">
      <w:pPr>
        <w:rPr>
          <w:rFonts w:cs="Times New Roman"/>
          <w:b/>
          <w:bCs/>
        </w:rPr>
      </w:pPr>
    </w:p>
    <w:p w:rsidR="006C3255" w:rsidRPr="00065418" w:rsidRDefault="006C3255" w:rsidP="006C3255">
      <w:pPr>
        <w:jc w:val="center"/>
        <w:rPr>
          <w:rFonts w:cs="Times New Roman"/>
          <w:b/>
          <w:bCs/>
        </w:rPr>
      </w:pPr>
      <w:r w:rsidRPr="00065418">
        <w:rPr>
          <w:rFonts w:cs="Times New Roman"/>
          <w:b/>
          <w:bCs/>
        </w:rPr>
        <w:t>Term 1</w:t>
      </w:r>
    </w:p>
    <w:p w:rsidR="006C3255" w:rsidRPr="00065418" w:rsidRDefault="006C3255">
      <w:pPr>
        <w:spacing w:line="276" w:lineRule="auto"/>
        <w:jc w:val="left"/>
        <w:rPr>
          <w:rFonts w:eastAsia="Times New Roman" w:cs="Times New Roman"/>
          <w:lang w:eastAsia="en-GB"/>
        </w:rPr>
      </w:pPr>
      <w:r w:rsidRPr="00065418">
        <w:rPr>
          <w:rFonts w:eastAsia="Times New Roman" w:cs="Times New Roman"/>
          <w:lang w:eastAsia="en-GB"/>
        </w:rPr>
        <w:br w:type="page"/>
      </w:r>
    </w:p>
    <w:p w:rsidR="006C3255" w:rsidRDefault="006C3255" w:rsidP="006C3255">
      <w:pPr>
        <w:jc w:val="center"/>
        <w:rPr>
          <w:rFonts w:eastAsia="Times New Roman"/>
          <w:lang w:eastAsia="en-GB"/>
        </w:rPr>
      </w:pPr>
    </w:p>
    <w:sdt>
      <w:sdtPr>
        <w:id w:val="-2031477326"/>
        <w:docPartObj>
          <w:docPartGallery w:val="Table of Contents"/>
          <w:docPartUnique/>
        </w:docPartObj>
      </w:sdtPr>
      <w:sdtEndPr>
        <w:rPr>
          <w:bCs/>
          <w:caps w:val="0"/>
          <w:noProof/>
          <w:color w:val="auto"/>
          <w:spacing w:val="0"/>
          <w:sz w:val="24"/>
          <w:szCs w:val="20"/>
        </w:rPr>
      </w:sdtEndPr>
      <w:sdtContent>
        <w:p w:rsidR="006C3255" w:rsidRDefault="006C3255">
          <w:pPr>
            <w:pStyle w:val="TOCHeading"/>
          </w:pPr>
          <w:r>
            <w:t>Table of Contents</w:t>
          </w:r>
        </w:p>
        <w:p w:rsidR="006C3255" w:rsidRDefault="006C3255">
          <w:pPr>
            <w:pStyle w:val="TOC1"/>
            <w:tabs>
              <w:tab w:val="right" w:leader="dot" w:pos="9016"/>
            </w:tabs>
            <w:rPr>
              <w:noProof/>
            </w:rPr>
          </w:pPr>
          <w:r>
            <w:fldChar w:fldCharType="begin"/>
          </w:r>
          <w:r>
            <w:instrText xml:space="preserve"> TOC \o "1-3" \h \z \u </w:instrText>
          </w:r>
          <w:r>
            <w:fldChar w:fldCharType="separate"/>
          </w:r>
          <w:hyperlink w:anchor="_Toc214485590" w:history="1">
            <w:r w:rsidRPr="00ED2616">
              <w:rPr>
                <w:rStyle w:val="Hyperlink"/>
                <w:noProof/>
              </w:rPr>
              <w:t>1. Introduction</w:t>
            </w:r>
            <w:r>
              <w:rPr>
                <w:noProof/>
                <w:webHidden/>
              </w:rPr>
              <w:tab/>
            </w:r>
            <w:r>
              <w:rPr>
                <w:noProof/>
                <w:webHidden/>
              </w:rPr>
              <w:fldChar w:fldCharType="begin"/>
            </w:r>
            <w:r>
              <w:rPr>
                <w:noProof/>
                <w:webHidden/>
              </w:rPr>
              <w:instrText xml:space="preserve"> PAGEREF _Toc214485590 \h </w:instrText>
            </w:r>
            <w:r>
              <w:rPr>
                <w:noProof/>
                <w:webHidden/>
              </w:rPr>
            </w:r>
            <w:r>
              <w:rPr>
                <w:noProof/>
                <w:webHidden/>
              </w:rPr>
              <w:fldChar w:fldCharType="separate"/>
            </w:r>
            <w:r>
              <w:rPr>
                <w:noProof/>
                <w:webHidden/>
              </w:rPr>
              <w:t>2</w:t>
            </w:r>
            <w:r>
              <w:rPr>
                <w:noProof/>
                <w:webHidden/>
              </w:rPr>
              <w:fldChar w:fldCharType="end"/>
            </w:r>
          </w:hyperlink>
        </w:p>
        <w:p w:rsidR="006C3255" w:rsidRDefault="006C3255">
          <w:pPr>
            <w:pStyle w:val="TOC1"/>
            <w:tabs>
              <w:tab w:val="right" w:leader="dot" w:pos="9016"/>
            </w:tabs>
            <w:rPr>
              <w:noProof/>
            </w:rPr>
          </w:pPr>
          <w:hyperlink w:anchor="_Toc214485591" w:history="1">
            <w:r w:rsidRPr="00ED2616">
              <w:rPr>
                <w:rStyle w:val="Hyperlink"/>
                <w:noProof/>
              </w:rPr>
              <w:t>2. Task 1 –Macro Environment Analysis</w:t>
            </w:r>
            <w:r>
              <w:rPr>
                <w:noProof/>
                <w:webHidden/>
              </w:rPr>
              <w:tab/>
            </w:r>
            <w:r>
              <w:rPr>
                <w:noProof/>
                <w:webHidden/>
              </w:rPr>
              <w:fldChar w:fldCharType="begin"/>
            </w:r>
            <w:r>
              <w:rPr>
                <w:noProof/>
                <w:webHidden/>
              </w:rPr>
              <w:instrText xml:space="preserve"> PAGEREF _Toc214485591 \h </w:instrText>
            </w:r>
            <w:r>
              <w:rPr>
                <w:noProof/>
                <w:webHidden/>
              </w:rPr>
            </w:r>
            <w:r>
              <w:rPr>
                <w:noProof/>
                <w:webHidden/>
              </w:rPr>
              <w:fldChar w:fldCharType="separate"/>
            </w:r>
            <w:r>
              <w:rPr>
                <w:noProof/>
                <w:webHidden/>
              </w:rPr>
              <w:t>2</w:t>
            </w:r>
            <w:r>
              <w:rPr>
                <w:noProof/>
                <w:webHidden/>
              </w:rPr>
              <w:fldChar w:fldCharType="end"/>
            </w:r>
          </w:hyperlink>
        </w:p>
        <w:p w:rsidR="006C3255" w:rsidRDefault="006C3255">
          <w:pPr>
            <w:pStyle w:val="TOC1"/>
            <w:tabs>
              <w:tab w:val="right" w:leader="dot" w:pos="9016"/>
            </w:tabs>
            <w:rPr>
              <w:noProof/>
            </w:rPr>
          </w:pPr>
          <w:hyperlink w:anchor="_Toc214485592" w:history="1">
            <w:r w:rsidRPr="00ED2616">
              <w:rPr>
                <w:rStyle w:val="Hyperlink"/>
                <w:noProof/>
              </w:rPr>
              <w:t>2. TASK 1 – MACRO ENVIRONMENT ANALYSIS</w:t>
            </w:r>
            <w:r>
              <w:rPr>
                <w:noProof/>
                <w:webHidden/>
              </w:rPr>
              <w:tab/>
            </w:r>
            <w:r>
              <w:rPr>
                <w:noProof/>
                <w:webHidden/>
              </w:rPr>
              <w:fldChar w:fldCharType="begin"/>
            </w:r>
            <w:r>
              <w:rPr>
                <w:noProof/>
                <w:webHidden/>
              </w:rPr>
              <w:instrText xml:space="preserve"> PAGEREF _Toc214485592 \h </w:instrText>
            </w:r>
            <w:r>
              <w:rPr>
                <w:noProof/>
                <w:webHidden/>
              </w:rPr>
            </w:r>
            <w:r>
              <w:rPr>
                <w:noProof/>
                <w:webHidden/>
              </w:rPr>
              <w:fldChar w:fldCharType="separate"/>
            </w:r>
            <w:r>
              <w:rPr>
                <w:noProof/>
                <w:webHidden/>
              </w:rPr>
              <w:t>3</w:t>
            </w:r>
            <w:r>
              <w:rPr>
                <w:noProof/>
                <w:webHidden/>
              </w:rPr>
              <w:fldChar w:fldCharType="end"/>
            </w:r>
          </w:hyperlink>
        </w:p>
        <w:p w:rsidR="006C3255" w:rsidRDefault="006C3255">
          <w:pPr>
            <w:pStyle w:val="TOC2"/>
            <w:tabs>
              <w:tab w:val="right" w:leader="dot" w:pos="9016"/>
            </w:tabs>
            <w:rPr>
              <w:noProof/>
            </w:rPr>
          </w:pPr>
          <w:hyperlink w:anchor="_Toc214485593" w:history="1">
            <w:r w:rsidRPr="00ED2616">
              <w:rPr>
                <w:rStyle w:val="Hyperlink"/>
                <w:noProof/>
              </w:rPr>
              <w:t>2.1 Theoretical Foundation for Macro Analysis</w:t>
            </w:r>
            <w:r>
              <w:rPr>
                <w:noProof/>
                <w:webHidden/>
              </w:rPr>
              <w:tab/>
            </w:r>
            <w:r>
              <w:rPr>
                <w:noProof/>
                <w:webHidden/>
              </w:rPr>
              <w:fldChar w:fldCharType="begin"/>
            </w:r>
            <w:r>
              <w:rPr>
                <w:noProof/>
                <w:webHidden/>
              </w:rPr>
              <w:instrText xml:space="preserve"> PAGEREF _Toc214485593 \h </w:instrText>
            </w:r>
            <w:r>
              <w:rPr>
                <w:noProof/>
                <w:webHidden/>
              </w:rPr>
            </w:r>
            <w:r>
              <w:rPr>
                <w:noProof/>
                <w:webHidden/>
              </w:rPr>
              <w:fldChar w:fldCharType="separate"/>
            </w:r>
            <w:r>
              <w:rPr>
                <w:noProof/>
                <w:webHidden/>
              </w:rPr>
              <w:t>3</w:t>
            </w:r>
            <w:r>
              <w:rPr>
                <w:noProof/>
                <w:webHidden/>
              </w:rPr>
              <w:fldChar w:fldCharType="end"/>
            </w:r>
          </w:hyperlink>
        </w:p>
        <w:p w:rsidR="006C3255" w:rsidRDefault="006C3255">
          <w:pPr>
            <w:pStyle w:val="TOC2"/>
            <w:tabs>
              <w:tab w:val="right" w:leader="dot" w:pos="9016"/>
            </w:tabs>
            <w:rPr>
              <w:noProof/>
            </w:rPr>
          </w:pPr>
          <w:hyperlink w:anchor="_Toc214485594" w:history="1">
            <w:r w:rsidRPr="00ED2616">
              <w:rPr>
                <w:rStyle w:val="Hyperlink"/>
                <w:noProof/>
              </w:rPr>
              <w:t>2.2 Macro Actor 1: Technological Forces</w:t>
            </w:r>
            <w:r>
              <w:rPr>
                <w:noProof/>
                <w:webHidden/>
              </w:rPr>
              <w:tab/>
            </w:r>
            <w:r>
              <w:rPr>
                <w:noProof/>
                <w:webHidden/>
              </w:rPr>
              <w:fldChar w:fldCharType="begin"/>
            </w:r>
            <w:r>
              <w:rPr>
                <w:noProof/>
                <w:webHidden/>
              </w:rPr>
              <w:instrText xml:space="preserve"> PAGEREF _Toc214485594 \h </w:instrText>
            </w:r>
            <w:r>
              <w:rPr>
                <w:noProof/>
                <w:webHidden/>
              </w:rPr>
            </w:r>
            <w:r>
              <w:rPr>
                <w:noProof/>
                <w:webHidden/>
              </w:rPr>
              <w:fldChar w:fldCharType="separate"/>
            </w:r>
            <w:r>
              <w:rPr>
                <w:noProof/>
                <w:webHidden/>
              </w:rPr>
              <w:t>4</w:t>
            </w:r>
            <w:r>
              <w:rPr>
                <w:noProof/>
                <w:webHidden/>
              </w:rPr>
              <w:fldChar w:fldCharType="end"/>
            </w:r>
          </w:hyperlink>
        </w:p>
        <w:p w:rsidR="006C3255" w:rsidRDefault="006C3255">
          <w:pPr>
            <w:pStyle w:val="TOC3"/>
            <w:tabs>
              <w:tab w:val="right" w:leader="dot" w:pos="9016"/>
            </w:tabs>
            <w:rPr>
              <w:noProof/>
            </w:rPr>
          </w:pPr>
          <w:hyperlink w:anchor="_Toc214485595" w:history="1">
            <w:r w:rsidRPr="00ED2616">
              <w:rPr>
                <w:rStyle w:val="Hyperlink"/>
                <w:noProof/>
              </w:rPr>
              <w:t>2.2.1 Opportunities for Pioneers</w:t>
            </w:r>
            <w:r>
              <w:rPr>
                <w:noProof/>
                <w:webHidden/>
              </w:rPr>
              <w:tab/>
            </w:r>
            <w:r>
              <w:rPr>
                <w:noProof/>
                <w:webHidden/>
              </w:rPr>
              <w:fldChar w:fldCharType="begin"/>
            </w:r>
            <w:r>
              <w:rPr>
                <w:noProof/>
                <w:webHidden/>
              </w:rPr>
              <w:instrText xml:space="preserve"> PAGEREF _Toc214485595 \h </w:instrText>
            </w:r>
            <w:r>
              <w:rPr>
                <w:noProof/>
                <w:webHidden/>
              </w:rPr>
            </w:r>
            <w:r>
              <w:rPr>
                <w:noProof/>
                <w:webHidden/>
              </w:rPr>
              <w:fldChar w:fldCharType="separate"/>
            </w:r>
            <w:r>
              <w:rPr>
                <w:noProof/>
                <w:webHidden/>
              </w:rPr>
              <w:t>4</w:t>
            </w:r>
            <w:r>
              <w:rPr>
                <w:noProof/>
                <w:webHidden/>
              </w:rPr>
              <w:fldChar w:fldCharType="end"/>
            </w:r>
          </w:hyperlink>
        </w:p>
        <w:p w:rsidR="006C3255" w:rsidRDefault="006C3255">
          <w:pPr>
            <w:pStyle w:val="TOC3"/>
            <w:tabs>
              <w:tab w:val="right" w:leader="dot" w:pos="9016"/>
            </w:tabs>
            <w:rPr>
              <w:noProof/>
            </w:rPr>
          </w:pPr>
          <w:hyperlink w:anchor="_Toc214485596" w:history="1">
            <w:r w:rsidRPr="00ED2616">
              <w:rPr>
                <w:rStyle w:val="Hyperlink"/>
                <w:noProof/>
              </w:rPr>
              <w:t>2.2.2 Opportunities for Followers</w:t>
            </w:r>
            <w:r>
              <w:rPr>
                <w:noProof/>
                <w:webHidden/>
              </w:rPr>
              <w:tab/>
            </w:r>
            <w:r>
              <w:rPr>
                <w:noProof/>
                <w:webHidden/>
              </w:rPr>
              <w:fldChar w:fldCharType="begin"/>
            </w:r>
            <w:r>
              <w:rPr>
                <w:noProof/>
                <w:webHidden/>
              </w:rPr>
              <w:instrText xml:space="preserve"> PAGEREF _Toc214485596 \h </w:instrText>
            </w:r>
            <w:r>
              <w:rPr>
                <w:noProof/>
                <w:webHidden/>
              </w:rPr>
            </w:r>
            <w:r>
              <w:rPr>
                <w:noProof/>
                <w:webHidden/>
              </w:rPr>
              <w:fldChar w:fldCharType="separate"/>
            </w:r>
            <w:r>
              <w:rPr>
                <w:noProof/>
                <w:webHidden/>
              </w:rPr>
              <w:t>5</w:t>
            </w:r>
            <w:r>
              <w:rPr>
                <w:noProof/>
                <w:webHidden/>
              </w:rPr>
              <w:fldChar w:fldCharType="end"/>
            </w:r>
          </w:hyperlink>
        </w:p>
        <w:p w:rsidR="006C3255" w:rsidRDefault="006C3255">
          <w:pPr>
            <w:pStyle w:val="TOC3"/>
            <w:tabs>
              <w:tab w:val="right" w:leader="dot" w:pos="9016"/>
            </w:tabs>
            <w:rPr>
              <w:noProof/>
            </w:rPr>
          </w:pPr>
          <w:hyperlink w:anchor="_Toc214485597" w:history="1">
            <w:r w:rsidRPr="00ED2616">
              <w:rPr>
                <w:rStyle w:val="Hyperlink"/>
                <w:noProof/>
              </w:rPr>
              <w:t>2.2.3 Threats for Pioneers</w:t>
            </w:r>
            <w:r>
              <w:rPr>
                <w:noProof/>
                <w:webHidden/>
              </w:rPr>
              <w:tab/>
            </w:r>
            <w:r>
              <w:rPr>
                <w:noProof/>
                <w:webHidden/>
              </w:rPr>
              <w:fldChar w:fldCharType="begin"/>
            </w:r>
            <w:r>
              <w:rPr>
                <w:noProof/>
                <w:webHidden/>
              </w:rPr>
              <w:instrText xml:space="preserve"> PAGEREF _Toc214485597 \h </w:instrText>
            </w:r>
            <w:r>
              <w:rPr>
                <w:noProof/>
                <w:webHidden/>
              </w:rPr>
            </w:r>
            <w:r>
              <w:rPr>
                <w:noProof/>
                <w:webHidden/>
              </w:rPr>
              <w:fldChar w:fldCharType="separate"/>
            </w:r>
            <w:r>
              <w:rPr>
                <w:noProof/>
                <w:webHidden/>
              </w:rPr>
              <w:t>5</w:t>
            </w:r>
            <w:r>
              <w:rPr>
                <w:noProof/>
                <w:webHidden/>
              </w:rPr>
              <w:fldChar w:fldCharType="end"/>
            </w:r>
          </w:hyperlink>
        </w:p>
        <w:p w:rsidR="006C3255" w:rsidRDefault="006C3255">
          <w:pPr>
            <w:pStyle w:val="TOC3"/>
            <w:tabs>
              <w:tab w:val="right" w:leader="dot" w:pos="9016"/>
            </w:tabs>
            <w:rPr>
              <w:noProof/>
            </w:rPr>
          </w:pPr>
          <w:hyperlink w:anchor="_Toc214485598" w:history="1">
            <w:r w:rsidRPr="00ED2616">
              <w:rPr>
                <w:rStyle w:val="Hyperlink"/>
                <w:noProof/>
              </w:rPr>
              <w:t>2.2.4 Threats for Followers</w:t>
            </w:r>
            <w:r>
              <w:rPr>
                <w:noProof/>
                <w:webHidden/>
              </w:rPr>
              <w:tab/>
            </w:r>
            <w:r>
              <w:rPr>
                <w:noProof/>
                <w:webHidden/>
              </w:rPr>
              <w:fldChar w:fldCharType="begin"/>
            </w:r>
            <w:r>
              <w:rPr>
                <w:noProof/>
                <w:webHidden/>
              </w:rPr>
              <w:instrText xml:space="preserve"> PAGEREF _Toc214485598 \h </w:instrText>
            </w:r>
            <w:r>
              <w:rPr>
                <w:noProof/>
                <w:webHidden/>
              </w:rPr>
            </w:r>
            <w:r>
              <w:rPr>
                <w:noProof/>
                <w:webHidden/>
              </w:rPr>
              <w:fldChar w:fldCharType="separate"/>
            </w:r>
            <w:r>
              <w:rPr>
                <w:noProof/>
                <w:webHidden/>
              </w:rPr>
              <w:t>5</w:t>
            </w:r>
            <w:r>
              <w:rPr>
                <w:noProof/>
                <w:webHidden/>
              </w:rPr>
              <w:fldChar w:fldCharType="end"/>
            </w:r>
          </w:hyperlink>
        </w:p>
        <w:p w:rsidR="006C3255" w:rsidRDefault="006C3255">
          <w:pPr>
            <w:pStyle w:val="TOC2"/>
            <w:tabs>
              <w:tab w:val="right" w:leader="dot" w:pos="9016"/>
            </w:tabs>
            <w:rPr>
              <w:noProof/>
            </w:rPr>
          </w:pPr>
          <w:hyperlink w:anchor="_Toc214485599" w:history="1">
            <w:r w:rsidRPr="00ED2616">
              <w:rPr>
                <w:rStyle w:val="Hyperlink"/>
                <w:noProof/>
              </w:rPr>
              <w:t>2.3 Macro Actor 2: Economic Forces</w:t>
            </w:r>
            <w:r>
              <w:rPr>
                <w:noProof/>
                <w:webHidden/>
              </w:rPr>
              <w:tab/>
            </w:r>
            <w:r>
              <w:rPr>
                <w:noProof/>
                <w:webHidden/>
              </w:rPr>
              <w:fldChar w:fldCharType="begin"/>
            </w:r>
            <w:r>
              <w:rPr>
                <w:noProof/>
                <w:webHidden/>
              </w:rPr>
              <w:instrText xml:space="preserve"> PAGEREF _Toc214485599 \h </w:instrText>
            </w:r>
            <w:r>
              <w:rPr>
                <w:noProof/>
                <w:webHidden/>
              </w:rPr>
            </w:r>
            <w:r>
              <w:rPr>
                <w:noProof/>
                <w:webHidden/>
              </w:rPr>
              <w:fldChar w:fldCharType="separate"/>
            </w:r>
            <w:r>
              <w:rPr>
                <w:noProof/>
                <w:webHidden/>
              </w:rPr>
              <w:t>6</w:t>
            </w:r>
            <w:r>
              <w:rPr>
                <w:noProof/>
                <w:webHidden/>
              </w:rPr>
              <w:fldChar w:fldCharType="end"/>
            </w:r>
          </w:hyperlink>
        </w:p>
        <w:p w:rsidR="006C3255" w:rsidRDefault="006C3255">
          <w:pPr>
            <w:pStyle w:val="TOC3"/>
            <w:tabs>
              <w:tab w:val="right" w:leader="dot" w:pos="9016"/>
            </w:tabs>
            <w:rPr>
              <w:noProof/>
            </w:rPr>
          </w:pPr>
          <w:hyperlink w:anchor="_Toc214485600" w:history="1">
            <w:r w:rsidRPr="00ED2616">
              <w:rPr>
                <w:rStyle w:val="Hyperlink"/>
                <w:noProof/>
              </w:rPr>
              <w:t>2.3.1 Opportunities for Pioneers</w:t>
            </w:r>
            <w:r>
              <w:rPr>
                <w:noProof/>
                <w:webHidden/>
              </w:rPr>
              <w:tab/>
            </w:r>
            <w:r>
              <w:rPr>
                <w:noProof/>
                <w:webHidden/>
              </w:rPr>
              <w:fldChar w:fldCharType="begin"/>
            </w:r>
            <w:r>
              <w:rPr>
                <w:noProof/>
                <w:webHidden/>
              </w:rPr>
              <w:instrText xml:space="preserve"> PAGEREF _Toc214485600 \h </w:instrText>
            </w:r>
            <w:r>
              <w:rPr>
                <w:noProof/>
                <w:webHidden/>
              </w:rPr>
            </w:r>
            <w:r>
              <w:rPr>
                <w:noProof/>
                <w:webHidden/>
              </w:rPr>
              <w:fldChar w:fldCharType="separate"/>
            </w:r>
            <w:r>
              <w:rPr>
                <w:noProof/>
                <w:webHidden/>
              </w:rPr>
              <w:t>6</w:t>
            </w:r>
            <w:r>
              <w:rPr>
                <w:noProof/>
                <w:webHidden/>
              </w:rPr>
              <w:fldChar w:fldCharType="end"/>
            </w:r>
          </w:hyperlink>
        </w:p>
        <w:p w:rsidR="006C3255" w:rsidRDefault="006C3255">
          <w:pPr>
            <w:pStyle w:val="TOC3"/>
            <w:tabs>
              <w:tab w:val="right" w:leader="dot" w:pos="9016"/>
            </w:tabs>
            <w:rPr>
              <w:noProof/>
            </w:rPr>
          </w:pPr>
          <w:hyperlink w:anchor="_Toc214485601" w:history="1">
            <w:r w:rsidRPr="00ED2616">
              <w:rPr>
                <w:rStyle w:val="Hyperlink"/>
                <w:noProof/>
              </w:rPr>
              <w:t>2.3.2 Opportunities for Followers</w:t>
            </w:r>
            <w:r>
              <w:rPr>
                <w:noProof/>
                <w:webHidden/>
              </w:rPr>
              <w:tab/>
            </w:r>
            <w:r>
              <w:rPr>
                <w:noProof/>
                <w:webHidden/>
              </w:rPr>
              <w:fldChar w:fldCharType="begin"/>
            </w:r>
            <w:r>
              <w:rPr>
                <w:noProof/>
                <w:webHidden/>
              </w:rPr>
              <w:instrText xml:space="preserve"> PAGEREF _Toc214485601 \h </w:instrText>
            </w:r>
            <w:r>
              <w:rPr>
                <w:noProof/>
                <w:webHidden/>
              </w:rPr>
            </w:r>
            <w:r>
              <w:rPr>
                <w:noProof/>
                <w:webHidden/>
              </w:rPr>
              <w:fldChar w:fldCharType="separate"/>
            </w:r>
            <w:r>
              <w:rPr>
                <w:noProof/>
                <w:webHidden/>
              </w:rPr>
              <w:t>6</w:t>
            </w:r>
            <w:r>
              <w:rPr>
                <w:noProof/>
                <w:webHidden/>
              </w:rPr>
              <w:fldChar w:fldCharType="end"/>
            </w:r>
          </w:hyperlink>
        </w:p>
        <w:p w:rsidR="006C3255" w:rsidRDefault="006C3255">
          <w:pPr>
            <w:pStyle w:val="TOC3"/>
            <w:tabs>
              <w:tab w:val="right" w:leader="dot" w:pos="9016"/>
            </w:tabs>
            <w:rPr>
              <w:noProof/>
            </w:rPr>
          </w:pPr>
          <w:hyperlink w:anchor="_Toc214485602" w:history="1">
            <w:r w:rsidRPr="00ED2616">
              <w:rPr>
                <w:rStyle w:val="Hyperlink"/>
                <w:noProof/>
              </w:rPr>
              <w:t>2.3.3 Threats for Pioneers</w:t>
            </w:r>
            <w:r>
              <w:rPr>
                <w:noProof/>
                <w:webHidden/>
              </w:rPr>
              <w:tab/>
            </w:r>
            <w:r>
              <w:rPr>
                <w:noProof/>
                <w:webHidden/>
              </w:rPr>
              <w:fldChar w:fldCharType="begin"/>
            </w:r>
            <w:r>
              <w:rPr>
                <w:noProof/>
                <w:webHidden/>
              </w:rPr>
              <w:instrText xml:space="preserve"> PAGEREF _Toc214485602 \h </w:instrText>
            </w:r>
            <w:r>
              <w:rPr>
                <w:noProof/>
                <w:webHidden/>
              </w:rPr>
            </w:r>
            <w:r>
              <w:rPr>
                <w:noProof/>
                <w:webHidden/>
              </w:rPr>
              <w:fldChar w:fldCharType="separate"/>
            </w:r>
            <w:r>
              <w:rPr>
                <w:noProof/>
                <w:webHidden/>
              </w:rPr>
              <w:t>7</w:t>
            </w:r>
            <w:r>
              <w:rPr>
                <w:noProof/>
                <w:webHidden/>
              </w:rPr>
              <w:fldChar w:fldCharType="end"/>
            </w:r>
          </w:hyperlink>
        </w:p>
        <w:p w:rsidR="006C3255" w:rsidRDefault="006C3255">
          <w:pPr>
            <w:pStyle w:val="TOC3"/>
            <w:tabs>
              <w:tab w:val="right" w:leader="dot" w:pos="9016"/>
            </w:tabs>
            <w:rPr>
              <w:noProof/>
            </w:rPr>
          </w:pPr>
          <w:hyperlink w:anchor="_Toc214485603" w:history="1">
            <w:r w:rsidRPr="00ED2616">
              <w:rPr>
                <w:rStyle w:val="Hyperlink"/>
                <w:noProof/>
              </w:rPr>
              <w:t>2.3.4 Threats for Followers</w:t>
            </w:r>
            <w:r>
              <w:rPr>
                <w:noProof/>
                <w:webHidden/>
              </w:rPr>
              <w:tab/>
            </w:r>
            <w:r>
              <w:rPr>
                <w:noProof/>
                <w:webHidden/>
              </w:rPr>
              <w:fldChar w:fldCharType="begin"/>
            </w:r>
            <w:r>
              <w:rPr>
                <w:noProof/>
                <w:webHidden/>
              </w:rPr>
              <w:instrText xml:space="preserve"> PAGEREF _Toc214485603 \h </w:instrText>
            </w:r>
            <w:r>
              <w:rPr>
                <w:noProof/>
                <w:webHidden/>
              </w:rPr>
            </w:r>
            <w:r>
              <w:rPr>
                <w:noProof/>
                <w:webHidden/>
              </w:rPr>
              <w:fldChar w:fldCharType="separate"/>
            </w:r>
            <w:r>
              <w:rPr>
                <w:noProof/>
                <w:webHidden/>
              </w:rPr>
              <w:t>7</w:t>
            </w:r>
            <w:r>
              <w:rPr>
                <w:noProof/>
                <w:webHidden/>
              </w:rPr>
              <w:fldChar w:fldCharType="end"/>
            </w:r>
          </w:hyperlink>
        </w:p>
        <w:p w:rsidR="006C3255" w:rsidRDefault="006C3255">
          <w:pPr>
            <w:pStyle w:val="TOC2"/>
            <w:tabs>
              <w:tab w:val="right" w:leader="dot" w:pos="9016"/>
            </w:tabs>
            <w:rPr>
              <w:noProof/>
            </w:rPr>
          </w:pPr>
          <w:hyperlink w:anchor="_Toc214485604" w:history="1">
            <w:r w:rsidRPr="00ED2616">
              <w:rPr>
                <w:rStyle w:val="Hyperlink"/>
                <w:noProof/>
              </w:rPr>
              <w:t>2.4 Integrated Macro-Environmental Implications</w:t>
            </w:r>
            <w:r>
              <w:rPr>
                <w:noProof/>
                <w:webHidden/>
              </w:rPr>
              <w:tab/>
            </w:r>
            <w:r>
              <w:rPr>
                <w:noProof/>
                <w:webHidden/>
              </w:rPr>
              <w:fldChar w:fldCharType="begin"/>
            </w:r>
            <w:r>
              <w:rPr>
                <w:noProof/>
                <w:webHidden/>
              </w:rPr>
              <w:instrText xml:space="preserve"> PAGEREF _Toc214485604 \h </w:instrText>
            </w:r>
            <w:r>
              <w:rPr>
                <w:noProof/>
                <w:webHidden/>
              </w:rPr>
            </w:r>
            <w:r>
              <w:rPr>
                <w:noProof/>
                <w:webHidden/>
              </w:rPr>
              <w:fldChar w:fldCharType="separate"/>
            </w:r>
            <w:r>
              <w:rPr>
                <w:noProof/>
                <w:webHidden/>
              </w:rPr>
              <w:t>7</w:t>
            </w:r>
            <w:r>
              <w:rPr>
                <w:noProof/>
                <w:webHidden/>
              </w:rPr>
              <w:fldChar w:fldCharType="end"/>
            </w:r>
          </w:hyperlink>
        </w:p>
        <w:p w:rsidR="006C3255" w:rsidRDefault="006C3255">
          <w:pPr>
            <w:pStyle w:val="TOC1"/>
            <w:tabs>
              <w:tab w:val="right" w:leader="dot" w:pos="9016"/>
            </w:tabs>
            <w:rPr>
              <w:noProof/>
            </w:rPr>
          </w:pPr>
          <w:hyperlink w:anchor="_Toc214485605" w:history="1">
            <w:r w:rsidRPr="00ED2616">
              <w:rPr>
                <w:rStyle w:val="Hyperlink"/>
                <w:noProof/>
              </w:rPr>
              <w:t>3. Task 2 – Strategic Responses of Pioneers vs Followers</w:t>
            </w:r>
            <w:r>
              <w:rPr>
                <w:noProof/>
                <w:webHidden/>
              </w:rPr>
              <w:tab/>
            </w:r>
            <w:r>
              <w:rPr>
                <w:noProof/>
                <w:webHidden/>
              </w:rPr>
              <w:fldChar w:fldCharType="begin"/>
            </w:r>
            <w:r>
              <w:rPr>
                <w:noProof/>
                <w:webHidden/>
              </w:rPr>
              <w:instrText xml:space="preserve"> PAGEREF _Toc214485605 \h </w:instrText>
            </w:r>
            <w:r>
              <w:rPr>
                <w:noProof/>
                <w:webHidden/>
              </w:rPr>
            </w:r>
            <w:r>
              <w:rPr>
                <w:noProof/>
                <w:webHidden/>
              </w:rPr>
              <w:fldChar w:fldCharType="separate"/>
            </w:r>
            <w:r>
              <w:rPr>
                <w:noProof/>
                <w:webHidden/>
              </w:rPr>
              <w:t>7</w:t>
            </w:r>
            <w:r>
              <w:rPr>
                <w:noProof/>
                <w:webHidden/>
              </w:rPr>
              <w:fldChar w:fldCharType="end"/>
            </w:r>
          </w:hyperlink>
        </w:p>
        <w:p w:rsidR="006C3255" w:rsidRDefault="006C3255">
          <w:pPr>
            <w:pStyle w:val="TOC2"/>
            <w:tabs>
              <w:tab w:val="right" w:leader="dot" w:pos="9016"/>
            </w:tabs>
            <w:rPr>
              <w:noProof/>
            </w:rPr>
          </w:pPr>
          <w:hyperlink w:anchor="_Toc214485606" w:history="1">
            <w:r w:rsidRPr="00ED2616">
              <w:rPr>
                <w:rStyle w:val="Hyperlink"/>
                <w:noProof/>
              </w:rPr>
              <w:t>3.1 Strategic Response Theoretical Lens</w:t>
            </w:r>
            <w:r>
              <w:rPr>
                <w:noProof/>
                <w:webHidden/>
              </w:rPr>
              <w:tab/>
            </w:r>
            <w:r>
              <w:rPr>
                <w:noProof/>
                <w:webHidden/>
              </w:rPr>
              <w:fldChar w:fldCharType="begin"/>
            </w:r>
            <w:r>
              <w:rPr>
                <w:noProof/>
                <w:webHidden/>
              </w:rPr>
              <w:instrText xml:space="preserve"> PAGEREF _Toc214485606 \h </w:instrText>
            </w:r>
            <w:r>
              <w:rPr>
                <w:noProof/>
                <w:webHidden/>
              </w:rPr>
            </w:r>
            <w:r>
              <w:rPr>
                <w:noProof/>
                <w:webHidden/>
              </w:rPr>
              <w:fldChar w:fldCharType="separate"/>
            </w:r>
            <w:r>
              <w:rPr>
                <w:noProof/>
                <w:webHidden/>
              </w:rPr>
              <w:t>7</w:t>
            </w:r>
            <w:r>
              <w:rPr>
                <w:noProof/>
                <w:webHidden/>
              </w:rPr>
              <w:fldChar w:fldCharType="end"/>
            </w:r>
          </w:hyperlink>
        </w:p>
        <w:p w:rsidR="006C3255" w:rsidRDefault="006C3255">
          <w:pPr>
            <w:pStyle w:val="TOC2"/>
            <w:tabs>
              <w:tab w:val="right" w:leader="dot" w:pos="9016"/>
            </w:tabs>
            <w:rPr>
              <w:noProof/>
            </w:rPr>
          </w:pPr>
          <w:hyperlink w:anchor="_Toc214485607" w:history="1">
            <w:r w:rsidRPr="00ED2616">
              <w:rPr>
                <w:rStyle w:val="Hyperlink"/>
                <w:noProof/>
              </w:rPr>
              <w:t>3.2 Strategies for Technological Forces</w:t>
            </w:r>
            <w:r>
              <w:rPr>
                <w:noProof/>
                <w:webHidden/>
              </w:rPr>
              <w:tab/>
            </w:r>
            <w:r>
              <w:rPr>
                <w:noProof/>
                <w:webHidden/>
              </w:rPr>
              <w:fldChar w:fldCharType="begin"/>
            </w:r>
            <w:r>
              <w:rPr>
                <w:noProof/>
                <w:webHidden/>
              </w:rPr>
              <w:instrText xml:space="preserve"> PAGEREF _Toc214485607 \h </w:instrText>
            </w:r>
            <w:r>
              <w:rPr>
                <w:noProof/>
                <w:webHidden/>
              </w:rPr>
            </w:r>
            <w:r>
              <w:rPr>
                <w:noProof/>
                <w:webHidden/>
              </w:rPr>
              <w:fldChar w:fldCharType="separate"/>
            </w:r>
            <w:r>
              <w:rPr>
                <w:noProof/>
                <w:webHidden/>
              </w:rPr>
              <w:t>9</w:t>
            </w:r>
            <w:r>
              <w:rPr>
                <w:noProof/>
                <w:webHidden/>
              </w:rPr>
              <w:fldChar w:fldCharType="end"/>
            </w:r>
          </w:hyperlink>
        </w:p>
        <w:p w:rsidR="006C3255" w:rsidRDefault="006C3255">
          <w:pPr>
            <w:pStyle w:val="TOC3"/>
            <w:tabs>
              <w:tab w:val="right" w:leader="dot" w:pos="9016"/>
            </w:tabs>
            <w:rPr>
              <w:noProof/>
            </w:rPr>
          </w:pPr>
          <w:hyperlink w:anchor="_Toc214485608" w:history="1">
            <w:r w:rsidRPr="00ED2616">
              <w:rPr>
                <w:rStyle w:val="Hyperlink"/>
                <w:noProof/>
              </w:rPr>
              <w:t>3.2.1 Pioneers’ Responses</w:t>
            </w:r>
            <w:r>
              <w:rPr>
                <w:noProof/>
                <w:webHidden/>
              </w:rPr>
              <w:tab/>
            </w:r>
            <w:r>
              <w:rPr>
                <w:noProof/>
                <w:webHidden/>
              </w:rPr>
              <w:fldChar w:fldCharType="begin"/>
            </w:r>
            <w:r>
              <w:rPr>
                <w:noProof/>
                <w:webHidden/>
              </w:rPr>
              <w:instrText xml:space="preserve"> PAGEREF _Toc214485608 \h </w:instrText>
            </w:r>
            <w:r>
              <w:rPr>
                <w:noProof/>
                <w:webHidden/>
              </w:rPr>
            </w:r>
            <w:r>
              <w:rPr>
                <w:noProof/>
                <w:webHidden/>
              </w:rPr>
              <w:fldChar w:fldCharType="separate"/>
            </w:r>
            <w:r>
              <w:rPr>
                <w:noProof/>
                <w:webHidden/>
              </w:rPr>
              <w:t>9</w:t>
            </w:r>
            <w:r>
              <w:rPr>
                <w:noProof/>
                <w:webHidden/>
              </w:rPr>
              <w:fldChar w:fldCharType="end"/>
            </w:r>
          </w:hyperlink>
        </w:p>
        <w:p w:rsidR="006C3255" w:rsidRDefault="006C3255">
          <w:pPr>
            <w:pStyle w:val="TOC3"/>
            <w:tabs>
              <w:tab w:val="right" w:leader="dot" w:pos="9016"/>
            </w:tabs>
            <w:rPr>
              <w:noProof/>
            </w:rPr>
          </w:pPr>
          <w:hyperlink w:anchor="_Toc214485609" w:history="1">
            <w:r w:rsidRPr="00ED2616">
              <w:rPr>
                <w:rStyle w:val="Hyperlink"/>
                <w:noProof/>
              </w:rPr>
              <w:t>3.2.2 Followers’ Responses</w:t>
            </w:r>
            <w:r>
              <w:rPr>
                <w:noProof/>
                <w:webHidden/>
              </w:rPr>
              <w:tab/>
            </w:r>
            <w:r>
              <w:rPr>
                <w:noProof/>
                <w:webHidden/>
              </w:rPr>
              <w:fldChar w:fldCharType="begin"/>
            </w:r>
            <w:r>
              <w:rPr>
                <w:noProof/>
                <w:webHidden/>
              </w:rPr>
              <w:instrText xml:space="preserve"> PAGEREF _Toc214485609 \h </w:instrText>
            </w:r>
            <w:r>
              <w:rPr>
                <w:noProof/>
                <w:webHidden/>
              </w:rPr>
            </w:r>
            <w:r>
              <w:rPr>
                <w:noProof/>
                <w:webHidden/>
              </w:rPr>
              <w:fldChar w:fldCharType="separate"/>
            </w:r>
            <w:r>
              <w:rPr>
                <w:noProof/>
                <w:webHidden/>
              </w:rPr>
              <w:t>9</w:t>
            </w:r>
            <w:r>
              <w:rPr>
                <w:noProof/>
                <w:webHidden/>
              </w:rPr>
              <w:fldChar w:fldCharType="end"/>
            </w:r>
          </w:hyperlink>
        </w:p>
        <w:p w:rsidR="006C3255" w:rsidRDefault="006C3255">
          <w:pPr>
            <w:pStyle w:val="TOC3"/>
            <w:tabs>
              <w:tab w:val="right" w:leader="dot" w:pos="9016"/>
            </w:tabs>
            <w:rPr>
              <w:noProof/>
            </w:rPr>
          </w:pPr>
          <w:hyperlink w:anchor="_Toc214485610" w:history="1">
            <w:r w:rsidRPr="00ED2616">
              <w:rPr>
                <w:rStyle w:val="Hyperlink"/>
                <w:noProof/>
              </w:rPr>
              <w:t>3.2.3 Integrated Critical Evaluation of Technological Responses</w:t>
            </w:r>
            <w:r>
              <w:rPr>
                <w:noProof/>
                <w:webHidden/>
              </w:rPr>
              <w:tab/>
            </w:r>
            <w:r>
              <w:rPr>
                <w:noProof/>
                <w:webHidden/>
              </w:rPr>
              <w:fldChar w:fldCharType="begin"/>
            </w:r>
            <w:r>
              <w:rPr>
                <w:noProof/>
                <w:webHidden/>
              </w:rPr>
              <w:instrText xml:space="preserve"> PAGEREF _Toc214485610 \h </w:instrText>
            </w:r>
            <w:r>
              <w:rPr>
                <w:noProof/>
                <w:webHidden/>
              </w:rPr>
            </w:r>
            <w:r>
              <w:rPr>
                <w:noProof/>
                <w:webHidden/>
              </w:rPr>
              <w:fldChar w:fldCharType="separate"/>
            </w:r>
            <w:r>
              <w:rPr>
                <w:noProof/>
                <w:webHidden/>
              </w:rPr>
              <w:t>10</w:t>
            </w:r>
            <w:r>
              <w:rPr>
                <w:noProof/>
                <w:webHidden/>
              </w:rPr>
              <w:fldChar w:fldCharType="end"/>
            </w:r>
          </w:hyperlink>
        </w:p>
        <w:p w:rsidR="006C3255" w:rsidRDefault="006C3255">
          <w:pPr>
            <w:pStyle w:val="TOC2"/>
            <w:tabs>
              <w:tab w:val="right" w:leader="dot" w:pos="9016"/>
            </w:tabs>
            <w:rPr>
              <w:noProof/>
            </w:rPr>
          </w:pPr>
          <w:hyperlink w:anchor="_Toc214485611" w:history="1">
            <w:r w:rsidRPr="00ED2616">
              <w:rPr>
                <w:rStyle w:val="Hyperlink"/>
                <w:noProof/>
              </w:rPr>
              <w:t>3.3 Strategies for Economic Forces</w:t>
            </w:r>
            <w:r>
              <w:rPr>
                <w:noProof/>
                <w:webHidden/>
              </w:rPr>
              <w:tab/>
            </w:r>
            <w:r>
              <w:rPr>
                <w:noProof/>
                <w:webHidden/>
              </w:rPr>
              <w:fldChar w:fldCharType="begin"/>
            </w:r>
            <w:r>
              <w:rPr>
                <w:noProof/>
                <w:webHidden/>
              </w:rPr>
              <w:instrText xml:space="preserve"> PAGEREF _Toc214485611 \h </w:instrText>
            </w:r>
            <w:r>
              <w:rPr>
                <w:noProof/>
                <w:webHidden/>
              </w:rPr>
            </w:r>
            <w:r>
              <w:rPr>
                <w:noProof/>
                <w:webHidden/>
              </w:rPr>
              <w:fldChar w:fldCharType="separate"/>
            </w:r>
            <w:r>
              <w:rPr>
                <w:noProof/>
                <w:webHidden/>
              </w:rPr>
              <w:t>10</w:t>
            </w:r>
            <w:r>
              <w:rPr>
                <w:noProof/>
                <w:webHidden/>
              </w:rPr>
              <w:fldChar w:fldCharType="end"/>
            </w:r>
          </w:hyperlink>
        </w:p>
        <w:p w:rsidR="006C3255" w:rsidRDefault="006C3255">
          <w:pPr>
            <w:pStyle w:val="TOC3"/>
            <w:tabs>
              <w:tab w:val="right" w:leader="dot" w:pos="9016"/>
            </w:tabs>
            <w:rPr>
              <w:noProof/>
            </w:rPr>
          </w:pPr>
          <w:hyperlink w:anchor="_Toc214485612" w:history="1">
            <w:r w:rsidRPr="00ED2616">
              <w:rPr>
                <w:rStyle w:val="Hyperlink"/>
                <w:noProof/>
              </w:rPr>
              <w:t>3.3.1 Pioneers’ Responses</w:t>
            </w:r>
            <w:r>
              <w:rPr>
                <w:noProof/>
                <w:webHidden/>
              </w:rPr>
              <w:tab/>
            </w:r>
            <w:r>
              <w:rPr>
                <w:noProof/>
                <w:webHidden/>
              </w:rPr>
              <w:fldChar w:fldCharType="begin"/>
            </w:r>
            <w:r>
              <w:rPr>
                <w:noProof/>
                <w:webHidden/>
              </w:rPr>
              <w:instrText xml:space="preserve"> PAGEREF _Toc214485612 \h </w:instrText>
            </w:r>
            <w:r>
              <w:rPr>
                <w:noProof/>
                <w:webHidden/>
              </w:rPr>
            </w:r>
            <w:r>
              <w:rPr>
                <w:noProof/>
                <w:webHidden/>
              </w:rPr>
              <w:fldChar w:fldCharType="separate"/>
            </w:r>
            <w:r>
              <w:rPr>
                <w:noProof/>
                <w:webHidden/>
              </w:rPr>
              <w:t>10</w:t>
            </w:r>
            <w:r>
              <w:rPr>
                <w:noProof/>
                <w:webHidden/>
              </w:rPr>
              <w:fldChar w:fldCharType="end"/>
            </w:r>
          </w:hyperlink>
        </w:p>
        <w:p w:rsidR="006C3255" w:rsidRDefault="006C3255">
          <w:pPr>
            <w:pStyle w:val="TOC3"/>
            <w:tabs>
              <w:tab w:val="right" w:leader="dot" w:pos="9016"/>
            </w:tabs>
            <w:rPr>
              <w:noProof/>
            </w:rPr>
          </w:pPr>
          <w:hyperlink w:anchor="_Toc214485613" w:history="1">
            <w:r w:rsidRPr="00ED2616">
              <w:rPr>
                <w:rStyle w:val="Hyperlink"/>
                <w:noProof/>
              </w:rPr>
              <w:t>3.3.2 Followers’ Responses</w:t>
            </w:r>
            <w:r>
              <w:rPr>
                <w:noProof/>
                <w:webHidden/>
              </w:rPr>
              <w:tab/>
            </w:r>
            <w:r>
              <w:rPr>
                <w:noProof/>
                <w:webHidden/>
              </w:rPr>
              <w:fldChar w:fldCharType="begin"/>
            </w:r>
            <w:r>
              <w:rPr>
                <w:noProof/>
                <w:webHidden/>
              </w:rPr>
              <w:instrText xml:space="preserve"> PAGEREF _Toc214485613 \h </w:instrText>
            </w:r>
            <w:r>
              <w:rPr>
                <w:noProof/>
                <w:webHidden/>
              </w:rPr>
            </w:r>
            <w:r>
              <w:rPr>
                <w:noProof/>
                <w:webHidden/>
              </w:rPr>
              <w:fldChar w:fldCharType="separate"/>
            </w:r>
            <w:r>
              <w:rPr>
                <w:noProof/>
                <w:webHidden/>
              </w:rPr>
              <w:t>11</w:t>
            </w:r>
            <w:r>
              <w:rPr>
                <w:noProof/>
                <w:webHidden/>
              </w:rPr>
              <w:fldChar w:fldCharType="end"/>
            </w:r>
          </w:hyperlink>
        </w:p>
        <w:p w:rsidR="006C3255" w:rsidRDefault="006C3255">
          <w:pPr>
            <w:pStyle w:val="TOC3"/>
            <w:tabs>
              <w:tab w:val="right" w:leader="dot" w:pos="9016"/>
            </w:tabs>
            <w:rPr>
              <w:noProof/>
            </w:rPr>
          </w:pPr>
          <w:hyperlink w:anchor="_Toc214485614" w:history="1">
            <w:r w:rsidRPr="00ED2616">
              <w:rPr>
                <w:rStyle w:val="Hyperlink"/>
                <w:noProof/>
              </w:rPr>
              <w:t>3.3.3 Integrated Critical Evaluation of Economic Responses</w:t>
            </w:r>
            <w:r>
              <w:rPr>
                <w:noProof/>
                <w:webHidden/>
              </w:rPr>
              <w:tab/>
            </w:r>
            <w:r>
              <w:rPr>
                <w:noProof/>
                <w:webHidden/>
              </w:rPr>
              <w:fldChar w:fldCharType="begin"/>
            </w:r>
            <w:r>
              <w:rPr>
                <w:noProof/>
                <w:webHidden/>
              </w:rPr>
              <w:instrText xml:space="preserve"> PAGEREF _Toc214485614 \h </w:instrText>
            </w:r>
            <w:r>
              <w:rPr>
                <w:noProof/>
                <w:webHidden/>
              </w:rPr>
            </w:r>
            <w:r>
              <w:rPr>
                <w:noProof/>
                <w:webHidden/>
              </w:rPr>
              <w:fldChar w:fldCharType="separate"/>
            </w:r>
            <w:r>
              <w:rPr>
                <w:noProof/>
                <w:webHidden/>
              </w:rPr>
              <w:t>11</w:t>
            </w:r>
            <w:r>
              <w:rPr>
                <w:noProof/>
                <w:webHidden/>
              </w:rPr>
              <w:fldChar w:fldCharType="end"/>
            </w:r>
          </w:hyperlink>
        </w:p>
        <w:p w:rsidR="006C3255" w:rsidRDefault="006C3255">
          <w:pPr>
            <w:pStyle w:val="TOC2"/>
            <w:tabs>
              <w:tab w:val="right" w:leader="dot" w:pos="9016"/>
            </w:tabs>
            <w:rPr>
              <w:noProof/>
            </w:rPr>
          </w:pPr>
          <w:hyperlink w:anchor="_Toc214485615" w:history="1">
            <w:r w:rsidRPr="00ED2616">
              <w:rPr>
                <w:rStyle w:val="Hyperlink"/>
                <w:noProof/>
              </w:rPr>
              <w:t>3.4 Cross-Comparative Strategic Synthesis</w:t>
            </w:r>
            <w:r>
              <w:rPr>
                <w:noProof/>
                <w:webHidden/>
              </w:rPr>
              <w:tab/>
            </w:r>
            <w:r>
              <w:rPr>
                <w:noProof/>
                <w:webHidden/>
              </w:rPr>
              <w:fldChar w:fldCharType="begin"/>
            </w:r>
            <w:r>
              <w:rPr>
                <w:noProof/>
                <w:webHidden/>
              </w:rPr>
              <w:instrText xml:space="preserve"> PAGEREF _Toc214485615 \h </w:instrText>
            </w:r>
            <w:r>
              <w:rPr>
                <w:noProof/>
                <w:webHidden/>
              </w:rPr>
            </w:r>
            <w:r>
              <w:rPr>
                <w:noProof/>
                <w:webHidden/>
              </w:rPr>
              <w:fldChar w:fldCharType="separate"/>
            </w:r>
            <w:r>
              <w:rPr>
                <w:noProof/>
                <w:webHidden/>
              </w:rPr>
              <w:t>11</w:t>
            </w:r>
            <w:r>
              <w:rPr>
                <w:noProof/>
                <w:webHidden/>
              </w:rPr>
              <w:fldChar w:fldCharType="end"/>
            </w:r>
          </w:hyperlink>
        </w:p>
        <w:p w:rsidR="006C3255" w:rsidRDefault="006C3255">
          <w:pPr>
            <w:pStyle w:val="TOC1"/>
            <w:tabs>
              <w:tab w:val="right" w:leader="dot" w:pos="9016"/>
            </w:tabs>
            <w:rPr>
              <w:noProof/>
            </w:rPr>
          </w:pPr>
          <w:hyperlink w:anchor="_Toc214485616" w:history="1">
            <w:r w:rsidRPr="00ED2616">
              <w:rPr>
                <w:rStyle w:val="Hyperlink"/>
                <w:noProof/>
              </w:rPr>
              <w:t>4. Conclusion</w:t>
            </w:r>
            <w:r>
              <w:rPr>
                <w:noProof/>
                <w:webHidden/>
              </w:rPr>
              <w:tab/>
            </w:r>
            <w:r>
              <w:rPr>
                <w:noProof/>
                <w:webHidden/>
              </w:rPr>
              <w:fldChar w:fldCharType="begin"/>
            </w:r>
            <w:r>
              <w:rPr>
                <w:noProof/>
                <w:webHidden/>
              </w:rPr>
              <w:instrText xml:space="preserve"> PAGEREF _Toc214485616 \h </w:instrText>
            </w:r>
            <w:r>
              <w:rPr>
                <w:noProof/>
                <w:webHidden/>
              </w:rPr>
            </w:r>
            <w:r>
              <w:rPr>
                <w:noProof/>
                <w:webHidden/>
              </w:rPr>
              <w:fldChar w:fldCharType="separate"/>
            </w:r>
            <w:r>
              <w:rPr>
                <w:noProof/>
                <w:webHidden/>
              </w:rPr>
              <w:t>12</w:t>
            </w:r>
            <w:r>
              <w:rPr>
                <w:noProof/>
                <w:webHidden/>
              </w:rPr>
              <w:fldChar w:fldCharType="end"/>
            </w:r>
          </w:hyperlink>
        </w:p>
        <w:p w:rsidR="006C3255" w:rsidRDefault="006C3255">
          <w:pPr>
            <w:pStyle w:val="TOC1"/>
            <w:tabs>
              <w:tab w:val="right" w:leader="dot" w:pos="9016"/>
            </w:tabs>
            <w:rPr>
              <w:noProof/>
            </w:rPr>
          </w:pPr>
          <w:hyperlink w:anchor="_Toc214485617" w:history="1">
            <w:r w:rsidRPr="00ED2616">
              <w:rPr>
                <w:rStyle w:val="Hyperlink"/>
                <w:noProof/>
              </w:rPr>
              <w:t>5. References</w:t>
            </w:r>
            <w:r>
              <w:rPr>
                <w:noProof/>
                <w:webHidden/>
              </w:rPr>
              <w:tab/>
            </w:r>
            <w:r>
              <w:rPr>
                <w:noProof/>
                <w:webHidden/>
              </w:rPr>
              <w:fldChar w:fldCharType="begin"/>
            </w:r>
            <w:r>
              <w:rPr>
                <w:noProof/>
                <w:webHidden/>
              </w:rPr>
              <w:instrText xml:space="preserve"> PAGEREF _Toc214485617 \h </w:instrText>
            </w:r>
            <w:r>
              <w:rPr>
                <w:noProof/>
                <w:webHidden/>
              </w:rPr>
            </w:r>
            <w:r>
              <w:rPr>
                <w:noProof/>
                <w:webHidden/>
              </w:rPr>
              <w:fldChar w:fldCharType="separate"/>
            </w:r>
            <w:r>
              <w:rPr>
                <w:noProof/>
                <w:webHidden/>
              </w:rPr>
              <w:t>12</w:t>
            </w:r>
            <w:r>
              <w:rPr>
                <w:noProof/>
                <w:webHidden/>
              </w:rPr>
              <w:fldChar w:fldCharType="end"/>
            </w:r>
          </w:hyperlink>
        </w:p>
        <w:p w:rsidR="006C3255" w:rsidRDefault="006C3255">
          <w:r>
            <w:rPr>
              <w:b/>
              <w:bCs/>
              <w:noProof/>
            </w:rPr>
            <w:fldChar w:fldCharType="end"/>
          </w:r>
        </w:p>
      </w:sdtContent>
    </w:sdt>
    <w:p w:rsidR="006C3255" w:rsidRDefault="006C3255" w:rsidP="006C3255">
      <w:pPr>
        <w:spacing w:line="276" w:lineRule="auto"/>
        <w:jc w:val="left"/>
        <w:rPr>
          <w:rFonts w:eastAsia="Times New Roman"/>
          <w:lang w:eastAsia="en-GB"/>
        </w:rPr>
      </w:pPr>
      <w:r>
        <w:rPr>
          <w:rFonts w:eastAsia="Times New Roman"/>
          <w:lang w:eastAsia="en-GB"/>
        </w:rPr>
        <w:br w:type="page"/>
      </w:r>
    </w:p>
    <w:p w:rsidR="005C0D41" w:rsidRPr="006C3255" w:rsidRDefault="005C0D41" w:rsidP="006C3255">
      <w:pPr>
        <w:pStyle w:val="Heading1"/>
        <w:rPr>
          <w:rFonts w:eastAsia="Times New Roman" w:cs="Times New Roman"/>
          <w:bCs/>
          <w:sz w:val="27"/>
          <w:szCs w:val="27"/>
          <w:lang w:eastAsia="en-GB"/>
        </w:rPr>
      </w:pPr>
      <w:bookmarkStart w:id="0" w:name="_Toc214485590"/>
      <w:r>
        <w:lastRenderedPageBreak/>
        <w:t>1. Introduction</w:t>
      </w:r>
      <w:bookmarkEnd w:id="0"/>
    </w:p>
    <w:p w:rsidR="00F4290A" w:rsidRDefault="00F4290A" w:rsidP="00F4290A">
      <w:r>
        <w:t xml:space="preserve">The smartphone industry in the world is a highly competitive and dynamic business, with a high rate of technological innovation, a brief product cycle, and highly advanced consumer demands. With operations that are globally integrated in supply chains, companies are constantly faced with technological innovations, market volatility and even geopolitical instability (Rappaport et al., 2013). </w:t>
      </w:r>
      <w:r w:rsidRPr="00F4290A">
        <w:t>Industry reports are of the rising pace of change: According to GSMA (2024), the use of 5G and AI-enhanced devices is increasing, McKinsey (2025) is more direct on the rising dubiousness of supply-chain resilience, and Statista (2025) notes that polarisation between high-end and low-end consumer segments is rising.</w:t>
      </w:r>
      <w:r w:rsidR="00AE19F5">
        <w:t xml:space="preserve"> </w:t>
      </w:r>
      <w:r>
        <w:t>Such developments highlight the importance of having a strong macro-environmental analysis in the face of increased volatility to assist in strategic decision-making.</w:t>
      </w:r>
    </w:p>
    <w:p w:rsidR="00F4290A" w:rsidRPr="00F4290A" w:rsidRDefault="00F4290A" w:rsidP="00F4290A">
      <w:r>
        <w:t>To explain these external forces, the present report employs the PESTLE framework, which is a commonly used tool of analysis that assists organisations in recognising risks and opportunities of these external factors that have political, economic, social, technological, legal, and environmental forces (</w:t>
      </w:r>
      <w:proofErr w:type="spellStart"/>
      <w:r>
        <w:t>Boumosleh</w:t>
      </w:r>
      <w:proofErr w:type="spellEnd"/>
      <w:r>
        <w:t xml:space="preserve"> and </w:t>
      </w:r>
      <w:proofErr w:type="spellStart"/>
      <w:r>
        <w:t>Jaalouk</w:t>
      </w:r>
      <w:proofErr w:type="spellEnd"/>
      <w:r>
        <w:t>, 2017). In such an environment, pioneers and followers are in different competitive positions which are determined by the time of innovation and strategic ability. The report is based on the strategic logic of the Matrix and Competitive Strategies of Ansoff and Porter to critically assess the reactions of pioneers and followers to external stresses using growth options, competitive positioning, and market adaptability behaviour (</w:t>
      </w:r>
      <w:proofErr w:type="spellStart"/>
      <w:r>
        <w:t>Nafizah</w:t>
      </w:r>
      <w:proofErr w:type="spellEnd"/>
      <w:r>
        <w:t xml:space="preserve"> et al., 2023). </w:t>
      </w:r>
    </w:p>
    <w:p w:rsidR="009F644D" w:rsidRDefault="009F644D" w:rsidP="009F644D">
      <w:pPr>
        <w:pStyle w:val="Heading1"/>
      </w:pPr>
      <w:bookmarkStart w:id="1" w:name="_Toc214485591"/>
      <w:r w:rsidRPr="009F644D">
        <w:t>2</w:t>
      </w:r>
      <w:r>
        <w:t>. Task 1 –</w:t>
      </w:r>
      <w:r w:rsidRPr="009F644D">
        <w:t>Macro Environment Analysis</w:t>
      </w:r>
      <w:bookmarkEnd w:id="1"/>
    </w:p>
    <w:p w:rsidR="00AE19F5" w:rsidRDefault="00AE19F5" w:rsidP="00AE19F5">
      <w:r>
        <w:t>One of the most significant elements of strategic decision-making is macro-environmental analysis especially in the industries that are volatile, face rapid technological change and international competition. Of all the available analytical frameworks, PESTLE has become the most common framework due to its ability to offer a multi-dimensional view of analytical positions on the external forces that influence organisational behaviour (</w:t>
      </w:r>
      <w:proofErr w:type="spellStart"/>
      <w:r>
        <w:t>Imoize</w:t>
      </w:r>
      <w:proofErr w:type="spellEnd"/>
      <w:r>
        <w:t xml:space="preserve"> et al., 2021). PESTLE can also enable firms to identify new risks and opportunities that are beyond their competitive context by analysing the political, economic, social, technological, legal and environmental factors (</w:t>
      </w:r>
      <w:proofErr w:type="spellStart"/>
      <w:r>
        <w:t>Strubbe</w:t>
      </w:r>
      <w:proofErr w:type="spellEnd"/>
      <w:r>
        <w:t xml:space="preserve"> et al., 2023). This breadth is essential to the smartphone industry worldwide, in which technological disruption, economic changes, and geopolitical conflicts transform the competitive performance fundamentally (Li et al., 2023).</w:t>
      </w:r>
    </w:p>
    <w:p w:rsidR="00AE19F5" w:rsidRDefault="00AE19F5" w:rsidP="00AE19F5">
      <w:r>
        <w:lastRenderedPageBreak/>
        <w:t>PESTLE is relevant because it is more comprehensive but also in its capacity to help understand the asymmetrical action of external pressures on various types of firms (</w:t>
      </w:r>
      <w:proofErr w:type="spellStart"/>
      <w:r>
        <w:t>Karhade</w:t>
      </w:r>
      <w:proofErr w:type="spellEnd"/>
      <w:r>
        <w:t xml:space="preserve"> &amp; Dong, 2021). Examples of such pioneers as Apple and Samsung encounter different macro-environmental factors, and followers, including Xiaomi or </w:t>
      </w:r>
      <w:proofErr w:type="spellStart"/>
      <w:r>
        <w:t>Oppo</w:t>
      </w:r>
      <w:proofErr w:type="spellEnd"/>
      <w:r>
        <w:t>, such as exposure to IP regulation and global supply-chain risks, vulnerability to changes in consumer income, etc. (</w:t>
      </w:r>
      <w:proofErr w:type="spellStart"/>
      <w:r>
        <w:t>Partyka</w:t>
      </w:r>
      <w:proofErr w:type="spellEnd"/>
      <w:r>
        <w:t xml:space="preserve"> et al., 2023). PESTLE hence offers a logical framework of comparison of how these companies negotiate their way through intricate external surroundings and how macro forces either support or undermine their strategic locus.</w:t>
      </w:r>
    </w:p>
    <w:p w:rsidR="0014264D" w:rsidRDefault="0014264D" w:rsidP="0014264D">
      <w:pPr>
        <w:pStyle w:val="Heading1"/>
      </w:pPr>
      <w:bookmarkStart w:id="2" w:name="_Toc214485592"/>
      <w:r>
        <w:t>2. TASK 1 – MACRO ENVIRONMENT ANALYSIS</w:t>
      </w:r>
      <w:bookmarkEnd w:id="2"/>
    </w:p>
    <w:p w:rsidR="0014264D" w:rsidRDefault="0014264D" w:rsidP="00A96B8D">
      <w:pPr>
        <w:pStyle w:val="Heading2"/>
      </w:pPr>
      <w:bookmarkStart w:id="3" w:name="_Toc214485593"/>
      <w:r>
        <w:t>2.1 Theoretical Foundation for Macro Analysis</w:t>
      </w:r>
      <w:bookmarkEnd w:id="3"/>
    </w:p>
    <w:p w:rsidR="00AE19F5" w:rsidRDefault="00AE19F5" w:rsidP="00AE19F5">
      <w:r>
        <w:t>The macro-environmental analysis plays a vital role in the perception of the external conditions in influencing the strategic behaviour, especially in the industries that are highly dynamic and globalised. PESTLE is the most suitable model in this case since it reflects the entire range of external pressures political, economic, social, technological, legal, and environmental, which affect companies in difficult markets (Jiang et al., 2021). Its advantage is that it offers the multi-dimensional perspective of the environment, and thus it allows organisations to take into consideration the inter-relationship between risks and opportunities instead of considering factors individually.</w:t>
      </w:r>
    </w:p>
    <w:p w:rsidR="00AE19F5" w:rsidRPr="00AE19F5" w:rsidRDefault="00AE19F5" w:rsidP="00AE19F5">
      <w:r>
        <w:t>The smartphone industry worldwide is particularly vulnerable to the PESTLE forces because it relies on the global supply chains, rapid technology changes, earnings of consumers, and patent-based systems of innovation (</w:t>
      </w:r>
      <w:proofErr w:type="spellStart"/>
      <w:r>
        <w:t>Gramiglia</w:t>
      </w:r>
      <w:proofErr w:type="spellEnd"/>
      <w:r>
        <w:t xml:space="preserve"> et al., 2022). Smartphone companies, unlike slower-paced industries, have to constantly adjust to technological shocks, geopolitical instabilities and changes to the economic environment. PESTLE thus provides a systematic way of knowing what firms make out of them and how they react to them. Although PESTLE is useful, it does not have no limitations. </w:t>
      </w:r>
    </w:p>
    <w:p w:rsidR="0014264D" w:rsidRDefault="0014264D" w:rsidP="0014264D">
      <w:pPr>
        <w:pStyle w:val="Heading2"/>
      </w:pPr>
      <w:bookmarkStart w:id="4" w:name="_Toc214485594"/>
      <w:r>
        <w:t>2.2 Macro Actor 1: Technological Forces</w:t>
      </w:r>
      <w:bookmarkEnd w:id="4"/>
    </w:p>
    <w:p w:rsidR="000F0493" w:rsidRDefault="000F0493" w:rsidP="000F0493">
      <w:r w:rsidRPr="000F0493">
        <w:t xml:space="preserve">The most prevailing macro factor in the smartphone industry is technological forces. The industry is characterized by a rapid pace of innovation, an increase in the intensity of research and development, and constant AI, chip design, connectivity (5G/6G), and device architecture </w:t>
      </w:r>
      <w:r w:rsidRPr="000F0493">
        <w:lastRenderedPageBreak/>
        <w:t>breakthroughs (</w:t>
      </w:r>
      <w:proofErr w:type="spellStart"/>
      <w:r w:rsidRPr="000F0493">
        <w:t>Valcarenghi</w:t>
      </w:r>
      <w:proofErr w:type="spellEnd"/>
      <w:r w:rsidRPr="000F0493">
        <w:t xml:space="preserve"> et al., 2022). These trends have asymmetric pressures upon the pioneers and the followers and create different competitive roles.</w:t>
      </w:r>
    </w:p>
    <w:p w:rsidR="00E75DAC" w:rsidRDefault="00E75DAC" w:rsidP="000F0493">
      <w:pPr>
        <w:rPr>
          <w:b/>
          <w:i/>
          <w:color w:val="44546A" w:themeColor="text2"/>
        </w:rPr>
      </w:pPr>
      <w:r w:rsidRPr="00E75DAC">
        <w:rPr>
          <w:b/>
          <w:i/>
          <w:color w:val="44546A" w:themeColor="text2"/>
        </w:rPr>
        <w:t>Table 1. Technological Opportunities and Threats for Pioneers and Followers</w:t>
      </w:r>
    </w:p>
    <w:tbl>
      <w:tblPr>
        <w:tblStyle w:val="GridTable4-Accent5"/>
        <w:tblW w:w="0" w:type="auto"/>
        <w:tblLook w:val="04A0" w:firstRow="1" w:lastRow="0" w:firstColumn="1" w:lastColumn="0" w:noHBand="0" w:noVBand="1"/>
      </w:tblPr>
      <w:tblGrid>
        <w:gridCol w:w="3005"/>
        <w:gridCol w:w="3005"/>
        <w:gridCol w:w="3006"/>
      </w:tblGrid>
      <w:tr w:rsidR="00E75DAC" w:rsidRPr="00E75DAC" w:rsidTr="00E75D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color w:val="000000" w:themeColor="text1"/>
                <w:sz w:val="28"/>
              </w:rPr>
            </w:pPr>
            <w:r w:rsidRPr="00E75DAC">
              <w:rPr>
                <w:color w:val="000000" w:themeColor="text1"/>
                <w:sz w:val="28"/>
              </w:rPr>
              <w:t>Category</w:t>
            </w:r>
          </w:p>
        </w:tc>
        <w:tc>
          <w:tcPr>
            <w:tcW w:w="3005" w:type="dxa"/>
          </w:tcPr>
          <w:p w:rsidR="00E75DAC" w:rsidRPr="00E75DAC" w:rsidRDefault="00E75DAC" w:rsidP="00CA4AB1">
            <w:pPr>
              <w:cnfStyle w:val="100000000000" w:firstRow="1" w:lastRow="0" w:firstColumn="0" w:lastColumn="0" w:oddVBand="0" w:evenVBand="0" w:oddHBand="0" w:evenHBand="0" w:firstRowFirstColumn="0" w:firstRowLastColumn="0" w:lastRowFirstColumn="0" w:lastRowLastColumn="0"/>
              <w:rPr>
                <w:color w:val="000000" w:themeColor="text1"/>
                <w:sz w:val="28"/>
              </w:rPr>
            </w:pPr>
            <w:r w:rsidRPr="00E75DAC">
              <w:rPr>
                <w:color w:val="000000" w:themeColor="text1"/>
                <w:sz w:val="28"/>
              </w:rPr>
              <w:t>Pioneers (Apple, Samsung)</w:t>
            </w:r>
          </w:p>
        </w:tc>
        <w:tc>
          <w:tcPr>
            <w:tcW w:w="3006" w:type="dxa"/>
          </w:tcPr>
          <w:p w:rsidR="00E75DAC" w:rsidRPr="00E75DAC" w:rsidRDefault="00E75DAC" w:rsidP="00CA4AB1">
            <w:pPr>
              <w:cnfStyle w:val="100000000000" w:firstRow="1" w:lastRow="0" w:firstColumn="0" w:lastColumn="0" w:oddVBand="0" w:evenVBand="0" w:oddHBand="0" w:evenHBand="0" w:firstRowFirstColumn="0" w:firstRowLastColumn="0" w:lastRowFirstColumn="0" w:lastRowLastColumn="0"/>
              <w:rPr>
                <w:color w:val="000000" w:themeColor="text1"/>
                <w:sz w:val="28"/>
              </w:rPr>
            </w:pPr>
            <w:r w:rsidRPr="00E75DAC">
              <w:rPr>
                <w:color w:val="000000" w:themeColor="text1"/>
                <w:sz w:val="28"/>
              </w:rPr>
              <w:t xml:space="preserve">Followers (Xiaomi, </w:t>
            </w:r>
            <w:proofErr w:type="spellStart"/>
            <w:r w:rsidRPr="00E75DAC">
              <w:rPr>
                <w:color w:val="000000" w:themeColor="text1"/>
                <w:sz w:val="28"/>
              </w:rPr>
              <w:t>Oppo</w:t>
            </w:r>
            <w:proofErr w:type="spellEnd"/>
            <w:r w:rsidRPr="00E75DAC">
              <w:rPr>
                <w:color w:val="000000" w:themeColor="text1"/>
                <w:sz w:val="28"/>
              </w:rPr>
              <w:t>)</w:t>
            </w:r>
          </w:p>
        </w:tc>
      </w:tr>
      <w:tr w:rsidR="00E75DAC" w:rsidRPr="00E75DAC" w:rsidTr="00E75D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b w:val="0"/>
                <w:color w:val="000000" w:themeColor="text1"/>
              </w:rPr>
            </w:pPr>
            <w:r w:rsidRPr="00E75DAC">
              <w:rPr>
                <w:b w:val="0"/>
                <w:color w:val="000000" w:themeColor="text1"/>
              </w:rPr>
              <w:t>Opportunities</w:t>
            </w:r>
          </w:p>
        </w:tc>
        <w:tc>
          <w:tcPr>
            <w:tcW w:w="3005" w:type="dxa"/>
          </w:tcPr>
          <w:p w:rsidR="00E75DAC" w:rsidRPr="00E75DAC" w:rsidRDefault="00E75DAC" w:rsidP="00CA4AB1">
            <w:pPr>
              <w:cnfStyle w:val="000000100000" w:firstRow="0" w:lastRow="0" w:firstColumn="0" w:lastColumn="0" w:oddVBand="0" w:evenVBand="0" w:oddHBand="1" w:evenHBand="0" w:firstRowFirstColumn="0" w:firstRowLastColumn="0" w:lastRowFirstColumn="0" w:lastRowLastColumn="0"/>
              <w:rPr>
                <w:color w:val="000000" w:themeColor="text1"/>
              </w:rPr>
            </w:pPr>
            <w:r w:rsidRPr="00E75DAC">
              <w:rPr>
                <w:color w:val="000000" w:themeColor="text1"/>
              </w:rPr>
              <w:t>• Early chipset leadership</w:t>
            </w:r>
          </w:p>
        </w:tc>
        <w:tc>
          <w:tcPr>
            <w:tcW w:w="3006" w:type="dxa"/>
          </w:tcPr>
          <w:p w:rsidR="00E75DAC" w:rsidRPr="00E75DAC" w:rsidRDefault="00E75DAC" w:rsidP="00CA4AB1">
            <w:pPr>
              <w:cnfStyle w:val="000000100000" w:firstRow="0" w:lastRow="0" w:firstColumn="0" w:lastColumn="0" w:oddVBand="0" w:evenVBand="0" w:oddHBand="1" w:evenHBand="0" w:firstRowFirstColumn="0" w:firstRowLastColumn="0" w:lastRowFirstColumn="0" w:lastRowLastColumn="0"/>
              <w:rPr>
                <w:color w:val="000000" w:themeColor="text1"/>
              </w:rPr>
            </w:pPr>
            <w:r w:rsidRPr="00E75DAC">
              <w:rPr>
                <w:color w:val="000000" w:themeColor="text1"/>
              </w:rPr>
              <w:t>• Technology imitation &amp; diffusion</w:t>
            </w:r>
          </w:p>
        </w:tc>
      </w:tr>
      <w:tr w:rsidR="00E75DAC" w:rsidRPr="00E75DAC" w:rsidTr="00E75DAC">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b w:val="0"/>
                <w:color w:val="000000" w:themeColor="text1"/>
              </w:rPr>
            </w:pPr>
          </w:p>
        </w:tc>
        <w:tc>
          <w:tcPr>
            <w:tcW w:w="3005" w:type="dxa"/>
          </w:tcPr>
          <w:p w:rsidR="00E75DAC" w:rsidRPr="00E75DAC" w:rsidRDefault="00E75DAC" w:rsidP="00CA4AB1">
            <w:pPr>
              <w:cnfStyle w:val="000000000000" w:firstRow="0" w:lastRow="0" w:firstColumn="0" w:lastColumn="0" w:oddVBand="0" w:evenVBand="0" w:oddHBand="0" w:evenHBand="0" w:firstRowFirstColumn="0" w:firstRowLastColumn="0" w:lastRowFirstColumn="0" w:lastRowLastColumn="0"/>
              <w:rPr>
                <w:color w:val="000000" w:themeColor="text1"/>
              </w:rPr>
            </w:pPr>
            <w:r w:rsidRPr="00E75DAC">
              <w:rPr>
                <w:color w:val="000000" w:themeColor="text1"/>
              </w:rPr>
              <w:t>• AI-driven product differentiation</w:t>
            </w:r>
          </w:p>
        </w:tc>
        <w:tc>
          <w:tcPr>
            <w:tcW w:w="3006" w:type="dxa"/>
          </w:tcPr>
          <w:p w:rsidR="00E75DAC" w:rsidRPr="00E75DAC" w:rsidRDefault="00E75DAC" w:rsidP="00CA4AB1">
            <w:pPr>
              <w:cnfStyle w:val="000000000000" w:firstRow="0" w:lastRow="0" w:firstColumn="0" w:lastColumn="0" w:oddVBand="0" w:evenVBand="0" w:oddHBand="0" w:evenHBand="0" w:firstRowFirstColumn="0" w:firstRowLastColumn="0" w:lastRowFirstColumn="0" w:lastRowLastColumn="0"/>
              <w:rPr>
                <w:color w:val="000000" w:themeColor="text1"/>
              </w:rPr>
            </w:pPr>
            <w:r w:rsidRPr="00E75DAC">
              <w:rPr>
                <w:color w:val="000000" w:themeColor="text1"/>
              </w:rPr>
              <w:t>• Leverage of Android open ecosystem</w:t>
            </w:r>
          </w:p>
        </w:tc>
      </w:tr>
      <w:tr w:rsidR="00E75DAC" w:rsidRPr="00E75DAC" w:rsidTr="00E75D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b w:val="0"/>
                <w:color w:val="000000" w:themeColor="text1"/>
              </w:rPr>
            </w:pPr>
          </w:p>
        </w:tc>
        <w:tc>
          <w:tcPr>
            <w:tcW w:w="3005" w:type="dxa"/>
          </w:tcPr>
          <w:p w:rsidR="00E75DAC" w:rsidRPr="00E75DAC" w:rsidRDefault="00E75DAC" w:rsidP="00CA4AB1">
            <w:pPr>
              <w:cnfStyle w:val="000000100000" w:firstRow="0" w:lastRow="0" w:firstColumn="0" w:lastColumn="0" w:oddVBand="0" w:evenVBand="0" w:oddHBand="1" w:evenHBand="0" w:firstRowFirstColumn="0" w:firstRowLastColumn="0" w:lastRowFirstColumn="0" w:lastRowLastColumn="0"/>
              <w:rPr>
                <w:color w:val="000000" w:themeColor="text1"/>
              </w:rPr>
            </w:pPr>
            <w:r w:rsidRPr="00E75DAC">
              <w:rPr>
                <w:color w:val="000000" w:themeColor="text1"/>
              </w:rPr>
              <w:t>• Strong premium ecosystem lock-in</w:t>
            </w:r>
          </w:p>
        </w:tc>
        <w:tc>
          <w:tcPr>
            <w:tcW w:w="3006" w:type="dxa"/>
          </w:tcPr>
          <w:p w:rsidR="00E75DAC" w:rsidRPr="00E75DAC" w:rsidRDefault="00E75DAC" w:rsidP="00CA4AB1">
            <w:pPr>
              <w:cnfStyle w:val="000000100000" w:firstRow="0" w:lastRow="0" w:firstColumn="0" w:lastColumn="0" w:oddVBand="0" w:evenVBand="0" w:oddHBand="1" w:evenHBand="0" w:firstRowFirstColumn="0" w:firstRowLastColumn="0" w:lastRowFirstColumn="0" w:lastRowLastColumn="0"/>
              <w:rPr>
                <w:color w:val="000000" w:themeColor="text1"/>
              </w:rPr>
            </w:pPr>
            <w:r w:rsidRPr="00E75DAC">
              <w:rPr>
                <w:color w:val="000000" w:themeColor="text1"/>
              </w:rPr>
              <w:t>• Modular design enabling cost efficiencies</w:t>
            </w:r>
          </w:p>
        </w:tc>
      </w:tr>
      <w:tr w:rsidR="00E75DAC" w:rsidRPr="00E75DAC" w:rsidTr="00E75DAC">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b w:val="0"/>
                <w:color w:val="000000" w:themeColor="text1"/>
              </w:rPr>
            </w:pPr>
            <w:r w:rsidRPr="00E75DAC">
              <w:rPr>
                <w:b w:val="0"/>
                <w:color w:val="000000" w:themeColor="text1"/>
              </w:rPr>
              <w:t>Threats</w:t>
            </w:r>
          </w:p>
        </w:tc>
        <w:tc>
          <w:tcPr>
            <w:tcW w:w="3005" w:type="dxa"/>
          </w:tcPr>
          <w:p w:rsidR="00E75DAC" w:rsidRPr="00E75DAC" w:rsidRDefault="00E75DAC" w:rsidP="00CA4AB1">
            <w:pPr>
              <w:cnfStyle w:val="000000000000" w:firstRow="0" w:lastRow="0" w:firstColumn="0" w:lastColumn="0" w:oddVBand="0" w:evenVBand="0" w:oddHBand="0" w:evenHBand="0" w:firstRowFirstColumn="0" w:firstRowLastColumn="0" w:lastRowFirstColumn="0" w:lastRowLastColumn="0"/>
              <w:rPr>
                <w:color w:val="000000" w:themeColor="text1"/>
              </w:rPr>
            </w:pPr>
            <w:r w:rsidRPr="00E75DAC">
              <w:rPr>
                <w:color w:val="000000" w:themeColor="text1"/>
              </w:rPr>
              <w:t>• Escalating R&amp;D expenditure</w:t>
            </w:r>
          </w:p>
        </w:tc>
        <w:tc>
          <w:tcPr>
            <w:tcW w:w="3006" w:type="dxa"/>
          </w:tcPr>
          <w:p w:rsidR="00E75DAC" w:rsidRPr="00E75DAC" w:rsidRDefault="00E75DAC" w:rsidP="00CA4AB1">
            <w:pPr>
              <w:cnfStyle w:val="000000000000" w:firstRow="0" w:lastRow="0" w:firstColumn="0" w:lastColumn="0" w:oddVBand="0" w:evenVBand="0" w:oddHBand="0" w:evenHBand="0" w:firstRowFirstColumn="0" w:firstRowLastColumn="0" w:lastRowFirstColumn="0" w:lastRowLastColumn="0"/>
              <w:rPr>
                <w:color w:val="000000" w:themeColor="text1"/>
              </w:rPr>
            </w:pPr>
            <w:r w:rsidRPr="00E75DAC">
              <w:rPr>
                <w:color w:val="000000" w:themeColor="text1"/>
              </w:rPr>
              <w:t>• Geopolitical restrictions on chip access</w:t>
            </w:r>
          </w:p>
        </w:tc>
      </w:tr>
      <w:tr w:rsidR="00E75DAC" w:rsidRPr="00E75DAC" w:rsidTr="00E75D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b w:val="0"/>
                <w:color w:val="000000" w:themeColor="text1"/>
              </w:rPr>
            </w:pPr>
          </w:p>
        </w:tc>
        <w:tc>
          <w:tcPr>
            <w:tcW w:w="3005" w:type="dxa"/>
          </w:tcPr>
          <w:p w:rsidR="00E75DAC" w:rsidRPr="00E75DAC" w:rsidRDefault="00E75DAC" w:rsidP="00CA4AB1">
            <w:pPr>
              <w:cnfStyle w:val="000000100000" w:firstRow="0" w:lastRow="0" w:firstColumn="0" w:lastColumn="0" w:oddVBand="0" w:evenVBand="0" w:oddHBand="1" w:evenHBand="0" w:firstRowFirstColumn="0" w:firstRowLastColumn="0" w:lastRowFirstColumn="0" w:lastRowLastColumn="0"/>
              <w:rPr>
                <w:color w:val="000000" w:themeColor="text1"/>
              </w:rPr>
            </w:pPr>
            <w:r w:rsidRPr="00E75DAC">
              <w:rPr>
                <w:color w:val="000000" w:themeColor="text1"/>
              </w:rPr>
              <w:t>• Frequent patent litigation risks</w:t>
            </w:r>
          </w:p>
        </w:tc>
        <w:tc>
          <w:tcPr>
            <w:tcW w:w="3006" w:type="dxa"/>
          </w:tcPr>
          <w:p w:rsidR="00E75DAC" w:rsidRPr="00E75DAC" w:rsidRDefault="00E75DAC" w:rsidP="00CA4AB1">
            <w:pPr>
              <w:cnfStyle w:val="000000100000" w:firstRow="0" w:lastRow="0" w:firstColumn="0" w:lastColumn="0" w:oddVBand="0" w:evenVBand="0" w:oddHBand="1" w:evenHBand="0" w:firstRowFirstColumn="0" w:firstRowLastColumn="0" w:lastRowFirstColumn="0" w:lastRowLastColumn="0"/>
              <w:rPr>
                <w:color w:val="000000" w:themeColor="text1"/>
              </w:rPr>
            </w:pPr>
            <w:r w:rsidRPr="00E75DAC">
              <w:rPr>
                <w:color w:val="000000" w:themeColor="text1"/>
              </w:rPr>
              <w:t>• Dependency on Android (reduced autonomy)</w:t>
            </w:r>
          </w:p>
        </w:tc>
      </w:tr>
      <w:tr w:rsidR="00E75DAC" w:rsidRPr="00E75DAC" w:rsidTr="00E75DAC">
        <w:tc>
          <w:tcPr>
            <w:cnfStyle w:val="001000000000" w:firstRow="0" w:lastRow="0" w:firstColumn="1" w:lastColumn="0" w:oddVBand="0" w:evenVBand="0" w:oddHBand="0" w:evenHBand="0" w:firstRowFirstColumn="0" w:firstRowLastColumn="0" w:lastRowFirstColumn="0" w:lastRowLastColumn="0"/>
            <w:tcW w:w="3005" w:type="dxa"/>
          </w:tcPr>
          <w:p w:rsidR="00E75DAC" w:rsidRPr="00E75DAC" w:rsidRDefault="00E75DAC" w:rsidP="00CA4AB1">
            <w:pPr>
              <w:rPr>
                <w:b w:val="0"/>
                <w:color w:val="000000" w:themeColor="text1"/>
              </w:rPr>
            </w:pPr>
          </w:p>
        </w:tc>
        <w:tc>
          <w:tcPr>
            <w:tcW w:w="3005" w:type="dxa"/>
          </w:tcPr>
          <w:p w:rsidR="00E75DAC" w:rsidRPr="00E75DAC" w:rsidRDefault="00E75DAC" w:rsidP="00CA4AB1">
            <w:pPr>
              <w:cnfStyle w:val="000000000000" w:firstRow="0" w:lastRow="0" w:firstColumn="0" w:lastColumn="0" w:oddVBand="0" w:evenVBand="0" w:oddHBand="0" w:evenHBand="0" w:firstRowFirstColumn="0" w:firstRowLastColumn="0" w:lastRowFirstColumn="0" w:lastRowLastColumn="0"/>
              <w:rPr>
                <w:color w:val="000000" w:themeColor="text1"/>
              </w:rPr>
            </w:pPr>
            <w:r w:rsidRPr="00E75DAC">
              <w:rPr>
                <w:color w:val="000000" w:themeColor="text1"/>
              </w:rPr>
              <w:t>• Rapid technological obsolescence</w:t>
            </w:r>
          </w:p>
        </w:tc>
        <w:tc>
          <w:tcPr>
            <w:tcW w:w="3006" w:type="dxa"/>
          </w:tcPr>
          <w:p w:rsidR="00E75DAC" w:rsidRPr="00E75DAC" w:rsidRDefault="00E75DAC" w:rsidP="00CA4AB1">
            <w:pPr>
              <w:cnfStyle w:val="000000000000" w:firstRow="0" w:lastRow="0" w:firstColumn="0" w:lastColumn="0" w:oddVBand="0" w:evenVBand="0" w:oddHBand="0" w:evenHBand="0" w:firstRowFirstColumn="0" w:firstRowLastColumn="0" w:lastRowFirstColumn="0" w:lastRowLastColumn="0"/>
              <w:rPr>
                <w:color w:val="000000" w:themeColor="text1"/>
              </w:rPr>
            </w:pPr>
            <w:r w:rsidRPr="00E75DAC">
              <w:rPr>
                <w:color w:val="000000" w:themeColor="text1"/>
              </w:rPr>
              <w:t>• Thin margins and high price competition</w:t>
            </w:r>
          </w:p>
        </w:tc>
      </w:tr>
    </w:tbl>
    <w:p w:rsidR="0014264D" w:rsidRDefault="008B4AA4" w:rsidP="0014264D">
      <w:pPr>
        <w:pStyle w:val="Heading3"/>
      </w:pPr>
      <w:bookmarkStart w:id="5" w:name="_Toc214485595"/>
      <w:r>
        <w:t>2.2.1 Opportunities f</w:t>
      </w:r>
      <w:r w:rsidR="0014264D">
        <w:t>or Pioneers</w:t>
      </w:r>
      <w:bookmarkEnd w:id="5"/>
    </w:p>
    <w:p w:rsidR="00D42F3C" w:rsidRPr="00D42F3C" w:rsidRDefault="00D42F3C" w:rsidP="00D42F3C">
      <w:proofErr w:type="spellStart"/>
      <w:r w:rsidRPr="00D42F3C">
        <w:t>Innovatives</w:t>
      </w:r>
      <w:proofErr w:type="spellEnd"/>
      <w:r w:rsidRPr="00D42F3C">
        <w:t xml:space="preserve"> are dependent on the technological acceleration as a source of long-term benefit. Apple and Samsung are constantly defying the industry standards through early chipset leadership, optimisation of their software with AI and innovative camera systems. The information provided by IDC (2024, 2025) proves that the performance benchmarks of the Apple A-series Bionic chips and Samsung </w:t>
      </w:r>
      <w:proofErr w:type="spellStart"/>
      <w:r w:rsidRPr="00D42F3C">
        <w:t>Exynos</w:t>
      </w:r>
      <w:proofErr w:type="spellEnd"/>
      <w:r w:rsidRPr="00D42F3C">
        <w:t xml:space="preserve"> platforms are in the lead. Innovation has the advantage that first mover credibility among first adopters, which creates brand leadership. Early strategic investments give first movers a chance to influence upcoming technology trends like the move of Apple towards on-device AI processing or Samsung to lead in the foldable display market (</w:t>
      </w:r>
      <w:proofErr w:type="spellStart"/>
      <w:r w:rsidRPr="00D42F3C">
        <w:t>Letaief</w:t>
      </w:r>
      <w:proofErr w:type="spellEnd"/>
      <w:r w:rsidRPr="00D42F3C">
        <w:t xml:space="preserve"> et al., 2022). </w:t>
      </w:r>
    </w:p>
    <w:p w:rsidR="0014264D" w:rsidRDefault="0014264D" w:rsidP="0014264D">
      <w:pPr>
        <w:pStyle w:val="Heading3"/>
      </w:pPr>
      <w:bookmarkStart w:id="6" w:name="_Toc214485596"/>
      <w:r>
        <w:t>2.2.2 Opportunities for Followers</w:t>
      </w:r>
      <w:bookmarkEnd w:id="6"/>
    </w:p>
    <w:p w:rsidR="00D42F3C" w:rsidRPr="00D42F3C" w:rsidRDefault="00D42F3C" w:rsidP="00D42F3C">
      <w:r>
        <w:lastRenderedPageBreak/>
        <w:t xml:space="preserve">Technological advancements are also of value to the followers, but as a result of the diffusion and not the frontier innovation. The presence of open-source Android systems, shared semiconductor manufacturers, and modular production help companies such as Xiaomi and </w:t>
      </w:r>
      <w:proofErr w:type="spellStart"/>
      <w:r>
        <w:t>Oppo</w:t>
      </w:r>
      <w:proofErr w:type="spellEnd"/>
      <w:r>
        <w:t xml:space="preserve"> to implement high-tech products in less time and at a reduced pri</w:t>
      </w:r>
      <w:r w:rsidR="00B00DF2">
        <w:t xml:space="preserve">ce (Woolley &amp; MacGregor, 2022). </w:t>
      </w:r>
      <w:r>
        <w:t xml:space="preserve">Kim et al. (2022) observe that the late movers can use imitation in conjunction with incremental innovation in order to develop competitive offerings. The same notion is held by </w:t>
      </w:r>
      <w:proofErr w:type="spellStart"/>
      <w:r>
        <w:t>Schnaars</w:t>
      </w:r>
      <w:proofErr w:type="spellEnd"/>
      <w:r>
        <w:t xml:space="preserve"> (1994), who asserts that imitation can be better than innovation in case consumers attach more importance to</w:t>
      </w:r>
      <w:r w:rsidR="00B00DF2">
        <w:t xml:space="preserve"> affordability than to novelty </w:t>
      </w:r>
      <w:r>
        <w:t xml:space="preserve">(Lee et al., 2014). </w:t>
      </w:r>
    </w:p>
    <w:p w:rsidR="0014264D" w:rsidRDefault="0014264D" w:rsidP="0014264D">
      <w:pPr>
        <w:pStyle w:val="Heading3"/>
      </w:pPr>
      <w:bookmarkStart w:id="7" w:name="_Toc214485597"/>
      <w:r>
        <w:t>2.2.3 Threats for Pioneers</w:t>
      </w:r>
      <w:bookmarkEnd w:id="7"/>
    </w:p>
    <w:p w:rsidR="00C01EDC" w:rsidRPr="00C01EDC" w:rsidRDefault="00C01EDC" w:rsidP="00C01EDC">
      <w:r w:rsidRPr="00C01EDC">
        <w:t>Pioneers are also faced with serious threats due to technological forces. The issue of the R&amp;D growth is one of the primary concerns: it is impossible to remain a leader without investing all forces regularly, and any procrastination can lead to losing the market share quickly. Intellectual property lawsuits, such as patent cases and antitrust regulation are also extremely common among pioneers (</w:t>
      </w:r>
      <w:proofErr w:type="spellStart"/>
      <w:r w:rsidRPr="00C01EDC">
        <w:t>Ju</w:t>
      </w:r>
      <w:proofErr w:type="spellEnd"/>
      <w:r w:rsidRPr="00C01EDC">
        <w:t>, 2023). Additionally, the fact that premium devices are exposed to rapid obsolescence is a risk as the product can lose its competitive relevance within months. The knowledge-based perspective emphasizes that the cost of retaining proprietary technological advantage is growing more e</w:t>
      </w:r>
      <w:r w:rsidR="00B00DF2">
        <w:t xml:space="preserve">xpensive as the rivals improve </w:t>
      </w:r>
      <w:r w:rsidRPr="00C01EDC">
        <w:t>(</w:t>
      </w:r>
      <w:proofErr w:type="spellStart"/>
      <w:r w:rsidRPr="00C01EDC">
        <w:t>Bouri</w:t>
      </w:r>
      <w:proofErr w:type="spellEnd"/>
      <w:r w:rsidRPr="00C01EDC">
        <w:t xml:space="preserve"> and Ravi, 2014).</w:t>
      </w:r>
    </w:p>
    <w:p w:rsidR="0014264D" w:rsidRDefault="0014264D" w:rsidP="0014264D">
      <w:pPr>
        <w:pStyle w:val="Heading3"/>
      </w:pPr>
      <w:bookmarkStart w:id="8" w:name="_Toc214485598"/>
      <w:r>
        <w:t>2.2.4 Threats for Followers</w:t>
      </w:r>
      <w:bookmarkEnd w:id="8"/>
    </w:p>
    <w:p w:rsidR="00C01EDC" w:rsidRDefault="00C01EDC" w:rsidP="00C01EDC">
      <w:r>
        <w:t xml:space="preserve">The other group of technological challenges is visible to the followers. They are vulnerable to the geopolitical and supply-chain risks because of their dependence on external suppliers. As an example, Xiaomi and </w:t>
      </w:r>
      <w:proofErr w:type="spellStart"/>
      <w:r>
        <w:t>Oppo</w:t>
      </w:r>
      <w:proofErr w:type="spellEnd"/>
      <w:r>
        <w:t xml:space="preserve"> were directly hit by US-led restrictions on semiconductors, which restricted access to high-end processors (Khan and </w:t>
      </w:r>
      <w:proofErr w:type="spellStart"/>
      <w:r>
        <w:t>Ullah</w:t>
      </w:r>
      <w:proofErr w:type="spellEnd"/>
      <w:r>
        <w:t>, 2024).</w:t>
      </w:r>
    </w:p>
    <w:p w:rsidR="00C01EDC" w:rsidRPr="00C01EDC" w:rsidRDefault="00C01EDC" w:rsidP="00C01EDC">
      <w:r>
        <w:t>There is also the ecosystem dependency on the followers as they are dependent on the Android platform operated by Google, being unable to develop their operating systems. This constrains differentiation and loss of strategic autonomy. High reliance on third party patenting exposes it to licensing expenses or lawsuits that makes thin margins tight (</w:t>
      </w:r>
      <w:proofErr w:type="spellStart"/>
      <w:r>
        <w:t>Orlandi</w:t>
      </w:r>
      <w:proofErr w:type="spellEnd"/>
      <w:r>
        <w:t xml:space="preserve"> et al., 2011). Due to this, there is a risk of technological forces trapping the followers in a spiral of vulnerability whereby it is hard to shift the focus of competition to innovation-based leadership and not cost-driven.</w:t>
      </w:r>
    </w:p>
    <w:p w:rsidR="0014264D" w:rsidRDefault="0014264D" w:rsidP="0014264D">
      <w:pPr>
        <w:pStyle w:val="Heading2"/>
      </w:pPr>
      <w:bookmarkStart w:id="9" w:name="_Toc214485599"/>
      <w:r>
        <w:lastRenderedPageBreak/>
        <w:t>2.3 Macro Actor 2: Economic Forces</w:t>
      </w:r>
      <w:bookmarkEnd w:id="9"/>
    </w:p>
    <w:p w:rsidR="00313B5D" w:rsidRPr="00313B5D" w:rsidRDefault="00313B5D" w:rsidP="00313B5D">
      <w:r w:rsidRPr="00313B5D">
        <w:t>Consumer demand, pricing strategies, and production in the world are highly influenced by economic forces. The level of uneven market condition across regions is created by inflation, currency volatility, labour costs and the level of disposable income.</w:t>
      </w:r>
    </w:p>
    <w:p w:rsidR="0014264D" w:rsidRDefault="0014264D" w:rsidP="0014264D">
      <w:pPr>
        <w:pStyle w:val="Heading3"/>
      </w:pPr>
      <w:bookmarkStart w:id="10" w:name="_Toc214485600"/>
      <w:r>
        <w:t>2.3.1 Opportunities for Pioneers</w:t>
      </w:r>
      <w:bookmarkEnd w:id="10"/>
    </w:p>
    <w:p w:rsidR="00313B5D" w:rsidRPr="00313B5D" w:rsidRDefault="00313B5D" w:rsidP="00313B5D">
      <w:r w:rsidRPr="00313B5D">
        <w:t>The economic stability of high-income markets has great advantage to pioneers because the demand of premium devices is relatively inelastic. Customers who are loyal feel more value in the pioneer ecosystem, which makes them less sensitive to price changes (Romero et al., 2019). The diversification of the economy also opens possibilities: the diversification of Apple production to India and Vietnam helps the company to avoid reliance on the single country supply chain and c</w:t>
      </w:r>
      <w:r w:rsidR="003260AE">
        <w:t>ut down the costs of production.</w:t>
      </w:r>
    </w:p>
    <w:p w:rsidR="0014264D" w:rsidRDefault="0014264D" w:rsidP="0014264D">
      <w:pPr>
        <w:pStyle w:val="Heading3"/>
      </w:pPr>
      <w:bookmarkStart w:id="11" w:name="_Toc214485601"/>
      <w:r>
        <w:t>2.3.2 Opportunities for Followers</w:t>
      </w:r>
      <w:bookmarkEnd w:id="11"/>
    </w:p>
    <w:p w:rsidR="00C02712" w:rsidRPr="00C02712" w:rsidRDefault="00C02712" w:rsidP="00C02712">
      <w:r w:rsidRPr="00C02712">
        <w:t>The followers are well placed to take advantage of the economic growth in the emerging markets where affordability is the key factor of buying. According to reports by GSMA (2024), South Asia and African countries have the greatest rate of smartphone adoption, which is facilitated by increased incomes and governmental digitalisation efforts (Sharma et al., 2020). Followers can take advantage of cost-efficiency by relying on localised manufacturing and supply-chain relationships and, by doing so, also have access to the possibility to grow market share within a short period of time (</w:t>
      </w:r>
      <w:proofErr w:type="spellStart"/>
      <w:r w:rsidRPr="00C02712">
        <w:t>Tsitsi</w:t>
      </w:r>
      <w:proofErr w:type="spellEnd"/>
      <w:r w:rsidRPr="00C02712">
        <w:t xml:space="preserve"> &amp; </w:t>
      </w:r>
      <w:proofErr w:type="spellStart"/>
      <w:r w:rsidRPr="00C02712">
        <w:t>Chrine</w:t>
      </w:r>
      <w:proofErr w:type="spellEnd"/>
      <w:r w:rsidRPr="00C02712">
        <w:t xml:space="preserve">, 2024). </w:t>
      </w:r>
    </w:p>
    <w:p w:rsidR="0014264D" w:rsidRDefault="0014264D" w:rsidP="0014264D">
      <w:pPr>
        <w:pStyle w:val="Heading3"/>
      </w:pPr>
      <w:bookmarkStart w:id="12" w:name="_Toc214485602"/>
      <w:r>
        <w:t>2.3.3 Threats for Pioneers</w:t>
      </w:r>
      <w:bookmarkEnd w:id="12"/>
    </w:p>
    <w:p w:rsidR="00B41ECB" w:rsidRPr="00B41ECB" w:rsidRDefault="00B41ECB" w:rsidP="00B41ECB">
      <w:r w:rsidRPr="00B41ECB">
        <w:t>Inflation, currency variations and increasing labour costs are threats to pioneers that diminish profitability. Since the purchase of premium devices is tied to discretional spending, the slowdown of the economy may defer upgrades. Dynamic Global Value Chain provides examples of how instability in one place like factory closures or shipping stalling can affect pioneer production throughout the world and make it less stable (</w:t>
      </w:r>
      <w:proofErr w:type="spellStart"/>
      <w:r w:rsidRPr="00B41ECB">
        <w:t>Ts</w:t>
      </w:r>
      <w:r>
        <w:t>itsi</w:t>
      </w:r>
      <w:proofErr w:type="spellEnd"/>
      <w:r>
        <w:t xml:space="preserve"> and </w:t>
      </w:r>
      <w:proofErr w:type="spellStart"/>
      <w:r>
        <w:t>Chrine</w:t>
      </w:r>
      <w:proofErr w:type="spellEnd"/>
      <w:r>
        <w:t>, 2024). example</w:t>
      </w:r>
    </w:p>
    <w:p w:rsidR="0014264D" w:rsidRDefault="0014264D" w:rsidP="00942346">
      <w:pPr>
        <w:pStyle w:val="Heading3"/>
      </w:pPr>
      <w:bookmarkStart w:id="13" w:name="_Toc214485603"/>
      <w:r>
        <w:t>2.3.4 Threats for Followers</w:t>
      </w:r>
      <w:bookmarkEnd w:id="13"/>
    </w:p>
    <w:p w:rsidR="00A111CA" w:rsidRPr="00A111CA" w:rsidRDefault="00A111CA" w:rsidP="00A111CA">
      <w:r w:rsidRPr="00A111CA">
        <w:t xml:space="preserve">This makes followers more economically vulnerable due to having to depend on thin margins. The increase in logistics cost or component cost will inversely impact low-cost manufacturers. </w:t>
      </w:r>
      <w:r w:rsidRPr="00A111CA">
        <w:lastRenderedPageBreak/>
        <w:t>Reliance on ODMs subjects the followers to supply crises and price surges (Ali-</w:t>
      </w:r>
      <w:proofErr w:type="spellStart"/>
      <w:r w:rsidRPr="00A111CA">
        <w:t>Yrkko</w:t>
      </w:r>
      <w:proofErr w:type="spellEnd"/>
      <w:r w:rsidRPr="00A111CA">
        <w:t xml:space="preserve"> et al., 2011</w:t>
      </w:r>
      <w:r w:rsidR="003260AE">
        <w:t>).</w:t>
      </w:r>
    </w:p>
    <w:p w:rsidR="0014264D" w:rsidRDefault="0014264D" w:rsidP="00942346">
      <w:pPr>
        <w:pStyle w:val="Heading2"/>
      </w:pPr>
      <w:bookmarkStart w:id="14" w:name="_Toc214485604"/>
      <w:r>
        <w:t>2.4 Integrated Macro-Environmental Implications</w:t>
      </w:r>
      <w:bookmarkEnd w:id="14"/>
    </w:p>
    <w:p w:rsidR="00A111CA" w:rsidRPr="00A111CA" w:rsidRDefault="00A111CA" w:rsidP="00A111CA">
      <w:r w:rsidRPr="00A111CA">
        <w:t>Economic and technological forces interplay to generate multi-dimensional strategic issues to both pioneers and followers. Demand of high-end innovation is driven by technological advances, but the recession can threaten the purchasing power of consumers. On the other hand, followers enjoy the growing opportunities of the emerging markets and are exposed to technological reliance and supply chain volatility (Liu, 2025). An interpretation that is led by PESTLE will show that competitive advantage is not only created by internal capabilities but also the ability of a firm to mov</w:t>
      </w:r>
      <w:r w:rsidR="003260AE">
        <w:t xml:space="preserve">e through unpredictable forces </w:t>
      </w:r>
      <w:r w:rsidRPr="00A111CA">
        <w:t>(</w:t>
      </w:r>
      <w:proofErr w:type="spellStart"/>
      <w:r w:rsidRPr="00A111CA">
        <w:t>Yiu</w:t>
      </w:r>
      <w:proofErr w:type="spellEnd"/>
      <w:r w:rsidRPr="00A111CA">
        <w:t xml:space="preserve"> et al., 2020).</w:t>
      </w:r>
    </w:p>
    <w:p w:rsidR="00024F82" w:rsidRPr="00024F82" w:rsidRDefault="00024F82" w:rsidP="00D876F7">
      <w:pPr>
        <w:pStyle w:val="Heading1"/>
      </w:pPr>
      <w:bookmarkStart w:id="15" w:name="_Toc214485605"/>
      <w:r w:rsidRPr="00024F82">
        <w:t>3. Task 2 – Strategic Responses of Pioneers vs Followers</w:t>
      </w:r>
      <w:bookmarkEnd w:id="15"/>
    </w:p>
    <w:p w:rsidR="00024F82" w:rsidRDefault="00024F82" w:rsidP="00D876F7">
      <w:pPr>
        <w:pStyle w:val="Heading2"/>
      </w:pPr>
      <w:bookmarkStart w:id="16" w:name="_Toc214485606"/>
      <w:r w:rsidRPr="00024F82">
        <w:t>3.1 Strategic Response Theoretical Lens</w:t>
      </w:r>
      <w:bookmarkEnd w:id="16"/>
    </w:p>
    <w:p w:rsidR="006A554E" w:rsidRDefault="006A554E" w:rsidP="006A554E">
      <w:r>
        <w:t>The Competitive Strategies framework by Porter and the Ansoff Matrix represent the most effective approaches to the strategic response to the external forces because these models directly determine the way firms position and grow their operations in the context of dynamic markets (Zahra et al., 2025).</w:t>
      </w:r>
    </w:p>
    <w:p w:rsidR="006A554E" w:rsidRDefault="006A554E" w:rsidP="006A554E">
      <w:r>
        <w:t>The Competitive Strategies by Porter would offer a theoretical perspective through which the smartphone companies are viewed in terms of their reaction to technological and economic forces. According to Porter, firms are forced to make decisions of either cost leadership, differentiation, or focus, to develop a defensible competitive position. Apple and Samsung are known to be pioneers in the smartphone industry, and they usually focus on differentiation by using innovative R&amp;D, custom chipsets, and high-end ecosystems to command a premium price and maintain brand loyalty (</w:t>
      </w:r>
      <w:proofErr w:type="spellStart"/>
      <w:r>
        <w:t>Afnan</w:t>
      </w:r>
      <w:proofErr w:type="spellEnd"/>
      <w:r>
        <w:t xml:space="preserve"> and </w:t>
      </w:r>
      <w:proofErr w:type="spellStart"/>
      <w:r>
        <w:t>Raharaj</w:t>
      </w:r>
      <w:proofErr w:type="spellEnd"/>
      <w:r>
        <w:t xml:space="preserve">, 2020). They are strategic in providing high performance, security and integrated services that assist them to manoeuvre quickly with the changing technology as well as retain a healthy margin even at a varying economy. Other followers such as Xiaomi, </w:t>
      </w:r>
      <w:proofErr w:type="spellStart"/>
      <w:r>
        <w:t>Oppo</w:t>
      </w:r>
      <w:proofErr w:type="spellEnd"/>
      <w:r>
        <w:t xml:space="preserve">, and Vivo, in contrast, mostly focus on cost leadership or hybrid cost-differentiation. They specialize in making feature rich devices at high value prices, efficient manufacturing, modular design and quick product cycles to attract low price markets. The framework created by Porter thus allows understanding why pioneers and followers </w:t>
      </w:r>
      <w:r>
        <w:lastRenderedPageBreak/>
        <w:t>develop different responses to the identical macro-environmental pressures: pioneers strengthen the distinctiveness, and followers depend on the affordability and value-for-money (</w:t>
      </w:r>
      <w:proofErr w:type="spellStart"/>
      <w:r>
        <w:t>Pranadita</w:t>
      </w:r>
      <w:proofErr w:type="spellEnd"/>
      <w:r>
        <w:t xml:space="preserve"> et al., 2021).</w:t>
      </w:r>
    </w:p>
    <w:p w:rsidR="003260AE" w:rsidRDefault="006A554E" w:rsidP="006A554E">
      <w:r>
        <w:t xml:space="preserve">This analysis is further enhanced by the Ansoff Matrix that describes the growth avenues that smartphone companies take based on the macro forces. Product development is the first principle of pioneers, as new models with new technologies are constantly released to ensure that they are kept abreast with the accelerated innovation pace and protect the high-end market space (Yue and </w:t>
      </w:r>
      <w:proofErr w:type="spellStart"/>
      <w:r>
        <w:t>Guo</w:t>
      </w:r>
      <w:proofErr w:type="spellEnd"/>
      <w:r>
        <w:t>, 2022). The case of product development as a strategic protection against technology obsolescence and the loss of competitive advantage can be exemplified by Apple, which releases its products on a regular basis, and Samsung, which has been experimenting with foldable devices (</w:t>
      </w:r>
      <w:proofErr w:type="spellStart"/>
      <w:r>
        <w:t>Saraswati</w:t>
      </w:r>
      <w:proofErr w:type="spellEnd"/>
      <w:r>
        <w:t xml:space="preserve"> and </w:t>
      </w:r>
      <w:proofErr w:type="spellStart"/>
      <w:r>
        <w:t>Giantari</w:t>
      </w:r>
      <w:proofErr w:type="spellEnd"/>
      <w:r>
        <w:t xml:space="preserve">, 2022). </w:t>
      </w:r>
    </w:p>
    <w:p w:rsidR="006A554E" w:rsidRDefault="006A554E" w:rsidP="006A554E">
      <w:r>
        <w:t>By comparison, the followers are largely reliant on the market development in the Ansoff Matrix. They extend aggressively in the emerging markets in the regions of Asia, Africa and Latin America where people are becoming increasingly wealthier and digitalisation policies are driving demand of low-end smartphones (</w:t>
      </w:r>
      <w:proofErr w:type="spellStart"/>
      <w:r>
        <w:t>Durugbo</w:t>
      </w:r>
      <w:proofErr w:type="spellEnd"/>
      <w:r>
        <w:t xml:space="preserve"> et al., 2014). This strategy enables the followers to scale up even in economic volatility. A large number of followers also participate in product development, however at a more incremental level with regular low-cost model refresh introductions to keep up</w:t>
      </w:r>
      <w:r w:rsidR="003260AE">
        <w:t xml:space="preserve"> with price-sensitive segments </w:t>
      </w:r>
      <w:r>
        <w:t>(</w:t>
      </w:r>
      <w:proofErr w:type="spellStart"/>
      <w:r>
        <w:t>Abhimantra</w:t>
      </w:r>
      <w:proofErr w:type="spellEnd"/>
      <w:r>
        <w:t xml:space="preserve"> &amp; </w:t>
      </w:r>
      <w:proofErr w:type="spellStart"/>
      <w:r>
        <w:t>Suasana</w:t>
      </w:r>
      <w:proofErr w:type="spellEnd"/>
      <w:r>
        <w:t>, 2024).</w:t>
      </w:r>
    </w:p>
    <w:p w:rsidR="00B2603C" w:rsidRDefault="00B2603C" w:rsidP="006A554E">
      <w:r>
        <w:rPr>
          <w:noProof/>
          <w:lang w:eastAsia="en-GB"/>
        </w:rPr>
        <w:lastRenderedPageBreak/>
        <w:drawing>
          <wp:inline distT="0" distB="0" distL="0" distR="0">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Nov 19, 2025, 11_05_14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6809D3" w:rsidRPr="006809D3" w:rsidRDefault="00B2603C" w:rsidP="006A554E">
      <w:pPr>
        <w:rPr>
          <w:b/>
          <w:i/>
          <w:color w:val="44546A" w:themeColor="text2"/>
        </w:rPr>
      </w:pPr>
      <w:r w:rsidRPr="006809D3">
        <w:rPr>
          <w:b/>
          <w:i/>
          <w:color w:val="44546A" w:themeColor="text2"/>
        </w:rPr>
        <w:t>FIGURE 4: Ansoff Matrix – Pioneer vs Follower Growth Patterns</w:t>
      </w:r>
    </w:p>
    <w:p w:rsidR="00024F82" w:rsidRPr="00024F82" w:rsidRDefault="00024F82" w:rsidP="00D876F7">
      <w:pPr>
        <w:pStyle w:val="Heading2"/>
      </w:pPr>
      <w:bookmarkStart w:id="17" w:name="_Toc214485607"/>
      <w:r w:rsidRPr="00024F82">
        <w:t>3.2 Strategies for Technological Forces</w:t>
      </w:r>
      <w:bookmarkEnd w:id="17"/>
    </w:p>
    <w:p w:rsidR="00024F82" w:rsidRDefault="00024F82" w:rsidP="00D876F7">
      <w:pPr>
        <w:pStyle w:val="Heading3"/>
      </w:pPr>
      <w:bookmarkStart w:id="18" w:name="_Toc214485608"/>
      <w:r w:rsidRPr="00024F82">
        <w:t>3.2.1 Pioneers’ Responses</w:t>
      </w:r>
      <w:bookmarkEnd w:id="18"/>
    </w:p>
    <w:p w:rsidR="00C02AD4" w:rsidRDefault="00C02AD4" w:rsidP="00C02AD4">
      <w:r>
        <w:t>Pioneers react to technological changes by strengthening the levels of innovations. One of the main strategies is an R&amp;D intensification, during which companies allocate a lot of funds on chips design, camera computations, AI functional</w:t>
      </w:r>
      <w:r w:rsidR="00731D9E">
        <w:t>ities, and network technologies.</w:t>
      </w:r>
      <w:r>
        <w:t xml:space="preserve"> The presence of in-house Bionic chips in Apple and the years of investment on </w:t>
      </w:r>
      <w:proofErr w:type="spellStart"/>
      <w:r>
        <w:t>Exynos</w:t>
      </w:r>
      <w:proofErr w:type="spellEnd"/>
      <w:r>
        <w:t xml:space="preserve"> in Samsung gives them the power to manage performance, power consumption, and security. These measures are consistent with the Dynamic Capabilities of Teece, which focus on perception of new opportunities, exploiting them by investing, and reorganizing resources (Liu, 2025).</w:t>
      </w:r>
    </w:p>
    <w:p w:rsidR="00C02AD4" w:rsidRPr="00C02AD4" w:rsidRDefault="00C02AD4" w:rsidP="00C02AD4">
      <w:r>
        <w:t>These capabilities are improved through vertical integration. Hardware, software and services are controlled by Apple which enables greater optimisation and quicke</w:t>
      </w:r>
      <w:r w:rsidR="003260AE">
        <w:t xml:space="preserve">r introduction of new features </w:t>
      </w:r>
      <w:r>
        <w:t>(</w:t>
      </w:r>
      <w:proofErr w:type="spellStart"/>
      <w:r>
        <w:t>Sichoongwe</w:t>
      </w:r>
      <w:proofErr w:type="spellEnd"/>
      <w:r>
        <w:t xml:space="preserve"> et al., 2021).</w:t>
      </w:r>
    </w:p>
    <w:p w:rsidR="00024F82" w:rsidRDefault="00024F82" w:rsidP="00D876F7">
      <w:pPr>
        <w:pStyle w:val="Heading3"/>
      </w:pPr>
      <w:bookmarkStart w:id="19" w:name="_Toc214485609"/>
      <w:r w:rsidRPr="00024F82">
        <w:t>3.2.2 Followers’ Responses</w:t>
      </w:r>
      <w:bookmarkEnd w:id="19"/>
    </w:p>
    <w:p w:rsidR="00C02AD4" w:rsidRPr="00C02AD4" w:rsidRDefault="00C02AD4" w:rsidP="00C02AD4">
      <w:r w:rsidRPr="00C02AD4">
        <w:lastRenderedPageBreak/>
        <w:t xml:space="preserve">Different technological approaches are taken by followers which focus on speed, cost, and adaptation. Quick imitation will enable them to launch competitive features shortly after the pioneers and at reduced R&amp;D cost. The Xiaomi philosophy of copy, adapt and innovate reflects this: by watching leader innovations, it modifies them to be cost-effective and introduces little additions over it, like bigger batteries or localisation of software. Cost leadership is crucial and it is supported by design based on platforms and by having a dependency on shared suppliers. The followers adopt open innovation by partnering with other chipmakers like Qualcomm or </w:t>
      </w:r>
      <w:proofErr w:type="spellStart"/>
      <w:r w:rsidRPr="00C02AD4">
        <w:t>MediaTek</w:t>
      </w:r>
      <w:proofErr w:type="spellEnd"/>
      <w:r w:rsidRPr="00C02AD4">
        <w:t xml:space="preserve"> and relying on communit</w:t>
      </w:r>
      <w:r w:rsidR="003260AE">
        <w:t xml:space="preserve">y feedback to develop very fast. </w:t>
      </w:r>
    </w:p>
    <w:p w:rsidR="00024F82" w:rsidRDefault="00024F82" w:rsidP="002A3A28">
      <w:pPr>
        <w:pStyle w:val="Heading3"/>
      </w:pPr>
      <w:bookmarkStart w:id="20" w:name="_Toc214485610"/>
      <w:r w:rsidRPr="00024F82">
        <w:t>3.2.3 Integrated Critical Evaluation of Technological Responses</w:t>
      </w:r>
      <w:bookmarkEnd w:id="20"/>
    </w:p>
    <w:p w:rsidR="00876C1F" w:rsidRPr="00876C1F" w:rsidRDefault="00876C1F" w:rsidP="00876C1F">
      <w:r w:rsidRPr="00876C1F">
        <w:t>Although the two approaches have strong points, they have tensions. Innovators and pioneers should be fast in their innovation and handle sustainability issues like e-waste and use of energy. They are subjected to financial risk due to their high expenditure on R&amp;D particularly in cases where technologies go wrong or shoppers reduce demand. Instead, the followers run the risk of being viewed as officers, which inhibits brand equity and long-term differentiation (</w:t>
      </w:r>
      <w:proofErr w:type="spellStart"/>
      <w:r w:rsidRPr="00876C1F">
        <w:t>Moghadam</w:t>
      </w:r>
      <w:proofErr w:type="spellEnd"/>
      <w:r w:rsidRPr="00876C1F">
        <w:t xml:space="preserve"> et al., 2023). One of the main disputes in the literature is if imitation can be better than innovation. Although pioneers define the standards of technology, the followers can temporarily surpass the pioneers in the rapidly expanding emerging markets by providing a high specification at a low price (</w:t>
      </w:r>
      <w:proofErr w:type="spellStart"/>
      <w:r w:rsidRPr="00876C1F">
        <w:t>Guo</w:t>
      </w:r>
      <w:proofErr w:type="spellEnd"/>
      <w:r w:rsidRPr="00876C1F">
        <w:t>, 2025). Nonetheless, imitation seldom creates lasting competitive advantage unless it is reinforced with a robust brand building and supply chain resilience and quality assurance (Wang et al., 2020).</w:t>
      </w:r>
    </w:p>
    <w:p w:rsidR="00024F82" w:rsidRPr="00024F82" w:rsidRDefault="00024F82" w:rsidP="002A3A28">
      <w:pPr>
        <w:pStyle w:val="Heading2"/>
      </w:pPr>
      <w:bookmarkStart w:id="21" w:name="_Toc214485611"/>
      <w:r w:rsidRPr="00024F82">
        <w:t>3.3 Strategies for Economic Forces</w:t>
      </w:r>
      <w:bookmarkEnd w:id="21"/>
    </w:p>
    <w:p w:rsidR="00024F82" w:rsidRDefault="00024F82" w:rsidP="002A3A28">
      <w:pPr>
        <w:pStyle w:val="Heading3"/>
      </w:pPr>
      <w:bookmarkStart w:id="22" w:name="_Toc214485612"/>
      <w:r w:rsidRPr="00024F82">
        <w:t>3.3.1 Pioneers’ Responses</w:t>
      </w:r>
      <w:bookmarkEnd w:id="22"/>
    </w:p>
    <w:p w:rsidR="00876C1F" w:rsidRPr="00876C1F" w:rsidRDefault="00BE440A" w:rsidP="00876C1F">
      <w:r>
        <w:t>I</w:t>
      </w:r>
      <w:r w:rsidR="00876C1F" w:rsidRPr="00876C1F">
        <w:t>mportant strategy is supply-chain reconfiguration. A recent change in Apple where the company has begun producing in India and Vietnam can be seen as a way of minimizing geopolitical and currency risks (</w:t>
      </w:r>
      <w:proofErr w:type="spellStart"/>
      <w:r w:rsidR="00876C1F" w:rsidRPr="00876C1F">
        <w:t>Wijayanto</w:t>
      </w:r>
      <w:proofErr w:type="spellEnd"/>
      <w:r w:rsidR="00876C1F" w:rsidRPr="00876C1F">
        <w:t xml:space="preserve"> &amp; Seno, 2021). Establishing resilient sourcing networks increases the flexibility of operations such that pioneers can deal with the inflationary pressures and counteract disruptions. These tactics represent an offensive behavior towards protecting margins and maintaining international presence even in times when it is economically uncertain.</w:t>
      </w:r>
    </w:p>
    <w:p w:rsidR="00024F82" w:rsidRDefault="00024F82" w:rsidP="002A3A28">
      <w:pPr>
        <w:pStyle w:val="Heading3"/>
      </w:pPr>
      <w:bookmarkStart w:id="23" w:name="_Toc214485613"/>
      <w:r w:rsidRPr="00024F82">
        <w:lastRenderedPageBreak/>
        <w:t>3.3.2 Followers’ Responses</w:t>
      </w:r>
      <w:bookmarkEnd w:id="23"/>
    </w:p>
    <w:p w:rsidR="00876C1F" w:rsidRPr="00876C1F" w:rsidRDefault="00876C1F" w:rsidP="00876C1F">
      <w:r w:rsidRPr="00876C1F">
        <w:t>Fans embrace more offensive business approaches that focus on low cost and market growth. Their focus is on penetration pricing, which helps them to seize high customer base in areas like India, Indonesia and sub- Saharan Africa (</w:t>
      </w:r>
      <w:proofErr w:type="spellStart"/>
      <w:r w:rsidRPr="00876C1F">
        <w:t>Kaniz</w:t>
      </w:r>
      <w:proofErr w:type="spellEnd"/>
      <w:r w:rsidRPr="00876C1F">
        <w:t xml:space="preserve"> et al., 2025). The localised manufacturing also helps in cutting down the cost as well as improving the price competitiveness. The economic response adopted in the multi-brand strategy employed by BBK Group is a complex one. Continuing to run </w:t>
      </w:r>
      <w:proofErr w:type="spellStart"/>
      <w:r w:rsidRPr="00876C1F">
        <w:t>Oppo</w:t>
      </w:r>
      <w:proofErr w:type="spellEnd"/>
      <w:r w:rsidRPr="00876C1F">
        <w:t xml:space="preserve">, Vivo, </w:t>
      </w:r>
      <w:proofErr w:type="spellStart"/>
      <w:r w:rsidRPr="00876C1F">
        <w:t>Realme</w:t>
      </w:r>
      <w:proofErr w:type="spellEnd"/>
      <w:r w:rsidRPr="00876C1F">
        <w:t xml:space="preserve">, and </w:t>
      </w:r>
      <w:proofErr w:type="spellStart"/>
      <w:r w:rsidRPr="00876C1F">
        <w:t>Oneplus</w:t>
      </w:r>
      <w:proofErr w:type="spellEnd"/>
      <w:r w:rsidRPr="00876C1F">
        <w:t>, BBK targets various incomes groups at the same time, which is far more efficient in absorbing market instability than one-brand companies (</w:t>
      </w:r>
      <w:proofErr w:type="spellStart"/>
      <w:r w:rsidRPr="00876C1F">
        <w:t>Martínez</w:t>
      </w:r>
      <w:proofErr w:type="spellEnd"/>
      <w:r w:rsidRPr="00876C1F">
        <w:t xml:space="preserve"> &amp; </w:t>
      </w:r>
      <w:proofErr w:type="spellStart"/>
      <w:r w:rsidRPr="00876C1F">
        <w:t>Poveda</w:t>
      </w:r>
      <w:proofErr w:type="spellEnd"/>
      <w:r w:rsidRPr="00876C1F">
        <w:t>, 2022).</w:t>
      </w:r>
    </w:p>
    <w:p w:rsidR="00024F82" w:rsidRDefault="00024F82" w:rsidP="002A3A28">
      <w:pPr>
        <w:pStyle w:val="Heading3"/>
      </w:pPr>
      <w:bookmarkStart w:id="24" w:name="_Toc214485614"/>
      <w:r w:rsidRPr="00024F82">
        <w:t>3.3.3 Integrated Critical Evaluation of Economic Responses</w:t>
      </w:r>
      <w:bookmarkEnd w:id="24"/>
    </w:p>
    <w:p w:rsidR="00876C1F" w:rsidRPr="00876C1F" w:rsidRDefault="00876C1F" w:rsidP="00876C1F">
      <w:r w:rsidRPr="00876C1F">
        <w:t>Different risk profiles are displayed by economic strategies. The dedication of pioneers towards high-end devices would be efficient in stable economies and frail in recession time as even loyal consumers would postpone the upgrade. Their steep manufacturing prices also increase their exposure to currency exchange and supply chain shocks in the global market (Vass et al., 2021). The followers gain in slow periods since their low prices will be appealing to the strained customers, but their low profit margins and reliance on suppliers heighten the risk of price spikes. Behavioural economics is against the assumption that downtur</w:t>
      </w:r>
      <w:r w:rsidR="00CA4AB1">
        <w:t xml:space="preserve">ns always favour budget brands </w:t>
      </w:r>
      <w:r w:rsidRPr="00876C1F">
        <w:t>(</w:t>
      </w:r>
      <w:proofErr w:type="spellStart"/>
      <w:r w:rsidRPr="00876C1F">
        <w:t>Siqueira</w:t>
      </w:r>
      <w:proofErr w:type="spellEnd"/>
      <w:r w:rsidRPr="00876C1F">
        <w:t xml:space="preserve"> et al., 2021).</w:t>
      </w:r>
    </w:p>
    <w:p w:rsidR="00024F82" w:rsidRPr="00024F82" w:rsidRDefault="00024F82" w:rsidP="002A3A28">
      <w:pPr>
        <w:pStyle w:val="Heading2"/>
      </w:pPr>
      <w:bookmarkStart w:id="25" w:name="_Toc214485615"/>
      <w:r w:rsidRPr="00024F82">
        <w:t>3.4 Cross-Comparative Strategic Synthesis</w:t>
      </w:r>
      <w:bookmarkEnd w:id="25"/>
    </w:p>
    <w:p w:rsidR="00024F82" w:rsidRPr="002A3A28" w:rsidRDefault="00876C1F" w:rsidP="00024F82">
      <w:r w:rsidRPr="00876C1F">
        <w:t xml:space="preserve">The trend is apparent when the pioneer and follower strategies are looked at in a collective manner. Leaders in the innovation, high end branding and integrated ecosystems create long term advantage by insulating them against technological turmoil but placing them at risk of economic turbulence. </w:t>
      </w:r>
      <w:r w:rsidR="00024F82" w:rsidRPr="002A3A28">
        <w:t>Followers build advantage through speed, affordability, and flexibility, helping them thrive in price-sensitive markets but limiting their ability to sustain differentiation</w:t>
      </w:r>
      <w:r w:rsidR="00332E73">
        <w:t xml:space="preserve"> (</w:t>
      </w:r>
      <w:proofErr w:type="spellStart"/>
      <w:r w:rsidR="00332E73">
        <w:t>Tantawy</w:t>
      </w:r>
      <w:proofErr w:type="spellEnd"/>
      <w:r w:rsidR="00332E73">
        <w:t xml:space="preserve"> et al., 2024)</w:t>
      </w:r>
      <w:r w:rsidR="00024F82" w:rsidRPr="002A3A28">
        <w:t>.</w:t>
      </w:r>
      <w:r w:rsidR="002A3A28" w:rsidRPr="002A3A28">
        <w:t xml:space="preserve"> </w:t>
      </w:r>
      <w:r w:rsidR="00024F82" w:rsidRPr="002A3A28">
        <w:t xml:space="preserve">A useful hypothesis emerging from this synthesis is that </w:t>
      </w:r>
      <w:r w:rsidR="00024F82" w:rsidRPr="002A3A28">
        <w:rPr>
          <w:bCs/>
        </w:rPr>
        <w:t>in emerging markets, followers may achieve temporary first-mover advantages through cost-driven technological convergence</w:t>
      </w:r>
      <w:r w:rsidR="00024F82" w:rsidRPr="002A3A28">
        <w:t>, especially when economic downturns amplify price sensitivity</w:t>
      </w:r>
      <w:r w:rsidR="00A46D09">
        <w:t xml:space="preserve"> (Mohammed et al., 2025)</w:t>
      </w:r>
      <w:r w:rsidR="00024F82" w:rsidRPr="002A3A28">
        <w:t xml:space="preserve">. </w:t>
      </w:r>
    </w:p>
    <w:p w:rsidR="00D0579D" w:rsidRDefault="00D0579D" w:rsidP="00D0579D">
      <w:pPr>
        <w:pStyle w:val="Heading1"/>
      </w:pPr>
      <w:bookmarkStart w:id="26" w:name="_Toc214485616"/>
      <w:r>
        <w:t>4. Conclusion</w:t>
      </w:r>
      <w:bookmarkEnd w:id="26"/>
      <w:r>
        <w:t xml:space="preserve"> </w:t>
      </w:r>
    </w:p>
    <w:p w:rsidR="00D0579D" w:rsidRDefault="00D0579D" w:rsidP="00D0579D">
      <w:r>
        <w:lastRenderedPageBreak/>
        <w:t xml:space="preserve">Through this analysis, the smart mobile industry around the world is found to be influenced best by acceleration of technology and fluctuating economies where the innovators and the followers will react differently and yet mutually dependent. Innovation leadership, premium positioning, and integrated ecosystems help pioneers to maintain a lead as </w:t>
      </w:r>
      <w:r w:rsidR="00D876F7">
        <w:t>followers’</w:t>
      </w:r>
      <w:r>
        <w:t xml:space="preserve"> strategic choices in emerging markets include speed, affordability, and adaptable strategies. They are both threatened by distinct factors that are related to R&amp;D intensity, supply-chain vulnerability, and changing consumer behaviour. The fact that these responses are opposite to each other can be understood as the competitive advantage has a dependability not only on resources and capabilities but on the possibility to flexibly find the way in complicated external forces and be able to survive in the long run.</w:t>
      </w:r>
    </w:p>
    <w:p w:rsidR="00B97A95" w:rsidRDefault="002A3A28" w:rsidP="00B97A95">
      <w:pPr>
        <w:pStyle w:val="Heading1"/>
      </w:pPr>
      <w:bookmarkStart w:id="27" w:name="_Toc214485617"/>
      <w:r>
        <w:t>5. References</w:t>
      </w:r>
      <w:bookmarkEnd w:id="27"/>
    </w:p>
    <w:p w:rsidR="007E46EF" w:rsidRDefault="007E46EF" w:rsidP="00B97A95">
      <w:pPr>
        <w:rPr>
          <w:lang w:val="en-US"/>
        </w:rPr>
      </w:pPr>
    </w:p>
    <w:p w:rsidR="00B97A95" w:rsidRPr="00355F33" w:rsidRDefault="00B97A95" w:rsidP="00B97A95">
      <w:pPr>
        <w:rPr>
          <w:lang w:val="en-US"/>
        </w:rPr>
      </w:pPr>
      <w:bookmarkStart w:id="28" w:name="_GoBack"/>
      <w:bookmarkEnd w:id="28"/>
      <w:proofErr w:type="spellStart"/>
      <w:r w:rsidRPr="00355F33">
        <w:rPr>
          <w:lang w:val="en-US"/>
        </w:rPr>
        <w:t>Abhimantra</w:t>
      </w:r>
      <w:proofErr w:type="spellEnd"/>
      <w:r w:rsidRPr="00355F33">
        <w:rPr>
          <w:lang w:val="en-US"/>
        </w:rPr>
        <w:t xml:space="preserve">, P. and </w:t>
      </w:r>
      <w:proofErr w:type="spellStart"/>
      <w:r w:rsidRPr="00355F33">
        <w:rPr>
          <w:lang w:val="en-US"/>
        </w:rPr>
        <w:t>Suasana</w:t>
      </w:r>
      <w:proofErr w:type="spellEnd"/>
      <w:r w:rsidRPr="00355F33">
        <w:rPr>
          <w:lang w:val="en-US"/>
        </w:rPr>
        <w:t xml:space="preserve">, I. (2024) ‘The influence of reference groups, lifestyle, and brand image on purchasing decisions for Samsung brand smartphones (study on undergraduate students of Management, Faculty of Economic and Business, </w:t>
      </w:r>
      <w:proofErr w:type="spellStart"/>
      <w:r w:rsidRPr="00355F33">
        <w:rPr>
          <w:lang w:val="en-US"/>
        </w:rPr>
        <w:t>Udayana</w:t>
      </w:r>
      <w:proofErr w:type="spellEnd"/>
      <w:r w:rsidRPr="00355F33">
        <w:rPr>
          <w:lang w:val="en-US"/>
        </w:rPr>
        <w:t xml:space="preserve"> University)’, </w:t>
      </w:r>
      <w:r w:rsidRPr="00355F33">
        <w:rPr>
          <w:i/>
          <w:iCs/>
          <w:lang w:val="en-US"/>
        </w:rPr>
        <w:t>Journal of Economics, Finance and Management Studies</w:t>
      </w:r>
      <w:r w:rsidRPr="00355F33">
        <w:rPr>
          <w:lang w:val="en-US"/>
        </w:rPr>
        <w:t xml:space="preserve">, 7(7). Available at: </w:t>
      </w:r>
      <w:hyperlink r:id="rId10" w:tgtFrame="_new" w:history="1">
        <w:r w:rsidRPr="00355F33">
          <w:rPr>
            <w:rStyle w:val="Hyperlink"/>
            <w:lang w:val="en-US"/>
          </w:rPr>
          <w:t>https://doi.org/10.47191/jefms/v7-i7-65</w:t>
        </w:r>
      </w:hyperlink>
    </w:p>
    <w:p w:rsidR="00B97A95" w:rsidRPr="00960824" w:rsidRDefault="00B97A95" w:rsidP="00B97A95">
      <w:pPr>
        <w:rPr>
          <w:lang w:val="en-US"/>
        </w:rPr>
      </w:pPr>
      <w:proofErr w:type="spellStart"/>
      <w:r w:rsidRPr="00960824">
        <w:rPr>
          <w:lang w:val="en-US"/>
        </w:rPr>
        <w:t>Afnan</w:t>
      </w:r>
      <w:proofErr w:type="spellEnd"/>
      <w:r w:rsidRPr="00960824">
        <w:rPr>
          <w:lang w:val="en-US"/>
        </w:rPr>
        <w:t xml:space="preserve">, E. and </w:t>
      </w:r>
      <w:proofErr w:type="spellStart"/>
      <w:r w:rsidRPr="00960824">
        <w:rPr>
          <w:lang w:val="en-US"/>
        </w:rPr>
        <w:t>Raharja</w:t>
      </w:r>
      <w:proofErr w:type="spellEnd"/>
      <w:r w:rsidRPr="00960824">
        <w:rPr>
          <w:lang w:val="en-US"/>
        </w:rPr>
        <w:t>, S. (2020) ‘</w:t>
      </w:r>
      <w:proofErr w:type="spellStart"/>
      <w:r w:rsidRPr="00960824">
        <w:rPr>
          <w:lang w:val="en-US"/>
        </w:rPr>
        <w:t>Analisis</w:t>
      </w:r>
      <w:proofErr w:type="spellEnd"/>
      <w:r w:rsidRPr="00960824">
        <w:rPr>
          <w:lang w:val="en-US"/>
        </w:rPr>
        <w:t xml:space="preserve"> SWOT </w:t>
      </w:r>
      <w:proofErr w:type="spellStart"/>
      <w:r w:rsidRPr="00960824">
        <w:rPr>
          <w:lang w:val="en-US"/>
        </w:rPr>
        <w:t>terhadap</w:t>
      </w:r>
      <w:proofErr w:type="spellEnd"/>
      <w:r w:rsidRPr="00960824">
        <w:rPr>
          <w:lang w:val="en-US"/>
        </w:rPr>
        <w:t xml:space="preserve"> </w:t>
      </w:r>
      <w:proofErr w:type="spellStart"/>
      <w:r w:rsidRPr="00960824">
        <w:rPr>
          <w:lang w:val="en-US"/>
        </w:rPr>
        <w:t>strategi</w:t>
      </w:r>
      <w:proofErr w:type="spellEnd"/>
      <w:r w:rsidRPr="00960824">
        <w:rPr>
          <w:lang w:val="en-US"/>
        </w:rPr>
        <w:t xml:space="preserve"> </w:t>
      </w:r>
      <w:proofErr w:type="spellStart"/>
      <w:r w:rsidRPr="00960824">
        <w:rPr>
          <w:lang w:val="en-US"/>
        </w:rPr>
        <w:t>penjualan</w:t>
      </w:r>
      <w:proofErr w:type="spellEnd"/>
      <w:r w:rsidRPr="00960824">
        <w:rPr>
          <w:lang w:val="en-US"/>
        </w:rPr>
        <w:t xml:space="preserve"> smartphone Xiaomi </w:t>
      </w:r>
      <w:proofErr w:type="spellStart"/>
      <w:r w:rsidRPr="00960824">
        <w:rPr>
          <w:lang w:val="en-US"/>
        </w:rPr>
        <w:t>dan</w:t>
      </w:r>
      <w:proofErr w:type="spellEnd"/>
      <w:r w:rsidRPr="00960824">
        <w:rPr>
          <w:lang w:val="en-US"/>
        </w:rPr>
        <w:t xml:space="preserve"> Vivo’, </w:t>
      </w:r>
      <w:proofErr w:type="spellStart"/>
      <w:r w:rsidRPr="00960824">
        <w:rPr>
          <w:i/>
          <w:iCs/>
          <w:lang w:val="en-US"/>
        </w:rPr>
        <w:t>Organum</w:t>
      </w:r>
      <w:proofErr w:type="spellEnd"/>
      <w:r w:rsidRPr="00960824">
        <w:rPr>
          <w:i/>
          <w:iCs/>
          <w:lang w:val="en-US"/>
        </w:rPr>
        <w:t xml:space="preserve"> </w:t>
      </w:r>
      <w:proofErr w:type="spellStart"/>
      <w:r w:rsidRPr="00960824">
        <w:rPr>
          <w:i/>
          <w:iCs/>
          <w:lang w:val="en-US"/>
        </w:rPr>
        <w:t>Jurnal</w:t>
      </w:r>
      <w:proofErr w:type="spellEnd"/>
      <w:r w:rsidRPr="00960824">
        <w:rPr>
          <w:i/>
          <w:iCs/>
          <w:lang w:val="en-US"/>
        </w:rPr>
        <w:t xml:space="preserve"> </w:t>
      </w:r>
      <w:proofErr w:type="spellStart"/>
      <w:r w:rsidRPr="00960824">
        <w:rPr>
          <w:i/>
          <w:iCs/>
          <w:lang w:val="en-US"/>
        </w:rPr>
        <w:t>Saintifik</w:t>
      </w:r>
      <w:proofErr w:type="spellEnd"/>
      <w:r w:rsidRPr="00960824">
        <w:rPr>
          <w:i/>
          <w:iCs/>
          <w:lang w:val="en-US"/>
        </w:rPr>
        <w:t xml:space="preserve"> </w:t>
      </w:r>
      <w:proofErr w:type="spellStart"/>
      <w:r w:rsidRPr="00960824">
        <w:rPr>
          <w:i/>
          <w:iCs/>
          <w:lang w:val="en-US"/>
        </w:rPr>
        <w:t>Manajemen</w:t>
      </w:r>
      <w:proofErr w:type="spellEnd"/>
      <w:r w:rsidRPr="00960824">
        <w:rPr>
          <w:i/>
          <w:iCs/>
          <w:lang w:val="en-US"/>
        </w:rPr>
        <w:t xml:space="preserve"> </w:t>
      </w:r>
      <w:proofErr w:type="spellStart"/>
      <w:r w:rsidRPr="00960824">
        <w:rPr>
          <w:i/>
          <w:iCs/>
          <w:lang w:val="en-US"/>
        </w:rPr>
        <w:t>dan</w:t>
      </w:r>
      <w:proofErr w:type="spellEnd"/>
      <w:r w:rsidRPr="00960824">
        <w:rPr>
          <w:i/>
          <w:iCs/>
          <w:lang w:val="en-US"/>
        </w:rPr>
        <w:t xml:space="preserve"> </w:t>
      </w:r>
      <w:proofErr w:type="spellStart"/>
      <w:r w:rsidRPr="00960824">
        <w:rPr>
          <w:i/>
          <w:iCs/>
          <w:lang w:val="en-US"/>
        </w:rPr>
        <w:t>Akuntansi</w:t>
      </w:r>
      <w:proofErr w:type="spellEnd"/>
      <w:r w:rsidRPr="00960824">
        <w:rPr>
          <w:lang w:val="en-US"/>
        </w:rPr>
        <w:t xml:space="preserve">, 3(1), pp. 50–63. Available at: </w:t>
      </w:r>
      <w:hyperlink r:id="rId11" w:tgtFrame="_new" w:history="1">
        <w:r w:rsidRPr="00960824">
          <w:rPr>
            <w:rStyle w:val="Hyperlink"/>
            <w:lang w:val="en-US"/>
          </w:rPr>
          <w:t>https://doi.org/10.35138/organum.v3i1.78</w:t>
        </w:r>
      </w:hyperlink>
    </w:p>
    <w:p w:rsidR="00B97A95" w:rsidRDefault="00B97A95" w:rsidP="00B97A95">
      <w:pPr>
        <w:rPr>
          <w:rStyle w:val="Hyperlink"/>
        </w:rPr>
      </w:pPr>
      <w:r w:rsidRPr="003D22BF">
        <w:t>Ali-</w:t>
      </w:r>
      <w:proofErr w:type="spellStart"/>
      <w:r w:rsidRPr="003D22BF">
        <w:t>Yrkkö</w:t>
      </w:r>
      <w:proofErr w:type="spellEnd"/>
      <w:r w:rsidRPr="003D22BF">
        <w:t xml:space="preserve">, J., </w:t>
      </w:r>
      <w:proofErr w:type="spellStart"/>
      <w:r w:rsidRPr="003D22BF">
        <w:t>Rouvinen</w:t>
      </w:r>
      <w:proofErr w:type="spellEnd"/>
      <w:r w:rsidRPr="003D22BF">
        <w:t xml:space="preserve">, P., </w:t>
      </w:r>
      <w:proofErr w:type="spellStart"/>
      <w:r w:rsidRPr="003D22BF">
        <w:t>Seppälä</w:t>
      </w:r>
      <w:proofErr w:type="spellEnd"/>
      <w:r w:rsidRPr="003D22BF">
        <w:t xml:space="preserve">, T. and </w:t>
      </w:r>
      <w:proofErr w:type="spellStart"/>
      <w:r w:rsidRPr="003D22BF">
        <w:t>Ylä-Anttila</w:t>
      </w:r>
      <w:proofErr w:type="spellEnd"/>
      <w:r w:rsidRPr="003D22BF">
        <w:t xml:space="preserve">, P. (2011) ‘Who captures value in global supply chains? Case Nokia N95 smartphone’, </w:t>
      </w:r>
      <w:r w:rsidRPr="003D22BF">
        <w:rPr>
          <w:i/>
          <w:iCs/>
        </w:rPr>
        <w:t>Journal of Industry, Competition and Trade</w:t>
      </w:r>
      <w:r w:rsidRPr="003D22BF">
        <w:t>, 11(3), pp. 263–278.</w:t>
      </w:r>
      <w:r w:rsidRPr="003D22BF">
        <w:br/>
        <w:t xml:space="preserve">Available at: </w:t>
      </w:r>
      <w:hyperlink r:id="rId12" w:tgtFrame="_new" w:history="1">
        <w:r w:rsidRPr="003D22BF">
          <w:rPr>
            <w:rStyle w:val="Hyperlink"/>
          </w:rPr>
          <w:t>https://doi.org/10.1007/s10842-011-0107-4</w:t>
        </w:r>
      </w:hyperlink>
    </w:p>
    <w:p w:rsidR="00B97A95" w:rsidRPr="008A530B" w:rsidRDefault="00B97A95" w:rsidP="00B97A95">
      <w:pPr>
        <w:rPr>
          <w:lang w:val="en-US"/>
        </w:rPr>
      </w:pPr>
      <w:proofErr w:type="spellStart"/>
      <w:r w:rsidRPr="008A530B">
        <w:rPr>
          <w:lang w:val="en-US"/>
        </w:rPr>
        <w:t>Bobola</w:t>
      </w:r>
      <w:proofErr w:type="spellEnd"/>
      <w:r w:rsidRPr="008A530B">
        <w:rPr>
          <w:lang w:val="en-US"/>
        </w:rPr>
        <w:t xml:space="preserve">, A., </w:t>
      </w:r>
      <w:proofErr w:type="spellStart"/>
      <w:r w:rsidRPr="008A530B">
        <w:rPr>
          <w:lang w:val="en-US"/>
        </w:rPr>
        <w:t>Ozimek</w:t>
      </w:r>
      <w:proofErr w:type="spellEnd"/>
      <w:r w:rsidRPr="008A530B">
        <w:rPr>
          <w:lang w:val="en-US"/>
        </w:rPr>
        <w:t xml:space="preserve">, I., </w:t>
      </w:r>
      <w:proofErr w:type="spellStart"/>
      <w:r w:rsidRPr="008A530B">
        <w:rPr>
          <w:lang w:val="en-US"/>
        </w:rPr>
        <w:t>Pomianek</w:t>
      </w:r>
      <w:proofErr w:type="spellEnd"/>
      <w:r w:rsidRPr="008A530B">
        <w:rPr>
          <w:lang w:val="en-US"/>
        </w:rPr>
        <w:t xml:space="preserve">, I. and </w:t>
      </w:r>
      <w:proofErr w:type="spellStart"/>
      <w:r w:rsidRPr="008A530B">
        <w:rPr>
          <w:lang w:val="en-US"/>
        </w:rPr>
        <w:t>Rakowska</w:t>
      </w:r>
      <w:proofErr w:type="spellEnd"/>
      <w:r w:rsidRPr="008A530B">
        <w:rPr>
          <w:lang w:val="en-US"/>
        </w:rPr>
        <w:t xml:space="preserve">, J. (2022) ‘Selected aspects of innovative activity of Polish enterprises in 2016–2020’, </w:t>
      </w:r>
      <w:r w:rsidRPr="008A530B">
        <w:rPr>
          <w:i/>
          <w:iCs/>
          <w:lang w:val="en-US"/>
        </w:rPr>
        <w:t>Marketing of Scientific and Research Organizations</w:t>
      </w:r>
      <w:r w:rsidRPr="008A530B">
        <w:rPr>
          <w:lang w:val="en-US"/>
        </w:rPr>
        <w:t xml:space="preserve">, 45(3), pp. 71–96. Available at: </w:t>
      </w:r>
      <w:hyperlink r:id="rId13" w:tgtFrame="_new" w:history="1">
        <w:r w:rsidRPr="008A530B">
          <w:rPr>
            <w:rStyle w:val="Hyperlink"/>
            <w:lang w:val="en-US"/>
          </w:rPr>
          <w:t>https://doi.org/10.2478/minib-2022-0017</w:t>
        </w:r>
      </w:hyperlink>
    </w:p>
    <w:p w:rsidR="00B97A95" w:rsidRPr="008C4DFB" w:rsidRDefault="00B97A95" w:rsidP="00B97A95">
      <w:proofErr w:type="spellStart"/>
      <w:r w:rsidRPr="008C4DFB">
        <w:t>Boumosleh</w:t>
      </w:r>
      <w:proofErr w:type="spellEnd"/>
      <w:r w:rsidRPr="008C4DFB">
        <w:t xml:space="preserve">, J. and </w:t>
      </w:r>
      <w:proofErr w:type="spellStart"/>
      <w:r w:rsidRPr="008C4DFB">
        <w:t>Jaalouk</w:t>
      </w:r>
      <w:proofErr w:type="spellEnd"/>
      <w:r w:rsidRPr="008C4DFB">
        <w:t xml:space="preserve">, D. (2017) ‘Depression, anxiety, and smartphone addiction in university students: A cross-sectional study’, </w:t>
      </w:r>
      <w:r w:rsidRPr="008C4DFB">
        <w:rPr>
          <w:i/>
          <w:iCs/>
        </w:rPr>
        <w:t>PLOS ONE</w:t>
      </w:r>
      <w:r w:rsidRPr="008C4DFB">
        <w:t>, 12(8), p. e0182239.</w:t>
      </w:r>
      <w:r w:rsidRPr="008C4DFB">
        <w:br/>
        <w:t xml:space="preserve">Available at: </w:t>
      </w:r>
      <w:hyperlink r:id="rId14" w:tgtFrame="_new" w:history="1">
        <w:r w:rsidRPr="008C4DFB">
          <w:rPr>
            <w:rStyle w:val="Hyperlink"/>
          </w:rPr>
          <w:t>https://doi.org/10.1371/journal.pone.0182239</w:t>
        </w:r>
      </w:hyperlink>
    </w:p>
    <w:p w:rsidR="00B97A95" w:rsidRPr="008C4DFB" w:rsidRDefault="00B97A95" w:rsidP="00B97A95">
      <w:proofErr w:type="spellStart"/>
      <w:r w:rsidRPr="008C4DFB">
        <w:lastRenderedPageBreak/>
        <w:t>Bouri</w:t>
      </w:r>
      <w:proofErr w:type="spellEnd"/>
      <w:r w:rsidRPr="008C4DFB">
        <w:t xml:space="preserve">, N. and Ravi, S. (2014) ‘Going mobile: How mobile personal health records can improve health care during emergencies’, </w:t>
      </w:r>
      <w:r w:rsidRPr="008C4DFB">
        <w:rPr>
          <w:i/>
          <w:iCs/>
        </w:rPr>
        <w:t xml:space="preserve">JMIR </w:t>
      </w:r>
      <w:proofErr w:type="spellStart"/>
      <w:r w:rsidRPr="008C4DFB">
        <w:rPr>
          <w:i/>
          <w:iCs/>
        </w:rPr>
        <w:t>mHealth</w:t>
      </w:r>
      <w:proofErr w:type="spellEnd"/>
      <w:r w:rsidRPr="008C4DFB">
        <w:rPr>
          <w:i/>
          <w:iCs/>
        </w:rPr>
        <w:t xml:space="preserve"> and </w:t>
      </w:r>
      <w:proofErr w:type="spellStart"/>
      <w:r w:rsidRPr="008C4DFB">
        <w:rPr>
          <w:i/>
          <w:iCs/>
        </w:rPr>
        <w:t>uHealth</w:t>
      </w:r>
      <w:proofErr w:type="spellEnd"/>
      <w:r w:rsidRPr="008C4DFB">
        <w:t>, 2(1), p. e8.</w:t>
      </w:r>
      <w:r w:rsidRPr="008C4DFB">
        <w:br/>
        <w:t xml:space="preserve">Available at: </w:t>
      </w:r>
      <w:hyperlink r:id="rId15" w:tgtFrame="_new" w:history="1">
        <w:r w:rsidRPr="008C4DFB">
          <w:rPr>
            <w:rStyle w:val="Hyperlink"/>
          </w:rPr>
          <w:t>https://doi.org/10.2196/mhealth.3017</w:t>
        </w:r>
      </w:hyperlink>
    </w:p>
    <w:p w:rsidR="00B97A95" w:rsidRPr="002A3A28" w:rsidRDefault="00B97A95" w:rsidP="00B97A95">
      <w:r w:rsidRPr="002A3A28">
        <w:t xml:space="preserve">Choo, C.W. (2001) ‘Environmental scanning as information seeking and organisational learning’, </w:t>
      </w:r>
      <w:r w:rsidRPr="002A3A28">
        <w:rPr>
          <w:i/>
          <w:iCs/>
        </w:rPr>
        <w:t>Information Research</w:t>
      </w:r>
      <w:r w:rsidRPr="002A3A28">
        <w:t>, 7(1), pp. 1–22.</w:t>
      </w:r>
    </w:p>
    <w:p w:rsidR="00B97A95" w:rsidRPr="003D22BF" w:rsidRDefault="00B97A95" w:rsidP="00B97A95">
      <w:proofErr w:type="spellStart"/>
      <w:r w:rsidRPr="003D22BF">
        <w:t>Durugbo</w:t>
      </w:r>
      <w:proofErr w:type="spellEnd"/>
      <w:r w:rsidRPr="003D22BF">
        <w:t xml:space="preserve">, C., Tiwari, A. and </w:t>
      </w:r>
      <w:proofErr w:type="spellStart"/>
      <w:r w:rsidRPr="003D22BF">
        <w:t>Alcock</w:t>
      </w:r>
      <w:proofErr w:type="spellEnd"/>
      <w:r w:rsidRPr="003D22BF">
        <w:t xml:space="preserve">, J. (2014) ‘Managing integrated information flow for delivery reliability’, </w:t>
      </w:r>
      <w:r w:rsidRPr="003D22BF">
        <w:rPr>
          <w:i/>
          <w:iCs/>
        </w:rPr>
        <w:t>Industrial Management &amp; Data Systems</w:t>
      </w:r>
      <w:r w:rsidRPr="003D22BF">
        <w:t>, 114(4), pp. 628–651.</w:t>
      </w:r>
      <w:r w:rsidRPr="003D22BF">
        <w:br/>
        <w:t xml:space="preserve">Available at: </w:t>
      </w:r>
      <w:hyperlink r:id="rId16" w:tgtFrame="_new" w:history="1">
        <w:r w:rsidRPr="003D22BF">
          <w:rPr>
            <w:rStyle w:val="Hyperlink"/>
          </w:rPr>
          <w:t>https://doi.org/10.1108/IMDS-10-2013-0430</w:t>
        </w:r>
      </w:hyperlink>
    </w:p>
    <w:p w:rsidR="00B97A95" w:rsidRPr="002A3A28" w:rsidRDefault="00B97A95" w:rsidP="00B97A95">
      <w:r w:rsidRPr="002A3A28">
        <w:t xml:space="preserve">GSMA (2024) </w:t>
      </w:r>
      <w:r w:rsidRPr="002A3A28">
        <w:rPr>
          <w:i/>
          <w:iCs/>
        </w:rPr>
        <w:t>The Mobile Economy 2024</w:t>
      </w:r>
      <w:r w:rsidRPr="002A3A28">
        <w:t>. GSMA Intelligence.</w:t>
      </w:r>
    </w:p>
    <w:p w:rsidR="00B97A95" w:rsidRDefault="00B97A95" w:rsidP="00B97A95">
      <w:pPr>
        <w:rPr>
          <w:lang w:val="en-US"/>
        </w:rPr>
      </w:pPr>
      <w:proofErr w:type="spellStart"/>
      <w:r w:rsidRPr="00B97A95">
        <w:t>Guo</w:t>
      </w:r>
      <w:proofErr w:type="spellEnd"/>
      <w:r w:rsidRPr="00B97A95">
        <w:t xml:space="preserve">, J. (2025) ‘Platform-driven </w:t>
      </w:r>
      <w:proofErr w:type="spellStart"/>
      <w:r w:rsidRPr="00B97A95">
        <w:t>vlogging</w:t>
      </w:r>
      <w:proofErr w:type="spellEnd"/>
      <w:r w:rsidRPr="00B97A95">
        <w:t xml:space="preserve">’, </w:t>
      </w:r>
      <w:r w:rsidRPr="00B97A95">
        <w:rPr>
          <w:i/>
          <w:iCs/>
        </w:rPr>
        <w:t>M/C Journal</w:t>
      </w:r>
      <w:r w:rsidRPr="00B97A95">
        <w:t xml:space="preserve">, 28(4). Available at: </w:t>
      </w:r>
      <w:hyperlink r:id="rId17" w:tgtFrame="_new" w:history="1">
        <w:r w:rsidRPr="00B97A95">
          <w:rPr>
            <w:rStyle w:val="Hyperlink"/>
          </w:rPr>
          <w:t>https://doi.org/10.5204/mcj.3163</w:t>
        </w:r>
      </w:hyperlink>
    </w:p>
    <w:p w:rsidR="00B97A95" w:rsidRPr="002A3A28" w:rsidRDefault="00B97A95" w:rsidP="00B97A95">
      <w:r w:rsidRPr="002A3A28">
        <w:t xml:space="preserve">IDC (2024) </w:t>
      </w:r>
      <w:r w:rsidRPr="002A3A28">
        <w:rPr>
          <w:i/>
          <w:iCs/>
        </w:rPr>
        <w:t>Worldwide Quarterly Mobile Phone Tracker, 2024 Results</w:t>
      </w:r>
      <w:r w:rsidRPr="002A3A28">
        <w:t>. IDC.</w:t>
      </w:r>
    </w:p>
    <w:p w:rsidR="00B97A95" w:rsidRPr="002A3A28" w:rsidRDefault="00B97A95" w:rsidP="00B97A95">
      <w:r w:rsidRPr="002A3A28">
        <w:t xml:space="preserve">IDC (2025) </w:t>
      </w:r>
      <w:r w:rsidRPr="002A3A28">
        <w:rPr>
          <w:i/>
          <w:iCs/>
        </w:rPr>
        <w:t>Global Smartphone Shipments Report 2025</w:t>
      </w:r>
      <w:r w:rsidRPr="002A3A28">
        <w:t>. IDC.</w:t>
      </w:r>
    </w:p>
    <w:p w:rsidR="00B97A95" w:rsidRPr="00C615F1" w:rsidRDefault="00B97A95" w:rsidP="00B97A95">
      <w:pPr>
        <w:rPr>
          <w:lang w:val="en-US"/>
        </w:rPr>
      </w:pPr>
      <w:proofErr w:type="spellStart"/>
      <w:r w:rsidRPr="00C615F1">
        <w:rPr>
          <w:lang w:val="en-US"/>
        </w:rPr>
        <w:t>Imoize</w:t>
      </w:r>
      <w:proofErr w:type="spellEnd"/>
      <w:r w:rsidRPr="00C615F1">
        <w:rPr>
          <w:lang w:val="en-US"/>
        </w:rPr>
        <w:t xml:space="preserve">, A., </w:t>
      </w:r>
      <w:proofErr w:type="spellStart"/>
      <w:r w:rsidRPr="00C615F1">
        <w:rPr>
          <w:lang w:val="en-US"/>
        </w:rPr>
        <w:t>Adedeji</w:t>
      </w:r>
      <w:proofErr w:type="spellEnd"/>
      <w:r w:rsidRPr="00C615F1">
        <w:rPr>
          <w:lang w:val="en-US"/>
        </w:rPr>
        <w:t xml:space="preserve">, O., </w:t>
      </w:r>
      <w:proofErr w:type="spellStart"/>
      <w:r w:rsidRPr="00C615F1">
        <w:rPr>
          <w:lang w:val="en-US"/>
        </w:rPr>
        <w:t>Tandiya</w:t>
      </w:r>
      <w:proofErr w:type="spellEnd"/>
      <w:r w:rsidRPr="00C615F1">
        <w:rPr>
          <w:lang w:val="en-US"/>
        </w:rPr>
        <w:t xml:space="preserve">, N. and Shetty, S. (2021) ‘6G enabled smart infrastructure for sustainable society: opportunities, challenges, and research roadmap’, </w:t>
      </w:r>
      <w:r w:rsidRPr="00C615F1">
        <w:rPr>
          <w:i/>
          <w:iCs/>
          <w:lang w:val="en-US"/>
        </w:rPr>
        <w:t>Sensors</w:t>
      </w:r>
      <w:r w:rsidRPr="00C615F1">
        <w:rPr>
          <w:lang w:val="en-US"/>
        </w:rPr>
        <w:t xml:space="preserve">, 21(5), 1709. Available at: </w:t>
      </w:r>
      <w:hyperlink r:id="rId18" w:tgtFrame="_new" w:history="1">
        <w:r w:rsidRPr="00C615F1">
          <w:rPr>
            <w:rStyle w:val="Hyperlink"/>
            <w:lang w:val="en-US"/>
          </w:rPr>
          <w:t>https://doi.org/10.3390/s21051709</w:t>
        </w:r>
      </w:hyperlink>
    </w:p>
    <w:p w:rsidR="00B97A95" w:rsidRPr="00C615F1" w:rsidRDefault="00B97A95" w:rsidP="00B97A95">
      <w:pPr>
        <w:rPr>
          <w:lang w:val="en-US"/>
        </w:rPr>
      </w:pPr>
      <w:r w:rsidRPr="00C615F1">
        <w:rPr>
          <w:lang w:val="en-US"/>
        </w:rPr>
        <w:t xml:space="preserve">Jiang, W., Han, B., </w:t>
      </w:r>
      <w:proofErr w:type="spellStart"/>
      <w:r w:rsidRPr="00C615F1">
        <w:rPr>
          <w:lang w:val="en-US"/>
        </w:rPr>
        <w:t>Habibi</w:t>
      </w:r>
      <w:proofErr w:type="spellEnd"/>
      <w:r w:rsidRPr="00C615F1">
        <w:rPr>
          <w:lang w:val="en-US"/>
        </w:rPr>
        <w:t xml:space="preserve">, M. and </w:t>
      </w:r>
      <w:proofErr w:type="spellStart"/>
      <w:r w:rsidRPr="00C615F1">
        <w:rPr>
          <w:lang w:val="en-US"/>
        </w:rPr>
        <w:t>Schotten</w:t>
      </w:r>
      <w:proofErr w:type="spellEnd"/>
      <w:r w:rsidRPr="00C615F1">
        <w:rPr>
          <w:lang w:val="en-US"/>
        </w:rPr>
        <w:t xml:space="preserve">, H. (2021) ‘The road towards 6G: a comprehensive survey’, </w:t>
      </w:r>
      <w:r w:rsidRPr="00C615F1">
        <w:rPr>
          <w:i/>
          <w:iCs/>
          <w:lang w:val="en-US"/>
        </w:rPr>
        <w:t>IEEE Open Journal of the Communications Society</w:t>
      </w:r>
      <w:r w:rsidRPr="00C615F1">
        <w:rPr>
          <w:lang w:val="en-US"/>
        </w:rPr>
        <w:t xml:space="preserve">, 2, pp. 334–366. Available at: </w:t>
      </w:r>
      <w:hyperlink r:id="rId19" w:tgtFrame="_new" w:history="1">
        <w:r w:rsidRPr="00C615F1">
          <w:rPr>
            <w:rStyle w:val="Hyperlink"/>
            <w:lang w:val="en-US"/>
          </w:rPr>
          <w:t>https://doi.org/10.1109/ojcoms.2021.3057679</w:t>
        </w:r>
      </w:hyperlink>
    </w:p>
    <w:p w:rsidR="00B97A95" w:rsidRPr="00311643" w:rsidRDefault="00B97A95" w:rsidP="00B97A95">
      <w:pPr>
        <w:rPr>
          <w:lang w:val="en-US"/>
        </w:rPr>
      </w:pPr>
      <w:proofErr w:type="spellStart"/>
      <w:r w:rsidRPr="00311643">
        <w:rPr>
          <w:lang w:val="en-US"/>
        </w:rPr>
        <w:t>Ju</w:t>
      </w:r>
      <w:proofErr w:type="spellEnd"/>
      <w:r w:rsidRPr="00311643">
        <w:rPr>
          <w:lang w:val="en-US"/>
        </w:rPr>
        <w:t xml:space="preserve">, J. (2023) ‘How open innovation drives intellectual capital to superior organizational resilience: evidence from China’s ICT sector’, </w:t>
      </w:r>
      <w:r w:rsidRPr="00311643">
        <w:rPr>
          <w:i/>
          <w:iCs/>
          <w:lang w:val="en-US"/>
        </w:rPr>
        <w:t>Journal of Intellectual Capital</w:t>
      </w:r>
      <w:r w:rsidRPr="00311643">
        <w:rPr>
          <w:lang w:val="en-US"/>
        </w:rPr>
        <w:t xml:space="preserve">, 24(6), pp. 1464–1484. Available at: </w:t>
      </w:r>
      <w:hyperlink r:id="rId20" w:tgtFrame="_new" w:history="1">
        <w:r w:rsidRPr="00311643">
          <w:rPr>
            <w:rStyle w:val="Hyperlink"/>
            <w:lang w:val="en-US"/>
          </w:rPr>
          <w:t>https://doi.org/10.1108/jic-12-2022-0251</w:t>
        </w:r>
      </w:hyperlink>
    </w:p>
    <w:p w:rsidR="00B97A95" w:rsidRPr="008A530B" w:rsidRDefault="00B97A95" w:rsidP="00B97A95">
      <w:pPr>
        <w:rPr>
          <w:lang w:val="en-US"/>
        </w:rPr>
      </w:pPr>
      <w:proofErr w:type="spellStart"/>
      <w:r w:rsidRPr="008A530B">
        <w:rPr>
          <w:lang w:val="en-US"/>
        </w:rPr>
        <w:t>Kaniz</w:t>
      </w:r>
      <w:proofErr w:type="spellEnd"/>
      <w:r w:rsidRPr="008A530B">
        <w:rPr>
          <w:lang w:val="en-US"/>
        </w:rPr>
        <w:t xml:space="preserve">, R., Lindon, A., Rahman, M., Hasan, M. and Hossain, M. (2025) ‘The impact of project management strategies on the effectiveness of digital marketing analytics for start-up growth in the United States’, </w:t>
      </w:r>
      <w:r w:rsidRPr="008A530B">
        <w:rPr>
          <w:i/>
          <w:iCs/>
          <w:lang w:val="en-US"/>
        </w:rPr>
        <w:t>IJSS</w:t>
      </w:r>
      <w:r w:rsidRPr="008A530B">
        <w:rPr>
          <w:lang w:val="en-US"/>
        </w:rPr>
        <w:t xml:space="preserve">, 4(1), pp. 8–24. Available at: </w:t>
      </w:r>
      <w:hyperlink r:id="rId21" w:tgtFrame="_new" w:history="1">
        <w:r w:rsidRPr="008A530B">
          <w:rPr>
            <w:rStyle w:val="Hyperlink"/>
            <w:lang w:val="en-US"/>
          </w:rPr>
          <w:t>https://doi.org/10.63544/ijss.v4i1.109</w:t>
        </w:r>
      </w:hyperlink>
    </w:p>
    <w:p w:rsidR="00B97A95" w:rsidRPr="00466E05" w:rsidRDefault="00B97A95" w:rsidP="00B97A95">
      <w:pPr>
        <w:rPr>
          <w:lang w:val="en-US"/>
        </w:rPr>
      </w:pPr>
      <w:proofErr w:type="spellStart"/>
      <w:r w:rsidRPr="00466E05">
        <w:rPr>
          <w:lang w:val="en-US"/>
        </w:rPr>
        <w:t>Karhade</w:t>
      </w:r>
      <w:proofErr w:type="spellEnd"/>
      <w:r w:rsidRPr="00466E05">
        <w:rPr>
          <w:lang w:val="en-US"/>
        </w:rPr>
        <w:t xml:space="preserve">, P. and Dong, J. (2021) ‘Innovation outcomes of digitally enabled collaborative </w:t>
      </w:r>
      <w:proofErr w:type="spellStart"/>
      <w:r w:rsidRPr="00466E05">
        <w:rPr>
          <w:lang w:val="en-US"/>
        </w:rPr>
        <w:t>problemistic</w:t>
      </w:r>
      <w:proofErr w:type="spellEnd"/>
      <w:r w:rsidRPr="00466E05">
        <w:rPr>
          <w:lang w:val="en-US"/>
        </w:rPr>
        <w:t xml:space="preserve"> search capability’, </w:t>
      </w:r>
      <w:r w:rsidRPr="00466E05">
        <w:rPr>
          <w:i/>
          <w:iCs/>
          <w:lang w:val="en-US"/>
        </w:rPr>
        <w:t>MIS Quarterly</w:t>
      </w:r>
      <w:r w:rsidRPr="00466E05">
        <w:rPr>
          <w:lang w:val="en-US"/>
        </w:rPr>
        <w:t xml:space="preserve">, 45(2), pp. 693–718. Available at: </w:t>
      </w:r>
      <w:hyperlink r:id="rId22" w:tgtFrame="_new" w:history="1">
        <w:r w:rsidRPr="00466E05">
          <w:rPr>
            <w:rStyle w:val="Hyperlink"/>
            <w:lang w:val="en-US"/>
          </w:rPr>
          <w:t>https://doi.org/10.25300/misq/2021/12202</w:t>
        </w:r>
      </w:hyperlink>
    </w:p>
    <w:p w:rsidR="00B97A95" w:rsidRPr="00C615F1" w:rsidRDefault="00B97A95" w:rsidP="00B97A95">
      <w:pPr>
        <w:rPr>
          <w:lang w:val="en-US"/>
        </w:rPr>
      </w:pPr>
      <w:r w:rsidRPr="00C615F1">
        <w:rPr>
          <w:lang w:val="en-US"/>
        </w:rPr>
        <w:lastRenderedPageBreak/>
        <w:t xml:space="preserve">Khan, M. and </w:t>
      </w:r>
      <w:proofErr w:type="spellStart"/>
      <w:r w:rsidRPr="00C615F1">
        <w:rPr>
          <w:lang w:val="en-US"/>
        </w:rPr>
        <w:t>Ullah</w:t>
      </w:r>
      <w:proofErr w:type="spellEnd"/>
      <w:r w:rsidRPr="00C615F1">
        <w:rPr>
          <w:lang w:val="en-US"/>
        </w:rPr>
        <w:t xml:space="preserve">, A. (2024) ‘Implication of IoT and its impact on library services: an overview’, </w:t>
      </w:r>
      <w:r w:rsidRPr="00C615F1">
        <w:rPr>
          <w:i/>
          <w:iCs/>
          <w:lang w:val="en-US"/>
        </w:rPr>
        <w:t>IJSS</w:t>
      </w:r>
      <w:r w:rsidRPr="00C615F1">
        <w:rPr>
          <w:lang w:val="en-US"/>
        </w:rPr>
        <w:t xml:space="preserve">, 3(2), pp. 63–72. Available at: </w:t>
      </w:r>
      <w:hyperlink r:id="rId23" w:tgtFrame="_new" w:history="1">
        <w:r w:rsidRPr="00C615F1">
          <w:rPr>
            <w:rStyle w:val="Hyperlink"/>
            <w:lang w:val="en-US"/>
          </w:rPr>
          <w:t>https://doi.org/10.63544/ijss.v3i2.94</w:t>
        </w:r>
      </w:hyperlink>
    </w:p>
    <w:p w:rsidR="00B97A95" w:rsidRPr="002A3A28" w:rsidRDefault="00B97A95" w:rsidP="00B97A95">
      <w:r w:rsidRPr="002A3A28">
        <w:t xml:space="preserve">Kim, J., Lee, S. and Kim, H. (2022) ‘Late-mover innovation in high-tech industries: strategies and performance outcomes’, </w:t>
      </w:r>
      <w:r w:rsidRPr="002A3A28">
        <w:rPr>
          <w:i/>
          <w:iCs/>
        </w:rPr>
        <w:t>Journal of Business Research</w:t>
      </w:r>
      <w:r w:rsidRPr="002A3A28">
        <w:t>, 145, pp. 456–468.</w:t>
      </w:r>
    </w:p>
    <w:p w:rsidR="00B97A95" w:rsidRPr="008C4DFB" w:rsidRDefault="00B97A95" w:rsidP="00B97A95">
      <w:r w:rsidRPr="008C4DFB">
        <w:t xml:space="preserve">Kim, K. and </w:t>
      </w:r>
      <w:proofErr w:type="spellStart"/>
      <w:r w:rsidRPr="008C4DFB">
        <w:t>Sundar</w:t>
      </w:r>
      <w:proofErr w:type="spellEnd"/>
      <w:r w:rsidRPr="008C4DFB">
        <w:t xml:space="preserve">, S. (2014) ‘Does screen size matter for smartphones? Utilitarian and hedonic effects of screen size on smartphone adoption’, </w:t>
      </w:r>
      <w:proofErr w:type="spellStart"/>
      <w:r w:rsidRPr="008C4DFB">
        <w:rPr>
          <w:i/>
          <w:iCs/>
        </w:rPr>
        <w:t>Cyberpsychology</w:t>
      </w:r>
      <w:proofErr w:type="spellEnd"/>
      <w:r w:rsidRPr="008C4DFB">
        <w:rPr>
          <w:i/>
          <w:iCs/>
        </w:rPr>
        <w:t>, Behavior, and Social Networking</w:t>
      </w:r>
      <w:r w:rsidRPr="008C4DFB">
        <w:t>, 17(7), pp. 466–473.</w:t>
      </w:r>
      <w:r w:rsidRPr="008C4DFB">
        <w:br/>
        <w:t xml:space="preserve">Available at: </w:t>
      </w:r>
      <w:hyperlink r:id="rId24" w:tgtFrame="_new" w:history="1">
        <w:r w:rsidRPr="008C4DFB">
          <w:rPr>
            <w:rStyle w:val="Hyperlink"/>
          </w:rPr>
          <w:t>https://doi.org/10.1089/cyber.2013.0492</w:t>
        </w:r>
      </w:hyperlink>
    </w:p>
    <w:p w:rsidR="00B97A95" w:rsidRPr="008C4DFB" w:rsidRDefault="00B97A95" w:rsidP="00B97A95">
      <w:r w:rsidRPr="008C4DFB">
        <w:t xml:space="preserve">Lee, G. et al. (2014) ‘Online learning for classification of Alzheimer disease based on cortical thickness and hippocampal shape analysis’, </w:t>
      </w:r>
      <w:r w:rsidRPr="008C4DFB">
        <w:rPr>
          <w:i/>
          <w:iCs/>
        </w:rPr>
        <w:t>Healthcare Informatics Research</w:t>
      </w:r>
      <w:r w:rsidRPr="008C4DFB">
        <w:t>, 20(1), p. 61.</w:t>
      </w:r>
      <w:r w:rsidRPr="008C4DFB">
        <w:br/>
        <w:t xml:space="preserve">Available at: </w:t>
      </w:r>
      <w:hyperlink r:id="rId25" w:tgtFrame="_new" w:history="1">
        <w:r w:rsidRPr="008C4DFB">
          <w:rPr>
            <w:rStyle w:val="Hyperlink"/>
          </w:rPr>
          <w:t>https://doi.org/10.4258/hir.2014.20.1.61</w:t>
        </w:r>
      </w:hyperlink>
    </w:p>
    <w:p w:rsidR="00B97A95" w:rsidRPr="00C615F1" w:rsidRDefault="00B97A95" w:rsidP="00B97A95">
      <w:pPr>
        <w:rPr>
          <w:lang w:val="en-US"/>
        </w:rPr>
      </w:pPr>
      <w:proofErr w:type="spellStart"/>
      <w:r w:rsidRPr="00C615F1">
        <w:rPr>
          <w:lang w:val="en-US"/>
        </w:rPr>
        <w:t>Letaief</w:t>
      </w:r>
      <w:proofErr w:type="spellEnd"/>
      <w:r w:rsidRPr="00C615F1">
        <w:rPr>
          <w:lang w:val="en-US"/>
        </w:rPr>
        <w:t xml:space="preserve">, K., Shi, Y., Lu, J. and Lu, J. (2022) ‘Edge artificial intelligence for 6G: vision, enabling technologies, and applications’, </w:t>
      </w:r>
      <w:r w:rsidRPr="00C615F1">
        <w:rPr>
          <w:i/>
          <w:iCs/>
          <w:lang w:val="en-US"/>
        </w:rPr>
        <w:t>IEEE Journal on Selected Areas in Communications</w:t>
      </w:r>
      <w:r w:rsidRPr="00C615F1">
        <w:rPr>
          <w:lang w:val="en-US"/>
        </w:rPr>
        <w:t xml:space="preserve">, 40(1), pp. 5–36. Available at: </w:t>
      </w:r>
      <w:hyperlink r:id="rId26" w:tgtFrame="_new" w:history="1">
        <w:r w:rsidRPr="00C615F1">
          <w:rPr>
            <w:rStyle w:val="Hyperlink"/>
            <w:lang w:val="en-US"/>
          </w:rPr>
          <w:t>https://doi.org/10.1109/jsac.2021.3126076</w:t>
        </w:r>
      </w:hyperlink>
    </w:p>
    <w:p w:rsidR="00B97A95" w:rsidRPr="008C4DFB" w:rsidRDefault="00B97A95" w:rsidP="00B97A95">
      <w:r w:rsidRPr="008C4DFB">
        <w:t xml:space="preserve">Li, M. et al. (2023) ‘The habitual characteristic of smartphone use under relevant cues among Chinese college students’, </w:t>
      </w:r>
      <w:r w:rsidRPr="008C4DFB">
        <w:rPr>
          <w:i/>
          <w:iCs/>
        </w:rPr>
        <w:t>Frontiers in Psychology</w:t>
      </w:r>
      <w:r w:rsidRPr="008C4DFB">
        <w:t>, 14, p. 1218886.</w:t>
      </w:r>
      <w:r w:rsidRPr="008C4DFB">
        <w:br/>
        <w:t xml:space="preserve">Available at: </w:t>
      </w:r>
      <w:hyperlink r:id="rId27" w:tgtFrame="_new" w:history="1">
        <w:r w:rsidRPr="008C4DFB">
          <w:rPr>
            <w:rStyle w:val="Hyperlink"/>
          </w:rPr>
          <w:t>https://doi.org/10.3389/fpsyg.2023.1218886</w:t>
        </w:r>
      </w:hyperlink>
    </w:p>
    <w:p w:rsidR="00B97A95" w:rsidRPr="003D22BF" w:rsidRDefault="00B97A95" w:rsidP="00B97A95">
      <w:r w:rsidRPr="003D22BF">
        <w:t xml:space="preserve">Liu, Q. (2025) ‘Dynamic collaborative mechanism of cross-border e-commerce dual-channel supply chain under carbon quota constraints’, </w:t>
      </w:r>
      <w:r w:rsidRPr="003D22BF">
        <w:rPr>
          <w:i/>
          <w:iCs/>
        </w:rPr>
        <w:t>International Journal of Applied Science</w:t>
      </w:r>
      <w:r w:rsidRPr="003D22BF">
        <w:t>, 8(3), p. 56.</w:t>
      </w:r>
      <w:r w:rsidRPr="003D22BF">
        <w:br/>
        <w:t xml:space="preserve">Available at: </w:t>
      </w:r>
      <w:hyperlink r:id="rId28" w:tgtFrame="_new" w:history="1">
        <w:r w:rsidRPr="003D22BF">
          <w:rPr>
            <w:rStyle w:val="Hyperlink"/>
          </w:rPr>
          <w:t>https://doi.org/10.30560/ijas.v8n3p56</w:t>
        </w:r>
      </w:hyperlink>
    </w:p>
    <w:p w:rsidR="00B97A95" w:rsidRDefault="00B97A95" w:rsidP="00B97A95">
      <w:proofErr w:type="spellStart"/>
      <w:r w:rsidRPr="00C969BF">
        <w:rPr>
          <w:lang w:val="en-US"/>
        </w:rPr>
        <w:t>Martínez</w:t>
      </w:r>
      <w:proofErr w:type="spellEnd"/>
      <w:r w:rsidRPr="00C969BF">
        <w:rPr>
          <w:lang w:val="en-US"/>
        </w:rPr>
        <w:t xml:space="preserve">, C. and </w:t>
      </w:r>
      <w:proofErr w:type="spellStart"/>
      <w:r w:rsidRPr="00C969BF">
        <w:rPr>
          <w:lang w:val="en-US"/>
        </w:rPr>
        <w:t>Poveda</w:t>
      </w:r>
      <w:proofErr w:type="spellEnd"/>
      <w:r w:rsidRPr="00C969BF">
        <w:rPr>
          <w:lang w:val="en-US"/>
        </w:rPr>
        <w:t xml:space="preserve">, A. (2022) ‘Strategies to improve sustainability: an analysis of 120 microenterprises in an emerging economy’, </w:t>
      </w:r>
      <w:r w:rsidRPr="00C969BF">
        <w:rPr>
          <w:i/>
          <w:iCs/>
          <w:lang w:val="en-US"/>
        </w:rPr>
        <w:t>Global Sustainability</w:t>
      </w:r>
      <w:r w:rsidRPr="00C969BF">
        <w:rPr>
          <w:lang w:val="en-US"/>
        </w:rPr>
        <w:t xml:space="preserve">, 5, pp. 1–12. Available at: </w:t>
      </w:r>
      <w:hyperlink r:id="rId29" w:tgtFrame="_new" w:history="1">
        <w:r w:rsidRPr="00C969BF">
          <w:rPr>
            <w:rStyle w:val="Hyperlink"/>
            <w:lang w:val="en-US"/>
          </w:rPr>
          <w:t>https://doi.org/10.1017/sus.2022.3</w:t>
        </w:r>
      </w:hyperlink>
    </w:p>
    <w:p w:rsidR="00B97A95" w:rsidRPr="002A3A28" w:rsidRDefault="00B97A95" w:rsidP="00B97A95">
      <w:r w:rsidRPr="002A3A28">
        <w:t xml:space="preserve">McKinsey (2025) </w:t>
      </w:r>
      <w:r w:rsidRPr="002A3A28">
        <w:rPr>
          <w:i/>
          <w:iCs/>
        </w:rPr>
        <w:t>Global Technology Trends and Consumer Electronics Outlook 2025</w:t>
      </w:r>
      <w:r w:rsidRPr="002A3A28">
        <w:t>. McKinsey &amp; Company.</w:t>
      </w:r>
    </w:p>
    <w:p w:rsidR="00B97A95" w:rsidRPr="008A530B" w:rsidRDefault="00B97A95" w:rsidP="00B97A95">
      <w:pPr>
        <w:rPr>
          <w:lang w:val="en-US"/>
        </w:rPr>
      </w:pPr>
      <w:proofErr w:type="spellStart"/>
      <w:r w:rsidRPr="008A530B">
        <w:rPr>
          <w:lang w:val="en-US"/>
        </w:rPr>
        <w:t>Moghadam</w:t>
      </w:r>
      <w:proofErr w:type="spellEnd"/>
      <w:r w:rsidRPr="008A530B">
        <w:rPr>
          <w:lang w:val="en-US"/>
        </w:rPr>
        <w:t xml:space="preserve">, M., Akbari, M., </w:t>
      </w:r>
      <w:proofErr w:type="spellStart"/>
      <w:r w:rsidRPr="008A530B">
        <w:rPr>
          <w:lang w:val="en-US"/>
        </w:rPr>
        <w:t>Mahfoozi</w:t>
      </w:r>
      <w:proofErr w:type="spellEnd"/>
      <w:r w:rsidRPr="008A530B">
        <w:rPr>
          <w:lang w:val="en-US"/>
        </w:rPr>
        <w:t xml:space="preserve">, G. and Montazeri, M. (2023) ‘How to flourish under constraints: imitation or innovation? The mediation role of innovation and absorptive capacity </w:t>
      </w:r>
      <w:r w:rsidRPr="008A530B">
        <w:rPr>
          <w:lang w:val="en-US"/>
        </w:rPr>
        <w:lastRenderedPageBreak/>
        <w:t xml:space="preserve">on firm performance’, </w:t>
      </w:r>
      <w:r w:rsidRPr="008A530B">
        <w:rPr>
          <w:i/>
          <w:iCs/>
          <w:lang w:val="en-US"/>
        </w:rPr>
        <w:t>Journal of Research in Marketing and Entrepreneurship</w:t>
      </w:r>
      <w:r w:rsidRPr="008A530B">
        <w:rPr>
          <w:lang w:val="en-US"/>
        </w:rPr>
        <w:t xml:space="preserve">, 26(2), pp. 303–336. Available at: </w:t>
      </w:r>
      <w:hyperlink r:id="rId30" w:tgtFrame="_new" w:history="1">
        <w:r w:rsidRPr="008A530B">
          <w:rPr>
            <w:rStyle w:val="Hyperlink"/>
            <w:lang w:val="en-US"/>
          </w:rPr>
          <w:t>https://doi.org/10.1108/jrme-12-2022-0150</w:t>
        </w:r>
      </w:hyperlink>
    </w:p>
    <w:p w:rsidR="00B97A95" w:rsidRPr="00B97A95" w:rsidRDefault="00B97A95" w:rsidP="00B97A95">
      <w:pPr>
        <w:rPr>
          <w:lang w:val="en-US"/>
        </w:rPr>
      </w:pPr>
      <w:r w:rsidRPr="00B97A95">
        <w:rPr>
          <w:lang w:val="en-US"/>
        </w:rPr>
        <w:t>Mohammed, A., Al-</w:t>
      </w:r>
      <w:proofErr w:type="spellStart"/>
      <w:r w:rsidRPr="00B97A95">
        <w:rPr>
          <w:lang w:val="en-US"/>
        </w:rPr>
        <w:t>Swidi</w:t>
      </w:r>
      <w:proofErr w:type="spellEnd"/>
      <w:r w:rsidRPr="00B97A95">
        <w:rPr>
          <w:lang w:val="en-US"/>
        </w:rPr>
        <w:t xml:space="preserve">, A., Ferraris, A. and </w:t>
      </w:r>
      <w:proofErr w:type="spellStart"/>
      <w:r w:rsidRPr="00B97A95">
        <w:rPr>
          <w:lang w:val="en-US"/>
        </w:rPr>
        <w:t>Jabeen</w:t>
      </w:r>
      <w:proofErr w:type="spellEnd"/>
      <w:r w:rsidRPr="00B97A95">
        <w:rPr>
          <w:lang w:val="en-US"/>
        </w:rPr>
        <w:t xml:space="preserve">, F. (2025) ‘Mobile payments in health crisis: a comprehensive approach to analyzing consumer behavior in emerging markets’, </w:t>
      </w:r>
      <w:r w:rsidRPr="00B97A95">
        <w:rPr>
          <w:i/>
          <w:iCs/>
          <w:lang w:val="en-US"/>
        </w:rPr>
        <w:t>International Journal of Consumer Studies</w:t>
      </w:r>
      <w:r w:rsidRPr="00B97A95">
        <w:rPr>
          <w:lang w:val="en-US"/>
        </w:rPr>
        <w:t xml:space="preserve">, 49(3). Available at: </w:t>
      </w:r>
      <w:hyperlink r:id="rId31" w:tgtFrame="_new" w:history="1">
        <w:r w:rsidRPr="00B97A95">
          <w:rPr>
            <w:rStyle w:val="Hyperlink"/>
            <w:lang w:val="en-US"/>
          </w:rPr>
          <w:t>https://doi.org/10.1111/ijcs.70063</w:t>
        </w:r>
      </w:hyperlink>
    </w:p>
    <w:p w:rsidR="00B97A95" w:rsidRDefault="00B97A95" w:rsidP="00B97A95">
      <w:proofErr w:type="spellStart"/>
      <w:r w:rsidRPr="009A4601">
        <w:rPr>
          <w:bCs/>
          <w:lang w:val="en-US"/>
        </w:rPr>
        <w:t>Nafizah</w:t>
      </w:r>
      <w:proofErr w:type="spellEnd"/>
      <w:r w:rsidRPr="009A4601">
        <w:rPr>
          <w:bCs/>
          <w:lang w:val="en-US"/>
        </w:rPr>
        <w:t>, U., Roper, S. and Mole, K. (2023)</w:t>
      </w:r>
      <w:r w:rsidRPr="009A4601">
        <w:rPr>
          <w:lang w:val="en-US"/>
        </w:rPr>
        <w:t xml:space="preserve"> ‘Estimating the innovation benefits of first-mover and second-mover strategies when micro-businesses adopt artificial intelligence and machine learning’, </w:t>
      </w:r>
      <w:r w:rsidRPr="009A4601">
        <w:rPr>
          <w:i/>
          <w:iCs/>
          <w:lang w:val="en-US"/>
        </w:rPr>
        <w:t>Small Business Economics</w:t>
      </w:r>
      <w:r w:rsidRPr="009A4601">
        <w:rPr>
          <w:lang w:val="en-US"/>
        </w:rPr>
        <w:t xml:space="preserve">, 62(1), pp. 411–434. Available at: </w:t>
      </w:r>
      <w:hyperlink r:id="rId32" w:tgtFrame="_new" w:history="1">
        <w:r w:rsidRPr="009A4601">
          <w:rPr>
            <w:rStyle w:val="Hyperlink"/>
            <w:lang w:val="en-US"/>
          </w:rPr>
          <w:t>https://doi.org/10.1007/s11187-023-00779-x</w:t>
        </w:r>
      </w:hyperlink>
    </w:p>
    <w:p w:rsidR="00B97A95" w:rsidRPr="008C4DFB" w:rsidRDefault="00B97A95" w:rsidP="00B97A95">
      <w:proofErr w:type="spellStart"/>
      <w:r w:rsidRPr="008C4DFB">
        <w:t>Orlandi</w:t>
      </w:r>
      <w:proofErr w:type="spellEnd"/>
      <w:r w:rsidRPr="008C4DFB">
        <w:t xml:space="preserve">, B. et al. (2011) ‘Improving the customer experience for heterogeneous wireless access’, </w:t>
      </w:r>
      <w:r w:rsidRPr="008C4DFB">
        <w:rPr>
          <w:i/>
          <w:iCs/>
        </w:rPr>
        <w:t>Bell Labs Technical Journal</w:t>
      </w:r>
      <w:r w:rsidRPr="008C4DFB">
        <w:t>, 15(4), pp. 23–44.</w:t>
      </w:r>
      <w:r w:rsidRPr="008C4DFB">
        <w:br/>
        <w:t xml:space="preserve">Available at: </w:t>
      </w:r>
      <w:hyperlink r:id="rId33" w:tgtFrame="_new" w:history="1">
        <w:r w:rsidRPr="008C4DFB">
          <w:rPr>
            <w:rStyle w:val="Hyperlink"/>
          </w:rPr>
          <w:t>https://doi.org/10.1002/bltj.20470</w:t>
        </w:r>
      </w:hyperlink>
    </w:p>
    <w:p w:rsidR="00B97A95" w:rsidRPr="009A4601" w:rsidRDefault="00B97A95" w:rsidP="00B97A95">
      <w:pPr>
        <w:rPr>
          <w:lang w:val="en-US"/>
        </w:rPr>
      </w:pPr>
      <w:proofErr w:type="spellStart"/>
      <w:r w:rsidRPr="009A4601">
        <w:rPr>
          <w:bCs/>
          <w:lang w:val="en-US"/>
        </w:rPr>
        <w:t>Partyka</w:t>
      </w:r>
      <w:proofErr w:type="spellEnd"/>
      <w:r w:rsidRPr="009A4601">
        <w:rPr>
          <w:bCs/>
          <w:lang w:val="en-US"/>
        </w:rPr>
        <w:t xml:space="preserve">, R., Lana, J. and </w:t>
      </w:r>
      <w:proofErr w:type="spellStart"/>
      <w:r w:rsidRPr="009A4601">
        <w:rPr>
          <w:bCs/>
          <w:lang w:val="en-US"/>
        </w:rPr>
        <w:t>Marcon</w:t>
      </w:r>
      <w:proofErr w:type="spellEnd"/>
      <w:r w:rsidRPr="009A4601">
        <w:rPr>
          <w:bCs/>
          <w:lang w:val="en-US"/>
        </w:rPr>
        <w:t>, R. (2023)</w:t>
      </w:r>
      <w:r w:rsidRPr="009A4601">
        <w:rPr>
          <w:lang w:val="en-US"/>
        </w:rPr>
        <w:t xml:space="preserve"> ‘Money pills: corporate political activity effect on mergers and acquisitions’, </w:t>
      </w:r>
      <w:r w:rsidRPr="009A4601">
        <w:rPr>
          <w:i/>
          <w:iCs/>
          <w:lang w:val="en-US"/>
        </w:rPr>
        <w:t>Management Research Review</w:t>
      </w:r>
      <w:r w:rsidRPr="009A4601">
        <w:rPr>
          <w:lang w:val="en-US"/>
        </w:rPr>
        <w:t xml:space="preserve">, 46(10), pp. 1364–1387. Available at: </w:t>
      </w:r>
      <w:hyperlink r:id="rId34" w:tgtFrame="_new" w:history="1">
        <w:r w:rsidRPr="009A4601">
          <w:rPr>
            <w:rStyle w:val="Hyperlink"/>
            <w:lang w:val="en-US"/>
          </w:rPr>
          <w:t>https://doi.org/10.1108/mrr-11-2021-0834</w:t>
        </w:r>
      </w:hyperlink>
    </w:p>
    <w:p w:rsidR="00B97A95" w:rsidRPr="00960824" w:rsidRDefault="00B97A95" w:rsidP="00B97A95">
      <w:pPr>
        <w:rPr>
          <w:lang w:val="en-US"/>
        </w:rPr>
      </w:pPr>
      <w:proofErr w:type="spellStart"/>
      <w:r w:rsidRPr="00960824">
        <w:rPr>
          <w:lang w:val="en-US"/>
        </w:rPr>
        <w:t>Pranadita</w:t>
      </w:r>
      <w:proofErr w:type="spellEnd"/>
      <w:r w:rsidRPr="00960824">
        <w:rPr>
          <w:lang w:val="en-US"/>
        </w:rPr>
        <w:t xml:space="preserve">, N., </w:t>
      </w:r>
      <w:proofErr w:type="spellStart"/>
      <w:r w:rsidRPr="00960824">
        <w:rPr>
          <w:lang w:val="en-US"/>
        </w:rPr>
        <w:t>Hurriyati</w:t>
      </w:r>
      <w:proofErr w:type="spellEnd"/>
      <w:r w:rsidRPr="00960824">
        <w:rPr>
          <w:lang w:val="en-US"/>
        </w:rPr>
        <w:t xml:space="preserve">, R. and </w:t>
      </w:r>
      <w:proofErr w:type="spellStart"/>
      <w:r w:rsidRPr="00960824">
        <w:rPr>
          <w:lang w:val="en-US"/>
        </w:rPr>
        <w:t>Dirgantari</w:t>
      </w:r>
      <w:proofErr w:type="spellEnd"/>
      <w:r w:rsidRPr="00960824">
        <w:rPr>
          <w:lang w:val="en-US"/>
        </w:rPr>
        <w:t>, P. (2021) ‘</w:t>
      </w:r>
      <w:proofErr w:type="spellStart"/>
      <w:r w:rsidRPr="00960824">
        <w:rPr>
          <w:lang w:val="en-US"/>
        </w:rPr>
        <w:t>Pengaruh</w:t>
      </w:r>
      <w:proofErr w:type="spellEnd"/>
      <w:r w:rsidRPr="00960824">
        <w:rPr>
          <w:lang w:val="en-US"/>
        </w:rPr>
        <w:t xml:space="preserve"> </w:t>
      </w:r>
      <w:proofErr w:type="spellStart"/>
      <w:r w:rsidRPr="00960824">
        <w:rPr>
          <w:lang w:val="en-US"/>
        </w:rPr>
        <w:t>hukum</w:t>
      </w:r>
      <w:proofErr w:type="spellEnd"/>
      <w:r w:rsidRPr="00960824">
        <w:rPr>
          <w:lang w:val="en-US"/>
        </w:rPr>
        <w:t xml:space="preserve"> </w:t>
      </w:r>
      <w:proofErr w:type="spellStart"/>
      <w:r w:rsidRPr="00960824">
        <w:rPr>
          <w:lang w:val="en-US"/>
        </w:rPr>
        <w:t>terhadap</w:t>
      </w:r>
      <w:proofErr w:type="spellEnd"/>
      <w:r w:rsidRPr="00960824">
        <w:rPr>
          <w:lang w:val="en-US"/>
        </w:rPr>
        <w:t xml:space="preserve"> lima </w:t>
      </w:r>
      <w:proofErr w:type="spellStart"/>
      <w:r w:rsidRPr="00960824">
        <w:rPr>
          <w:lang w:val="en-US"/>
        </w:rPr>
        <w:t>kekuatan</w:t>
      </w:r>
      <w:proofErr w:type="spellEnd"/>
      <w:r w:rsidRPr="00960824">
        <w:rPr>
          <w:lang w:val="en-US"/>
        </w:rPr>
        <w:t xml:space="preserve"> </w:t>
      </w:r>
      <w:proofErr w:type="spellStart"/>
      <w:r w:rsidRPr="00960824">
        <w:rPr>
          <w:lang w:val="en-US"/>
        </w:rPr>
        <w:t>persaingan</w:t>
      </w:r>
      <w:proofErr w:type="spellEnd"/>
      <w:r w:rsidRPr="00960824">
        <w:rPr>
          <w:lang w:val="en-US"/>
        </w:rPr>
        <w:t xml:space="preserve"> </w:t>
      </w:r>
      <w:proofErr w:type="spellStart"/>
      <w:r w:rsidRPr="00960824">
        <w:rPr>
          <w:lang w:val="en-US"/>
        </w:rPr>
        <w:t>terkait</w:t>
      </w:r>
      <w:proofErr w:type="spellEnd"/>
      <w:r w:rsidRPr="00960824">
        <w:rPr>
          <w:lang w:val="en-US"/>
        </w:rPr>
        <w:t xml:space="preserve"> </w:t>
      </w:r>
      <w:proofErr w:type="spellStart"/>
      <w:r w:rsidRPr="00960824">
        <w:rPr>
          <w:lang w:val="en-US"/>
        </w:rPr>
        <w:t>dengan</w:t>
      </w:r>
      <w:proofErr w:type="spellEnd"/>
      <w:r w:rsidRPr="00960824">
        <w:rPr>
          <w:lang w:val="en-US"/>
        </w:rPr>
        <w:t xml:space="preserve"> </w:t>
      </w:r>
      <w:proofErr w:type="spellStart"/>
      <w:r w:rsidRPr="00960824">
        <w:rPr>
          <w:lang w:val="en-US"/>
        </w:rPr>
        <w:t>perumusan</w:t>
      </w:r>
      <w:proofErr w:type="spellEnd"/>
      <w:r w:rsidRPr="00960824">
        <w:rPr>
          <w:lang w:val="en-US"/>
        </w:rPr>
        <w:t xml:space="preserve"> </w:t>
      </w:r>
      <w:proofErr w:type="spellStart"/>
      <w:r w:rsidRPr="00960824">
        <w:rPr>
          <w:lang w:val="en-US"/>
        </w:rPr>
        <w:t>strategi</w:t>
      </w:r>
      <w:proofErr w:type="spellEnd"/>
      <w:r w:rsidRPr="00960824">
        <w:rPr>
          <w:lang w:val="en-US"/>
        </w:rPr>
        <w:t xml:space="preserve"> </w:t>
      </w:r>
      <w:proofErr w:type="spellStart"/>
      <w:r w:rsidRPr="00960824">
        <w:rPr>
          <w:lang w:val="en-US"/>
        </w:rPr>
        <w:t>bersaing</w:t>
      </w:r>
      <w:proofErr w:type="spellEnd"/>
      <w:r w:rsidRPr="00960824">
        <w:rPr>
          <w:lang w:val="en-US"/>
        </w:rPr>
        <w:t xml:space="preserve"> </w:t>
      </w:r>
      <w:proofErr w:type="spellStart"/>
      <w:r w:rsidRPr="00960824">
        <w:rPr>
          <w:lang w:val="en-US"/>
        </w:rPr>
        <w:t>menurut</w:t>
      </w:r>
      <w:proofErr w:type="spellEnd"/>
      <w:r w:rsidRPr="00960824">
        <w:rPr>
          <w:lang w:val="en-US"/>
        </w:rPr>
        <w:t xml:space="preserve"> Michael E. Porter’, </w:t>
      </w:r>
      <w:proofErr w:type="spellStart"/>
      <w:r w:rsidRPr="00960824">
        <w:rPr>
          <w:i/>
          <w:iCs/>
          <w:lang w:val="en-US"/>
        </w:rPr>
        <w:t>Jurnal</w:t>
      </w:r>
      <w:proofErr w:type="spellEnd"/>
      <w:r w:rsidRPr="00960824">
        <w:rPr>
          <w:i/>
          <w:iCs/>
          <w:lang w:val="en-US"/>
        </w:rPr>
        <w:t xml:space="preserve"> </w:t>
      </w:r>
      <w:proofErr w:type="spellStart"/>
      <w:r w:rsidRPr="00960824">
        <w:rPr>
          <w:i/>
          <w:iCs/>
          <w:lang w:val="en-US"/>
        </w:rPr>
        <w:t>Manajemen</w:t>
      </w:r>
      <w:proofErr w:type="spellEnd"/>
      <w:r w:rsidRPr="00960824">
        <w:rPr>
          <w:i/>
          <w:iCs/>
          <w:lang w:val="en-US"/>
        </w:rPr>
        <w:t xml:space="preserve"> </w:t>
      </w:r>
      <w:proofErr w:type="spellStart"/>
      <w:r w:rsidRPr="00960824">
        <w:rPr>
          <w:i/>
          <w:iCs/>
          <w:lang w:val="en-US"/>
        </w:rPr>
        <w:t>dan</w:t>
      </w:r>
      <w:proofErr w:type="spellEnd"/>
      <w:r w:rsidRPr="00960824">
        <w:rPr>
          <w:i/>
          <w:iCs/>
          <w:lang w:val="en-US"/>
        </w:rPr>
        <w:t xml:space="preserve"> </w:t>
      </w:r>
      <w:proofErr w:type="spellStart"/>
      <w:r w:rsidRPr="00960824">
        <w:rPr>
          <w:i/>
          <w:iCs/>
          <w:lang w:val="en-US"/>
        </w:rPr>
        <w:t>Organisasi</w:t>
      </w:r>
      <w:proofErr w:type="spellEnd"/>
      <w:r w:rsidRPr="00960824">
        <w:rPr>
          <w:lang w:val="en-US"/>
        </w:rPr>
        <w:t xml:space="preserve">, 12(1), pp. 51–66. Available at: </w:t>
      </w:r>
      <w:hyperlink r:id="rId35" w:tgtFrame="_new" w:history="1">
        <w:r w:rsidRPr="00960824">
          <w:rPr>
            <w:rStyle w:val="Hyperlink"/>
            <w:lang w:val="en-US"/>
          </w:rPr>
          <w:t>https://doi.org/10.29244/jmo.v12i1.33038</w:t>
        </w:r>
      </w:hyperlink>
    </w:p>
    <w:p w:rsidR="00B97A95" w:rsidRPr="008C4DFB" w:rsidRDefault="00B97A95" w:rsidP="00B97A95">
      <w:r w:rsidRPr="008C4DFB">
        <w:t>Rappaport, T. et al. (2013) ‘</w:t>
      </w:r>
      <w:proofErr w:type="spellStart"/>
      <w:r w:rsidRPr="008C4DFB">
        <w:t>Millimeter</w:t>
      </w:r>
      <w:proofErr w:type="spellEnd"/>
      <w:r w:rsidRPr="008C4DFB">
        <w:t xml:space="preserve"> wave mobile communications for 5G cellular: It will work!’, </w:t>
      </w:r>
      <w:r w:rsidRPr="008C4DFB">
        <w:rPr>
          <w:i/>
          <w:iCs/>
        </w:rPr>
        <w:t>IEEE Access</w:t>
      </w:r>
      <w:r w:rsidRPr="008C4DFB">
        <w:t>, 1, pp. 335–349.</w:t>
      </w:r>
      <w:r w:rsidRPr="008C4DFB">
        <w:br/>
        <w:t xml:space="preserve">Available at: </w:t>
      </w:r>
      <w:hyperlink r:id="rId36" w:tgtFrame="_new" w:history="1">
        <w:r w:rsidRPr="008C4DFB">
          <w:rPr>
            <w:rStyle w:val="Hyperlink"/>
          </w:rPr>
          <w:t>https://doi.org/10.1109/ACCESS.2013.2260813</w:t>
        </w:r>
      </w:hyperlink>
    </w:p>
    <w:p w:rsidR="00B97A95" w:rsidRPr="008C4DFB" w:rsidRDefault="00B97A95" w:rsidP="00B97A95">
      <w:r w:rsidRPr="008C4DFB">
        <w:t xml:space="preserve">Romero, R. et al. (2019) ‘Quality of deaf and hard-of-hearing mobile apps: Evaluation using the Mobile App Rating Scale (MARS) with additional criteria from a content expert’, </w:t>
      </w:r>
      <w:r w:rsidRPr="008C4DFB">
        <w:rPr>
          <w:i/>
          <w:iCs/>
        </w:rPr>
        <w:t xml:space="preserve">JMIR </w:t>
      </w:r>
      <w:proofErr w:type="spellStart"/>
      <w:r w:rsidRPr="008C4DFB">
        <w:rPr>
          <w:i/>
          <w:iCs/>
        </w:rPr>
        <w:t>mHealth</w:t>
      </w:r>
      <w:proofErr w:type="spellEnd"/>
      <w:r w:rsidRPr="008C4DFB">
        <w:rPr>
          <w:i/>
          <w:iCs/>
        </w:rPr>
        <w:t xml:space="preserve"> and </w:t>
      </w:r>
      <w:proofErr w:type="spellStart"/>
      <w:r w:rsidRPr="008C4DFB">
        <w:rPr>
          <w:i/>
          <w:iCs/>
        </w:rPr>
        <w:t>uHealth</w:t>
      </w:r>
      <w:proofErr w:type="spellEnd"/>
      <w:r w:rsidRPr="008C4DFB">
        <w:t>, 7(10), p. e14198.</w:t>
      </w:r>
      <w:r w:rsidRPr="008C4DFB">
        <w:br/>
        <w:t xml:space="preserve">Available at: </w:t>
      </w:r>
      <w:hyperlink r:id="rId37" w:tgtFrame="_new" w:history="1">
        <w:r w:rsidRPr="008C4DFB">
          <w:rPr>
            <w:rStyle w:val="Hyperlink"/>
          </w:rPr>
          <w:t>https://doi.org/10.2196/14198</w:t>
        </w:r>
      </w:hyperlink>
    </w:p>
    <w:p w:rsidR="00B97A95" w:rsidRPr="00355F33" w:rsidRDefault="00B97A95" w:rsidP="00B97A95">
      <w:pPr>
        <w:rPr>
          <w:lang w:val="en-US"/>
        </w:rPr>
      </w:pPr>
      <w:proofErr w:type="spellStart"/>
      <w:r w:rsidRPr="00355F33">
        <w:rPr>
          <w:lang w:val="en-US"/>
        </w:rPr>
        <w:t>Saraswati</w:t>
      </w:r>
      <w:proofErr w:type="spellEnd"/>
      <w:r w:rsidRPr="00355F33">
        <w:rPr>
          <w:lang w:val="en-US"/>
        </w:rPr>
        <w:t xml:space="preserve">, A. and </w:t>
      </w:r>
      <w:proofErr w:type="spellStart"/>
      <w:r w:rsidRPr="00355F33">
        <w:rPr>
          <w:lang w:val="en-US"/>
        </w:rPr>
        <w:t>Giantari</w:t>
      </w:r>
      <w:proofErr w:type="spellEnd"/>
      <w:r w:rsidRPr="00355F33">
        <w:rPr>
          <w:lang w:val="en-US"/>
        </w:rPr>
        <w:t xml:space="preserve">, I. (2022) ‘Brand image mediation of product quality and electronic word of mouth on purchase decision’, </w:t>
      </w:r>
      <w:r w:rsidRPr="00355F33">
        <w:rPr>
          <w:i/>
          <w:iCs/>
          <w:lang w:val="en-US"/>
        </w:rPr>
        <w:t>International Research Journal of Management, IT and Social Sciences</w:t>
      </w:r>
      <w:r w:rsidRPr="00355F33">
        <w:rPr>
          <w:lang w:val="en-US"/>
        </w:rPr>
        <w:t xml:space="preserve">, 9(1), pp. 97–109. Available at: </w:t>
      </w:r>
      <w:hyperlink r:id="rId38" w:tgtFrame="_new" w:history="1">
        <w:r w:rsidRPr="00355F33">
          <w:rPr>
            <w:rStyle w:val="Hyperlink"/>
            <w:lang w:val="en-US"/>
          </w:rPr>
          <w:t>https://doi.org/10.21744/irjmis.v9n1.2012</w:t>
        </w:r>
      </w:hyperlink>
    </w:p>
    <w:p w:rsidR="00B97A95" w:rsidRPr="002A3A28" w:rsidRDefault="00B97A95" w:rsidP="00B97A95">
      <w:proofErr w:type="spellStart"/>
      <w:r w:rsidRPr="002A3A28">
        <w:lastRenderedPageBreak/>
        <w:t>Schnaars</w:t>
      </w:r>
      <w:proofErr w:type="spellEnd"/>
      <w:r w:rsidRPr="002A3A28">
        <w:t xml:space="preserve">, S. (1994) </w:t>
      </w:r>
      <w:r w:rsidRPr="002A3A28">
        <w:rPr>
          <w:i/>
          <w:iCs/>
        </w:rPr>
        <w:t>Managing Imitation Strategies: How Later Entrants Seize Markets from Pioneers</w:t>
      </w:r>
      <w:r w:rsidRPr="002A3A28">
        <w:t>. New York: Free Press.</w:t>
      </w:r>
    </w:p>
    <w:p w:rsidR="00B97A95" w:rsidRPr="008C4DFB" w:rsidRDefault="00B97A95" w:rsidP="00B97A95">
      <w:r w:rsidRPr="008C4DFB">
        <w:t xml:space="preserve">Sharma, M. et al. (2020) ‘Mobile phone use screening test: Development, validation, and implications for screening excessive mobile use’, </w:t>
      </w:r>
      <w:r w:rsidRPr="008C4DFB">
        <w:rPr>
          <w:i/>
          <w:iCs/>
        </w:rPr>
        <w:t>Industrial Psychiatry Journal</w:t>
      </w:r>
      <w:r w:rsidRPr="008C4DFB">
        <w:t>, 29(2), pp. 279–284.</w:t>
      </w:r>
      <w:r w:rsidRPr="008C4DFB">
        <w:br/>
        <w:t xml:space="preserve">Available at: </w:t>
      </w:r>
      <w:hyperlink r:id="rId39" w:tgtFrame="_new" w:history="1">
        <w:r w:rsidRPr="008C4DFB">
          <w:rPr>
            <w:rStyle w:val="Hyperlink"/>
          </w:rPr>
          <w:t>https://doi.org/10.4103/ipj.IPJ_174_20</w:t>
        </w:r>
      </w:hyperlink>
    </w:p>
    <w:p w:rsidR="00B97A95" w:rsidRPr="003D22BF" w:rsidRDefault="00B97A95" w:rsidP="00B97A95">
      <w:proofErr w:type="spellStart"/>
      <w:r w:rsidRPr="003D22BF">
        <w:t>Sichoongwe</w:t>
      </w:r>
      <w:proofErr w:type="spellEnd"/>
      <w:r w:rsidRPr="003D22BF">
        <w:t xml:space="preserve">, K., Thompson, P. and </w:t>
      </w:r>
      <w:proofErr w:type="spellStart"/>
      <w:r w:rsidRPr="003D22BF">
        <w:t>Hapompwe</w:t>
      </w:r>
      <w:proofErr w:type="spellEnd"/>
      <w:r w:rsidRPr="003D22BF">
        <w:t xml:space="preserve">, C. (2021) ‘Applying the growth identification and facilitation framework: The case of Zambia’, </w:t>
      </w:r>
      <w:r w:rsidRPr="003D22BF">
        <w:rPr>
          <w:i/>
          <w:iCs/>
        </w:rPr>
        <w:t>Journal of Economics and Sustainable Development (JESD)</w:t>
      </w:r>
      <w:r w:rsidRPr="003D22BF">
        <w:t>, 12(14), pp. 1–12.</w:t>
      </w:r>
      <w:r w:rsidRPr="003D22BF">
        <w:br/>
        <w:t xml:space="preserve">Available at: </w:t>
      </w:r>
      <w:hyperlink r:id="rId40" w:tgtFrame="_new" w:history="1">
        <w:r w:rsidRPr="003D22BF">
          <w:rPr>
            <w:rStyle w:val="Hyperlink"/>
          </w:rPr>
          <w:t>https://doi.org/10.7176/JESD/12-14-01</w:t>
        </w:r>
      </w:hyperlink>
    </w:p>
    <w:p w:rsidR="00B97A95" w:rsidRPr="00B97A95" w:rsidRDefault="00B97A95" w:rsidP="00B97A95">
      <w:pPr>
        <w:rPr>
          <w:lang w:val="en-US"/>
        </w:rPr>
      </w:pPr>
      <w:proofErr w:type="spellStart"/>
      <w:r w:rsidRPr="00B97A95">
        <w:rPr>
          <w:lang w:val="en-US"/>
        </w:rPr>
        <w:t>Siqueira</w:t>
      </w:r>
      <w:proofErr w:type="spellEnd"/>
      <w:r w:rsidRPr="00B97A95">
        <w:rPr>
          <w:lang w:val="en-US"/>
        </w:rPr>
        <w:t>, J., Peña-</w:t>
      </w:r>
      <w:proofErr w:type="spellStart"/>
      <w:r w:rsidRPr="00B97A95">
        <w:rPr>
          <w:lang w:val="en-US"/>
        </w:rPr>
        <w:t>García</w:t>
      </w:r>
      <w:proofErr w:type="spellEnd"/>
      <w:r w:rsidRPr="00B97A95">
        <w:rPr>
          <w:lang w:val="en-US"/>
        </w:rPr>
        <w:t xml:space="preserve">, N., Horst, E., Molina, G. and </w:t>
      </w:r>
      <w:proofErr w:type="spellStart"/>
      <w:r w:rsidRPr="00B97A95">
        <w:rPr>
          <w:lang w:val="en-US"/>
        </w:rPr>
        <w:t>Villamil</w:t>
      </w:r>
      <w:proofErr w:type="spellEnd"/>
      <w:r w:rsidRPr="00B97A95">
        <w:rPr>
          <w:lang w:val="en-US"/>
        </w:rPr>
        <w:t xml:space="preserve">, M. (2021) ‘The role of brand commitment in the retail sector: the relation with open innovation’, </w:t>
      </w:r>
      <w:r w:rsidRPr="00B97A95">
        <w:rPr>
          <w:i/>
          <w:iCs/>
          <w:lang w:val="en-US"/>
        </w:rPr>
        <w:t>Journal of Open Innovation: Technology, Market and Complexity</w:t>
      </w:r>
      <w:r w:rsidRPr="00B97A95">
        <w:rPr>
          <w:lang w:val="en-US"/>
        </w:rPr>
        <w:t xml:space="preserve">, 7(2), p. 154. Available at: </w:t>
      </w:r>
      <w:hyperlink r:id="rId41" w:tgtFrame="_new" w:history="1">
        <w:r w:rsidRPr="00B97A95">
          <w:rPr>
            <w:rStyle w:val="Hyperlink"/>
            <w:lang w:val="en-US"/>
          </w:rPr>
          <w:t>https://doi.org/10.3390/joitmc7020154</w:t>
        </w:r>
      </w:hyperlink>
    </w:p>
    <w:p w:rsidR="00B97A95" w:rsidRPr="002A3A28" w:rsidRDefault="00B97A95" w:rsidP="00B97A95">
      <w:r w:rsidRPr="002A3A28">
        <w:t xml:space="preserve">Statista (2025) </w:t>
      </w:r>
      <w:r w:rsidRPr="002A3A28">
        <w:rPr>
          <w:i/>
          <w:iCs/>
        </w:rPr>
        <w:t>Global Smartphone Industry Report 2025</w:t>
      </w:r>
      <w:r w:rsidRPr="002A3A28">
        <w:t>. Statista Research Department.</w:t>
      </w:r>
    </w:p>
    <w:p w:rsidR="00B97A95" w:rsidRPr="009A4601" w:rsidRDefault="00B97A95" w:rsidP="00B97A95">
      <w:pPr>
        <w:rPr>
          <w:lang w:val="en-US"/>
        </w:rPr>
      </w:pPr>
      <w:proofErr w:type="spellStart"/>
      <w:r w:rsidRPr="009A4601">
        <w:rPr>
          <w:bCs/>
          <w:lang w:val="en-US"/>
        </w:rPr>
        <w:t>Strubbe</w:t>
      </w:r>
      <w:proofErr w:type="spellEnd"/>
      <w:r w:rsidRPr="009A4601">
        <w:rPr>
          <w:bCs/>
          <w:lang w:val="en-US"/>
        </w:rPr>
        <w:t>, D. et al. (2023)</w:t>
      </w:r>
      <w:r w:rsidRPr="009A4601">
        <w:rPr>
          <w:lang w:val="en-US"/>
        </w:rPr>
        <w:t xml:space="preserve"> ‘Mechanistic models project bird invasions with accuracy’, </w:t>
      </w:r>
      <w:r w:rsidRPr="009A4601">
        <w:rPr>
          <w:i/>
          <w:iCs/>
          <w:lang w:val="en-US"/>
        </w:rPr>
        <w:t>Nature Communications</w:t>
      </w:r>
      <w:r w:rsidRPr="009A4601">
        <w:rPr>
          <w:lang w:val="en-US"/>
        </w:rPr>
        <w:t xml:space="preserve">, 14(1). Available at: </w:t>
      </w:r>
      <w:hyperlink r:id="rId42" w:tgtFrame="_new" w:history="1">
        <w:r w:rsidRPr="009A4601">
          <w:rPr>
            <w:rStyle w:val="Hyperlink"/>
            <w:lang w:val="en-US"/>
          </w:rPr>
          <w:t>https://doi.org/10.1038/s41467-023-38329-4</w:t>
        </w:r>
      </w:hyperlink>
    </w:p>
    <w:p w:rsidR="00B97A95" w:rsidRPr="00B97A95" w:rsidRDefault="00B97A95" w:rsidP="00B97A95">
      <w:pPr>
        <w:rPr>
          <w:lang w:val="en-US"/>
        </w:rPr>
      </w:pPr>
      <w:proofErr w:type="spellStart"/>
      <w:r w:rsidRPr="00B97A95">
        <w:rPr>
          <w:lang w:val="en-US"/>
        </w:rPr>
        <w:t>Tantawy</w:t>
      </w:r>
      <w:proofErr w:type="spellEnd"/>
      <w:r w:rsidRPr="00B97A95">
        <w:rPr>
          <w:lang w:val="en-US"/>
        </w:rPr>
        <w:t xml:space="preserve">, A., </w:t>
      </w:r>
      <w:proofErr w:type="spellStart"/>
      <w:r w:rsidRPr="00B97A95">
        <w:rPr>
          <w:lang w:val="en-US"/>
        </w:rPr>
        <w:t>Amankwah-Amoah</w:t>
      </w:r>
      <w:proofErr w:type="spellEnd"/>
      <w:r w:rsidRPr="00B97A95">
        <w:rPr>
          <w:lang w:val="en-US"/>
        </w:rPr>
        <w:t xml:space="preserve">, J. and </w:t>
      </w:r>
      <w:proofErr w:type="spellStart"/>
      <w:r w:rsidRPr="00B97A95">
        <w:rPr>
          <w:lang w:val="en-US"/>
        </w:rPr>
        <w:t>Puthusserry</w:t>
      </w:r>
      <w:proofErr w:type="spellEnd"/>
      <w:r w:rsidRPr="00B97A95">
        <w:rPr>
          <w:lang w:val="en-US"/>
        </w:rPr>
        <w:t xml:space="preserve">, P. (2024) ‘Institutional voids and new venture performance: the moderating role of founders’ political ties’, </w:t>
      </w:r>
      <w:r w:rsidRPr="00B97A95">
        <w:rPr>
          <w:i/>
          <w:iCs/>
          <w:lang w:val="en-US"/>
        </w:rPr>
        <w:t>European Management Review</w:t>
      </w:r>
      <w:r w:rsidRPr="00B97A95">
        <w:rPr>
          <w:lang w:val="en-US"/>
        </w:rPr>
        <w:t xml:space="preserve">, 22(2), pp. 334–351. Available at: </w:t>
      </w:r>
      <w:hyperlink r:id="rId43" w:tgtFrame="_new" w:history="1">
        <w:r w:rsidRPr="00B97A95">
          <w:rPr>
            <w:rStyle w:val="Hyperlink"/>
            <w:lang w:val="en-US"/>
          </w:rPr>
          <w:t>https://doi.org/10.1111/emre.12644</w:t>
        </w:r>
      </w:hyperlink>
    </w:p>
    <w:p w:rsidR="00B97A95" w:rsidRPr="002A3A28" w:rsidRDefault="00B97A95" w:rsidP="00B97A95">
      <w:r w:rsidRPr="002A3A28">
        <w:t xml:space="preserve">Teece, D.J. (2007) ‘Explicating dynamic capabilities: the nature and </w:t>
      </w:r>
      <w:proofErr w:type="spellStart"/>
      <w:r w:rsidRPr="002A3A28">
        <w:t>microfoundations</w:t>
      </w:r>
      <w:proofErr w:type="spellEnd"/>
      <w:r w:rsidRPr="002A3A28">
        <w:t xml:space="preserve"> of sustainable enterprise performance’, </w:t>
      </w:r>
      <w:r w:rsidRPr="002A3A28">
        <w:rPr>
          <w:i/>
          <w:iCs/>
        </w:rPr>
        <w:t>Strategic Management Journal</w:t>
      </w:r>
      <w:r w:rsidRPr="002A3A28">
        <w:t>, 28(13), pp. 1319–1350.</w:t>
      </w:r>
    </w:p>
    <w:p w:rsidR="00B97A95" w:rsidRPr="003D22BF" w:rsidRDefault="00B97A95" w:rsidP="00B97A95">
      <w:proofErr w:type="spellStart"/>
      <w:r w:rsidRPr="003D22BF">
        <w:t>Tsitsi</w:t>
      </w:r>
      <w:proofErr w:type="spellEnd"/>
      <w:r w:rsidRPr="003D22BF">
        <w:t xml:space="preserve">, M. and </w:t>
      </w:r>
      <w:proofErr w:type="spellStart"/>
      <w:r w:rsidRPr="003D22BF">
        <w:t>Chrine</w:t>
      </w:r>
      <w:proofErr w:type="spellEnd"/>
      <w:r w:rsidRPr="003D22BF">
        <w:t xml:space="preserve">, C. (2024) ‘Currency risk exposure and its effect on the performance of import-dependent industries in Lusaka’s manufacturing sector from 2019 to 2023’, </w:t>
      </w:r>
      <w:r w:rsidRPr="003D22BF">
        <w:rPr>
          <w:i/>
          <w:iCs/>
        </w:rPr>
        <w:t>Journal of Economics, Finance and Management Studies</w:t>
      </w:r>
      <w:r w:rsidRPr="003D22BF">
        <w:t>, 7(7), pp. 1–10.</w:t>
      </w:r>
      <w:r w:rsidRPr="003D22BF">
        <w:br/>
        <w:t xml:space="preserve">Available at: </w:t>
      </w:r>
      <w:hyperlink r:id="rId44" w:tgtFrame="_new" w:history="1">
        <w:r w:rsidRPr="003D22BF">
          <w:rPr>
            <w:rStyle w:val="Hyperlink"/>
          </w:rPr>
          <w:t>https://doi.org/10.47191/jefms/v7-i7-55</w:t>
        </w:r>
      </w:hyperlink>
    </w:p>
    <w:p w:rsidR="00B97A95" w:rsidRPr="00C615F1" w:rsidRDefault="00B97A95" w:rsidP="00B97A95">
      <w:pPr>
        <w:rPr>
          <w:lang w:val="en-US"/>
        </w:rPr>
      </w:pPr>
      <w:proofErr w:type="spellStart"/>
      <w:r w:rsidRPr="00C615F1">
        <w:rPr>
          <w:lang w:val="en-US"/>
        </w:rPr>
        <w:t>Valcarenghi</w:t>
      </w:r>
      <w:proofErr w:type="spellEnd"/>
      <w:r w:rsidRPr="00C615F1">
        <w:rPr>
          <w:lang w:val="en-US"/>
        </w:rPr>
        <w:t xml:space="preserve">, L. et al. (2022) ‘Managing physical distancing through 5G and accelerated edge cloud’, </w:t>
      </w:r>
      <w:r w:rsidRPr="00C615F1">
        <w:rPr>
          <w:i/>
          <w:iCs/>
          <w:lang w:val="en-US"/>
        </w:rPr>
        <w:t>IEEE Access</w:t>
      </w:r>
      <w:r w:rsidRPr="00C615F1">
        <w:rPr>
          <w:lang w:val="en-US"/>
        </w:rPr>
        <w:t xml:space="preserve">, 10, pp. 104169–104177. Available at: </w:t>
      </w:r>
      <w:hyperlink r:id="rId45" w:tgtFrame="_new" w:history="1">
        <w:r w:rsidRPr="00C615F1">
          <w:rPr>
            <w:rStyle w:val="Hyperlink"/>
            <w:lang w:val="en-US"/>
          </w:rPr>
          <w:t>https://doi.org/10.1109/access.2022.3210262</w:t>
        </w:r>
      </w:hyperlink>
    </w:p>
    <w:p w:rsidR="00B97A95" w:rsidRDefault="00B97A95" w:rsidP="00B97A95">
      <w:proofErr w:type="spellStart"/>
      <w:r w:rsidRPr="002A3A28">
        <w:lastRenderedPageBreak/>
        <w:t>Varum</w:t>
      </w:r>
      <w:proofErr w:type="spellEnd"/>
      <w:r w:rsidRPr="002A3A28">
        <w:t xml:space="preserve">, C.A. and </w:t>
      </w:r>
      <w:proofErr w:type="spellStart"/>
      <w:r w:rsidRPr="002A3A28">
        <w:t>Melo</w:t>
      </w:r>
      <w:proofErr w:type="spellEnd"/>
      <w:r w:rsidRPr="002A3A28">
        <w:t xml:space="preserve">, C. (2010) ‘Directions in scenario planning literature—A review of the past decades’, </w:t>
      </w:r>
      <w:r w:rsidRPr="002A3A28">
        <w:rPr>
          <w:i/>
          <w:iCs/>
        </w:rPr>
        <w:t>Technological Forecasting and Social Change</w:t>
      </w:r>
      <w:r w:rsidRPr="002A3A28">
        <w:t>, 77(9), pp. 1520–1528.</w:t>
      </w:r>
    </w:p>
    <w:p w:rsidR="00B97A95" w:rsidRPr="00C969BF" w:rsidRDefault="00B97A95" w:rsidP="00B97A95">
      <w:pPr>
        <w:rPr>
          <w:lang w:val="en-US"/>
        </w:rPr>
      </w:pPr>
      <w:r>
        <w:t xml:space="preserve">Vass, T., </w:t>
      </w:r>
      <w:proofErr w:type="spellStart"/>
      <w:r>
        <w:t>Shee</w:t>
      </w:r>
      <w:proofErr w:type="spellEnd"/>
      <w:r>
        <w:t xml:space="preserve">, H. and Miah, S. (2021) ‘IoT in supply chain management: opportunities and challenges for businesses in early Industry 4.0 context’, </w:t>
      </w:r>
      <w:r>
        <w:rPr>
          <w:rStyle w:val="Emphasis"/>
        </w:rPr>
        <w:t>Operations and Supply Chain Management: An International Journal</w:t>
      </w:r>
      <w:r>
        <w:t xml:space="preserve">, pp. 148–161. Available at: </w:t>
      </w:r>
      <w:hyperlink r:id="rId46" w:tgtFrame="_new" w:history="1">
        <w:r>
          <w:rPr>
            <w:rStyle w:val="Hyperlink"/>
          </w:rPr>
          <w:t>https://doi.org/10.31387/oscm0450293</w:t>
        </w:r>
      </w:hyperlink>
    </w:p>
    <w:p w:rsidR="00B97A95" w:rsidRPr="008A530B" w:rsidRDefault="00B97A95" w:rsidP="00B97A95">
      <w:pPr>
        <w:rPr>
          <w:lang w:val="en-US"/>
        </w:rPr>
      </w:pPr>
      <w:r w:rsidRPr="008A530B">
        <w:rPr>
          <w:lang w:val="en-US"/>
        </w:rPr>
        <w:t xml:space="preserve">Wang, F., Li, X. and Chen, M. (2020) ‘Effects of product imitation on customer equity’, </w:t>
      </w:r>
      <w:r w:rsidRPr="008A530B">
        <w:rPr>
          <w:i/>
          <w:iCs/>
          <w:lang w:val="en-US"/>
        </w:rPr>
        <w:t>Marketing Intelligence &amp; Planning</w:t>
      </w:r>
      <w:r w:rsidRPr="008A530B">
        <w:rPr>
          <w:lang w:val="en-US"/>
        </w:rPr>
        <w:t xml:space="preserve">, 38(5), pp. 653–669. Available at: </w:t>
      </w:r>
      <w:hyperlink r:id="rId47" w:tgtFrame="_new" w:history="1">
        <w:r w:rsidRPr="008A530B">
          <w:rPr>
            <w:rStyle w:val="Hyperlink"/>
            <w:lang w:val="en-US"/>
          </w:rPr>
          <w:t>https://doi.org/10.1108/mip-07-2019-0408</w:t>
        </w:r>
      </w:hyperlink>
    </w:p>
    <w:p w:rsidR="00B97A95" w:rsidRPr="00C16D26" w:rsidRDefault="00B97A95" w:rsidP="00B97A95">
      <w:pPr>
        <w:rPr>
          <w:lang w:val="en-US"/>
        </w:rPr>
      </w:pPr>
      <w:proofErr w:type="spellStart"/>
      <w:r w:rsidRPr="008A530B">
        <w:rPr>
          <w:lang w:val="en-US"/>
        </w:rPr>
        <w:t>Wijayanto</w:t>
      </w:r>
      <w:proofErr w:type="spellEnd"/>
      <w:r w:rsidRPr="008A530B">
        <w:rPr>
          <w:lang w:val="en-US"/>
        </w:rPr>
        <w:t xml:space="preserve">, A. and Seno, A. (2021) ‘Innovation capabilities and market-based competitive advantage of Indonesian manufacturing companies’, </w:t>
      </w:r>
      <w:r w:rsidRPr="008A530B">
        <w:rPr>
          <w:i/>
          <w:iCs/>
          <w:lang w:val="en-US"/>
        </w:rPr>
        <w:t>Proceedings of EAI International Conference</w:t>
      </w:r>
      <w:r w:rsidRPr="008A530B">
        <w:rPr>
          <w:lang w:val="en-US"/>
        </w:rPr>
        <w:t xml:space="preserve">, </w:t>
      </w:r>
      <w:proofErr w:type="spellStart"/>
      <w:r w:rsidRPr="008A530B">
        <w:rPr>
          <w:lang w:val="en-US"/>
        </w:rPr>
        <w:t>n.d.</w:t>
      </w:r>
      <w:proofErr w:type="spellEnd"/>
      <w:r w:rsidRPr="008A530B">
        <w:rPr>
          <w:lang w:val="en-US"/>
        </w:rPr>
        <w:t xml:space="preserve"> Available at: </w:t>
      </w:r>
      <w:hyperlink r:id="rId48" w:tgtFrame="_new" w:history="1">
        <w:r w:rsidRPr="008A530B">
          <w:rPr>
            <w:rStyle w:val="Hyperlink"/>
            <w:lang w:val="en-US"/>
          </w:rPr>
          <w:t>https://doi.org/10.4108/eai.9-10-2020.2304780</w:t>
        </w:r>
      </w:hyperlink>
    </w:p>
    <w:p w:rsidR="00B97A95" w:rsidRPr="00311643" w:rsidRDefault="00B97A95" w:rsidP="00B97A95">
      <w:pPr>
        <w:rPr>
          <w:lang w:val="en-US"/>
        </w:rPr>
      </w:pPr>
      <w:r w:rsidRPr="00311643">
        <w:rPr>
          <w:lang w:val="en-US"/>
        </w:rPr>
        <w:t xml:space="preserve">Woolley, J. and MacGregor, N. (2022) ‘Science, technology, and innovation policy timing and nanotechnology entrepreneurship and innovation’, </w:t>
      </w:r>
      <w:r w:rsidRPr="00311643">
        <w:rPr>
          <w:i/>
          <w:iCs/>
          <w:lang w:val="en-US"/>
        </w:rPr>
        <w:t>PLOS ONE</w:t>
      </w:r>
      <w:r w:rsidRPr="00311643">
        <w:rPr>
          <w:lang w:val="en-US"/>
        </w:rPr>
        <w:t xml:space="preserve">, 17(3), e0264856. Available at: </w:t>
      </w:r>
      <w:hyperlink r:id="rId49" w:tgtFrame="_new" w:history="1">
        <w:r w:rsidRPr="00311643">
          <w:rPr>
            <w:rStyle w:val="Hyperlink"/>
            <w:lang w:val="en-US"/>
          </w:rPr>
          <w:t>https://doi.org/10.1371/journal.pone.0264856</w:t>
        </w:r>
      </w:hyperlink>
    </w:p>
    <w:p w:rsidR="00B97A95" w:rsidRPr="003D22BF" w:rsidRDefault="00B97A95" w:rsidP="00B97A95">
      <w:proofErr w:type="spellStart"/>
      <w:r w:rsidRPr="003D22BF">
        <w:t>Yiu</w:t>
      </w:r>
      <w:proofErr w:type="spellEnd"/>
      <w:r w:rsidRPr="003D22BF">
        <w:t xml:space="preserve">, L., Lam, H., Yeung, A. and Cheng, T. (2020) ‘Enhancing the financial returns of R&amp;D investments through operations management’, </w:t>
      </w:r>
      <w:r w:rsidRPr="003D22BF">
        <w:rPr>
          <w:i/>
          <w:iCs/>
        </w:rPr>
        <w:t>Production and Operations Management</w:t>
      </w:r>
      <w:r w:rsidRPr="003D22BF">
        <w:t>, 29(7), pp. 1658–1678.</w:t>
      </w:r>
      <w:r w:rsidRPr="003D22BF">
        <w:br/>
        <w:t xml:space="preserve">Available at: </w:t>
      </w:r>
      <w:hyperlink r:id="rId50" w:tgtFrame="_new" w:history="1">
        <w:r w:rsidRPr="003D22BF">
          <w:rPr>
            <w:rStyle w:val="Hyperlink"/>
          </w:rPr>
          <w:t>https://doi.org/10.1111/poms.13186</w:t>
        </w:r>
      </w:hyperlink>
    </w:p>
    <w:p w:rsidR="00B97A95" w:rsidRPr="00355F33" w:rsidRDefault="00B97A95" w:rsidP="00B97A95">
      <w:pPr>
        <w:rPr>
          <w:lang w:val="en-US"/>
        </w:rPr>
      </w:pPr>
      <w:r w:rsidRPr="00355F33">
        <w:rPr>
          <w:lang w:val="en-US"/>
        </w:rPr>
        <w:t xml:space="preserve">Yue, W. and </w:t>
      </w:r>
      <w:proofErr w:type="spellStart"/>
      <w:r w:rsidRPr="00355F33">
        <w:rPr>
          <w:lang w:val="en-US"/>
        </w:rPr>
        <w:t>Guo</w:t>
      </w:r>
      <w:proofErr w:type="spellEnd"/>
      <w:r w:rsidRPr="00355F33">
        <w:rPr>
          <w:lang w:val="en-US"/>
        </w:rPr>
        <w:t xml:space="preserve">, C. (2022) ‘Effectiveness evaluation model of digital cost management strategy for financial investment of Internet of Things enterprises in complex environment’, </w:t>
      </w:r>
      <w:r w:rsidRPr="00355F33">
        <w:rPr>
          <w:i/>
          <w:iCs/>
          <w:lang w:val="en-US"/>
        </w:rPr>
        <w:t>Scientific Programming</w:t>
      </w:r>
      <w:r w:rsidRPr="00355F33">
        <w:rPr>
          <w:lang w:val="en-US"/>
        </w:rPr>
        <w:t xml:space="preserve">, 2022, pp. 1–10. Available at: </w:t>
      </w:r>
      <w:hyperlink r:id="rId51" w:tgtFrame="_new" w:history="1">
        <w:r w:rsidRPr="00355F33">
          <w:rPr>
            <w:rStyle w:val="Hyperlink"/>
            <w:lang w:val="en-US"/>
          </w:rPr>
          <w:t>https://doi.org/10.1155/2022/9441322</w:t>
        </w:r>
      </w:hyperlink>
    </w:p>
    <w:p w:rsidR="00B97A95" w:rsidRPr="00960824" w:rsidRDefault="00B97A95" w:rsidP="00B97A95">
      <w:pPr>
        <w:rPr>
          <w:lang w:val="en-US"/>
        </w:rPr>
      </w:pPr>
      <w:r w:rsidRPr="00960824">
        <w:rPr>
          <w:lang w:val="en-US"/>
        </w:rPr>
        <w:t xml:space="preserve">Zahra, S., </w:t>
      </w:r>
      <w:proofErr w:type="spellStart"/>
      <w:r w:rsidRPr="00960824">
        <w:rPr>
          <w:lang w:val="en-US"/>
        </w:rPr>
        <w:t>Affandi</w:t>
      </w:r>
      <w:proofErr w:type="spellEnd"/>
      <w:r w:rsidRPr="00960824">
        <w:rPr>
          <w:lang w:val="en-US"/>
        </w:rPr>
        <w:t xml:space="preserve">, M., </w:t>
      </w:r>
      <w:proofErr w:type="spellStart"/>
      <w:r w:rsidRPr="00960824">
        <w:rPr>
          <w:lang w:val="en-US"/>
        </w:rPr>
        <w:t>Awaluddin</w:t>
      </w:r>
      <w:proofErr w:type="spellEnd"/>
      <w:r w:rsidRPr="00960824">
        <w:rPr>
          <w:lang w:val="en-US"/>
        </w:rPr>
        <w:t xml:space="preserve">, M. and </w:t>
      </w:r>
      <w:proofErr w:type="spellStart"/>
      <w:r w:rsidRPr="00960824">
        <w:rPr>
          <w:lang w:val="en-US"/>
        </w:rPr>
        <w:t>Sudirman</w:t>
      </w:r>
      <w:proofErr w:type="spellEnd"/>
      <w:r w:rsidRPr="00960824">
        <w:rPr>
          <w:lang w:val="en-US"/>
        </w:rPr>
        <w:t>, S. (2025) ‘</w:t>
      </w:r>
      <w:proofErr w:type="spellStart"/>
      <w:r w:rsidRPr="00960824">
        <w:rPr>
          <w:lang w:val="en-US"/>
        </w:rPr>
        <w:t>Strategi</w:t>
      </w:r>
      <w:proofErr w:type="spellEnd"/>
      <w:r w:rsidRPr="00960824">
        <w:rPr>
          <w:lang w:val="en-US"/>
        </w:rPr>
        <w:t xml:space="preserve"> </w:t>
      </w:r>
      <w:proofErr w:type="spellStart"/>
      <w:r w:rsidRPr="00960824">
        <w:rPr>
          <w:lang w:val="en-US"/>
        </w:rPr>
        <w:t>umum</w:t>
      </w:r>
      <w:proofErr w:type="spellEnd"/>
      <w:r w:rsidRPr="00960824">
        <w:rPr>
          <w:lang w:val="en-US"/>
        </w:rPr>
        <w:t xml:space="preserve"> Porter (generic strategic Porters)’, </w:t>
      </w:r>
      <w:proofErr w:type="spellStart"/>
      <w:r w:rsidRPr="00960824">
        <w:rPr>
          <w:i/>
          <w:iCs/>
          <w:lang w:val="en-US"/>
        </w:rPr>
        <w:t>Jurnal</w:t>
      </w:r>
      <w:proofErr w:type="spellEnd"/>
      <w:r w:rsidRPr="00960824">
        <w:rPr>
          <w:i/>
          <w:iCs/>
          <w:lang w:val="en-US"/>
        </w:rPr>
        <w:t xml:space="preserve"> </w:t>
      </w:r>
      <w:proofErr w:type="spellStart"/>
      <w:r w:rsidRPr="00960824">
        <w:rPr>
          <w:i/>
          <w:iCs/>
          <w:lang w:val="en-US"/>
        </w:rPr>
        <w:t>Ekonomika</w:t>
      </w:r>
      <w:proofErr w:type="spellEnd"/>
      <w:r w:rsidRPr="00960824">
        <w:rPr>
          <w:i/>
          <w:iCs/>
          <w:lang w:val="en-US"/>
        </w:rPr>
        <w:t xml:space="preserve"> </w:t>
      </w:r>
      <w:proofErr w:type="spellStart"/>
      <w:r w:rsidRPr="00960824">
        <w:rPr>
          <w:i/>
          <w:iCs/>
          <w:lang w:val="en-US"/>
        </w:rPr>
        <w:t>dan</w:t>
      </w:r>
      <w:proofErr w:type="spellEnd"/>
      <w:r w:rsidRPr="00960824">
        <w:rPr>
          <w:i/>
          <w:iCs/>
          <w:lang w:val="en-US"/>
        </w:rPr>
        <w:t xml:space="preserve"> </w:t>
      </w:r>
      <w:proofErr w:type="spellStart"/>
      <w:r w:rsidRPr="00960824">
        <w:rPr>
          <w:i/>
          <w:iCs/>
          <w:lang w:val="en-US"/>
        </w:rPr>
        <w:t>Bisnis</w:t>
      </w:r>
      <w:proofErr w:type="spellEnd"/>
      <w:r w:rsidRPr="00960824">
        <w:rPr>
          <w:i/>
          <w:iCs/>
          <w:lang w:val="en-US"/>
        </w:rPr>
        <w:t xml:space="preserve"> (JEBS)</w:t>
      </w:r>
      <w:r w:rsidRPr="00960824">
        <w:rPr>
          <w:lang w:val="en-US"/>
        </w:rPr>
        <w:t xml:space="preserve">, 5(4), pp. 971–977. Available at: </w:t>
      </w:r>
      <w:hyperlink r:id="rId52" w:tgtFrame="_new" w:history="1">
        <w:r w:rsidRPr="00960824">
          <w:rPr>
            <w:rStyle w:val="Hyperlink"/>
            <w:lang w:val="en-US"/>
          </w:rPr>
          <w:t>https://doi.org/10.47233/jebs.v5i4.2953</w:t>
        </w:r>
      </w:hyperlink>
    </w:p>
    <w:sectPr w:rsidR="00B97A95" w:rsidRPr="00960824" w:rsidSect="009F644D">
      <w:footerReference w:type="default" r:id="rId5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2CB6" w:rsidRDefault="00EF2CB6" w:rsidP="009F644D">
      <w:pPr>
        <w:spacing w:before="0" w:after="0" w:line="240" w:lineRule="auto"/>
      </w:pPr>
      <w:r>
        <w:separator/>
      </w:r>
    </w:p>
  </w:endnote>
  <w:endnote w:type="continuationSeparator" w:id="0">
    <w:p w:rsidR="00EF2CB6" w:rsidRDefault="00EF2CB6" w:rsidP="009F644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6278463"/>
      <w:docPartObj>
        <w:docPartGallery w:val="Page Numbers (Bottom of Page)"/>
        <w:docPartUnique/>
      </w:docPartObj>
    </w:sdtPr>
    <w:sdtEndPr>
      <w:rPr>
        <w:noProof/>
      </w:rPr>
    </w:sdtEndPr>
    <w:sdtContent>
      <w:p w:rsidR="00CA4AB1" w:rsidRDefault="00CA4AB1">
        <w:pPr>
          <w:pStyle w:val="Footer"/>
          <w:jc w:val="center"/>
        </w:pPr>
        <w:r>
          <w:fldChar w:fldCharType="begin"/>
        </w:r>
        <w:r>
          <w:instrText xml:space="preserve"> PAGE   \* MERGEFORMAT </w:instrText>
        </w:r>
        <w:r>
          <w:fldChar w:fldCharType="separate"/>
        </w:r>
        <w:r w:rsidR="007E46EF">
          <w:rPr>
            <w:noProof/>
          </w:rPr>
          <w:t>19</w:t>
        </w:r>
        <w:r>
          <w:rPr>
            <w:noProof/>
          </w:rPr>
          <w:fldChar w:fldCharType="end"/>
        </w:r>
      </w:p>
    </w:sdtContent>
  </w:sdt>
  <w:p w:rsidR="00CA4AB1" w:rsidRDefault="00CA4AB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2CB6" w:rsidRDefault="00EF2CB6" w:rsidP="009F644D">
      <w:pPr>
        <w:spacing w:before="0" w:after="0" w:line="240" w:lineRule="auto"/>
      </w:pPr>
      <w:r>
        <w:separator/>
      </w:r>
    </w:p>
  </w:footnote>
  <w:footnote w:type="continuationSeparator" w:id="0">
    <w:p w:rsidR="00EF2CB6" w:rsidRDefault="00EF2CB6" w:rsidP="009F644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F44825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338"/>
    <w:rsid w:val="00004E53"/>
    <w:rsid w:val="00024F82"/>
    <w:rsid w:val="00065418"/>
    <w:rsid w:val="000C13E6"/>
    <w:rsid w:val="000F0493"/>
    <w:rsid w:val="00106C96"/>
    <w:rsid w:val="0014264D"/>
    <w:rsid w:val="001A6CF2"/>
    <w:rsid w:val="002131BF"/>
    <w:rsid w:val="002957EE"/>
    <w:rsid w:val="002A3A28"/>
    <w:rsid w:val="00311643"/>
    <w:rsid w:val="00313B5D"/>
    <w:rsid w:val="003219E3"/>
    <w:rsid w:val="00325B43"/>
    <w:rsid w:val="003260AE"/>
    <w:rsid w:val="00332E73"/>
    <w:rsid w:val="00355F33"/>
    <w:rsid w:val="003B3553"/>
    <w:rsid w:val="003D22BF"/>
    <w:rsid w:val="004078C7"/>
    <w:rsid w:val="00466E05"/>
    <w:rsid w:val="00486952"/>
    <w:rsid w:val="00573E45"/>
    <w:rsid w:val="00580162"/>
    <w:rsid w:val="005B6008"/>
    <w:rsid w:val="005C0D41"/>
    <w:rsid w:val="00653610"/>
    <w:rsid w:val="006809D3"/>
    <w:rsid w:val="0069799D"/>
    <w:rsid w:val="006A554E"/>
    <w:rsid w:val="006B0F91"/>
    <w:rsid w:val="006C3255"/>
    <w:rsid w:val="006F584F"/>
    <w:rsid w:val="00731D9E"/>
    <w:rsid w:val="007E46EF"/>
    <w:rsid w:val="0080191F"/>
    <w:rsid w:val="00874746"/>
    <w:rsid w:val="00876C1F"/>
    <w:rsid w:val="008A530B"/>
    <w:rsid w:val="008B4AA4"/>
    <w:rsid w:val="008C4DFB"/>
    <w:rsid w:val="00942346"/>
    <w:rsid w:val="00960824"/>
    <w:rsid w:val="009A2DD9"/>
    <w:rsid w:val="009A4601"/>
    <w:rsid w:val="009B348D"/>
    <w:rsid w:val="009F644D"/>
    <w:rsid w:val="00A111CA"/>
    <w:rsid w:val="00A353E8"/>
    <w:rsid w:val="00A44338"/>
    <w:rsid w:val="00A46D09"/>
    <w:rsid w:val="00A96B8D"/>
    <w:rsid w:val="00AC144A"/>
    <w:rsid w:val="00AE19F5"/>
    <w:rsid w:val="00B00DF2"/>
    <w:rsid w:val="00B2603C"/>
    <w:rsid w:val="00B41ECB"/>
    <w:rsid w:val="00B97A95"/>
    <w:rsid w:val="00BA06DE"/>
    <w:rsid w:val="00BE440A"/>
    <w:rsid w:val="00C01EDC"/>
    <w:rsid w:val="00C02712"/>
    <w:rsid w:val="00C02AD4"/>
    <w:rsid w:val="00C16D26"/>
    <w:rsid w:val="00C615F1"/>
    <w:rsid w:val="00C969BF"/>
    <w:rsid w:val="00CA1B04"/>
    <w:rsid w:val="00CA4AB1"/>
    <w:rsid w:val="00CC46A4"/>
    <w:rsid w:val="00D0579D"/>
    <w:rsid w:val="00D25ED5"/>
    <w:rsid w:val="00D42F3C"/>
    <w:rsid w:val="00D876F7"/>
    <w:rsid w:val="00DF2A5F"/>
    <w:rsid w:val="00E3088F"/>
    <w:rsid w:val="00E75DAC"/>
    <w:rsid w:val="00ED6CDA"/>
    <w:rsid w:val="00EF2CB6"/>
    <w:rsid w:val="00F4290A"/>
    <w:rsid w:val="00F607EA"/>
    <w:rsid w:val="00F83D5D"/>
    <w:rsid w:val="00F92839"/>
    <w:rsid w:val="00FA5021"/>
    <w:rsid w:val="00FA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5F7A2"/>
  <w15:chartTrackingRefBased/>
  <w15:docId w15:val="{359B52C5-C10E-4930-8E73-15CB5C748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64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F644D"/>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caps/>
      <w:color w:val="FFFFFF" w:themeColor="background1"/>
      <w:spacing w:val="15"/>
      <w:sz w:val="28"/>
      <w:szCs w:val="22"/>
    </w:rPr>
  </w:style>
  <w:style w:type="paragraph" w:styleId="Heading2">
    <w:name w:val="heading 2"/>
    <w:basedOn w:val="Normal"/>
    <w:next w:val="Normal"/>
    <w:link w:val="Heading2Char"/>
    <w:uiPriority w:val="9"/>
    <w:unhideWhenUsed/>
    <w:qFormat/>
    <w:rsid w:val="009F644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b/>
      <w:caps/>
      <w:spacing w:val="15"/>
    </w:rPr>
  </w:style>
  <w:style w:type="paragraph" w:styleId="Heading3">
    <w:name w:val="heading 3"/>
    <w:basedOn w:val="Normal"/>
    <w:next w:val="Normal"/>
    <w:link w:val="Heading3Char"/>
    <w:uiPriority w:val="9"/>
    <w:unhideWhenUsed/>
    <w:qFormat/>
    <w:rsid w:val="009F644D"/>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9F644D"/>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9F644D"/>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9F644D"/>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9F644D"/>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9F644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F644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4D"/>
    <w:rPr>
      <w:rFonts w:ascii="Times New Roman" w:hAnsi="Times New Roman"/>
      <w:b/>
      <w:caps/>
      <w:color w:val="FFFFFF" w:themeColor="background1"/>
      <w:spacing w:val="15"/>
      <w:sz w:val="28"/>
      <w:szCs w:val="22"/>
      <w:shd w:val="clear" w:color="auto" w:fill="5B9BD5" w:themeFill="accent1"/>
    </w:rPr>
  </w:style>
  <w:style w:type="character" w:customStyle="1" w:styleId="Heading2Char">
    <w:name w:val="Heading 2 Char"/>
    <w:basedOn w:val="DefaultParagraphFont"/>
    <w:link w:val="Heading2"/>
    <w:uiPriority w:val="9"/>
    <w:rsid w:val="009F644D"/>
    <w:rPr>
      <w:rFonts w:ascii="Times New Roman" w:hAnsi="Times New Roman"/>
      <w:b/>
      <w:caps/>
      <w:spacing w:val="15"/>
      <w:sz w:val="24"/>
      <w:shd w:val="clear" w:color="auto" w:fill="DEEAF6" w:themeFill="accent1" w:themeFillTint="33"/>
    </w:rPr>
  </w:style>
  <w:style w:type="character" w:customStyle="1" w:styleId="Heading3Char">
    <w:name w:val="Heading 3 Char"/>
    <w:basedOn w:val="DefaultParagraphFont"/>
    <w:link w:val="Heading3"/>
    <w:uiPriority w:val="9"/>
    <w:rsid w:val="009F644D"/>
    <w:rPr>
      <w:caps/>
      <w:color w:val="1F4D78" w:themeColor="accent1" w:themeShade="7F"/>
      <w:spacing w:val="15"/>
    </w:rPr>
  </w:style>
  <w:style w:type="character" w:styleId="Emphasis">
    <w:name w:val="Emphasis"/>
    <w:uiPriority w:val="20"/>
    <w:qFormat/>
    <w:rsid w:val="009F644D"/>
    <w:rPr>
      <w:caps/>
      <w:color w:val="1F4D78" w:themeColor="accent1" w:themeShade="7F"/>
      <w:spacing w:val="5"/>
    </w:rPr>
  </w:style>
  <w:style w:type="character" w:customStyle="1" w:styleId="Heading4Char">
    <w:name w:val="Heading 4 Char"/>
    <w:basedOn w:val="DefaultParagraphFont"/>
    <w:link w:val="Heading4"/>
    <w:uiPriority w:val="9"/>
    <w:semiHidden/>
    <w:rsid w:val="009F644D"/>
    <w:rPr>
      <w:caps/>
      <w:color w:val="2E74B5" w:themeColor="accent1" w:themeShade="BF"/>
      <w:spacing w:val="10"/>
    </w:rPr>
  </w:style>
  <w:style w:type="character" w:customStyle="1" w:styleId="Heading5Char">
    <w:name w:val="Heading 5 Char"/>
    <w:basedOn w:val="DefaultParagraphFont"/>
    <w:link w:val="Heading5"/>
    <w:uiPriority w:val="9"/>
    <w:semiHidden/>
    <w:rsid w:val="009F644D"/>
    <w:rPr>
      <w:caps/>
      <w:color w:val="2E74B5" w:themeColor="accent1" w:themeShade="BF"/>
      <w:spacing w:val="10"/>
    </w:rPr>
  </w:style>
  <w:style w:type="character" w:customStyle="1" w:styleId="Heading6Char">
    <w:name w:val="Heading 6 Char"/>
    <w:basedOn w:val="DefaultParagraphFont"/>
    <w:link w:val="Heading6"/>
    <w:uiPriority w:val="9"/>
    <w:semiHidden/>
    <w:rsid w:val="009F644D"/>
    <w:rPr>
      <w:caps/>
      <w:color w:val="2E74B5" w:themeColor="accent1" w:themeShade="BF"/>
      <w:spacing w:val="10"/>
    </w:rPr>
  </w:style>
  <w:style w:type="character" w:customStyle="1" w:styleId="Heading7Char">
    <w:name w:val="Heading 7 Char"/>
    <w:basedOn w:val="DefaultParagraphFont"/>
    <w:link w:val="Heading7"/>
    <w:uiPriority w:val="9"/>
    <w:semiHidden/>
    <w:rsid w:val="009F644D"/>
    <w:rPr>
      <w:caps/>
      <w:color w:val="2E74B5" w:themeColor="accent1" w:themeShade="BF"/>
      <w:spacing w:val="10"/>
    </w:rPr>
  </w:style>
  <w:style w:type="character" w:customStyle="1" w:styleId="Heading8Char">
    <w:name w:val="Heading 8 Char"/>
    <w:basedOn w:val="DefaultParagraphFont"/>
    <w:link w:val="Heading8"/>
    <w:uiPriority w:val="9"/>
    <w:semiHidden/>
    <w:rsid w:val="009F644D"/>
    <w:rPr>
      <w:caps/>
      <w:spacing w:val="10"/>
      <w:sz w:val="18"/>
      <w:szCs w:val="18"/>
    </w:rPr>
  </w:style>
  <w:style w:type="character" w:customStyle="1" w:styleId="Heading9Char">
    <w:name w:val="Heading 9 Char"/>
    <w:basedOn w:val="DefaultParagraphFont"/>
    <w:link w:val="Heading9"/>
    <w:uiPriority w:val="9"/>
    <w:semiHidden/>
    <w:rsid w:val="009F644D"/>
    <w:rPr>
      <w:i/>
      <w:iCs/>
      <w:caps/>
      <w:spacing w:val="10"/>
      <w:sz w:val="18"/>
      <w:szCs w:val="18"/>
    </w:rPr>
  </w:style>
  <w:style w:type="paragraph" w:styleId="Caption">
    <w:name w:val="caption"/>
    <w:basedOn w:val="Normal"/>
    <w:next w:val="Normal"/>
    <w:uiPriority w:val="35"/>
    <w:semiHidden/>
    <w:unhideWhenUsed/>
    <w:qFormat/>
    <w:rsid w:val="009F644D"/>
    <w:rPr>
      <w:b/>
      <w:bCs/>
      <w:color w:val="2E74B5" w:themeColor="accent1" w:themeShade="BF"/>
      <w:sz w:val="16"/>
      <w:szCs w:val="16"/>
    </w:rPr>
  </w:style>
  <w:style w:type="paragraph" w:styleId="Title">
    <w:name w:val="Title"/>
    <w:basedOn w:val="Normal"/>
    <w:next w:val="Normal"/>
    <w:link w:val="TitleChar"/>
    <w:uiPriority w:val="10"/>
    <w:qFormat/>
    <w:rsid w:val="009F644D"/>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9F644D"/>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9F644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F644D"/>
    <w:rPr>
      <w:caps/>
      <w:color w:val="595959" w:themeColor="text1" w:themeTint="A6"/>
      <w:spacing w:val="10"/>
      <w:sz w:val="21"/>
      <w:szCs w:val="21"/>
    </w:rPr>
  </w:style>
  <w:style w:type="character" w:styleId="Strong">
    <w:name w:val="Strong"/>
    <w:uiPriority w:val="22"/>
    <w:qFormat/>
    <w:rsid w:val="009F644D"/>
    <w:rPr>
      <w:b/>
      <w:bCs/>
    </w:rPr>
  </w:style>
  <w:style w:type="paragraph" w:styleId="NoSpacing">
    <w:name w:val="No Spacing"/>
    <w:uiPriority w:val="1"/>
    <w:qFormat/>
    <w:rsid w:val="009F644D"/>
    <w:pPr>
      <w:spacing w:after="0" w:line="240" w:lineRule="auto"/>
    </w:pPr>
  </w:style>
  <w:style w:type="paragraph" w:styleId="Quote">
    <w:name w:val="Quote"/>
    <w:basedOn w:val="Normal"/>
    <w:next w:val="Normal"/>
    <w:link w:val="QuoteChar"/>
    <w:uiPriority w:val="29"/>
    <w:qFormat/>
    <w:rsid w:val="009F644D"/>
    <w:rPr>
      <w:i/>
      <w:iCs/>
      <w:szCs w:val="24"/>
    </w:rPr>
  </w:style>
  <w:style w:type="character" w:customStyle="1" w:styleId="QuoteChar">
    <w:name w:val="Quote Char"/>
    <w:basedOn w:val="DefaultParagraphFont"/>
    <w:link w:val="Quote"/>
    <w:uiPriority w:val="29"/>
    <w:rsid w:val="009F644D"/>
    <w:rPr>
      <w:i/>
      <w:iCs/>
      <w:sz w:val="24"/>
      <w:szCs w:val="24"/>
    </w:rPr>
  </w:style>
  <w:style w:type="paragraph" w:styleId="IntenseQuote">
    <w:name w:val="Intense Quote"/>
    <w:basedOn w:val="Normal"/>
    <w:next w:val="Normal"/>
    <w:link w:val="IntenseQuoteChar"/>
    <w:uiPriority w:val="30"/>
    <w:qFormat/>
    <w:rsid w:val="009F644D"/>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9F644D"/>
    <w:rPr>
      <w:color w:val="5B9BD5" w:themeColor="accent1"/>
      <w:sz w:val="24"/>
      <w:szCs w:val="24"/>
    </w:rPr>
  </w:style>
  <w:style w:type="character" w:styleId="SubtleEmphasis">
    <w:name w:val="Subtle Emphasis"/>
    <w:uiPriority w:val="19"/>
    <w:qFormat/>
    <w:rsid w:val="009F644D"/>
    <w:rPr>
      <w:i/>
      <w:iCs/>
      <w:color w:val="1F4D78" w:themeColor="accent1" w:themeShade="7F"/>
    </w:rPr>
  </w:style>
  <w:style w:type="character" w:styleId="IntenseEmphasis">
    <w:name w:val="Intense Emphasis"/>
    <w:uiPriority w:val="21"/>
    <w:qFormat/>
    <w:rsid w:val="009F644D"/>
    <w:rPr>
      <w:b/>
      <w:bCs/>
      <w:caps/>
      <w:color w:val="1F4D78" w:themeColor="accent1" w:themeShade="7F"/>
      <w:spacing w:val="10"/>
    </w:rPr>
  </w:style>
  <w:style w:type="character" w:styleId="SubtleReference">
    <w:name w:val="Subtle Reference"/>
    <w:uiPriority w:val="31"/>
    <w:qFormat/>
    <w:rsid w:val="009F644D"/>
    <w:rPr>
      <w:b/>
      <w:bCs/>
      <w:color w:val="5B9BD5" w:themeColor="accent1"/>
    </w:rPr>
  </w:style>
  <w:style w:type="character" w:styleId="IntenseReference">
    <w:name w:val="Intense Reference"/>
    <w:uiPriority w:val="32"/>
    <w:qFormat/>
    <w:rsid w:val="009F644D"/>
    <w:rPr>
      <w:b/>
      <w:bCs/>
      <w:i/>
      <w:iCs/>
      <w:caps/>
      <w:color w:val="5B9BD5" w:themeColor="accent1"/>
    </w:rPr>
  </w:style>
  <w:style w:type="character" w:styleId="BookTitle">
    <w:name w:val="Book Title"/>
    <w:uiPriority w:val="33"/>
    <w:qFormat/>
    <w:rsid w:val="009F644D"/>
    <w:rPr>
      <w:b/>
      <w:bCs/>
      <w:i/>
      <w:iCs/>
      <w:spacing w:val="0"/>
    </w:rPr>
  </w:style>
  <w:style w:type="paragraph" w:styleId="TOCHeading">
    <w:name w:val="TOC Heading"/>
    <w:basedOn w:val="Heading1"/>
    <w:next w:val="Normal"/>
    <w:uiPriority w:val="39"/>
    <w:unhideWhenUsed/>
    <w:qFormat/>
    <w:rsid w:val="009F644D"/>
    <w:pPr>
      <w:outlineLvl w:val="9"/>
    </w:pPr>
  </w:style>
  <w:style w:type="paragraph" w:styleId="Header">
    <w:name w:val="header"/>
    <w:basedOn w:val="Normal"/>
    <w:link w:val="HeaderChar"/>
    <w:uiPriority w:val="99"/>
    <w:unhideWhenUsed/>
    <w:rsid w:val="009F644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F644D"/>
    <w:rPr>
      <w:rFonts w:ascii="Times New Roman" w:hAnsi="Times New Roman"/>
      <w:sz w:val="24"/>
    </w:rPr>
  </w:style>
  <w:style w:type="paragraph" w:styleId="Footer">
    <w:name w:val="footer"/>
    <w:basedOn w:val="Normal"/>
    <w:link w:val="FooterChar"/>
    <w:uiPriority w:val="99"/>
    <w:unhideWhenUsed/>
    <w:rsid w:val="009F644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F644D"/>
    <w:rPr>
      <w:rFonts w:ascii="Times New Roman" w:hAnsi="Times New Roman"/>
      <w:sz w:val="24"/>
    </w:rPr>
  </w:style>
  <w:style w:type="character" w:styleId="Hyperlink">
    <w:name w:val="Hyperlink"/>
    <w:basedOn w:val="DefaultParagraphFont"/>
    <w:uiPriority w:val="99"/>
    <w:unhideWhenUsed/>
    <w:rsid w:val="008C4DFB"/>
    <w:rPr>
      <w:color w:val="0563C1" w:themeColor="hyperlink"/>
      <w:u w:val="single"/>
    </w:rPr>
  </w:style>
  <w:style w:type="paragraph" w:styleId="TOC1">
    <w:name w:val="toc 1"/>
    <w:basedOn w:val="Normal"/>
    <w:next w:val="Normal"/>
    <w:autoRedefine/>
    <w:uiPriority w:val="39"/>
    <w:unhideWhenUsed/>
    <w:rsid w:val="006C3255"/>
    <w:pPr>
      <w:spacing w:after="100"/>
    </w:pPr>
  </w:style>
  <w:style w:type="paragraph" w:styleId="TOC2">
    <w:name w:val="toc 2"/>
    <w:basedOn w:val="Normal"/>
    <w:next w:val="Normal"/>
    <w:autoRedefine/>
    <w:uiPriority w:val="39"/>
    <w:unhideWhenUsed/>
    <w:rsid w:val="006C3255"/>
    <w:pPr>
      <w:spacing w:after="100"/>
      <w:ind w:left="240"/>
    </w:pPr>
  </w:style>
  <w:style w:type="paragraph" w:styleId="TOC3">
    <w:name w:val="toc 3"/>
    <w:basedOn w:val="Normal"/>
    <w:next w:val="Normal"/>
    <w:autoRedefine/>
    <w:uiPriority w:val="39"/>
    <w:unhideWhenUsed/>
    <w:rsid w:val="006C3255"/>
    <w:pPr>
      <w:spacing w:after="100"/>
      <w:ind w:left="480"/>
    </w:pPr>
  </w:style>
  <w:style w:type="table" w:styleId="TableGrid">
    <w:name w:val="Table Grid"/>
    <w:basedOn w:val="TableNormal"/>
    <w:uiPriority w:val="39"/>
    <w:rsid w:val="00E75DA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75DA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341163">
      <w:bodyDiv w:val="1"/>
      <w:marLeft w:val="0"/>
      <w:marRight w:val="0"/>
      <w:marTop w:val="0"/>
      <w:marBottom w:val="0"/>
      <w:divBdr>
        <w:top w:val="none" w:sz="0" w:space="0" w:color="auto"/>
        <w:left w:val="none" w:sz="0" w:space="0" w:color="auto"/>
        <w:bottom w:val="none" w:sz="0" w:space="0" w:color="auto"/>
        <w:right w:val="none" w:sz="0" w:space="0" w:color="auto"/>
      </w:divBdr>
    </w:div>
    <w:div w:id="75136551">
      <w:bodyDiv w:val="1"/>
      <w:marLeft w:val="0"/>
      <w:marRight w:val="0"/>
      <w:marTop w:val="0"/>
      <w:marBottom w:val="0"/>
      <w:divBdr>
        <w:top w:val="none" w:sz="0" w:space="0" w:color="auto"/>
        <w:left w:val="none" w:sz="0" w:space="0" w:color="auto"/>
        <w:bottom w:val="none" w:sz="0" w:space="0" w:color="auto"/>
        <w:right w:val="none" w:sz="0" w:space="0" w:color="auto"/>
      </w:divBdr>
    </w:div>
    <w:div w:id="77990548">
      <w:bodyDiv w:val="1"/>
      <w:marLeft w:val="0"/>
      <w:marRight w:val="0"/>
      <w:marTop w:val="0"/>
      <w:marBottom w:val="0"/>
      <w:divBdr>
        <w:top w:val="none" w:sz="0" w:space="0" w:color="auto"/>
        <w:left w:val="none" w:sz="0" w:space="0" w:color="auto"/>
        <w:bottom w:val="none" w:sz="0" w:space="0" w:color="auto"/>
        <w:right w:val="none" w:sz="0" w:space="0" w:color="auto"/>
      </w:divBdr>
    </w:div>
    <w:div w:id="83653599">
      <w:bodyDiv w:val="1"/>
      <w:marLeft w:val="0"/>
      <w:marRight w:val="0"/>
      <w:marTop w:val="0"/>
      <w:marBottom w:val="0"/>
      <w:divBdr>
        <w:top w:val="none" w:sz="0" w:space="0" w:color="auto"/>
        <w:left w:val="none" w:sz="0" w:space="0" w:color="auto"/>
        <w:bottom w:val="none" w:sz="0" w:space="0" w:color="auto"/>
        <w:right w:val="none" w:sz="0" w:space="0" w:color="auto"/>
      </w:divBdr>
    </w:div>
    <w:div w:id="100343918">
      <w:bodyDiv w:val="1"/>
      <w:marLeft w:val="0"/>
      <w:marRight w:val="0"/>
      <w:marTop w:val="0"/>
      <w:marBottom w:val="0"/>
      <w:divBdr>
        <w:top w:val="none" w:sz="0" w:space="0" w:color="auto"/>
        <w:left w:val="none" w:sz="0" w:space="0" w:color="auto"/>
        <w:bottom w:val="none" w:sz="0" w:space="0" w:color="auto"/>
        <w:right w:val="none" w:sz="0" w:space="0" w:color="auto"/>
      </w:divBdr>
    </w:div>
    <w:div w:id="142740610">
      <w:bodyDiv w:val="1"/>
      <w:marLeft w:val="0"/>
      <w:marRight w:val="0"/>
      <w:marTop w:val="0"/>
      <w:marBottom w:val="0"/>
      <w:divBdr>
        <w:top w:val="none" w:sz="0" w:space="0" w:color="auto"/>
        <w:left w:val="none" w:sz="0" w:space="0" w:color="auto"/>
        <w:bottom w:val="none" w:sz="0" w:space="0" w:color="auto"/>
        <w:right w:val="none" w:sz="0" w:space="0" w:color="auto"/>
      </w:divBdr>
    </w:div>
    <w:div w:id="174921518">
      <w:bodyDiv w:val="1"/>
      <w:marLeft w:val="0"/>
      <w:marRight w:val="0"/>
      <w:marTop w:val="0"/>
      <w:marBottom w:val="0"/>
      <w:divBdr>
        <w:top w:val="none" w:sz="0" w:space="0" w:color="auto"/>
        <w:left w:val="none" w:sz="0" w:space="0" w:color="auto"/>
        <w:bottom w:val="none" w:sz="0" w:space="0" w:color="auto"/>
        <w:right w:val="none" w:sz="0" w:space="0" w:color="auto"/>
      </w:divBdr>
    </w:div>
    <w:div w:id="181824872">
      <w:bodyDiv w:val="1"/>
      <w:marLeft w:val="0"/>
      <w:marRight w:val="0"/>
      <w:marTop w:val="0"/>
      <w:marBottom w:val="0"/>
      <w:divBdr>
        <w:top w:val="none" w:sz="0" w:space="0" w:color="auto"/>
        <w:left w:val="none" w:sz="0" w:space="0" w:color="auto"/>
        <w:bottom w:val="none" w:sz="0" w:space="0" w:color="auto"/>
        <w:right w:val="none" w:sz="0" w:space="0" w:color="auto"/>
      </w:divBdr>
    </w:div>
    <w:div w:id="190918720">
      <w:bodyDiv w:val="1"/>
      <w:marLeft w:val="0"/>
      <w:marRight w:val="0"/>
      <w:marTop w:val="0"/>
      <w:marBottom w:val="0"/>
      <w:divBdr>
        <w:top w:val="none" w:sz="0" w:space="0" w:color="auto"/>
        <w:left w:val="none" w:sz="0" w:space="0" w:color="auto"/>
        <w:bottom w:val="none" w:sz="0" w:space="0" w:color="auto"/>
        <w:right w:val="none" w:sz="0" w:space="0" w:color="auto"/>
      </w:divBdr>
    </w:div>
    <w:div w:id="264776344">
      <w:bodyDiv w:val="1"/>
      <w:marLeft w:val="0"/>
      <w:marRight w:val="0"/>
      <w:marTop w:val="0"/>
      <w:marBottom w:val="0"/>
      <w:divBdr>
        <w:top w:val="none" w:sz="0" w:space="0" w:color="auto"/>
        <w:left w:val="none" w:sz="0" w:space="0" w:color="auto"/>
        <w:bottom w:val="none" w:sz="0" w:space="0" w:color="auto"/>
        <w:right w:val="none" w:sz="0" w:space="0" w:color="auto"/>
      </w:divBdr>
    </w:div>
    <w:div w:id="329413841">
      <w:bodyDiv w:val="1"/>
      <w:marLeft w:val="0"/>
      <w:marRight w:val="0"/>
      <w:marTop w:val="0"/>
      <w:marBottom w:val="0"/>
      <w:divBdr>
        <w:top w:val="none" w:sz="0" w:space="0" w:color="auto"/>
        <w:left w:val="none" w:sz="0" w:space="0" w:color="auto"/>
        <w:bottom w:val="none" w:sz="0" w:space="0" w:color="auto"/>
        <w:right w:val="none" w:sz="0" w:space="0" w:color="auto"/>
      </w:divBdr>
    </w:div>
    <w:div w:id="451871775">
      <w:bodyDiv w:val="1"/>
      <w:marLeft w:val="0"/>
      <w:marRight w:val="0"/>
      <w:marTop w:val="0"/>
      <w:marBottom w:val="0"/>
      <w:divBdr>
        <w:top w:val="none" w:sz="0" w:space="0" w:color="auto"/>
        <w:left w:val="none" w:sz="0" w:space="0" w:color="auto"/>
        <w:bottom w:val="none" w:sz="0" w:space="0" w:color="auto"/>
        <w:right w:val="none" w:sz="0" w:space="0" w:color="auto"/>
      </w:divBdr>
    </w:div>
    <w:div w:id="489758019">
      <w:bodyDiv w:val="1"/>
      <w:marLeft w:val="0"/>
      <w:marRight w:val="0"/>
      <w:marTop w:val="0"/>
      <w:marBottom w:val="0"/>
      <w:divBdr>
        <w:top w:val="none" w:sz="0" w:space="0" w:color="auto"/>
        <w:left w:val="none" w:sz="0" w:space="0" w:color="auto"/>
        <w:bottom w:val="none" w:sz="0" w:space="0" w:color="auto"/>
        <w:right w:val="none" w:sz="0" w:space="0" w:color="auto"/>
      </w:divBdr>
    </w:div>
    <w:div w:id="564875091">
      <w:bodyDiv w:val="1"/>
      <w:marLeft w:val="0"/>
      <w:marRight w:val="0"/>
      <w:marTop w:val="0"/>
      <w:marBottom w:val="0"/>
      <w:divBdr>
        <w:top w:val="none" w:sz="0" w:space="0" w:color="auto"/>
        <w:left w:val="none" w:sz="0" w:space="0" w:color="auto"/>
        <w:bottom w:val="none" w:sz="0" w:space="0" w:color="auto"/>
        <w:right w:val="none" w:sz="0" w:space="0" w:color="auto"/>
      </w:divBdr>
    </w:div>
    <w:div w:id="590352287">
      <w:bodyDiv w:val="1"/>
      <w:marLeft w:val="0"/>
      <w:marRight w:val="0"/>
      <w:marTop w:val="0"/>
      <w:marBottom w:val="0"/>
      <w:divBdr>
        <w:top w:val="none" w:sz="0" w:space="0" w:color="auto"/>
        <w:left w:val="none" w:sz="0" w:space="0" w:color="auto"/>
        <w:bottom w:val="none" w:sz="0" w:space="0" w:color="auto"/>
        <w:right w:val="none" w:sz="0" w:space="0" w:color="auto"/>
      </w:divBdr>
    </w:div>
    <w:div w:id="612204382">
      <w:bodyDiv w:val="1"/>
      <w:marLeft w:val="0"/>
      <w:marRight w:val="0"/>
      <w:marTop w:val="0"/>
      <w:marBottom w:val="0"/>
      <w:divBdr>
        <w:top w:val="none" w:sz="0" w:space="0" w:color="auto"/>
        <w:left w:val="none" w:sz="0" w:space="0" w:color="auto"/>
        <w:bottom w:val="none" w:sz="0" w:space="0" w:color="auto"/>
        <w:right w:val="none" w:sz="0" w:space="0" w:color="auto"/>
      </w:divBdr>
    </w:div>
    <w:div w:id="631060086">
      <w:bodyDiv w:val="1"/>
      <w:marLeft w:val="0"/>
      <w:marRight w:val="0"/>
      <w:marTop w:val="0"/>
      <w:marBottom w:val="0"/>
      <w:divBdr>
        <w:top w:val="none" w:sz="0" w:space="0" w:color="auto"/>
        <w:left w:val="none" w:sz="0" w:space="0" w:color="auto"/>
        <w:bottom w:val="none" w:sz="0" w:space="0" w:color="auto"/>
        <w:right w:val="none" w:sz="0" w:space="0" w:color="auto"/>
      </w:divBdr>
    </w:div>
    <w:div w:id="862061784">
      <w:bodyDiv w:val="1"/>
      <w:marLeft w:val="0"/>
      <w:marRight w:val="0"/>
      <w:marTop w:val="0"/>
      <w:marBottom w:val="0"/>
      <w:divBdr>
        <w:top w:val="none" w:sz="0" w:space="0" w:color="auto"/>
        <w:left w:val="none" w:sz="0" w:space="0" w:color="auto"/>
        <w:bottom w:val="none" w:sz="0" w:space="0" w:color="auto"/>
        <w:right w:val="none" w:sz="0" w:space="0" w:color="auto"/>
      </w:divBdr>
    </w:div>
    <w:div w:id="863976025">
      <w:bodyDiv w:val="1"/>
      <w:marLeft w:val="0"/>
      <w:marRight w:val="0"/>
      <w:marTop w:val="0"/>
      <w:marBottom w:val="0"/>
      <w:divBdr>
        <w:top w:val="none" w:sz="0" w:space="0" w:color="auto"/>
        <w:left w:val="none" w:sz="0" w:space="0" w:color="auto"/>
        <w:bottom w:val="none" w:sz="0" w:space="0" w:color="auto"/>
        <w:right w:val="none" w:sz="0" w:space="0" w:color="auto"/>
      </w:divBdr>
    </w:div>
    <w:div w:id="917909488">
      <w:bodyDiv w:val="1"/>
      <w:marLeft w:val="0"/>
      <w:marRight w:val="0"/>
      <w:marTop w:val="0"/>
      <w:marBottom w:val="0"/>
      <w:divBdr>
        <w:top w:val="none" w:sz="0" w:space="0" w:color="auto"/>
        <w:left w:val="none" w:sz="0" w:space="0" w:color="auto"/>
        <w:bottom w:val="none" w:sz="0" w:space="0" w:color="auto"/>
        <w:right w:val="none" w:sz="0" w:space="0" w:color="auto"/>
      </w:divBdr>
    </w:div>
    <w:div w:id="991372804">
      <w:bodyDiv w:val="1"/>
      <w:marLeft w:val="0"/>
      <w:marRight w:val="0"/>
      <w:marTop w:val="0"/>
      <w:marBottom w:val="0"/>
      <w:divBdr>
        <w:top w:val="none" w:sz="0" w:space="0" w:color="auto"/>
        <w:left w:val="none" w:sz="0" w:space="0" w:color="auto"/>
        <w:bottom w:val="none" w:sz="0" w:space="0" w:color="auto"/>
        <w:right w:val="none" w:sz="0" w:space="0" w:color="auto"/>
      </w:divBdr>
    </w:div>
    <w:div w:id="1003171197">
      <w:bodyDiv w:val="1"/>
      <w:marLeft w:val="0"/>
      <w:marRight w:val="0"/>
      <w:marTop w:val="0"/>
      <w:marBottom w:val="0"/>
      <w:divBdr>
        <w:top w:val="none" w:sz="0" w:space="0" w:color="auto"/>
        <w:left w:val="none" w:sz="0" w:space="0" w:color="auto"/>
        <w:bottom w:val="none" w:sz="0" w:space="0" w:color="auto"/>
        <w:right w:val="none" w:sz="0" w:space="0" w:color="auto"/>
      </w:divBdr>
    </w:div>
    <w:div w:id="1020086177">
      <w:bodyDiv w:val="1"/>
      <w:marLeft w:val="0"/>
      <w:marRight w:val="0"/>
      <w:marTop w:val="0"/>
      <w:marBottom w:val="0"/>
      <w:divBdr>
        <w:top w:val="none" w:sz="0" w:space="0" w:color="auto"/>
        <w:left w:val="none" w:sz="0" w:space="0" w:color="auto"/>
        <w:bottom w:val="none" w:sz="0" w:space="0" w:color="auto"/>
        <w:right w:val="none" w:sz="0" w:space="0" w:color="auto"/>
      </w:divBdr>
    </w:div>
    <w:div w:id="1079642002">
      <w:bodyDiv w:val="1"/>
      <w:marLeft w:val="0"/>
      <w:marRight w:val="0"/>
      <w:marTop w:val="0"/>
      <w:marBottom w:val="0"/>
      <w:divBdr>
        <w:top w:val="none" w:sz="0" w:space="0" w:color="auto"/>
        <w:left w:val="none" w:sz="0" w:space="0" w:color="auto"/>
        <w:bottom w:val="none" w:sz="0" w:space="0" w:color="auto"/>
        <w:right w:val="none" w:sz="0" w:space="0" w:color="auto"/>
      </w:divBdr>
    </w:div>
    <w:div w:id="1119951685">
      <w:bodyDiv w:val="1"/>
      <w:marLeft w:val="0"/>
      <w:marRight w:val="0"/>
      <w:marTop w:val="0"/>
      <w:marBottom w:val="0"/>
      <w:divBdr>
        <w:top w:val="none" w:sz="0" w:space="0" w:color="auto"/>
        <w:left w:val="none" w:sz="0" w:space="0" w:color="auto"/>
        <w:bottom w:val="none" w:sz="0" w:space="0" w:color="auto"/>
        <w:right w:val="none" w:sz="0" w:space="0" w:color="auto"/>
      </w:divBdr>
    </w:div>
    <w:div w:id="1147019065">
      <w:bodyDiv w:val="1"/>
      <w:marLeft w:val="0"/>
      <w:marRight w:val="0"/>
      <w:marTop w:val="0"/>
      <w:marBottom w:val="0"/>
      <w:divBdr>
        <w:top w:val="none" w:sz="0" w:space="0" w:color="auto"/>
        <w:left w:val="none" w:sz="0" w:space="0" w:color="auto"/>
        <w:bottom w:val="none" w:sz="0" w:space="0" w:color="auto"/>
        <w:right w:val="none" w:sz="0" w:space="0" w:color="auto"/>
      </w:divBdr>
    </w:div>
    <w:div w:id="1168447079">
      <w:bodyDiv w:val="1"/>
      <w:marLeft w:val="0"/>
      <w:marRight w:val="0"/>
      <w:marTop w:val="0"/>
      <w:marBottom w:val="0"/>
      <w:divBdr>
        <w:top w:val="none" w:sz="0" w:space="0" w:color="auto"/>
        <w:left w:val="none" w:sz="0" w:space="0" w:color="auto"/>
        <w:bottom w:val="none" w:sz="0" w:space="0" w:color="auto"/>
        <w:right w:val="none" w:sz="0" w:space="0" w:color="auto"/>
      </w:divBdr>
    </w:div>
    <w:div w:id="1259407905">
      <w:bodyDiv w:val="1"/>
      <w:marLeft w:val="0"/>
      <w:marRight w:val="0"/>
      <w:marTop w:val="0"/>
      <w:marBottom w:val="0"/>
      <w:divBdr>
        <w:top w:val="none" w:sz="0" w:space="0" w:color="auto"/>
        <w:left w:val="none" w:sz="0" w:space="0" w:color="auto"/>
        <w:bottom w:val="none" w:sz="0" w:space="0" w:color="auto"/>
        <w:right w:val="none" w:sz="0" w:space="0" w:color="auto"/>
      </w:divBdr>
    </w:div>
    <w:div w:id="1262689790">
      <w:bodyDiv w:val="1"/>
      <w:marLeft w:val="0"/>
      <w:marRight w:val="0"/>
      <w:marTop w:val="0"/>
      <w:marBottom w:val="0"/>
      <w:divBdr>
        <w:top w:val="none" w:sz="0" w:space="0" w:color="auto"/>
        <w:left w:val="none" w:sz="0" w:space="0" w:color="auto"/>
        <w:bottom w:val="none" w:sz="0" w:space="0" w:color="auto"/>
        <w:right w:val="none" w:sz="0" w:space="0" w:color="auto"/>
      </w:divBdr>
    </w:div>
    <w:div w:id="1285308912">
      <w:bodyDiv w:val="1"/>
      <w:marLeft w:val="0"/>
      <w:marRight w:val="0"/>
      <w:marTop w:val="0"/>
      <w:marBottom w:val="0"/>
      <w:divBdr>
        <w:top w:val="none" w:sz="0" w:space="0" w:color="auto"/>
        <w:left w:val="none" w:sz="0" w:space="0" w:color="auto"/>
        <w:bottom w:val="none" w:sz="0" w:space="0" w:color="auto"/>
        <w:right w:val="none" w:sz="0" w:space="0" w:color="auto"/>
      </w:divBdr>
    </w:div>
    <w:div w:id="1365911146">
      <w:bodyDiv w:val="1"/>
      <w:marLeft w:val="0"/>
      <w:marRight w:val="0"/>
      <w:marTop w:val="0"/>
      <w:marBottom w:val="0"/>
      <w:divBdr>
        <w:top w:val="none" w:sz="0" w:space="0" w:color="auto"/>
        <w:left w:val="none" w:sz="0" w:space="0" w:color="auto"/>
        <w:bottom w:val="none" w:sz="0" w:space="0" w:color="auto"/>
        <w:right w:val="none" w:sz="0" w:space="0" w:color="auto"/>
      </w:divBdr>
    </w:div>
    <w:div w:id="1410540055">
      <w:bodyDiv w:val="1"/>
      <w:marLeft w:val="0"/>
      <w:marRight w:val="0"/>
      <w:marTop w:val="0"/>
      <w:marBottom w:val="0"/>
      <w:divBdr>
        <w:top w:val="none" w:sz="0" w:space="0" w:color="auto"/>
        <w:left w:val="none" w:sz="0" w:space="0" w:color="auto"/>
        <w:bottom w:val="none" w:sz="0" w:space="0" w:color="auto"/>
        <w:right w:val="none" w:sz="0" w:space="0" w:color="auto"/>
      </w:divBdr>
      <w:divsChild>
        <w:div w:id="1801340231">
          <w:marLeft w:val="0"/>
          <w:marRight w:val="0"/>
          <w:marTop w:val="0"/>
          <w:marBottom w:val="0"/>
          <w:divBdr>
            <w:top w:val="none" w:sz="0" w:space="0" w:color="auto"/>
            <w:left w:val="none" w:sz="0" w:space="0" w:color="auto"/>
            <w:bottom w:val="none" w:sz="0" w:space="0" w:color="auto"/>
            <w:right w:val="none" w:sz="0" w:space="0" w:color="auto"/>
          </w:divBdr>
          <w:divsChild>
            <w:div w:id="32220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697402">
      <w:bodyDiv w:val="1"/>
      <w:marLeft w:val="0"/>
      <w:marRight w:val="0"/>
      <w:marTop w:val="0"/>
      <w:marBottom w:val="0"/>
      <w:divBdr>
        <w:top w:val="none" w:sz="0" w:space="0" w:color="auto"/>
        <w:left w:val="none" w:sz="0" w:space="0" w:color="auto"/>
        <w:bottom w:val="none" w:sz="0" w:space="0" w:color="auto"/>
        <w:right w:val="none" w:sz="0" w:space="0" w:color="auto"/>
      </w:divBdr>
    </w:div>
    <w:div w:id="1660304649">
      <w:bodyDiv w:val="1"/>
      <w:marLeft w:val="0"/>
      <w:marRight w:val="0"/>
      <w:marTop w:val="0"/>
      <w:marBottom w:val="0"/>
      <w:divBdr>
        <w:top w:val="none" w:sz="0" w:space="0" w:color="auto"/>
        <w:left w:val="none" w:sz="0" w:space="0" w:color="auto"/>
        <w:bottom w:val="none" w:sz="0" w:space="0" w:color="auto"/>
        <w:right w:val="none" w:sz="0" w:space="0" w:color="auto"/>
      </w:divBdr>
    </w:div>
    <w:div w:id="1737052114">
      <w:bodyDiv w:val="1"/>
      <w:marLeft w:val="0"/>
      <w:marRight w:val="0"/>
      <w:marTop w:val="0"/>
      <w:marBottom w:val="0"/>
      <w:divBdr>
        <w:top w:val="none" w:sz="0" w:space="0" w:color="auto"/>
        <w:left w:val="none" w:sz="0" w:space="0" w:color="auto"/>
        <w:bottom w:val="none" w:sz="0" w:space="0" w:color="auto"/>
        <w:right w:val="none" w:sz="0" w:space="0" w:color="auto"/>
      </w:divBdr>
    </w:div>
    <w:div w:id="1801069888">
      <w:bodyDiv w:val="1"/>
      <w:marLeft w:val="0"/>
      <w:marRight w:val="0"/>
      <w:marTop w:val="0"/>
      <w:marBottom w:val="0"/>
      <w:divBdr>
        <w:top w:val="none" w:sz="0" w:space="0" w:color="auto"/>
        <w:left w:val="none" w:sz="0" w:space="0" w:color="auto"/>
        <w:bottom w:val="none" w:sz="0" w:space="0" w:color="auto"/>
        <w:right w:val="none" w:sz="0" w:space="0" w:color="auto"/>
      </w:divBdr>
    </w:div>
    <w:div w:id="1811165311">
      <w:bodyDiv w:val="1"/>
      <w:marLeft w:val="0"/>
      <w:marRight w:val="0"/>
      <w:marTop w:val="0"/>
      <w:marBottom w:val="0"/>
      <w:divBdr>
        <w:top w:val="none" w:sz="0" w:space="0" w:color="auto"/>
        <w:left w:val="none" w:sz="0" w:space="0" w:color="auto"/>
        <w:bottom w:val="none" w:sz="0" w:space="0" w:color="auto"/>
        <w:right w:val="none" w:sz="0" w:space="0" w:color="auto"/>
      </w:divBdr>
    </w:div>
    <w:div w:id="1874148153">
      <w:bodyDiv w:val="1"/>
      <w:marLeft w:val="0"/>
      <w:marRight w:val="0"/>
      <w:marTop w:val="0"/>
      <w:marBottom w:val="0"/>
      <w:divBdr>
        <w:top w:val="none" w:sz="0" w:space="0" w:color="auto"/>
        <w:left w:val="none" w:sz="0" w:space="0" w:color="auto"/>
        <w:bottom w:val="none" w:sz="0" w:space="0" w:color="auto"/>
        <w:right w:val="none" w:sz="0" w:space="0" w:color="auto"/>
      </w:divBdr>
    </w:div>
    <w:div w:id="1925801095">
      <w:bodyDiv w:val="1"/>
      <w:marLeft w:val="0"/>
      <w:marRight w:val="0"/>
      <w:marTop w:val="0"/>
      <w:marBottom w:val="0"/>
      <w:divBdr>
        <w:top w:val="none" w:sz="0" w:space="0" w:color="auto"/>
        <w:left w:val="none" w:sz="0" w:space="0" w:color="auto"/>
        <w:bottom w:val="none" w:sz="0" w:space="0" w:color="auto"/>
        <w:right w:val="none" w:sz="0" w:space="0" w:color="auto"/>
      </w:divBdr>
    </w:div>
    <w:div w:id="1943487249">
      <w:bodyDiv w:val="1"/>
      <w:marLeft w:val="0"/>
      <w:marRight w:val="0"/>
      <w:marTop w:val="0"/>
      <w:marBottom w:val="0"/>
      <w:divBdr>
        <w:top w:val="none" w:sz="0" w:space="0" w:color="auto"/>
        <w:left w:val="none" w:sz="0" w:space="0" w:color="auto"/>
        <w:bottom w:val="none" w:sz="0" w:space="0" w:color="auto"/>
        <w:right w:val="none" w:sz="0" w:space="0" w:color="auto"/>
      </w:divBdr>
    </w:div>
    <w:div w:id="2012218879">
      <w:bodyDiv w:val="1"/>
      <w:marLeft w:val="0"/>
      <w:marRight w:val="0"/>
      <w:marTop w:val="0"/>
      <w:marBottom w:val="0"/>
      <w:divBdr>
        <w:top w:val="none" w:sz="0" w:space="0" w:color="auto"/>
        <w:left w:val="none" w:sz="0" w:space="0" w:color="auto"/>
        <w:bottom w:val="none" w:sz="0" w:space="0" w:color="auto"/>
        <w:right w:val="none" w:sz="0" w:space="0" w:color="auto"/>
      </w:divBdr>
    </w:div>
    <w:div w:id="2022319485">
      <w:bodyDiv w:val="1"/>
      <w:marLeft w:val="0"/>
      <w:marRight w:val="0"/>
      <w:marTop w:val="0"/>
      <w:marBottom w:val="0"/>
      <w:divBdr>
        <w:top w:val="none" w:sz="0" w:space="0" w:color="auto"/>
        <w:left w:val="none" w:sz="0" w:space="0" w:color="auto"/>
        <w:bottom w:val="none" w:sz="0" w:space="0" w:color="auto"/>
        <w:right w:val="none" w:sz="0" w:space="0" w:color="auto"/>
      </w:divBdr>
    </w:div>
    <w:div w:id="2081362662">
      <w:bodyDiv w:val="1"/>
      <w:marLeft w:val="0"/>
      <w:marRight w:val="0"/>
      <w:marTop w:val="0"/>
      <w:marBottom w:val="0"/>
      <w:divBdr>
        <w:top w:val="none" w:sz="0" w:space="0" w:color="auto"/>
        <w:left w:val="none" w:sz="0" w:space="0" w:color="auto"/>
        <w:bottom w:val="none" w:sz="0" w:space="0" w:color="auto"/>
        <w:right w:val="none" w:sz="0" w:space="0" w:color="auto"/>
      </w:divBdr>
    </w:div>
    <w:div w:id="20964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478/minib-2022-0017" TargetMode="External"/><Relationship Id="rId18" Type="http://schemas.openxmlformats.org/officeDocument/2006/relationships/hyperlink" Target="https://doi.org/10.3390/s21051709" TargetMode="External"/><Relationship Id="rId26" Type="http://schemas.openxmlformats.org/officeDocument/2006/relationships/hyperlink" Target="https://doi.org/10.1109/jsac.2021.3126076" TargetMode="External"/><Relationship Id="rId39" Type="http://schemas.openxmlformats.org/officeDocument/2006/relationships/hyperlink" Target="https://doi.org/10.4103/ipj.IPJ_174_20" TargetMode="External"/><Relationship Id="rId21" Type="http://schemas.openxmlformats.org/officeDocument/2006/relationships/hyperlink" Target="https://doi.org/10.63544/ijss.v4i1.109" TargetMode="External"/><Relationship Id="rId34" Type="http://schemas.openxmlformats.org/officeDocument/2006/relationships/hyperlink" Target="https://doi.org/10.1108/mrr-11-2021-0834" TargetMode="External"/><Relationship Id="rId42" Type="http://schemas.openxmlformats.org/officeDocument/2006/relationships/hyperlink" Target="https://doi.org/10.1038/s41467-023-38329-4" TargetMode="External"/><Relationship Id="rId47" Type="http://schemas.openxmlformats.org/officeDocument/2006/relationships/hyperlink" Target="https://doi.org/10.1108/mip-07-2019-0408" TargetMode="External"/><Relationship Id="rId50" Type="http://schemas.openxmlformats.org/officeDocument/2006/relationships/hyperlink" Target="https://doi.org/10.1111/poms.13186"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7/s10842-011-0107-4" TargetMode="External"/><Relationship Id="rId17" Type="http://schemas.openxmlformats.org/officeDocument/2006/relationships/hyperlink" Target="https://doi.org/10.5204/mcj.3163" TargetMode="External"/><Relationship Id="rId25" Type="http://schemas.openxmlformats.org/officeDocument/2006/relationships/hyperlink" Target="https://doi.org/10.4258/hir.2014.20.1.61" TargetMode="External"/><Relationship Id="rId33" Type="http://schemas.openxmlformats.org/officeDocument/2006/relationships/hyperlink" Target="https://doi.org/10.1002/bltj.20470" TargetMode="External"/><Relationship Id="rId38" Type="http://schemas.openxmlformats.org/officeDocument/2006/relationships/hyperlink" Target="https://doi.org/10.21744/irjmis.v9n1.2012" TargetMode="External"/><Relationship Id="rId46" Type="http://schemas.openxmlformats.org/officeDocument/2006/relationships/hyperlink" Target="https://doi.org/10.31387/oscm0450293" TargetMode="External"/><Relationship Id="rId2" Type="http://schemas.openxmlformats.org/officeDocument/2006/relationships/numbering" Target="numbering.xml"/><Relationship Id="rId16" Type="http://schemas.openxmlformats.org/officeDocument/2006/relationships/hyperlink" Target="https://doi.org/10.1108/IMDS-10-2013-0430" TargetMode="External"/><Relationship Id="rId20" Type="http://schemas.openxmlformats.org/officeDocument/2006/relationships/hyperlink" Target="https://doi.org/10.1108/jic-12-2022-0251" TargetMode="External"/><Relationship Id="rId29" Type="http://schemas.openxmlformats.org/officeDocument/2006/relationships/hyperlink" Target="https://doi.org/10.1017/sus.2022.3" TargetMode="External"/><Relationship Id="rId41" Type="http://schemas.openxmlformats.org/officeDocument/2006/relationships/hyperlink" Target="https://doi.org/10.3390/joitmc7020154"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5138/organum.v3i1.78" TargetMode="External"/><Relationship Id="rId24" Type="http://schemas.openxmlformats.org/officeDocument/2006/relationships/hyperlink" Target="https://doi.org/10.1089/cyber.2013.0492" TargetMode="External"/><Relationship Id="rId32" Type="http://schemas.openxmlformats.org/officeDocument/2006/relationships/hyperlink" Target="https://doi.org/10.1007/s11187-023-00779-x" TargetMode="External"/><Relationship Id="rId37" Type="http://schemas.openxmlformats.org/officeDocument/2006/relationships/hyperlink" Target="https://doi.org/10.2196/14198" TargetMode="External"/><Relationship Id="rId40" Type="http://schemas.openxmlformats.org/officeDocument/2006/relationships/hyperlink" Target="https://doi.org/10.7176/JESD/12-14-01" TargetMode="External"/><Relationship Id="rId45" Type="http://schemas.openxmlformats.org/officeDocument/2006/relationships/hyperlink" Target="https://doi.org/10.1109/access.2022.3210262"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2196/mhealth.3017" TargetMode="External"/><Relationship Id="rId23" Type="http://schemas.openxmlformats.org/officeDocument/2006/relationships/hyperlink" Target="https://doi.org/10.63544/ijss.v3i2.94" TargetMode="External"/><Relationship Id="rId28" Type="http://schemas.openxmlformats.org/officeDocument/2006/relationships/hyperlink" Target="https://doi.org/10.30560/ijas.v8n3p56" TargetMode="External"/><Relationship Id="rId36" Type="http://schemas.openxmlformats.org/officeDocument/2006/relationships/hyperlink" Target="https://doi.org/10.1109/ACCESS.2013.2260813" TargetMode="External"/><Relationship Id="rId49" Type="http://schemas.openxmlformats.org/officeDocument/2006/relationships/hyperlink" Target="https://doi.org/10.1371/journal.pone.0264856" TargetMode="External"/><Relationship Id="rId10" Type="http://schemas.openxmlformats.org/officeDocument/2006/relationships/hyperlink" Target="https://doi.org/10.47191/jefms/v7-i7-65" TargetMode="External"/><Relationship Id="rId19" Type="http://schemas.openxmlformats.org/officeDocument/2006/relationships/hyperlink" Target="https://doi.org/10.1109/ojcoms.2021.3057679" TargetMode="External"/><Relationship Id="rId31" Type="http://schemas.openxmlformats.org/officeDocument/2006/relationships/hyperlink" Target="https://doi.org/10.1111/ijcs.70063" TargetMode="External"/><Relationship Id="rId44" Type="http://schemas.openxmlformats.org/officeDocument/2006/relationships/hyperlink" Target="https://doi.org/10.47191/jefms/v7-i7-55" TargetMode="External"/><Relationship Id="rId52" Type="http://schemas.openxmlformats.org/officeDocument/2006/relationships/hyperlink" Target="https://doi.org/10.47233/jebs.v5i4.295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371/journal.pone.0182239" TargetMode="External"/><Relationship Id="rId22" Type="http://schemas.openxmlformats.org/officeDocument/2006/relationships/hyperlink" Target="https://doi.org/10.25300/misq/2021/12202" TargetMode="External"/><Relationship Id="rId27" Type="http://schemas.openxmlformats.org/officeDocument/2006/relationships/hyperlink" Target="https://doi.org/10.3389/fpsyg.2023.1218886" TargetMode="External"/><Relationship Id="rId30" Type="http://schemas.openxmlformats.org/officeDocument/2006/relationships/hyperlink" Target="https://doi.org/10.1108/jrme-12-2022-0150" TargetMode="External"/><Relationship Id="rId35" Type="http://schemas.openxmlformats.org/officeDocument/2006/relationships/hyperlink" Target="https://doi.org/10.29244/jmo.v12i1.33038" TargetMode="External"/><Relationship Id="rId43" Type="http://schemas.openxmlformats.org/officeDocument/2006/relationships/hyperlink" Target="https://doi.org/10.1111/emre.12644" TargetMode="External"/><Relationship Id="rId48" Type="http://schemas.openxmlformats.org/officeDocument/2006/relationships/hyperlink" Target="https://doi.org/10.4108/eai.9-10-2020.2304780" TargetMode="External"/><Relationship Id="rId8" Type="http://schemas.openxmlformats.org/officeDocument/2006/relationships/image" Target="media/image1.png"/><Relationship Id="rId51" Type="http://schemas.openxmlformats.org/officeDocument/2006/relationships/hyperlink" Target="https://doi.org/10.1155/2022/9441322"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8B5F9-2073-464D-B227-C35088F14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19</Pages>
  <Words>5850</Words>
  <Characters>33345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50</cp:revision>
  <dcterms:created xsi:type="dcterms:W3CDTF">2025-11-18T16:23:00Z</dcterms:created>
  <dcterms:modified xsi:type="dcterms:W3CDTF">2025-11-19T18:19:00Z</dcterms:modified>
</cp:coreProperties>
</file>