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B01B5" w14:textId="77777777" w:rsidR="000126DA" w:rsidRPr="000126DA" w:rsidRDefault="000126DA" w:rsidP="000126DA">
      <w:pPr>
        <w:spacing w:line="360" w:lineRule="auto"/>
        <w:jc w:val="center"/>
        <w:rPr>
          <w:rFonts w:ascii="Arial" w:hAnsi="Arial" w:cs="Arial"/>
          <w:b/>
          <w:bCs/>
          <w:sz w:val="22"/>
          <w:szCs w:val="22"/>
        </w:rPr>
      </w:pPr>
      <w:r w:rsidRPr="000126DA">
        <w:rPr>
          <w:rFonts w:ascii="Arial" w:hAnsi="Arial" w:cs="Arial"/>
          <w:b/>
          <w:bCs/>
          <w:sz w:val="22"/>
          <w:szCs w:val="22"/>
        </w:rPr>
        <w:t>Name: Heena Khan</w:t>
      </w:r>
    </w:p>
    <w:p w14:paraId="150D61E9" w14:textId="77777777" w:rsidR="000126DA" w:rsidRPr="000126DA" w:rsidRDefault="000126DA" w:rsidP="000126DA">
      <w:pPr>
        <w:spacing w:line="360" w:lineRule="auto"/>
        <w:jc w:val="center"/>
        <w:rPr>
          <w:rFonts w:ascii="Arial" w:hAnsi="Arial" w:cs="Arial"/>
          <w:b/>
          <w:bCs/>
          <w:sz w:val="22"/>
          <w:szCs w:val="22"/>
        </w:rPr>
      </w:pPr>
      <w:r w:rsidRPr="000126DA">
        <w:rPr>
          <w:rFonts w:ascii="Arial" w:hAnsi="Arial" w:cs="Arial"/>
          <w:b/>
          <w:bCs/>
          <w:sz w:val="22"/>
          <w:szCs w:val="22"/>
        </w:rPr>
        <w:t>Student number: 2419590</w:t>
      </w:r>
    </w:p>
    <w:p w14:paraId="5CC169B0" w14:textId="0300678C" w:rsidR="000126DA" w:rsidRPr="000126DA" w:rsidRDefault="000126DA" w:rsidP="000126DA">
      <w:pPr>
        <w:spacing w:before="120" w:after="120" w:line="360" w:lineRule="auto"/>
        <w:jc w:val="center"/>
        <w:rPr>
          <w:rFonts w:ascii="Arial" w:hAnsi="Arial" w:cs="Arial"/>
          <w:b/>
          <w:bCs/>
          <w:sz w:val="22"/>
          <w:szCs w:val="22"/>
        </w:rPr>
      </w:pPr>
      <w:r w:rsidRPr="000126DA">
        <w:rPr>
          <w:rFonts w:ascii="Arial" w:hAnsi="Arial" w:cs="Arial"/>
          <w:b/>
          <w:bCs/>
          <w:sz w:val="22"/>
          <w:szCs w:val="22"/>
        </w:rPr>
        <w:t>Module Name: Protecting and Supporting Families in Health and Care</w:t>
      </w:r>
    </w:p>
    <w:p w14:paraId="552C37B5" w14:textId="30BD8642" w:rsidR="000126DA" w:rsidRPr="000126DA" w:rsidRDefault="000126DA" w:rsidP="000126DA">
      <w:pPr>
        <w:spacing w:line="360" w:lineRule="auto"/>
        <w:jc w:val="center"/>
        <w:rPr>
          <w:rFonts w:ascii="Arial" w:hAnsi="Arial" w:cs="Arial"/>
          <w:b/>
          <w:bCs/>
          <w:sz w:val="22"/>
          <w:szCs w:val="22"/>
        </w:rPr>
      </w:pPr>
      <w:r w:rsidRPr="000126DA">
        <w:rPr>
          <w:rFonts w:ascii="Arial" w:hAnsi="Arial" w:cs="Arial"/>
          <w:b/>
          <w:bCs/>
          <w:sz w:val="22"/>
          <w:szCs w:val="22"/>
        </w:rPr>
        <w:t>Module Code: BMHP5021</w:t>
      </w:r>
    </w:p>
    <w:p w14:paraId="34C7A64C" w14:textId="23061F79" w:rsidR="000126DA" w:rsidRPr="000126DA" w:rsidRDefault="000126DA" w:rsidP="000126DA">
      <w:pPr>
        <w:spacing w:line="360" w:lineRule="auto"/>
        <w:jc w:val="center"/>
        <w:rPr>
          <w:rFonts w:ascii="Arial" w:hAnsi="Arial" w:cs="Arial"/>
          <w:b/>
          <w:bCs/>
          <w:sz w:val="22"/>
          <w:szCs w:val="22"/>
        </w:rPr>
      </w:pPr>
      <w:r w:rsidRPr="000126DA">
        <w:rPr>
          <w:rFonts w:ascii="Arial" w:hAnsi="Arial" w:cs="Arial"/>
          <w:b/>
          <w:bCs/>
          <w:sz w:val="22"/>
          <w:szCs w:val="22"/>
        </w:rPr>
        <w:t>Lectur</w:t>
      </w:r>
      <w:r>
        <w:rPr>
          <w:rFonts w:ascii="Arial" w:hAnsi="Arial" w:cs="Arial"/>
          <w:b/>
          <w:bCs/>
          <w:sz w:val="22"/>
          <w:szCs w:val="22"/>
        </w:rPr>
        <w:t>er</w:t>
      </w:r>
      <w:r w:rsidRPr="000126DA">
        <w:rPr>
          <w:rFonts w:ascii="Arial" w:hAnsi="Arial" w:cs="Arial"/>
          <w:b/>
          <w:bCs/>
          <w:sz w:val="22"/>
          <w:szCs w:val="22"/>
        </w:rPr>
        <w:t xml:space="preserve"> Name: </w:t>
      </w:r>
      <w:r w:rsidRPr="000126DA">
        <w:rPr>
          <w:rFonts w:ascii="Arial" w:hAnsi="Arial" w:cs="Arial"/>
          <w:b/>
          <w:bCs/>
          <w:sz w:val="22"/>
          <w:szCs w:val="22"/>
        </w:rPr>
        <w:t>Precious</w:t>
      </w:r>
    </w:p>
    <w:p w14:paraId="75EE3182" w14:textId="0C73BA73" w:rsidR="000126DA" w:rsidRPr="000126DA" w:rsidRDefault="000126DA" w:rsidP="000126DA">
      <w:pPr>
        <w:spacing w:line="360" w:lineRule="auto"/>
        <w:jc w:val="center"/>
        <w:rPr>
          <w:rFonts w:ascii="Arial" w:hAnsi="Arial" w:cs="Arial"/>
          <w:b/>
          <w:bCs/>
          <w:sz w:val="22"/>
          <w:szCs w:val="22"/>
        </w:rPr>
      </w:pPr>
      <w:r w:rsidRPr="000126DA">
        <w:rPr>
          <w:rFonts w:ascii="Arial" w:hAnsi="Arial" w:cs="Arial"/>
          <w:b/>
          <w:bCs/>
          <w:sz w:val="22"/>
          <w:szCs w:val="22"/>
        </w:rPr>
        <w:t>Title: Component 2: Written Report</w:t>
      </w:r>
    </w:p>
    <w:p w14:paraId="0F5D0AFF" w14:textId="77777777" w:rsidR="000126DA" w:rsidRPr="000126DA" w:rsidRDefault="000126DA" w:rsidP="000126DA">
      <w:pPr>
        <w:spacing w:line="360" w:lineRule="auto"/>
        <w:jc w:val="center"/>
        <w:rPr>
          <w:rFonts w:ascii="Arial" w:hAnsi="Arial" w:cs="Arial"/>
          <w:b/>
          <w:bCs/>
          <w:sz w:val="22"/>
          <w:szCs w:val="22"/>
        </w:rPr>
      </w:pPr>
      <w:r w:rsidRPr="000126DA">
        <w:rPr>
          <w:rFonts w:ascii="Arial" w:hAnsi="Arial" w:cs="Arial"/>
          <w:b/>
          <w:bCs/>
          <w:sz w:val="22"/>
          <w:szCs w:val="22"/>
        </w:rPr>
        <w:t xml:space="preserve">Topic: An examination and analysis of how the ‘Early Help’ system is signposted to UK families by their local authority website.  </w:t>
      </w:r>
    </w:p>
    <w:p w14:paraId="4DEE3698" w14:textId="7F7BA0DD" w:rsidR="000126DA" w:rsidRDefault="000126DA" w:rsidP="000126DA">
      <w:pPr>
        <w:spacing w:line="360" w:lineRule="auto"/>
        <w:jc w:val="center"/>
        <w:rPr>
          <w:rFonts w:ascii="Arial" w:hAnsi="Arial" w:cs="Arial"/>
          <w:b/>
          <w:bCs/>
          <w:sz w:val="22"/>
          <w:szCs w:val="22"/>
        </w:rPr>
      </w:pPr>
    </w:p>
    <w:p w14:paraId="309D009C" w14:textId="77777777" w:rsidR="000126DA" w:rsidRDefault="000126DA" w:rsidP="000126DA">
      <w:pPr>
        <w:spacing w:line="360" w:lineRule="auto"/>
        <w:jc w:val="center"/>
        <w:rPr>
          <w:rFonts w:ascii="Arial" w:hAnsi="Arial" w:cs="Arial"/>
          <w:b/>
          <w:bCs/>
          <w:sz w:val="22"/>
          <w:szCs w:val="22"/>
        </w:rPr>
      </w:pPr>
    </w:p>
    <w:p w14:paraId="6878CFCF" w14:textId="77777777" w:rsidR="000126DA" w:rsidRDefault="000126DA" w:rsidP="000126DA">
      <w:pPr>
        <w:spacing w:line="360" w:lineRule="auto"/>
        <w:jc w:val="center"/>
        <w:rPr>
          <w:rFonts w:ascii="Arial" w:hAnsi="Arial" w:cs="Arial"/>
          <w:b/>
          <w:bCs/>
          <w:sz w:val="22"/>
          <w:szCs w:val="22"/>
        </w:rPr>
      </w:pPr>
    </w:p>
    <w:p w14:paraId="27ABA573" w14:textId="77777777" w:rsidR="000126DA" w:rsidRDefault="000126DA" w:rsidP="000126DA">
      <w:pPr>
        <w:spacing w:line="360" w:lineRule="auto"/>
        <w:jc w:val="center"/>
        <w:rPr>
          <w:rFonts w:ascii="Arial" w:hAnsi="Arial" w:cs="Arial"/>
          <w:b/>
          <w:bCs/>
          <w:sz w:val="22"/>
          <w:szCs w:val="22"/>
        </w:rPr>
      </w:pPr>
    </w:p>
    <w:p w14:paraId="64D437EF" w14:textId="77777777" w:rsidR="000126DA" w:rsidRDefault="000126DA" w:rsidP="000126DA">
      <w:pPr>
        <w:spacing w:line="360" w:lineRule="auto"/>
        <w:jc w:val="center"/>
        <w:rPr>
          <w:rFonts w:ascii="Arial" w:hAnsi="Arial" w:cs="Arial"/>
          <w:b/>
          <w:bCs/>
          <w:sz w:val="22"/>
          <w:szCs w:val="22"/>
        </w:rPr>
      </w:pPr>
    </w:p>
    <w:p w14:paraId="15613B66" w14:textId="77777777" w:rsidR="000126DA" w:rsidRDefault="000126DA" w:rsidP="000126DA">
      <w:pPr>
        <w:spacing w:line="360" w:lineRule="auto"/>
        <w:jc w:val="center"/>
        <w:rPr>
          <w:rFonts w:ascii="Arial" w:hAnsi="Arial" w:cs="Arial"/>
          <w:b/>
          <w:bCs/>
          <w:sz w:val="22"/>
          <w:szCs w:val="22"/>
        </w:rPr>
      </w:pPr>
    </w:p>
    <w:p w14:paraId="3357C98B" w14:textId="77777777" w:rsidR="000126DA" w:rsidRDefault="000126DA" w:rsidP="000126DA">
      <w:pPr>
        <w:spacing w:line="360" w:lineRule="auto"/>
        <w:jc w:val="center"/>
        <w:rPr>
          <w:rFonts w:ascii="Arial" w:hAnsi="Arial" w:cs="Arial"/>
          <w:b/>
          <w:bCs/>
          <w:sz w:val="22"/>
          <w:szCs w:val="22"/>
        </w:rPr>
      </w:pPr>
    </w:p>
    <w:p w14:paraId="0BE642A4" w14:textId="77777777" w:rsidR="000126DA" w:rsidRDefault="000126DA" w:rsidP="000126DA">
      <w:pPr>
        <w:spacing w:line="360" w:lineRule="auto"/>
        <w:jc w:val="center"/>
        <w:rPr>
          <w:rFonts w:ascii="Arial" w:hAnsi="Arial" w:cs="Arial"/>
          <w:b/>
          <w:bCs/>
          <w:sz w:val="22"/>
          <w:szCs w:val="22"/>
        </w:rPr>
      </w:pPr>
    </w:p>
    <w:p w14:paraId="57BF3E0B" w14:textId="41D2FF79" w:rsidR="00AE2A78" w:rsidRDefault="00AE2A78" w:rsidP="00AE2A78">
      <w:pPr>
        <w:spacing w:line="360" w:lineRule="auto"/>
        <w:rPr>
          <w:rFonts w:ascii="Arial" w:hAnsi="Arial" w:cs="Arial"/>
          <w:b/>
          <w:bCs/>
          <w:sz w:val="22"/>
          <w:szCs w:val="22"/>
        </w:rPr>
      </w:pPr>
    </w:p>
    <w:p w14:paraId="470B8DB8" w14:textId="77777777" w:rsidR="00AE2A78" w:rsidRDefault="00AE2A78" w:rsidP="00AE2A78">
      <w:pPr>
        <w:spacing w:line="360" w:lineRule="auto"/>
        <w:rPr>
          <w:rFonts w:ascii="Arial" w:hAnsi="Arial" w:cs="Arial"/>
          <w:b/>
          <w:bCs/>
          <w:sz w:val="22"/>
          <w:szCs w:val="22"/>
        </w:rPr>
      </w:pPr>
    </w:p>
    <w:p w14:paraId="792EB195" w14:textId="77777777" w:rsidR="00AE2A78" w:rsidRDefault="00AE2A78" w:rsidP="00AE2A78">
      <w:pPr>
        <w:spacing w:line="360" w:lineRule="auto"/>
        <w:rPr>
          <w:rFonts w:ascii="Arial" w:hAnsi="Arial" w:cs="Arial"/>
          <w:b/>
          <w:bCs/>
          <w:sz w:val="22"/>
          <w:szCs w:val="22"/>
        </w:rPr>
      </w:pPr>
    </w:p>
    <w:p w14:paraId="61167E8F" w14:textId="77777777" w:rsidR="00AE2A78" w:rsidRDefault="00AE2A78" w:rsidP="00AE2A78">
      <w:pPr>
        <w:spacing w:line="360" w:lineRule="auto"/>
        <w:rPr>
          <w:rFonts w:ascii="Arial" w:hAnsi="Arial" w:cs="Arial"/>
          <w:b/>
          <w:bCs/>
          <w:sz w:val="22"/>
          <w:szCs w:val="22"/>
        </w:rPr>
      </w:pPr>
    </w:p>
    <w:p w14:paraId="6952BC74" w14:textId="77777777" w:rsidR="00AE2A78" w:rsidRDefault="00AE2A78" w:rsidP="00AE2A78">
      <w:pPr>
        <w:spacing w:line="360" w:lineRule="auto"/>
        <w:rPr>
          <w:rFonts w:ascii="Arial" w:hAnsi="Arial" w:cs="Arial"/>
          <w:b/>
          <w:bCs/>
          <w:sz w:val="22"/>
          <w:szCs w:val="22"/>
        </w:rPr>
      </w:pPr>
    </w:p>
    <w:p w14:paraId="7D6C5172" w14:textId="77777777" w:rsidR="00AE2A78" w:rsidRDefault="00AE2A78" w:rsidP="00AE2A78">
      <w:pPr>
        <w:spacing w:line="360" w:lineRule="auto"/>
        <w:rPr>
          <w:rFonts w:ascii="Arial" w:hAnsi="Arial" w:cs="Arial"/>
          <w:b/>
          <w:bCs/>
          <w:sz w:val="22"/>
          <w:szCs w:val="22"/>
        </w:rPr>
      </w:pPr>
    </w:p>
    <w:p w14:paraId="4D1158D5" w14:textId="77777777" w:rsidR="00AE2A78" w:rsidRDefault="00AE2A78" w:rsidP="00AE2A78">
      <w:pPr>
        <w:spacing w:line="360" w:lineRule="auto"/>
        <w:rPr>
          <w:rFonts w:ascii="Arial" w:hAnsi="Arial" w:cs="Arial"/>
          <w:b/>
          <w:bCs/>
          <w:sz w:val="22"/>
          <w:szCs w:val="22"/>
        </w:rPr>
      </w:pPr>
    </w:p>
    <w:p w14:paraId="1857FD14" w14:textId="77777777" w:rsidR="00AE2A78" w:rsidRDefault="00AE2A78" w:rsidP="00AE2A78">
      <w:pPr>
        <w:spacing w:line="360" w:lineRule="auto"/>
        <w:rPr>
          <w:rFonts w:ascii="Arial" w:hAnsi="Arial" w:cs="Arial"/>
          <w:b/>
          <w:bCs/>
          <w:sz w:val="22"/>
          <w:szCs w:val="22"/>
        </w:rPr>
      </w:pPr>
    </w:p>
    <w:p w14:paraId="1C5260BD" w14:textId="77777777" w:rsidR="00AE2A78" w:rsidRDefault="00AE2A78" w:rsidP="00AE2A78">
      <w:pPr>
        <w:spacing w:line="360" w:lineRule="auto"/>
        <w:rPr>
          <w:rFonts w:ascii="Arial" w:hAnsi="Arial" w:cs="Arial"/>
          <w:b/>
          <w:bCs/>
          <w:sz w:val="22"/>
          <w:szCs w:val="22"/>
        </w:rPr>
      </w:pPr>
    </w:p>
    <w:p w14:paraId="5556B1FA" w14:textId="15B75EF9" w:rsidR="00AE2A78" w:rsidRDefault="00AE2A78" w:rsidP="00AE2A78">
      <w:pPr>
        <w:spacing w:line="360" w:lineRule="auto"/>
        <w:rPr>
          <w:rFonts w:ascii="Arial" w:hAnsi="Arial" w:cs="Arial"/>
          <w:b/>
          <w:bCs/>
          <w:sz w:val="22"/>
          <w:szCs w:val="22"/>
        </w:rPr>
      </w:pPr>
    </w:p>
    <w:p w14:paraId="28D5D5C4" w14:textId="77777777" w:rsidR="00707A3C" w:rsidRPr="00EB266F" w:rsidRDefault="00707A3C" w:rsidP="00EB266F">
      <w:pPr>
        <w:spacing w:line="360" w:lineRule="auto"/>
        <w:jc w:val="center"/>
        <w:rPr>
          <w:rFonts w:ascii="Arial" w:hAnsi="Arial" w:cs="Arial"/>
          <w:b/>
          <w:bCs/>
          <w:sz w:val="22"/>
          <w:szCs w:val="22"/>
          <w:u w:val="single"/>
        </w:rPr>
      </w:pPr>
      <w:r w:rsidRPr="00EB266F">
        <w:rPr>
          <w:rFonts w:ascii="Arial" w:hAnsi="Arial" w:cs="Arial"/>
          <w:b/>
          <w:bCs/>
          <w:sz w:val="22"/>
          <w:szCs w:val="22"/>
          <w:u w:val="single"/>
        </w:rPr>
        <w:lastRenderedPageBreak/>
        <w:t>How local councils signpost ‘Early Help’ to families on their websites</w:t>
      </w:r>
    </w:p>
    <w:p w14:paraId="2E76855D" w14:textId="54059959"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Introduction</w:t>
      </w:r>
      <w:r w:rsidRPr="00EB266F">
        <w:rPr>
          <w:rFonts w:ascii="Arial" w:hAnsi="Arial" w:cs="Arial"/>
          <w:b/>
          <w:bCs/>
          <w:sz w:val="22"/>
          <w:szCs w:val="22"/>
        </w:rPr>
        <w:t xml:space="preserve"> -</w:t>
      </w:r>
    </w:p>
    <w:p w14:paraId="13E70D5D"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Early Help supports children, young people and families when worries first appear. The goal is to address issues early, reduce stress and avoid escalation to statutory services. Because many families look online first, council websites are a crucial gateway for information and access. Clear, action</w:t>
      </w:r>
      <w:r w:rsidRPr="00EB266F">
        <w:rPr>
          <w:rFonts w:ascii="Arial" w:hAnsi="Arial" w:cs="Arial"/>
          <w:sz w:val="22"/>
          <w:szCs w:val="22"/>
        </w:rPr>
        <w:noBreakHyphen/>
        <w:t>focused pages that explain what Early Help is, who it is for, how to get it, what happens next and how information is used can speed up support and build trust (DLUHC, 2022). If information is scattered or written mainly for professionals, families may hesitate (DfE, 2023a). This review looks at Leeds City Council, Leicester City Council and Nottinghamshire County Council. It outlines what a family</w:t>
      </w:r>
      <w:r w:rsidRPr="00EB266F">
        <w:rPr>
          <w:rFonts w:ascii="Arial" w:hAnsi="Arial" w:cs="Arial"/>
          <w:sz w:val="22"/>
          <w:szCs w:val="22"/>
        </w:rPr>
        <w:noBreakHyphen/>
        <w:t>friendly Early Help offer should look like, explains why the multi</w:t>
      </w:r>
      <w:r w:rsidRPr="00EB266F">
        <w:rPr>
          <w:rFonts w:ascii="Arial" w:hAnsi="Arial" w:cs="Arial"/>
          <w:sz w:val="22"/>
          <w:szCs w:val="22"/>
        </w:rPr>
        <w:noBreakHyphen/>
        <w:t>agency journey needs simple public language, evaluates each site against practical criteria, compares strengths and gaps, and ends with focused recommendations.</w:t>
      </w:r>
    </w:p>
    <w:p w14:paraId="21F874B1" w14:textId="1A24C2BC"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The Early Help system</w:t>
      </w:r>
      <w:r w:rsidRPr="00EB266F">
        <w:rPr>
          <w:rFonts w:ascii="Arial" w:hAnsi="Arial" w:cs="Arial"/>
          <w:b/>
          <w:bCs/>
          <w:sz w:val="22"/>
          <w:szCs w:val="22"/>
        </w:rPr>
        <w:t xml:space="preserve"> -</w:t>
      </w:r>
    </w:p>
    <w:p w14:paraId="53A15DDA"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Early Help is a local system, not one team. It draws on universal services (schools, health visiting, youth work, libraries, family hubs) and targeted support (parenting programmes, help with attendance and behaviour, emotional wellbeing, practical support with routines, budgeting or housing). The pattern is straightforward: notice needs early; have a short, respectful conversation about strengths, worries and goals; agree consent to share information so services can coordinate; create a written plan; name a lead practitioner as the family’s main contact; and review progress through a Team Around the Family (TAF). If risks rise, support “steps up” smoothly to statutory services; if risks reduce, help “steps down” to universal provision without gaps (DLUHC, 2022). Families should experience one plan and one team, with help that flexes as life changes and with consent</w:t>
      </w:r>
      <w:r w:rsidRPr="00EB266F">
        <w:rPr>
          <w:rFonts w:ascii="Arial" w:hAnsi="Arial" w:cs="Arial"/>
          <w:sz w:val="22"/>
          <w:szCs w:val="22"/>
        </w:rPr>
        <w:noBreakHyphen/>
        <w:t>based information sharing unless safety requires otherwise (HM Government, 2018).</w:t>
      </w:r>
    </w:p>
    <w:p w14:paraId="709A4CD5"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A family</w:t>
      </w:r>
      <w:r w:rsidRPr="00EB266F">
        <w:rPr>
          <w:rFonts w:ascii="Arial" w:hAnsi="Arial" w:cs="Arial"/>
          <w:sz w:val="22"/>
          <w:szCs w:val="22"/>
        </w:rPr>
        <w:noBreakHyphen/>
        <w:t>friendly webpage should answer five questions quickly: what is Early Help, is it for us, how do we get it, what happens after we ask, and how will our information be used (DLUHC, 2022). Strong pages place actions next to explanations: a prominent phone number; a self</w:t>
      </w:r>
      <w:r w:rsidRPr="00EB266F">
        <w:rPr>
          <w:rFonts w:ascii="Arial" w:hAnsi="Arial" w:cs="Arial"/>
          <w:sz w:val="22"/>
          <w:szCs w:val="22"/>
        </w:rPr>
        <w:noBreakHyphen/>
        <w:t>referral form; a clearly labelled professional referral route; a short privacy and consent note; a simple journey timeline (contact → consent/conversation → assessment → plan with named lead → regular reviews → step up/down); and practical details such as family hub locations, opening times and out</w:t>
      </w:r>
      <w:r w:rsidRPr="00EB266F">
        <w:rPr>
          <w:rFonts w:ascii="Arial" w:hAnsi="Arial" w:cs="Arial"/>
          <w:sz w:val="22"/>
          <w:szCs w:val="22"/>
        </w:rPr>
        <w:noBreakHyphen/>
        <w:t>of</w:t>
      </w:r>
      <w:r w:rsidRPr="00EB266F">
        <w:rPr>
          <w:rFonts w:ascii="Arial" w:hAnsi="Arial" w:cs="Arial"/>
          <w:sz w:val="22"/>
          <w:szCs w:val="22"/>
        </w:rPr>
        <w:noBreakHyphen/>
        <w:t xml:space="preserve">hours advice (Cabinet Office, 2024). Keeping these elements together lets families read, decide and act in one place. </w:t>
      </w:r>
      <w:proofErr w:type="gramStart"/>
      <w:r w:rsidRPr="00EB266F">
        <w:rPr>
          <w:rFonts w:ascii="Arial" w:hAnsi="Arial" w:cs="Arial"/>
          <w:sz w:val="22"/>
          <w:szCs w:val="22"/>
        </w:rPr>
        <w:t>Clear wording,</w:t>
      </w:r>
      <w:proofErr w:type="gramEnd"/>
      <w:r w:rsidRPr="00EB266F">
        <w:rPr>
          <w:rFonts w:ascii="Arial" w:hAnsi="Arial" w:cs="Arial"/>
          <w:sz w:val="22"/>
          <w:szCs w:val="22"/>
        </w:rPr>
        <w:t xml:space="preserve"> explained acronyms and mobile</w:t>
      </w:r>
      <w:r w:rsidRPr="00EB266F">
        <w:rPr>
          <w:rFonts w:ascii="Arial" w:hAnsi="Arial" w:cs="Arial"/>
          <w:sz w:val="22"/>
          <w:szCs w:val="22"/>
        </w:rPr>
        <w:noBreakHyphen/>
        <w:t>first layouts further reduce barriers (GOV.UK, 2024).</w:t>
      </w:r>
    </w:p>
    <w:p w14:paraId="6A828302" w14:textId="77777777"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lastRenderedPageBreak/>
        <w:t>Multi</w:t>
      </w:r>
      <w:r w:rsidRPr="00EB266F">
        <w:rPr>
          <w:rFonts w:ascii="Arial" w:hAnsi="Arial" w:cs="Arial"/>
          <w:b/>
          <w:bCs/>
          <w:sz w:val="22"/>
          <w:szCs w:val="22"/>
        </w:rPr>
        <w:noBreakHyphen/>
        <w:t>agency working</w:t>
      </w:r>
    </w:p>
    <w:p w14:paraId="2BE8D8D7"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Most family worries span several services. A child’s anxiety can affect attendance, sleep and friendships; a parent’s illness can affect income, housing and stress. No single service can meet every need. Multi</w:t>
      </w:r>
      <w:r w:rsidRPr="00EB266F">
        <w:rPr>
          <w:rFonts w:ascii="Arial" w:hAnsi="Arial" w:cs="Arial"/>
          <w:sz w:val="22"/>
          <w:szCs w:val="22"/>
        </w:rPr>
        <w:noBreakHyphen/>
        <w:t>agency working brings the right people together around one plan agreed with the family. The lead practitioner is the anchor—main contact and coordinator. The TAF keeps everyone aligned, avoids duplication and adjusts help as needs change. When risk rises, response steps up; when it falls, support steps down safely (DfE, 2023a). Public pages should explain this simply: one plan, one main contact, who might be involved (school, health, youth, housing, voluntary groups), regular reviews and help that changes with need. A short “what to expect” paragraph or small diagram reduces anxiety and builds trust (DLUHC, 2022).</w:t>
      </w:r>
    </w:p>
    <w:p w14:paraId="671CF4EB" w14:textId="7B501E71" w:rsidR="00EE23AA" w:rsidRPr="00EB266F" w:rsidRDefault="00EE23AA" w:rsidP="00EB266F">
      <w:pPr>
        <w:spacing w:line="360" w:lineRule="auto"/>
        <w:rPr>
          <w:rFonts w:ascii="Arial" w:hAnsi="Arial" w:cs="Arial"/>
          <w:b/>
          <w:bCs/>
          <w:sz w:val="22"/>
          <w:szCs w:val="22"/>
        </w:rPr>
      </w:pPr>
      <w:r w:rsidRPr="00EB266F">
        <w:rPr>
          <w:rFonts w:ascii="Arial" w:hAnsi="Arial" w:cs="Arial"/>
          <w:b/>
          <w:bCs/>
          <w:sz w:val="22"/>
          <w:szCs w:val="22"/>
        </w:rPr>
        <w:t>Family experience, access routes, and digital inclusion</w:t>
      </w:r>
      <w:r w:rsidRPr="00EB266F">
        <w:rPr>
          <w:rFonts w:ascii="Arial" w:hAnsi="Arial" w:cs="Arial"/>
          <w:b/>
          <w:bCs/>
          <w:sz w:val="22"/>
          <w:szCs w:val="22"/>
        </w:rPr>
        <w:t xml:space="preserve"> -</w:t>
      </w:r>
    </w:p>
    <w:p w14:paraId="5CECC937" w14:textId="77777777" w:rsidR="00EE23AA" w:rsidRPr="00EB266F" w:rsidRDefault="00EE23AA" w:rsidP="00EB266F">
      <w:pPr>
        <w:spacing w:line="360" w:lineRule="auto"/>
        <w:rPr>
          <w:rFonts w:ascii="Arial" w:hAnsi="Arial" w:cs="Arial"/>
          <w:sz w:val="22"/>
          <w:szCs w:val="22"/>
        </w:rPr>
      </w:pPr>
      <w:r w:rsidRPr="00EB266F">
        <w:rPr>
          <w:rFonts w:ascii="Arial" w:hAnsi="Arial" w:cs="Arial"/>
          <w:sz w:val="22"/>
          <w:szCs w:val="22"/>
        </w:rPr>
        <w:t>From a family point of view, good signposting starts with confidence that they are in the right place, followed by a clear way to make contact, and then a simple description of what will happen next. Three access routes matter most online: a direct phone number answered in office hours with out</w:t>
      </w:r>
      <w:r w:rsidRPr="00EB266F">
        <w:rPr>
          <w:rFonts w:ascii="Arial" w:hAnsi="Arial" w:cs="Arial"/>
          <w:sz w:val="22"/>
          <w:szCs w:val="22"/>
        </w:rPr>
        <w:noBreakHyphen/>
        <w:t>of</w:t>
      </w:r>
      <w:r w:rsidRPr="00EB266F">
        <w:rPr>
          <w:rFonts w:ascii="Arial" w:hAnsi="Arial" w:cs="Arial"/>
          <w:sz w:val="22"/>
          <w:szCs w:val="22"/>
        </w:rPr>
        <w:noBreakHyphen/>
        <w:t>hours advice; a short, mobile</w:t>
      </w:r>
      <w:r w:rsidRPr="00EB266F">
        <w:rPr>
          <w:rFonts w:ascii="Arial" w:hAnsi="Arial" w:cs="Arial"/>
          <w:sz w:val="22"/>
          <w:szCs w:val="22"/>
        </w:rPr>
        <w:noBreakHyphen/>
        <w:t>friendly webform for self</w:t>
      </w:r>
      <w:r w:rsidRPr="00EB266F">
        <w:rPr>
          <w:rFonts w:ascii="Arial" w:hAnsi="Arial" w:cs="Arial"/>
          <w:sz w:val="22"/>
          <w:szCs w:val="22"/>
        </w:rPr>
        <w:noBreakHyphen/>
        <w:t>referral; and practical directions to local family hubs or drop</w:t>
      </w:r>
      <w:r w:rsidRPr="00EB266F">
        <w:rPr>
          <w:rFonts w:ascii="Arial" w:hAnsi="Arial" w:cs="Arial"/>
          <w:sz w:val="22"/>
          <w:szCs w:val="22"/>
        </w:rPr>
        <w:noBreakHyphen/>
        <w:t>ins. When these routes sit together on the same Early Help page, families can choose what suits them best in that moment (DLUHC, 2022).</w:t>
      </w:r>
    </w:p>
    <w:p w14:paraId="02F027C3" w14:textId="77777777" w:rsidR="00EE23AA" w:rsidRPr="00EB266F" w:rsidRDefault="00EE23AA" w:rsidP="00EB266F">
      <w:pPr>
        <w:spacing w:line="360" w:lineRule="auto"/>
        <w:rPr>
          <w:rFonts w:ascii="Arial" w:hAnsi="Arial" w:cs="Arial"/>
          <w:sz w:val="22"/>
          <w:szCs w:val="22"/>
        </w:rPr>
      </w:pPr>
      <w:r w:rsidRPr="00EB266F">
        <w:rPr>
          <w:rFonts w:ascii="Arial" w:hAnsi="Arial" w:cs="Arial"/>
          <w:sz w:val="22"/>
          <w:szCs w:val="22"/>
        </w:rPr>
        <w:t>Digital inclusion also affects take</w:t>
      </w:r>
      <w:r w:rsidRPr="00EB266F">
        <w:rPr>
          <w:rFonts w:ascii="Arial" w:hAnsi="Arial" w:cs="Arial"/>
          <w:sz w:val="22"/>
          <w:szCs w:val="22"/>
        </w:rPr>
        <w:noBreakHyphen/>
        <w:t>up. Pages should use plain language, short sentences and headings; avoid jargon; explain acronyms once (for example, “TAF: the team who meet with you to review the plan”); and work well on phones. Translation prompts for common local languages, an easy</w:t>
      </w:r>
      <w:r w:rsidRPr="00EB266F">
        <w:rPr>
          <w:rFonts w:ascii="Arial" w:hAnsi="Arial" w:cs="Arial"/>
          <w:sz w:val="22"/>
          <w:szCs w:val="22"/>
        </w:rPr>
        <w:noBreakHyphen/>
        <w:t xml:space="preserve">read summary, and a </w:t>
      </w:r>
      <w:proofErr w:type="gramStart"/>
      <w:r w:rsidRPr="00EB266F">
        <w:rPr>
          <w:rFonts w:ascii="Arial" w:hAnsi="Arial" w:cs="Arial"/>
          <w:sz w:val="22"/>
          <w:szCs w:val="22"/>
        </w:rPr>
        <w:t>short captioned</w:t>
      </w:r>
      <w:proofErr w:type="gramEnd"/>
      <w:r w:rsidRPr="00EB266F">
        <w:rPr>
          <w:rFonts w:ascii="Arial" w:hAnsi="Arial" w:cs="Arial"/>
          <w:sz w:val="22"/>
          <w:szCs w:val="22"/>
        </w:rPr>
        <w:t xml:space="preserve"> video help people with different needs and learning styles. A brief note on consent and privacy in family</w:t>
      </w:r>
      <w:r w:rsidRPr="00EB266F">
        <w:rPr>
          <w:rFonts w:ascii="Arial" w:hAnsi="Arial" w:cs="Arial"/>
          <w:sz w:val="22"/>
          <w:szCs w:val="22"/>
        </w:rPr>
        <w:noBreakHyphen/>
        <w:t>friendly terms supports trust and makes information sharing feel safe (HM Government, 2018; GOV.UK, 2024).</w:t>
      </w:r>
    </w:p>
    <w:p w14:paraId="0AB7D0C4" w14:textId="77777777" w:rsidR="00EE23AA" w:rsidRPr="00EB266F" w:rsidRDefault="00EE23AA" w:rsidP="00EB266F">
      <w:pPr>
        <w:spacing w:line="360" w:lineRule="auto"/>
        <w:rPr>
          <w:rFonts w:ascii="Arial" w:hAnsi="Arial" w:cs="Arial"/>
          <w:sz w:val="22"/>
          <w:szCs w:val="22"/>
        </w:rPr>
      </w:pPr>
    </w:p>
    <w:p w14:paraId="1ED38646" w14:textId="77777777"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Evaluation: Leeds City Council</w:t>
      </w:r>
    </w:p>
    <w:p w14:paraId="33D300ED"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Leeds offers a concise “One minute guide: Early help.” It clearly states what Early Help is, who it is for and how it aligns with the city’s restorative practice and “Thrive” approach. The tone is plain, and links to strategy and practitioner content show a coherent city</w:t>
      </w:r>
      <w:r w:rsidRPr="00EB266F">
        <w:rPr>
          <w:rFonts w:ascii="Arial" w:hAnsi="Arial" w:cs="Arial"/>
          <w:sz w:val="22"/>
          <w:szCs w:val="22"/>
        </w:rPr>
        <w:noBreakHyphen/>
        <w:t>wide model. As a shared reference for families and professionals, this explainer is strong (Leeds City Council, n.d.).</w:t>
      </w:r>
    </w:p>
    <w:p w14:paraId="40D7413D"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lastRenderedPageBreak/>
        <w:t>Leeds signposts where to get support, including locality</w:t>
      </w:r>
      <w:r w:rsidRPr="00EB266F">
        <w:rPr>
          <w:rFonts w:ascii="Arial" w:hAnsi="Arial" w:cs="Arial"/>
          <w:sz w:val="22"/>
          <w:szCs w:val="22"/>
        </w:rPr>
        <w:noBreakHyphen/>
        <w:t>based teams and what to do if risks increase. However, some practical routes sit a click or two away on partnership or practitioner pages. A visible “Get help now” panel on the same page would cut friction: large</w:t>
      </w:r>
      <w:r w:rsidRPr="00EB266F">
        <w:rPr>
          <w:rFonts w:ascii="Arial" w:hAnsi="Arial" w:cs="Arial"/>
          <w:sz w:val="22"/>
          <w:szCs w:val="22"/>
        </w:rPr>
        <w:noBreakHyphen/>
        <w:t>print phone number, self</w:t>
      </w:r>
      <w:r w:rsidRPr="00EB266F">
        <w:rPr>
          <w:rFonts w:ascii="Arial" w:hAnsi="Arial" w:cs="Arial"/>
          <w:sz w:val="22"/>
          <w:szCs w:val="22"/>
        </w:rPr>
        <w:noBreakHyphen/>
        <w:t>referral form, clearly labelled professional referral route, family hub locations/times and out</w:t>
      </w:r>
      <w:r w:rsidRPr="00EB266F">
        <w:rPr>
          <w:rFonts w:ascii="Arial" w:hAnsi="Arial" w:cs="Arial"/>
          <w:sz w:val="22"/>
          <w:szCs w:val="22"/>
        </w:rPr>
        <w:noBreakHyphen/>
        <w:t>of</w:t>
      </w:r>
      <w:r w:rsidRPr="00EB266F">
        <w:rPr>
          <w:rFonts w:ascii="Arial" w:hAnsi="Arial" w:cs="Arial"/>
          <w:sz w:val="22"/>
          <w:szCs w:val="22"/>
        </w:rPr>
        <w:noBreakHyphen/>
        <w:t>hours advice (DLUHC, 2022). Adding a brief consent and privacy note and a simple timeline beneath the explainer would set expectations and reduce uncertainty (HM Government, 2018). The page is readable and mobile</w:t>
      </w:r>
      <w:r w:rsidRPr="00EB266F">
        <w:rPr>
          <w:rFonts w:ascii="Arial" w:hAnsi="Arial" w:cs="Arial"/>
          <w:sz w:val="22"/>
          <w:szCs w:val="22"/>
        </w:rPr>
        <w:noBreakHyphen/>
        <w:t>friendly; inclusion could be strengthened with an easy</w:t>
      </w:r>
      <w:r w:rsidRPr="00EB266F">
        <w:rPr>
          <w:rFonts w:ascii="Arial" w:hAnsi="Arial" w:cs="Arial"/>
          <w:sz w:val="22"/>
          <w:szCs w:val="22"/>
        </w:rPr>
        <w:noBreakHyphen/>
        <w:t xml:space="preserve">read summary, a translation prompt, a </w:t>
      </w:r>
      <w:proofErr w:type="gramStart"/>
      <w:r w:rsidRPr="00EB266F">
        <w:rPr>
          <w:rFonts w:ascii="Arial" w:hAnsi="Arial" w:cs="Arial"/>
          <w:sz w:val="22"/>
          <w:szCs w:val="22"/>
        </w:rPr>
        <w:t>short captioned</w:t>
      </w:r>
      <w:proofErr w:type="gramEnd"/>
      <w:r w:rsidRPr="00EB266F">
        <w:rPr>
          <w:rFonts w:ascii="Arial" w:hAnsi="Arial" w:cs="Arial"/>
          <w:sz w:val="22"/>
          <w:szCs w:val="22"/>
        </w:rPr>
        <w:t xml:space="preserve"> video and a brief FAQ answering common concerns (impact on school, how long help lasts, how information is used) (GOV.UK, 2024).</w:t>
      </w:r>
    </w:p>
    <w:p w14:paraId="1CEEA365"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Evaluation: Leicester City Council</w:t>
      </w:r>
    </w:p>
    <w:p w14:paraId="09FF1231"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Leicester’s site contains the key elements—service descriptions, contact details and online forms—but they are dispersed across multiple sections. A single, clearly labelled, family</w:t>
      </w:r>
      <w:r w:rsidRPr="00EB266F">
        <w:rPr>
          <w:rFonts w:ascii="Arial" w:hAnsi="Arial" w:cs="Arial"/>
          <w:sz w:val="22"/>
          <w:szCs w:val="22"/>
        </w:rPr>
        <w:noBreakHyphen/>
        <w:t>facing Early Help landing page is harder to find without searching, which can slow families down (Cabinet Office, 2024).</w:t>
      </w:r>
    </w:p>
    <w:p w14:paraId="196993A1"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Leicester should create a plain “Early Help for families” page that brings essentials together: a short definition; who it is for; common support areas (parenting, attendance and behaviour, emotional wellbeing); and a simple journey timeline. A bold “Start here for Early Help” panel at the top and bottom should show a phone number, self</w:t>
      </w:r>
      <w:r w:rsidRPr="00EB266F">
        <w:rPr>
          <w:rFonts w:ascii="Arial" w:hAnsi="Arial" w:cs="Arial"/>
          <w:sz w:val="22"/>
          <w:szCs w:val="22"/>
        </w:rPr>
        <w:noBreakHyphen/>
        <w:t>referral link, clearly labelled professional referral route, family hub locations/times and out</w:t>
      </w:r>
      <w:r w:rsidRPr="00EB266F">
        <w:rPr>
          <w:rFonts w:ascii="Arial" w:hAnsi="Arial" w:cs="Arial"/>
          <w:sz w:val="22"/>
          <w:szCs w:val="22"/>
        </w:rPr>
        <w:noBreakHyphen/>
        <w:t>of</w:t>
      </w:r>
      <w:r w:rsidRPr="00EB266F">
        <w:rPr>
          <w:rFonts w:ascii="Arial" w:hAnsi="Arial" w:cs="Arial"/>
          <w:sz w:val="22"/>
          <w:szCs w:val="22"/>
        </w:rPr>
        <w:noBreakHyphen/>
        <w:t>hours advice (DLUHC, 2022). A short consent and privacy note on the same page—when information is shared with or without consent, how assessments and reviews work and how step</w:t>
      </w:r>
      <w:r w:rsidRPr="00EB266F">
        <w:rPr>
          <w:rFonts w:ascii="Arial" w:hAnsi="Arial" w:cs="Arial"/>
          <w:sz w:val="22"/>
          <w:szCs w:val="22"/>
        </w:rPr>
        <w:noBreakHyphen/>
        <w:t>up/step</w:t>
      </w:r>
      <w:r w:rsidRPr="00EB266F">
        <w:rPr>
          <w:rFonts w:ascii="Arial" w:hAnsi="Arial" w:cs="Arial"/>
          <w:sz w:val="22"/>
          <w:szCs w:val="22"/>
        </w:rPr>
        <w:noBreakHyphen/>
        <w:t>down operates—would improve trust (HM Government, 2018). A one</w:t>
      </w:r>
      <w:r w:rsidRPr="00EB266F">
        <w:rPr>
          <w:rFonts w:ascii="Arial" w:hAnsi="Arial" w:cs="Arial"/>
          <w:sz w:val="22"/>
          <w:szCs w:val="22"/>
        </w:rPr>
        <w:noBreakHyphen/>
        <w:t>paragraph description of multi</w:t>
      </w:r>
      <w:r w:rsidRPr="00EB266F">
        <w:rPr>
          <w:rFonts w:ascii="Arial" w:hAnsi="Arial" w:cs="Arial"/>
          <w:sz w:val="22"/>
          <w:szCs w:val="22"/>
        </w:rPr>
        <w:noBreakHyphen/>
        <w:t>agency working (lead practitioner, TAF, who may be involved) would make coordination visible (DfE, 2023a). Inclusion would be stronger with an easy</w:t>
      </w:r>
      <w:r w:rsidRPr="00EB266F">
        <w:rPr>
          <w:rFonts w:ascii="Arial" w:hAnsi="Arial" w:cs="Arial"/>
          <w:sz w:val="22"/>
          <w:szCs w:val="22"/>
        </w:rPr>
        <w:noBreakHyphen/>
        <w:t xml:space="preserve">read summary, translated summaries in key local languages and a </w:t>
      </w:r>
      <w:proofErr w:type="gramStart"/>
      <w:r w:rsidRPr="00EB266F">
        <w:rPr>
          <w:rFonts w:ascii="Arial" w:hAnsi="Arial" w:cs="Arial"/>
          <w:sz w:val="22"/>
          <w:szCs w:val="22"/>
        </w:rPr>
        <w:t>short captioned</w:t>
      </w:r>
      <w:proofErr w:type="gramEnd"/>
      <w:r w:rsidRPr="00EB266F">
        <w:rPr>
          <w:rFonts w:ascii="Arial" w:hAnsi="Arial" w:cs="Arial"/>
          <w:sz w:val="22"/>
          <w:szCs w:val="22"/>
        </w:rPr>
        <w:t xml:space="preserve"> video (GOV.UK, 2024).</w:t>
      </w:r>
    </w:p>
    <w:p w14:paraId="02515950" w14:textId="77777777"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Evaluation: Nottinghamshire County Council</w:t>
      </w:r>
    </w:p>
    <w:p w14:paraId="05DC1307"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 xml:space="preserve">Nottinghamshire presents a clear Early Help section within its children and </w:t>
      </w:r>
      <w:proofErr w:type="gramStart"/>
      <w:r w:rsidRPr="00EB266F">
        <w:rPr>
          <w:rFonts w:ascii="Arial" w:hAnsi="Arial" w:cs="Arial"/>
          <w:sz w:val="22"/>
          <w:szCs w:val="22"/>
        </w:rPr>
        <w:t>families</w:t>
      </w:r>
      <w:proofErr w:type="gramEnd"/>
      <w:r w:rsidRPr="00EB266F">
        <w:rPr>
          <w:rFonts w:ascii="Arial" w:hAnsi="Arial" w:cs="Arial"/>
          <w:sz w:val="22"/>
          <w:szCs w:val="22"/>
        </w:rPr>
        <w:t xml:space="preserve"> area. It explains the purpose plainly and lists common types of support (parenting help, attendance and behaviour, emotional wellbeing). It signposts family hubs as a practical front door, making the offer feel concrete (Nottinghamshire County Council, n.d.).</w:t>
      </w:r>
    </w:p>
    <w:p w14:paraId="66D2B987"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A major strength is the short path from information to action. Telephone contact, self</w:t>
      </w:r>
      <w:r w:rsidRPr="00EB266F">
        <w:rPr>
          <w:rFonts w:ascii="Arial" w:hAnsi="Arial" w:cs="Arial"/>
          <w:sz w:val="22"/>
          <w:szCs w:val="22"/>
        </w:rPr>
        <w:noBreakHyphen/>
        <w:t xml:space="preserve">referral and professional referral links, and locality details are placed near the explainer, so families can act in one or two clicks. This matches a strong “front door” design and reduces delay </w:t>
      </w:r>
      <w:r w:rsidRPr="00EB266F">
        <w:rPr>
          <w:rFonts w:ascii="Arial" w:hAnsi="Arial" w:cs="Arial"/>
          <w:sz w:val="22"/>
          <w:szCs w:val="22"/>
        </w:rPr>
        <w:lastRenderedPageBreak/>
        <w:t>(DLUHC, 2022). Nottinghamshire commonly states that support is consent</w:t>
      </w:r>
      <w:r w:rsidRPr="00EB266F">
        <w:rPr>
          <w:rFonts w:ascii="Arial" w:hAnsi="Arial" w:cs="Arial"/>
          <w:sz w:val="22"/>
          <w:szCs w:val="22"/>
        </w:rPr>
        <w:noBreakHyphen/>
        <w:t>based, plans are reviewed and services can step up to children’s social care or step down to universal provision as needs change—all in family</w:t>
      </w:r>
      <w:r w:rsidRPr="00EB266F">
        <w:rPr>
          <w:rFonts w:ascii="Arial" w:hAnsi="Arial" w:cs="Arial"/>
          <w:sz w:val="22"/>
          <w:szCs w:val="22"/>
        </w:rPr>
        <w:noBreakHyphen/>
        <w:t>friendly language (HM Government, 2018). It also shows that Early Help involves schools, health and voluntary groups, often coordinated via hubs (DfE, 2023a). Navigation is straightforward and calls to action are prominent. Inclusion could be improved further by a visible translation prompt, an easy</w:t>
      </w:r>
      <w:r w:rsidRPr="00EB266F">
        <w:rPr>
          <w:rFonts w:ascii="Arial" w:hAnsi="Arial" w:cs="Arial"/>
          <w:sz w:val="22"/>
          <w:szCs w:val="22"/>
        </w:rPr>
        <w:noBreakHyphen/>
        <w:t>read summary and large</w:t>
      </w:r>
      <w:r w:rsidRPr="00EB266F">
        <w:rPr>
          <w:rFonts w:ascii="Arial" w:hAnsi="Arial" w:cs="Arial"/>
          <w:sz w:val="22"/>
          <w:szCs w:val="22"/>
        </w:rPr>
        <w:noBreakHyphen/>
        <w:t>print PDF, a short captioned “what to expect” video and a small journey timeline for visual guidance (GOV.UK, 2024).</w:t>
      </w:r>
    </w:p>
    <w:p w14:paraId="3D24538A" w14:textId="77777777"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Comparative analysis</w:t>
      </w:r>
    </w:p>
    <w:p w14:paraId="35A5A814"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 xml:space="preserve">Clarity of explanation: Leeds leads with a short, clear explainer linked to a city model; Nottinghamshire is also clear and practical. Leicester has the </w:t>
      </w:r>
      <w:proofErr w:type="gramStart"/>
      <w:r w:rsidRPr="00EB266F">
        <w:rPr>
          <w:rFonts w:ascii="Arial" w:hAnsi="Arial" w:cs="Arial"/>
          <w:sz w:val="22"/>
          <w:szCs w:val="22"/>
        </w:rPr>
        <w:t>content</w:t>
      </w:r>
      <w:proofErr w:type="gramEnd"/>
      <w:r w:rsidRPr="00EB266F">
        <w:rPr>
          <w:rFonts w:ascii="Arial" w:hAnsi="Arial" w:cs="Arial"/>
          <w:sz w:val="22"/>
          <w:szCs w:val="22"/>
        </w:rPr>
        <w:t xml:space="preserve"> but it is dispersed; a single landing page would lift clarity (Leeds City Council, n.d.; Nottinghamshire County Council, n.d.; Cabinet Office, 2024).</w:t>
      </w:r>
    </w:p>
    <w:p w14:paraId="2F2DE407"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Access and calls to action: Nottinghamshire keeps phone, forms and locality details close to the explainer, enabling quick action. Leeds should add a visible “Get help now” panel to its family page. Leicester should create a single “Start here” gateway and gather contacts and forms there (DLUHC, 2022).</w:t>
      </w:r>
    </w:p>
    <w:p w14:paraId="0E91B571"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Consent, thresholds and journey: Nottinghamshire explains consent and step</w:t>
      </w:r>
      <w:r w:rsidRPr="00EB266F">
        <w:rPr>
          <w:rFonts w:ascii="Arial" w:hAnsi="Arial" w:cs="Arial"/>
          <w:sz w:val="22"/>
          <w:szCs w:val="22"/>
        </w:rPr>
        <w:noBreakHyphen/>
        <w:t>up/step</w:t>
      </w:r>
      <w:r w:rsidRPr="00EB266F">
        <w:rPr>
          <w:rFonts w:ascii="Arial" w:hAnsi="Arial" w:cs="Arial"/>
          <w:sz w:val="22"/>
          <w:szCs w:val="22"/>
        </w:rPr>
        <w:noBreakHyphen/>
        <w:t>down in family</w:t>
      </w:r>
      <w:r w:rsidRPr="00EB266F">
        <w:rPr>
          <w:rFonts w:ascii="Arial" w:hAnsi="Arial" w:cs="Arial"/>
          <w:sz w:val="22"/>
          <w:szCs w:val="22"/>
        </w:rPr>
        <w:noBreakHyphen/>
        <w:t>friendly terms. Leeds should add a brief consent note and simple timeline; Leicester should move a plain consent/thresholds paragraph onto its main family page (HM Government, 2018).</w:t>
      </w:r>
    </w:p>
    <w:p w14:paraId="06EA5BD0"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Multi</w:t>
      </w:r>
      <w:r w:rsidRPr="00EB266F">
        <w:rPr>
          <w:rFonts w:ascii="Arial" w:hAnsi="Arial" w:cs="Arial"/>
          <w:sz w:val="22"/>
          <w:szCs w:val="22"/>
        </w:rPr>
        <w:noBreakHyphen/>
        <w:t>agency story: Leeds signals a joined</w:t>
      </w:r>
      <w:r w:rsidRPr="00EB266F">
        <w:rPr>
          <w:rFonts w:ascii="Arial" w:hAnsi="Arial" w:cs="Arial"/>
          <w:sz w:val="22"/>
          <w:szCs w:val="22"/>
        </w:rPr>
        <w:noBreakHyphen/>
        <w:t>up city approach and shared principles; Nottinghamshire explains practical connections, including hubs, in everyday language; Leicester should add a short family</w:t>
      </w:r>
      <w:r w:rsidRPr="00EB266F">
        <w:rPr>
          <w:rFonts w:ascii="Arial" w:hAnsi="Arial" w:cs="Arial"/>
          <w:sz w:val="22"/>
          <w:szCs w:val="22"/>
        </w:rPr>
        <w:noBreakHyphen/>
        <w:t>page explanation of the lead practitioner, who may be involved and how reviews work (DfE, 2023a; Leeds City Council, n.d.; Nottinghamshire County Council, n.d.).</w:t>
      </w:r>
    </w:p>
    <w:p w14:paraId="67D0F109" w14:textId="77777777"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Accessibility and inclusion: All three are mobile</w:t>
      </w:r>
      <w:r w:rsidRPr="00EB266F">
        <w:rPr>
          <w:rFonts w:ascii="Arial" w:hAnsi="Arial" w:cs="Arial"/>
          <w:sz w:val="22"/>
          <w:szCs w:val="22"/>
        </w:rPr>
        <w:noBreakHyphen/>
        <w:t>friendly. Nottinghamshire’s action</w:t>
      </w:r>
      <w:r w:rsidRPr="00EB266F">
        <w:rPr>
          <w:rFonts w:ascii="Arial" w:hAnsi="Arial" w:cs="Arial"/>
          <w:sz w:val="22"/>
          <w:szCs w:val="22"/>
        </w:rPr>
        <w:noBreakHyphen/>
        <w:t>first layout is inclusive in practice. Leeds and Leicester can add visible translation options, easy</w:t>
      </w:r>
      <w:r w:rsidRPr="00EB266F">
        <w:rPr>
          <w:rFonts w:ascii="Arial" w:hAnsi="Arial" w:cs="Arial"/>
          <w:sz w:val="22"/>
          <w:szCs w:val="22"/>
        </w:rPr>
        <w:noBreakHyphen/>
        <w:t>read summaries and short captioned videos. A brief FAQ in plain English would help across all three (GOV.UK, 2024).</w:t>
      </w:r>
    </w:p>
    <w:p w14:paraId="55BBC221" w14:textId="77777777"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Conclusion</w:t>
      </w:r>
    </w:p>
    <w:p w14:paraId="1F13605B" w14:textId="22DC884A" w:rsidR="00707A3C" w:rsidRPr="00EB266F" w:rsidRDefault="00707A3C" w:rsidP="00EB266F">
      <w:pPr>
        <w:spacing w:line="360" w:lineRule="auto"/>
        <w:rPr>
          <w:rFonts w:ascii="Arial" w:hAnsi="Arial" w:cs="Arial"/>
          <w:sz w:val="22"/>
          <w:szCs w:val="22"/>
        </w:rPr>
      </w:pPr>
      <w:r w:rsidRPr="00EB266F">
        <w:rPr>
          <w:rFonts w:ascii="Arial" w:hAnsi="Arial" w:cs="Arial"/>
          <w:sz w:val="22"/>
          <w:szCs w:val="22"/>
        </w:rPr>
        <w:t xml:space="preserve">In conclusion, </w:t>
      </w:r>
      <w:r w:rsidRPr="00EB266F">
        <w:rPr>
          <w:rFonts w:ascii="Arial" w:hAnsi="Arial" w:cs="Arial"/>
          <w:sz w:val="22"/>
          <w:szCs w:val="22"/>
        </w:rPr>
        <w:t xml:space="preserve">Nottinghamshire provides the most effective and accessible signposting among the three. It explains Early Help clearly, keeps actions beside the explainer and </w:t>
      </w:r>
      <w:r w:rsidRPr="00EB266F">
        <w:rPr>
          <w:rFonts w:ascii="Arial" w:hAnsi="Arial" w:cs="Arial"/>
          <w:sz w:val="22"/>
          <w:szCs w:val="22"/>
        </w:rPr>
        <w:lastRenderedPageBreak/>
        <w:t>makes it easy to move from reading to contacting—exactly what families need when worried (Nottinghamshire County Council, n.d.). Leeds is a close second. Its short explainer is excellent and shows a joined</w:t>
      </w:r>
      <w:r w:rsidRPr="00EB266F">
        <w:rPr>
          <w:rFonts w:ascii="Arial" w:hAnsi="Arial" w:cs="Arial"/>
          <w:sz w:val="22"/>
          <w:szCs w:val="22"/>
        </w:rPr>
        <w:noBreakHyphen/>
        <w:t>up city model; adding a “Get help now” panel, a brief consent note, a simple timeline and visible translation options on the same page would likely make it best overall (Leeds City Council, n.d.). Leicester already holds much of the content families need but spreads it across pages. A single family</w:t>
      </w:r>
      <w:r w:rsidRPr="00EB266F">
        <w:rPr>
          <w:rFonts w:ascii="Arial" w:hAnsi="Arial" w:cs="Arial"/>
          <w:sz w:val="22"/>
          <w:szCs w:val="22"/>
        </w:rPr>
        <w:noBreakHyphen/>
        <w:t>facing landing page with a bold “Start here” panel and a short consent and privacy note would transform the journey from concern to support (Cabinet Office, 2024; HM Government, 2018).</w:t>
      </w:r>
    </w:p>
    <w:p w14:paraId="456439E8" w14:textId="77777777" w:rsidR="00707A3C" w:rsidRPr="00EB266F" w:rsidRDefault="00707A3C" w:rsidP="00EB266F">
      <w:pPr>
        <w:spacing w:line="360" w:lineRule="auto"/>
        <w:rPr>
          <w:rFonts w:ascii="Arial" w:hAnsi="Arial" w:cs="Arial"/>
          <w:b/>
          <w:bCs/>
          <w:sz w:val="22"/>
          <w:szCs w:val="22"/>
        </w:rPr>
      </w:pPr>
      <w:r w:rsidRPr="00EB266F">
        <w:rPr>
          <w:rFonts w:ascii="Arial" w:hAnsi="Arial" w:cs="Arial"/>
          <w:b/>
          <w:bCs/>
          <w:sz w:val="22"/>
          <w:szCs w:val="22"/>
        </w:rPr>
        <w:t>Recommendations</w:t>
      </w:r>
    </w:p>
    <w:p w14:paraId="310E519F" w14:textId="77777777" w:rsidR="00707A3C" w:rsidRPr="00EB266F" w:rsidRDefault="00707A3C">
      <w:pPr>
        <w:numPr>
          <w:ilvl w:val="0"/>
          <w:numId w:val="1"/>
        </w:numPr>
        <w:spacing w:line="360" w:lineRule="auto"/>
        <w:rPr>
          <w:rFonts w:ascii="Arial" w:hAnsi="Arial" w:cs="Arial"/>
          <w:sz w:val="22"/>
          <w:szCs w:val="22"/>
        </w:rPr>
      </w:pPr>
      <w:r w:rsidRPr="00EB266F">
        <w:rPr>
          <w:rFonts w:ascii="Arial" w:hAnsi="Arial" w:cs="Arial"/>
          <w:sz w:val="22"/>
          <w:szCs w:val="22"/>
        </w:rPr>
        <w:t>Create or strengthen a single family</w:t>
      </w:r>
      <w:r w:rsidRPr="00EB266F">
        <w:rPr>
          <w:rFonts w:ascii="Arial" w:hAnsi="Arial" w:cs="Arial"/>
          <w:sz w:val="22"/>
          <w:szCs w:val="22"/>
        </w:rPr>
        <w:noBreakHyphen/>
        <w:t>facing Early Help landing page that defines Early Help, says who it is for, lists common support areas and shows a simple journey timeline; keep professional content one click away (DLUHC, 2022).</w:t>
      </w:r>
    </w:p>
    <w:p w14:paraId="0D5E2086" w14:textId="77777777" w:rsidR="00707A3C" w:rsidRPr="00EB266F" w:rsidRDefault="00707A3C">
      <w:pPr>
        <w:numPr>
          <w:ilvl w:val="0"/>
          <w:numId w:val="1"/>
        </w:numPr>
        <w:spacing w:line="360" w:lineRule="auto"/>
        <w:rPr>
          <w:rFonts w:ascii="Arial" w:hAnsi="Arial" w:cs="Arial"/>
          <w:sz w:val="22"/>
          <w:szCs w:val="22"/>
        </w:rPr>
      </w:pPr>
      <w:r w:rsidRPr="00EB266F">
        <w:rPr>
          <w:rFonts w:ascii="Arial" w:hAnsi="Arial" w:cs="Arial"/>
          <w:sz w:val="22"/>
          <w:szCs w:val="22"/>
        </w:rPr>
        <w:t>Make access prominent and multi</w:t>
      </w:r>
      <w:r w:rsidRPr="00EB266F">
        <w:rPr>
          <w:rFonts w:ascii="Arial" w:hAnsi="Arial" w:cs="Arial"/>
          <w:sz w:val="22"/>
          <w:szCs w:val="22"/>
        </w:rPr>
        <w:noBreakHyphen/>
        <w:t>modal on the same page: add a “Get help now” (or “Start here”) panel at the top and bottom with a large</w:t>
      </w:r>
      <w:r w:rsidRPr="00EB266F">
        <w:rPr>
          <w:rFonts w:ascii="Arial" w:hAnsi="Arial" w:cs="Arial"/>
          <w:sz w:val="22"/>
          <w:szCs w:val="22"/>
        </w:rPr>
        <w:noBreakHyphen/>
        <w:t>print phone number, self</w:t>
      </w:r>
      <w:r w:rsidRPr="00EB266F">
        <w:rPr>
          <w:rFonts w:ascii="Arial" w:hAnsi="Arial" w:cs="Arial"/>
          <w:sz w:val="22"/>
          <w:szCs w:val="22"/>
        </w:rPr>
        <w:noBreakHyphen/>
        <w:t>referral form, clearly labelled professional referral link, family hub locations/times and out</w:t>
      </w:r>
      <w:r w:rsidRPr="00EB266F">
        <w:rPr>
          <w:rFonts w:ascii="Arial" w:hAnsi="Arial" w:cs="Arial"/>
          <w:sz w:val="22"/>
          <w:szCs w:val="22"/>
        </w:rPr>
        <w:noBreakHyphen/>
        <w:t>of</w:t>
      </w:r>
      <w:r w:rsidRPr="00EB266F">
        <w:rPr>
          <w:rFonts w:ascii="Arial" w:hAnsi="Arial" w:cs="Arial"/>
          <w:sz w:val="22"/>
          <w:szCs w:val="22"/>
        </w:rPr>
        <w:noBreakHyphen/>
        <w:t>hours advice (DLUHC, 2022).</w:t>
      </w:r>
    </w:p>
    <w:p w14:paraId="6F126D66" w14:textId="77777777" w:rsidR="00707A3C" w:rsidRPr="00EB266F" w:rsidRDefault="00707A3C">
      <w:pPr>
        <w:numPr>
          <w:ilvl w:val="0"/>
          <w:numId w:val="1"/>
        </w:numPr>
        <w:spacing w:line="360" w:lineRule="auto"/>
        <w:rPr>
          <w:rFonts w:ascii="Arial" w:hAnsi="Arial" w:cs="Arial"/>
          <w:sz w:val="22"/>
          <w:szCs w:val="22"/>
        </w:rPr>
      </w:pPr>
      <w:r w:rsidRPr="00EB266F">
        <w:rPr>
          <w:rFonts w:ascii="Arial" w:hAnsi="Arial" w:cs="Arial"/>
          <w:sz w:val="22"/>
          <w:szCs w:val="22"/>
        </w:rPr>
        <w:t>Explain consent, privacy and thresholds in plain language on the family page; link to full policies for detail; state that information may be shared without consent only to keep a child safe (HM Government, 2018).</w:t>
      </w:r>
    </w:p>
    <w:p w14:paraId="30FBCF27" w14:textId="77777777" w:rsidR="00707A3C" w:rsidRPr="00EB266F" w:rsidRDefault="00707A3C">
      <w:pPr>
        <w:numPr>
          <w:ilvl w:val="0"/>
          <w:numId w:val="1"/>
        </w:numPr>
        <w:spacing w:line="360" w:lineRule="auto"/>
        <w:rPr>
          <w:rFonts w:ascii="Arial" w:hAnsi="Arial" w:cs="Arial"/>
          <w:sz w:val="22"/>
          <w:szCs w:val="22"/>
        </w:rPr>
      </w:pPr>
      <w:r w:rsidRPr="00EB266F">
        <w:rPr>
          <w:rFonts w:ascii="Arial" w:hAnsi="Arial" w:cs="Arial"/>
          <w:sz w:val="22"/>
          <w:szCs w:val="22"/>
        </w:rPr>
        <w:t>Show the team and reviews: explain the lead practitioner role, define the TAF simply and note that reviews focus on goals set with the family (DfE, 2023a).</w:t>
      </w:r>
    </w:p>
    <w:p w14:paraId="4746D0A0" w14:textId="77777777" w:rsidR="00707A3C" w:rsidRPr="00EB266F" w:rsidRDefault="00707A3C">
      <w:pPr>
        <w:numPr>
          <w:ilvl w:val="0"/>
          <w:numId w:val="1"/>
        </w:numPr>
        <w:spacing w:line="360" w:lineRule="auto"/>
        <w:rPr>
          <w:rFonts w:ascii="Arial" w:hAnsi="Arial" w:cs="Arial"/>
          <w:sz w:val="22"/>
          <w:szCs w:val="22"/>
        </w:rPr>
      </w:pPr>
      <w:r w:rsidRPr="00EB266F">
        <w:rPr>
          <w:rFonts w:ascii="Arial" w:hAnsi="Arial" w:cs="Arial"/>
          <w:sz w:val="22"/>
          <w:szCs w:val="22"/>
        </w:rPr>
        <w:t>Design for inclusion: provide an easy</w:t>
      </w:r>
      <w:r w:rsidRPr="00EB266F">
        <w:rPr>
          <w:rFonts w:ascii="Arial" w:hAnsi="Arial" w:cs="Arial"/>
          <w:sz w:val="22"/>
          <w:szCs w:val="22"/>
        </w:rPr>
        <w:noBreakHyphen/>
        <w:t xml:space="preserve">read summary and translated summaries; add a visible translation toggle; offer a </w:t>
      </w:r>
      <w:proofErr w:type="gramStart"/>
      <w:r w:rsidRPr="00EB266F">
        <w:rPr>
          <w:rFonts w:ascii="Arial" w:hAnsi="Arial" w:cs="Arial"/>
          <w:sz w:val="22"/>
          <w:szCs w:val="22"/>
        </w:rPr>
        <w:t>short captioned</w:t>
      </w:r>
      <w:proofErr w:type="gramEnd"/>
      <w:r w:rsidRPr="00EB266F">
        <w:rPr>
          <w:rFonts w:ascii="Arial" w:hAnsi="Arial" w:cs="Arial"/>
          <w:sz w:val="22"/>
          <w:szCs w:val="22"/>
        </w:rPr>
        <w:t xml:space="preserve"> explainer video; include a brief FAQ covering common questions (GOV.UK, 2024).</w:t>
      </w:r>
    </w:p>
    <w:p w14:paraId="02BE7294" w14:textId="77777777" w:rsidR="00707A3C" w:rsidRPr="00EB266F" w:rsidRDefault="00707A3C">
      <w:pPr>
        <w:numPr>
          <w:ilvl w:val="0"/>
          <w:numId w:val="1"/>
        </w:numPr>
        <w:spacing w:line="360" w:lineRule="auto"/>
        <w:rPr>
          <w:rFonts w:ascii="Arial" w:hAnsi="Arial" w:cs="Arial"/>
          <w:sz w:val="22"/>
          <w:szCs w:val="22"/>
        </w:rPr>
      </w:pPr>
      <w:r w:rsidRPr="00EB266F">
        <w:rPr>
          <w:rFonts w:ascii="Arial" w:hAnsi="Arial" w:cs="Arial"/>
          <w:sz w:val="22"/>
          <w:szCs w:val="22"/>
        </w:rPr>
        <w:t>Keep journeys short and labels consistent: aim for a two</w:t>
      </w:r>
      <w:r w:rsidRPr="00EB266F">
        <w:rPr>
          <w:rFonts w:ascii="Arial" w:hAnsi="Arial" w:cs="Arial"/>
          <w:sz w:val="22"/>
          <w:szCs w:val="22"/>
        </w:rPr>
        <w:noBreakHyphen/>
        <w:t>click route from landing page to contact or form; use a consistent “Early Help” label and simple icons; avoid scattering key actions (Cabinet Office, 2024).</w:t>
      </w:r>
    </w:p>
    <w:p w14:paraId="3D2276F4" w14:textId="4D99813E" w:rsidR="00EE23AA" w:rsidRPr="00EB266F" w:rsidRDefault="00707A3C" w:rsidP="00EB266F">
      <w:pPr>
        <w:spacing w:line="360" w:lineRule="auto"/>
        <w:rPr>
          <w:rFonts w:ascii="Arial" w:hAnsi="Arial" w:cs="Arial"/>
          <w:sz w:val="22"/>
          <w:szCs w:val="22"/>
        </w:rPr>
      </w:pPr>
      <w:r w:rsidRPr="00EB266F">
        <w:rPr>
          <w:rFonts w:ascii="Arial" w:hAnsi="Arial" w:cs="Arial"/>
          <w:sz w:val="22"/>
          <w:szCs w:val="22"/>
        </w:rPr>
        <w:t>Council</w:t>
      </w:r>
      <w:r w:rsidRPr="00EB266F">
        <w:rPr>
          <w:rFonts w:ascii="Arial" w:hAnsi="Arial" w:cs="Arial"/>
          <w:sz w:val="22"/>
          <w:szCs w:val="22"/>
        </w:rPr>
        <w:noBreakHyphen/>
        <w:t>specific next steps: Leeds should keep the strong explainer and add an on</w:t>
      </w:r>
      <w:r w:rsidRPr="00EB266F">
        <w:rPr>
          <w:rFonts w:ascii="Arial" w:hAnsi="Arial" w:cs="Arial"/>
          <w:sz w:val="22"/>
          <w:szCs w:val="22"/>
        </w:rPr>
        <w:noBreakHyphen/>
        <w:t>page action panel, consent note, timeline and translation/easy</w:t>
      </w:r>
      <w:r w:rsidRPr="00EB266F">
        <w:rPr>
          <w:rFonts w:ascii="Arial" w:hAnsi="Arial" w:cs="Arial"/>
          <w:sz w:val="22"/>
          <w:szCs w:val="22"/>
        </w:rPr>
        <w:noBreakHyphen/>
        <w:t xml:space="preserve">read options (Leeds City Council, n.d.). Leicester should build a </w:t>
      </w:r>
      <w:proofErr w:type="gramStart"/>
      <w:r w:rsidRPr="00EB266F">
        <w:rPr>
          <w:rFonts w:ascii="Arial" w:hAnsi="Arial" w:cs="Arial"/>
          <w:sz w:val="22"/>
          <w:szCs w:val="22"/>
        </w:rPr>
        <w:t>single family</w:t>
      </w:r>
      <w:proofErr w:type="gramEnd"/>
      <w:r w:rsidRPr="00EB266F">
        <w:rPr>
          <w:rFonts w:ascii="Arial" w:hAnsi="Arial" w:cs="Arial"/>
          <w:sz w:val="22"/>
          <w:szCs w:val="22"/>
        </w:rPr>
        <w:t xml:space="preserve"> page with a bold “Start here” panel and bring consent and the journey onto that page (Leicester City Council, n.d.). Nottinghamshire should maintain strong actionability and add a clearer translation option, easy</w:t>
      </w:r>
      <w:r w:rsidRPr="00EB266F">
        <w:rPr>
          <w:rFonts w:ascii="Arial" w:hAnsi="Arial" w:cs="Arial"/>
          <w:sz w:val="22"/>
          <w:szCs w:val="22"/>
        </w:rPr>
        <w:noBreakHyphen/>
        <w:t xml:space="preserve">read and </w:t>
      </w:r>
      <w:r w:rsidRPr="00EB266F">
        <w:rPr>
          <w:rFonts w:ascii="Arial" w:hAnsi="Arial" w:cs="Arial"/>
          <w:sz w:val="22"/>
          <w:szCs w:val="22"/>
        </w:rPr>
        <w:lastRenderedPageBreak/>
        <w:t>large</w:t>
      </w:r>
      <w:r w:rsidRPr="00EB266F">
        <w:rPr>
          <w:rFonts w:ascii="Arial" w:hAnsi="Arial" w:cs="Arial"/>
          <w:sz w:val="22"/>
          <w:szCs w:val="22"/>
        </w:rPr>
        <w:noBreakHyphen/>
        <w:t>print versions, a short “what to expect” video and a simple timeline (Nottinghamshire County Council</w:t>
      </w:r>
      <w:r w:rsidRPr="00EB266F">
        <w:rPr>
          <w:rFonts w:ascii="Arial" w:hAnsi="Arial" w:cs="Arial"/>
          <w:sz w:val="22"/>
          <w:szCs w:val="22"/>
        </w:rPr>
        <w:t>, 2026)</w:t>
      </w:r>
    </w:p>
    <w:p w14:paraId="3CB9D907" w14:textId="77777777" w:rsidR="00EE23AA" w:rsidRDefault="00EE23AA" w:rsidP="00707A3C">
      <w:pPr>
        <w:spacing w:line="360" w:lineRule="auto"/>
        <w:rPr>
          <w:rFonts w:ascii="Arial" w:hAnsi="Arial" w:cs="Arial"/>
          <w:sz w:val="22"/>
          <w:szCs w:val="22"/>
        </w:rPr>
      </w:pPr>
    </w:p>
    <w:p w14:paraId="466A12EF" w14:textId="77777777" w:rsidR="00EE23AA" w:rsidRDefault="00EE23AA" w:rsidP="00707A3C">
      <w:pPr>
        <w:spacing w:line="360" w:lineRule="auto"/>
        <w:rPr>
          <w:rFonts w:ascii="Arial" w:hAnsi="Arial" w:cs="Arial"/>
          <w:sz w:val="22"/>
          <w:szCs w:val="22"/>
        </w:rPr>
      </w:pPr>
    </w:p>
    <w:p w14:paraId="3A5A7E2C" w14:textId="77777777" w:rsidR="00EE23AA" w:rsidRDefault="00EE23AA" w:rsidP="00707A3C">
      <w:pPr>
        <w:spacing w:line="360" w:lineRule="auto"/>
        <w:rPr>
          <w:rFonts w:ascii="Arial" w:hAnsi="Arial" w:cs="Arial"/>
          <w:sz w:val="22"/>
          <w:szCs w:val="22"/>
        </w:rPr>
      </w:pPr>
    </w:p>
    <w:p w14:paraId="776E5BCD" w14:textId="77777777" w:rsidR="00EE23AA" w:rsidRDefault="00EE23AA" w:rsidP="00707A3C">
      <w:pPr>
        <w:spacing w:line="360" w:lineRule="auto"/>
        <w:rPr>
          <w:rFonts w:ascii="Arial" w:hAnsi="Arial" w:cs="Arial"/>
          <w:sz w:val="22"/>
          <w:szCs w:val="22"/>
        </w:rPr>
      </w:pPr>
    </w:p>
    <w:p w14:paraId="1BBCC321" w14:textId="77777777" w:rsidR="00EE23AA" w:rsidRDefault="00EE23AA" w:rsidP="00707A3C">
      <w:pPr>
        <w:spacing w:line="360" w:lineRule="auto"/>
        <w:rPr>
          <w:rFonts w:ascii="Arial" w:hAnsi="Arial" w:cs="Arial"/>
          <w:sz w:val="22"/>
          <w:szCs w:val="22"/>
        </w:rPr>
      </w:pPr>
    </w:p>
    <w:p w14:paraId="33C95E02" w14:textId="77777777" w:rsidR="00EE23AA" w:rsidRDefault="00EE23AA" w:rsidP="00707A3C">
      <w:pPr>
        <w:spacing w:line="360" w:lineRule="auto"/>
        <w:rPr>
          <w:rFonts w:ascii="Arial" w:hAnsi="Arial" w:cs="Arial"/>
          <w:sz w:val="22"/>
          <w:szCs w:val="22"/>
        </w:rPr>
      </w:pPr>
    </w:p>
    <w:p w14:paraId="585BC4DB" w14:textId="77777777" w:rsidR="00EE23AA" w:rsidRDefault="00EE23AA" w:rsidP="00707A3C">
      <w:pPr>
        <w:spacing w:line="360" w:lineRule="auto"/>
        <w:rPr>
          <w:rFonts w:ascii="Arial" w:hAnsi="Arial" w:cs="Arial"/>
          <w:sz w:val="22"/>
          <w:szCs w:val="22"/>
        </w:rPr>
      </w:pPr>
    </w:p>
    <w:p w14:paraId="1E5777E9" w14:textId="77777777" w:rsidR="00EE23AA" w:rsidRDefault="00EE23AA" w:rsidP="00707A3C">
      <w:pPr>
        <w:spacing w:line="360" w:lineRule="auto"/>
        <w:rPr>
          <w:rFonts w:ascii="Arial" w:hAnsi="Arial" w:cs="Arial"/>
          <w:sz w:val="22"/>
          <w:szCs w:val="22"/>
        </w:rPr>
      </w:pPr>
    </w:p>
    <w:p w14:paraId="3C3C61B8" w14:textId="77777777" w:rsidR="00EE23AA" w:rsidRDefault="00EE23AA" w:rsidP="00707A3C">
      <w:pPr>
        <w:spacing w:line="360" w:lineRule="auto"/>
        <w:rPr>
          <w:rFonts w:ascii="Arial" w:hAnsi="Arial" w:cs="Arial"/>
          <w:sz w:val="22"/>
          <w:szCs w:val="22"/>
        </w:rPr>
      </w:pPr>
    </w:p>
    <w:p w14:paraId="3406713A" w14:textId="77777777" w:rsidR="00EE23AA" w:rsidRDefault="00EE23AA" w:rsidP="00707A3C">
      <w:pPr>
        <w:spacing w:line="360" w:lineRule="auto"/>
        <w:rPr>
          <w:rFonts w:ascii="Arial" w:hAnsi="Arial" w:cs="Arial"/>
          <w:sz w:val="22"/>
          <w:szCs w:val="22"/>
        </w:rPr>
      </w:pPr>
    </w:p>
    <w:p w14:paraId="0A6E4030" w14:textId="77777777" w:rsidR="00EE23AA" w:rsidRDefault="00EE23AA" w:rsidP="00707A3C">
      <w:pPr>
        <w:spacing w:line="360" w:lineRule="auto"/>
        <w:rPr>
          <w:rFonts w:ascii="Arial" w:hAnsi="Arial" w:cs="Arial"/>
          <w:sz w:val="22"/>
          <w:szCs w:val="22"/>
        </w:rPr>
      </w:pPr>
    </w:p>
    <w:p w14:paraId="3AB5FAD2" w14:textId="77777777" w:rsidR="00EE23AA" w:rsidRDefault="00EE23AA" w:rsidP="00707A3C">
      <w:pPr>
        <w:spacing w:line="360" w:lineRule="auto"/>
        <w:rPr>
          <w:rFonts w:ascii="Arial" w:hAnsi="Arial" w:cs="Arial"/>
          <w:sz w:val="22"/>
          <w:szCs w:val="22"/>
        </w:rPr>
      </w:pPr>
    </w:p>
    <w:p w14:paraId="037DBDB0" w14:textId="77777777" w:rsidR="00EE23AA" w:rsidRDefault="00EE23AA" w:rsidP="00707A3C">
      <w:pPr>
        <w:spacing w:line="360" w:lineRule="auto"/>
        <w:rPr>
          <w:rFonts w:ascii="Arial" w:hAnsi="Arial" w:cs="Arial"/>
          <w:sz w:val="22"/>
          <w:szCs w:val="22"/>
        </w:rPr>
      </w:pPr>
    </w:p>
    <w:p w14:paraId="57EA9CA1" w14:textId="77777777" w:rsidR="00EE23AA" w:rsidRDefault="00EE23AA" w:rsidP="00707A3C">
      <w:pPr>
        <w:spacing w:line="360" w:lineRule="auto"/>
        <w:rPr>
          <w:rFonts w:ascii="Arial" w:hAnsi="Arial" w:cs="Arial"/>
          <w:sz w:val="22"/>
          <w:szCs w:val="22"/>
        </w:rPr>
      </w:pPr>
    </w:p>
    <w:p w14:paraId="1896CD11" w14:textId="77777777" w:rsidR="00EE23AA" w:rsidRDefault="00EE23AA" w:rsidP="00707A3C">
      <w:pPr>
        <w:spacing w:line="360" w:lineRule="auto"/>
        <w:rPr>
          <w:rFonts w:ascii="Arial" w:hAnsi="Arial" w:cs="Arial"/>
          <w:sz w:val="22"/>
          <w:szCs w:val="22"/>
        </w:rPr>
      </w:pPr>
    </w:p>
    <w:p w14:paraId="48CCBBB8" w14:textId="77777777" w:rsidR="00EE23AA" w:rsidRDefault="00EE23AA" w:rsidP="00707A3C">
      <w:pPr>
        <w:spacing w:line="360" w:lineRule="auto"/>
        <w:rPr>
          <w:rFonts w:ascii="Arial" w:hAnsi="Arial" w:cs="Arial"/>
          <w:sz w:val="22"/>
          <w:szCs w:val="22"/>
        </w:rPr>
      </w:pPr>
    </w:p>
    <w:p w14:paraId="4F3B7CC2" w14:textId="77777777" w:rsidR="00EE23AA" w:rsidRDefault="00EE23AA" w:rsidP="00707A3C">
      <w:pPr>
        <w:spacing w:line="360" w:lineRule="auto"/>
        <w:rPr>
          <w:rFonts w:ascii="Arial" w:hAnsi="Arial" w:cs="Arial"/>
          <w:sz w:val="22"/>
          <w:szCs w:val="22"/>
        </w:rPr>
      </w:pPr>
    </w:p>
    <w:p w14:paraId="597BEBFD" w14:textId="77777777" w:rsidR="00EE23AA" w:rsidRDefault="00EE23AA" w:rsidP="00707A3C">
      <w:pPr>
        <w:spacing w:line="360" w:lineRule="auto"/>
        <w:rPr>
          <w:rFonts w:ascii="Arial" w:hAnsi="Arial" w:cs="Arial"/>
          <w:sz w:val="22"/>
          <w:szCs w:val="22"/>
        </w:rPr>
      </w:pPr>
    </w:p>
    <w:p w14:paraId="1C259118" w14:textId="77777777" w:rsidR="00EE23AA" w:rsidRDefault="00EE23AA" w:rsidP="00707A3C">
      <w:pPr>
        <w:spacing w:line="360" w:lineRule="auto"/>
        <w:rPr>
          <w:rFonts w:ascii="Arial" w:hAnsi="Arial" w:cs="Arial"/>
          <w:sz w:val="22"/>
          <w:szCs w:val="22"/>
        </w:rPr>
      </w:pPr>
    </w:p>
    <w:p w14:paraId="6097530B" w14:textId="77777777" w:rsidR="00EE23AA" w:rsidRDefault="00EE23AA" w:rsidP="00707A3C">
      <w:pPr>
        <w:spacing w:line="360" w:lineRule="auto"/>
        <w:rPr>
          <w:rFonts w:ascii="Arial" w:hAnsi="Arial" w:cs="Arial"/>
          <w:sz w:val="22"/>
          <w:szCs w:val="22"/>
        </w:rPr>
      </w:pPr>
    </w:p>
    <w:p w14:paraId="14F473CD" w14:textId="77777777" w:rsidR="00EE23AA" w:rsidRDefault="00EE23AA" w:rsidP="00707A3C">
      <w:pPr>
        <w:spacing w:line="360" w:lineRule="auto"/>
        <w:rPr>
          <w:rFonts w:ascii="Arial" w:hAnsi="Arial" w:cs="Arial"/>
          <w:sz w:val="22"/>
          <w:szCs w:val="22"/>
        </w:rPr>
      </w:pPr>
    </w:p>
    <w:p w14:paraId="27EA6C37" w14:textId="77777777" w:rsidR="00EE23AA" w:rsidRDefault="00EE23AA" w:rsidP="00707A3C">
      <w:pPr>
        <w:spacing w:line="360" w:lineRule="auto"/>
        <w:rPr>
          <w:rFonts w:ascii="Arial" w:hAnsi="Arial" w:cs="Arial"/>
          <w:sz w:val="22"/>
          <w:szCs w:val="22"/>
        </w:rPr>
      </w:pPr>
    </w:p>
    <w:p w14:paraId="0DCE7634" w14:textId="77777777" w:rsidR="00EE23AA" w:rsidRDefault="00EE23AA" w:rsidP="00707A3C">
      <w:pPr>
        <w:spacing w:line="360" w:lineRule="auto"/>
        <w:rPr>
          <w:rFonts w:ascii="Arial" w:hAnsi="Arial" w:cs="Arial"/>
          <w:sz w:val="22"/>
          <w:szCs w:val="22"/>
        </w:rPr>
      </w:pPr>
    </w:p>
    <w:p w14:paraId="69642DB6" w14:textId="77777777" w:rsidR="00707A3C" w:rsidRPr="00707A3C" w:rsidRDefault="00707A3C" w:rsidP="00707A3C">
      <w:pPr>
        <w:spacing w:line="360" w:lineRule="auto"/>
        <w:rPr>
          <w:rFonts w:ascii="Arial" w:hAnsi="Arial" w:cs="Arial"/>
          <w:sz w:val="22"/>
          <w:szCs w:val="22"/>
        </w:rPr>
      </w:pPr>
    </w:p>
    <w:p w14:paraId="750A0D7C" w14:textId="77777777" w:rsidR="00707A3C" w:rsidRPr="00707A3C" w:rsidRDefault="00707A3C" w:rsidP="00707A3C">
      <w:pPr>
        <w:spacing w:line="360" w:lineRule="auto"/>
        <w:jc w:val="center"/>
        <w:rPr>
          <w:rFonts w:ascii="Arial" w:hAnsi="Arial" w:cs="Arial"/>
          <w:b/>
          <w:bCs/>
          <w:sz w:val="22"/>
          <w:szCs w:val="22"/>
        </w:rPr>
      </w:pPr>
      <w:r w:rsidRPr="00707A3C">
        <w:rPr>
          <w:rFonts w:ascii="Arial" w:hAnsi="Arial" w:cs="Arial"/>
          <w:b/>
          <w:bCs/>
          <w:sz w:val="22"/>
          <w:szCs w:val="22"/>
        </w:rPr>
        <w:lastRenderedPageBreak/>
        <w:t>References</w:t>
      </w:r>
    </w:p>
    <w:p w14:paraId="20E9A79E" w14:textId="7E4BB7B8" w:rsidR="00EE23AA" w:rsidRPr="00EE23AA"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Cabinet Office (2024) GOV.UK Service Manual: Designing for different browsers and devices. Available at:</w:t>
      </w:r>
      <w:r w:rsidR="00EB266F">
        <w:rPr>
          <w:rFonts w:ascii="Arial" w:hAnsi="Arial" w:cs="Arial"/>
          <w:b/>
          <w:bCs/>
          <w:sz w:val="22"/>
          <w:szCs w:val="22"/>
        </w:rPr>
        <w:t xml:space="preserve"> </w:t>
      </w:r>
      <w:hyperlink r:id="rId7" w:history="1">
        <w:r w:rsidR="00EB266F" w:rsidRPr="00686676">
          <w:rPr>
            <w:rStyle w:val="Hyperlink"/>
            <w:rFonts w:ascii="Arial" w:hAnsi="Arial" w:cs="Arial"/>
            <w:b/>
            <w:bCs/>
            <w:sz w:val="22"/>
            <w:szCs w:val="22"/>
          </w:rPr>
          <w:t>ht</w:t>
        </w:r>
        <w:r w:rsidR="00EB266F" w:rsidRPr="00686676">
          <w:rPr>
            <w:rStyle w:val="Hyperlink"/>
            <w:rFonts w:ascii="Arial" w:hAnsi="Arial" w:cs="Arial"/>
            <w:b/>
            <w:bCs/>
            <w:sz w:val="22"/>
            <w:szCs w:val="22"/>
          </w:rPr>
          <w:t>tps://www.gov.uk/service-manual/technology/designing-for-different-browsers-and-devices</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00EB266F" w:rsidRPr="00EB266F">
        <w:rPr>
          <w:rFonts w:ascii="Arial" w:hAnsi="Arial" w:cs="Arial"/>
          <w:b/>
          <w:bCs/>
          <w:sz w:val="22"/>
          <w:szCs w:val="22"/>
        </w:rPr>
        <w:t xml:space="preserve"> </w:t>
      </w:r>
      <w:r w:rsidRPr="00EE23AA">
        <w:rPr>
          <w:rFonts w:ascii="Arial" w:hAnsi="Arial" w:cs="Arial"/>
          <w:b/>
          <w:bCs/>
          <w:sz w:val="22"/>
          <w:szCs w:val="22"/>
        </w:rPr>
        <w:t xml:space="preserve">(Accessed: </w:t>
      </w:r>
      <w:r w:rsidR="00EB266F">
        <w:rPr>
          <w:rFonts w:ascii="Arial" w:hAnsi="Arial" w:cs="Arial"/>
          <w:b/>
          <w:bCs/>
          <w:sz w:val="22"/>
          <w:szCs w:val="22"/>
        </w:rPr>
        <w:t>10</w:t>
      </w:r>
      <w:r w:rsidRPr="00EE23AA">
        <w:rPr>
          <w:rFonts w:ascii="Arial" w:hAnsi="Arial" w:cs="Arial"/>
          <w:b/>
          <w:bCs/>
          <w:sz w:val="22"/>
          <w:szCs w:val="22"/>
        </w:rPr>
        <w:t xml:space="preserve"> July 2026).</w:t>
      </w:r>
    </w:p>
    <w:p w14:paraId="3ED021D4" w14:textId="309E3AC8" w:rsidR="00EE23AA" w:rsidRPr="00EE23AA"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Department for Education (DfE) (2023a) Working together to safeguard children 2023: statutory guidance. London: DfE. Available at:</w:t>
      </w:r>
      <w:r w:rsidR="00EB266F">
        <w:rPr>
          <w:rFonts w:ascii="Arial" w:hAnsi="Arial" w:cs="Arial"/>
          <w:b/>
          <w:bCs/>
          <w:sz w:val="22"/>
          <w:szCs w:val="22"/>
        </w:rPr>
        <w:t xml:space="preserve"> </w:t>
      </w:r>
      <w:hyperlink r:id="rId8"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ttps://www.gov.uk/government/publications/working-together-to-safeguard-children-2023-statutory-guidance</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00EB266F" w:rsidRPr="00EB266F">
        <w:rPr>
          <w:rFonts w:ascii="Arial" w:hAnsi="Arial" w:cs="Arial"/>
          <w:b/>
          <w:bCs/>
          <w:sz w:val="22"/>
          <w:szCs w:val="22"/>
        </w:rPr>
        <w:t xml:space="preserve"> </w:t>
      </w:r>
      <w:r w:rsidRPr="00EE23AA">
        <w:rPr>
          <w:rFonts w:ascii="Arial" w:hAnsi="Arial" w:cs="Arial"/>
          <w:b/>
          <w:bCs/>
          <w:sz w:val="22"/>
          <w:szCs w:val="22"/>
        </w:rPr>
        <w:t xml:space="preserve">(Accessed: </w:t>
      </w:r>
      <w:r w:rsidR="00EB266F">
        <w:rPr>
          <w:rFonts w:ascii="Arial" w:hAnsi="Arial" w:cs="Arial"/>
          <w:b/>
          <w:bCs/>
          <w:sz w:val="22"/>
          <w:szCs w:val="22"/>
        </w:rPr>
        <w:t>12</w:t>
      </w:r>
      <w:r w:rsidRPr="00EE23AA">
        <w:rPr>
          <w:rFonts w:ascii="Arial" w:hAnsi="Arial" w:cs="Arial"/>
          <w:b/>
          <w:bCs/>
          <w:sz w:val="22"/>
          <w:szCs w:val="22"/>
        </w:rPr>
        <w:t xml:space="preserve"> July 2026).</w:t>
      </w:r>
    </w:p>
    <w:p w14:paraId="51AE9C27" w14:textId="4DE8E940" w:rsidR="00EE23AA" w:rsidRPr="00EB266F"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 xml:space="preserve">Department for Education (DfE) (2023b) Keeping children safe in education. London: DfE. Available at: </w:t>
      </w:r>
      <w:hyperlink r:id="rId9"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ttps://www.gov.uk/government/publications/keeping-children-safe-in-education--2</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Pr="00EB266F">
        <w:rPr>
          <w:rFonts w:ascii="Arial" w:hAnsi="Arial" w:cs="Arial"/>
          <w:b/>
          <w:bCs/>
          <w:sz w:val="22"/>
          <w:szCs w:val="22"/>
        </w:rPr>
        <w:t xml:space="preserve">(Accessed: </w:t>
      </w:r>
      <w:r w:rsidR="00EB266F">
        <w:rPr>
          <w:rFonts w:ascii="Arial" w:hAnsi="Arial" w:cs="Arial"/>
          <w:b/>
          <w:bCs/>
          <w:sz w:val="22"/>
          <w:szCs w:val="22"/>
        </w:rPr>
        <w:t>15</w:t>
      </w:r>
      <w:r w:rsidRPr="00EB266F">
        <w:rPr>
          <w:rFonts w:ascii="Arial" w:hAnsi="Arial" w:cs="Arial"/>
          <w:b/>
          <w:bCs/>
          <w:sz w:val="22"/>
          <w:szCs w:val="22"/>
        </w:rPr>
        <w:t xml:space="preserve"> July 2026).</w:t>
      </w:r>
    </w:p>
    <w:p w14:paraId="32A971B7" w14:textId="4D925C69" w:rsidR="00EE23AA" w:rsidRPr="00EE23AA"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 xml:space="preserve">Department for Levelling Up, Housing and Communities (DLUHC) (2022) Supporting Families: Early Help System Guide. London: DLUHC. Available at: </w:t>
      </w:r>
      <w:hyperlink r:id="rId10"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ttps://assets.publishing.service.gov.uk/media/628de13be90e071f5f7e1bd2/Early_Help_System_Guide.pdf</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00EB266F" w:rsidRPr="00EB266F">
        <w:rPr>
          <w:rFonts w:ascii="Arial" w:hAnsi="Arial" w:cs="Arial"/>
          <w:b/>
          <w:bCs/>
          <w:sz w:val="22"/>
          <w:szCs w:val="22"/>
        </w:rPr>
        <w:t xml:space="preserve"> </w:t>
      </w:r>
      <w:r w:rsidRPr="00EE23AA">
        <w:rPr>
          <w:rFonts w:ascii="Arial" w:hAnsi="Arial" w:cs="Arial"/>
          <w:b/>
          <w:bCs/>
          <w:sz w:val="22"/>
          <w:szCs w:val="22"/>
        </w:rPr>
        <w:t xml:space="preserve">(Accessed: </w:t>
      </w:r>
      <w:r w:rsidR="00EB266F">
        <w:rPr>
          <w:rFonts w:ascii="Arial" w:hAnsi="Arial" w:cs="Arial"/>
          <w:b/>
          <w:bCs/>
          <w:sz w:val="22"/>
          <w:szCs w:val="22"/>
        </w:rPr>
        <w:t>16</w:t>
      </w:r>
      <w:r w:rsidRPr="00EE23AA">
        <w:rPr>
          <w:rFonts w:ascii="Arial" w:hAnsi="Arial" w:cs="Arial"/>
          <w:b/>
          <w:bCs/>
          <w:sz w:val="22"/>
          <w:szCs w:val="22"/>
        </w:rPr>
        <w:t xml:space="preserve"> July 2026).</w:t>
      </w:r>
    </w:p>
    <w:p w14:paraId="297C4263" w14:textId="5D35FD4C" w:rsidR="00EE23AA" w:rsidRPr="00EE23AA"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 xml:space="preserve">GOV.UK (2024) Content design: Writing for GOV.UK. Available at: </w:t>
      </w:r>
      <w:hyperlink r:id="rId11"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ttps://guidance.publishing.service.gov.uk/writing-to-gov-uk-standards/writing-guidelines/</w:t>
        </w:r>
      </w:hyperlink>
      <w:r w:rsidR="00EB266F">
        <w:rPr>
          <w:rFonts w:ascii="Arial" w:hAnsi="Arial" w:cs="Arial"/>
          <w:b/>
          <w:bCs/>
          <w:sz w:val="22"/>
          <w:szCs w:val="22"/>
        </w:rPr>
        <w:t xml:space="preserve"> </w:t>
      </w:r>
      <w:r w:rsidR="00EB266F" w:rsidRPr="00EB266F">
        <w:rPr>
          <w:rFonts w:ascii="Arial" w:hAnsi="Arial" w:cs="Arial"/>
          <w:b/>
          <w:bCs/>
          <w:sz w:val="22"/>
          <w:szCs w:val="22"/>
        </w:rPr>
        <w:t xml:space="preserve"> </w:t>
      </w:r>
      <w:r w:rsidRPr="00EE23AA">
        <w:rPr>
          <w:rFonts w:ascii="Arial" w:hAnsi="Arial" w:cs="Arial"/>
          <w:b/>
          <w:bCs/>
          <w:sz w:val="22"/>
          <w:szCs w:val="22"/>
        </w:rPr>
        <w:t xml:space="preserve">(Accessed: </w:t>
      </w:r>
      <w:r w:rsidR="00EB266F">
        <w:rPr>
          <w:rFonts w:ascii="Arial" w:hAnsi="Arial" w:cs="Arial"/>
          <w:b/>
          <w:bCs/>
          <w:sz w:val="22"/>
          <w:szCs w:val="22"/>
        </w:rPr>
        <w:t>13</w:t>
      </w:r>
      <w:r w:rsidRPr="00EE23AA">
        <w:rPr>
          <w:rFonts w:ascii="Arial" w:hAnsi="Arial" w:cs="Arial"/>
          <w:b/>
          <w:bCs/>
          <w:sz w:val="22"/>
          <w:szCs w:val="22"/>
        </w:rPr>
        <w:t xml:space="preserve"> July 2026).</w:t>
      </w:r>
    </w:p>
    <w:p w14:paraId="1F0B9FB1" w14:textId="5846AB21" w:rsidR="00EE23AA" w:rsidRPr="00EE23AA"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 xml:space="preserve">HM Government (2018) Information sharing: Advice for practitioners providing safeguarding services to children, young people, parents and carers. London: HM Government. Available at: </w:t>
      </w:r>
      <w:hyperlink r:id="rId12" w:history="1">
        <w:r w:rsidR="00EB266F" w:rsidRPr="00686676">
          <w:rPr>
            <w:rStyle w:val="Hyperlink"/>
            <w:rFonts w:ascii="Arial" w:hAnsi="Arial" w:cs="Arial"/>
            <w:b/>
            <w:bCs/>
            <w:sz w:val="22"/>
            <w:szCs w:val="22"/>
          </w:rPr>
          <w:t>ht</w:t>
        </w:r>
        <w:r w:rsidR="00EB266F" w:rsidRPr="00686676">
          <w:rPr>
            <w:rStyle w:val="Hyperlink"/>
            <w:rFonts w:ascii="Arial" w:hAnsi="Arial" w:cs="Arial"/>
            <w:b/>
            <w:bCs/>
            <w:sz w:val="22"/>
            <w:szCs w:val="22"/>
          </w:rPr>
          <w:t>tps://www.gov.uk/government/publications/safeguarding-practitioners-information-sharing-advice</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00EB266F" w:rsidRPr="00EB266F">
        <w:rPr>
          <w:rFonts w:ascii="Arial" w:hAnsi="Arial" w:cs="Arial"/>
          <w:b/>
          <w:bCs/>
          <w:sz w:val="22"/>
          <w:szCs w:val="22"/>
        </w:rPr>
        <w:t xml:space="preserve"> </w:t>
      </w:r>
      <w:r w:rsidRPr="00EE23AA">
        <w:rPr>
          <w:rFonts w:ascii="Arial" w:hAnsi="Arial" w:cs="Arial"/>
          <w:b/>
          <w:bCs/>
          <w:sz w:val="22"/>
          <w:szCs w:val="22"/>
        </w:rPr>
        <w:t xml:space="preserve">(Accessed: </w:t>
      </w:r>
      <w:r w:rsidR="00EB266F">
        <w:rPr>
          <w:rFonts w:ascii="Arial" w:hAnsi="Arial" w:cs="Arial"/>
          <w:b/>
          <w:bCs/>
          <w:sz w:val="22"/>
          <w:szCs w:val="22"/>
        </w:rPr>
        <w:t xml:space="preserve">13 </w:t>
      </w:r>
      <w:r w:rsidRPr="00EE23AA">
        <w:rPr>
          <w:rFonts w:ascii="Arial" w:hAnsi="Arial" w:cs="Arial"/>
          <w:b/>
          <w:bCs/>
          <w:sz w:val="22"/>
          <w:szCs w:val="22"/>
        </w:rPr>
        <w:t>July 2026).</w:t>
      </w:r>
    </w:p>
    <w:p w14:paraId="1BFA06F8" w14:textId="53BC7F10" w:rsidR="00EE23AA" w:rsidRPr="00EB266F"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Leeds City Council (</w:t>
      </w:r>
      <w:r w:rsidRPr="00EE23AA">
        <w:rPr>
          <w:rFonts w:ascii="Arial" w:hAnsi="Arial" w:cs="Arial"/>
          <w:b/>
          <w:bCs/>
          <w:sz w:val="22"/>
          <w:szCs w:val="22"/>
        </w:rPr>
        <w:t>2026</w:t>
      </w:r>
      <w:r w:rsidRPr="00EE23AA">
        <w:rPr>
          <w:rFonts w:ascii="Arial" w:hAnsi="Arial" w:cs="Arial"/>
          <w:b/>
          <w:bCs/>
          <w:sz w:val="22"/>
          <w:szCs w:val="22"/>
        </w:rPr>
        <w:t xml:space="preserve">) One minute guide: Early help. Available at: </w:t>
      </w:r>
      <w:hyperlink r:id="rId13"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ttps://www.leeds.gov.uk/one-minute-guides/early-help</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Pr="00EB266F">
        <w:rPr>
          <w:rFonts w:ascii="Arial" w:hAnsi="Arial" w:cs="Arial"/>
          <w:b/>
          <w:bCs/>
          <w:sz w:val="22"/>
          <w:szCs w:val="22"/>
        </w:rPr>
        <w:t xml:space="preserve">(Accessed: </w:t>
      </w:r>
      <w:r w:rsidR="00EB266F">
        <w:rPr>
          <w:rFonts w:ascii="Arial" w:hAnsi="Arial" w:cs="Arial"/>
          <w:b/>
          <w:bCs/>
          <w:sz w:val="22"/>
          <w:szCs w:val="22"/>
        </w:rPr>
        <w:t xml:space="preserve">15 </w:t>
      </w:r>
      <w:r w:rsidRPr="00EB266F">
        <w:rPr>
          <w:rFonts w:ascii="Arial" w:hAnsi="Arial" w:cs="Arial"/>
          <w:b/>
          <w:bCs/>
          <w:sz w:val="22"/>
          <w:szCs w:val="22"/>
        </w:rPr>
        <w:t>July 2026).</w:t>
      </w:r>
    </w:p>
    <w:p w14:paraId="61EA1E60" w14:textId="5EB27058" w:rsidR="00EE23AA" w:rsidRPr="00EB266F"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Leicester City Council (</w:t>
      </w:r>
      <w:r w:rsidRPr="00EE23AA">
        <w:rPr>
          <w:rFonts w:ascii="Arial" w:hAnsi="Arial" w:cs="Arial"/>
          <w:b/>
          <w:bCs/>
          <w:sz w:val="22"/>
          <w:szCs w:val="22"/>
        </w:rPr>
        <w:t>2026</w:t>
      </w:r>
      <w:r w:rsidRPr="00EE23AA">
        <w:rPr>
          <w:rFonts w:ascii="Arial" w:hAnsi="Arial" w:cs="Arial"/>
          <w:b/>
          <w:bCs/>
          <w:sz w:val="22"/>
          <w:szCs w:val="22"/>
        </w:rPr>
        <w:t xml:space="preserve">) Children, young people and families – services and support. Available at: </w:t>
      </w:r>
      <w:hyperlink r:id="rId14"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ttps://www.leicester.gov.uk</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00EB266F" w:rsidRPr="00EB266F">
        <w:rPr>
          <w:rFonts w:ascii="Arial" w:hAnsi="Arial" w:cs="Arial"/>
          <w:b/>
          <w:bCs/>
          <w:sz w:val="22"/>
          <w:szCs w:val="22"/>
        </w:rPr>
        <w:t xml:space="preserve"> </w:t>
      </w:r>
      <w:r w:rsidRPr="00EB266F">
        <w:rPr>
          <w:rFonts w:ascii="Arial" w:hAnsi="Arial" w:cs="Arial"/>
          <w:b/>
          <w:bCs/>
          <w:sz w:val="22"/>
          <w:szCs w:val="22"/>
        </w:rPr>
        <w:t xml:space="preserve">(Accessed: </w:t>
      </w:r>
      <w:r w:rsidR="00EB266F">
        <w:rPr>
          <w:rFonts w:ascii="Arial" w:hAnsi="Arial" w:cs="Arial"/>
          <w:b/>
          <w:bCs/>
          <w:sz w:val="22"/>
          <w:szCs w:val="22"/>
        </w:rPr>
        <w:t>18</w:t>
      </w:r>
      <w:r w:rsidRPr="00EB266F">
        <w:rPr>
          <w:rFonts w:ascii="Arial" w:hAnsi="Arial" w:cs="Arial"/>
          <w:b/>
          <w:bCs/>
          <w:sz w:val="22"/>
          <w:szCs w:val="22"/>
        </w:rPr>
        <w:t xml:space="preserve"> July 2026).</w:t>
      </w:r>
    </w:p>
    <w:p w14:paraId="6D9C313F" w14:textId="74231756" w:rsidR="00EE23AA" w:rsidRPr="00EB266F" w:rsidRDefault="00EE23AA">
      <w:pPr>
        <w:numPr>
          <w:ilvl w:val="0"/>
          <w:numId w:val="2"/>
        </w:numPr>
        <w:spacing w:line="360" w:lineRule="auto"/>
        <w:rPr>
          <w:rFonts w:ascii="Arial" w:hAnsi="Arial" w:cs="Arial"/>
          <w:b/>
          <w:bCs/>
          <w:sz w:val="22"/>
          <w:szCs w:val="22"/>
        </w:rPr>
      </w:pPr>
      <w:r w:rsidRPr="00EE23AA">
        <w:rPr>
          <w:rFonts w:ascii="Arial" w:hAnsi="Arial" w:cs="Arial"/>
          <w:b/>
          <w:bCs/>
          <w:sz w:val="22"/>
          <w:szCs w:val="22"/>
        </w:rPr>
        <w:t>Nottinghamshire County Council (</w:t>
      </w:r>
      <w:r w:rsidRPr="00EE23AA">
        <w:rPr>
          <w:rFonts w:ascii="Arial" w:hAnsi="Arial" w:cs="Arial"/>
          <w:b/>
          <w:bCs/>
          <w:sz w:val="22"/>
          <w:szCs w:val="22"/>
        </w:rPr>
        <w:t>2026</w:t>
      </w:r>
      <w:r w:rsidRPr="00EE23AA">
        <w:rPr>
          <w:rFonts w:ascii="Arial" w:hAnsi="Arial" w:cs="Arial"/>
          <w:b/>
          <w:bCs/>
          <w:sz w:val="22"/>
          <w:szCs w:val="22"/>
        </w:rPr>
        <w:t xml:space="preserve">) Early help for families. Available at: </w:t>
      </w:r>
      <w:hyperlink r:id="rId15" w:history="1">
        <w:r w:rsidR="00EB266F" w:rsidRPr="00686676">
          <w:rPr>
            <w:rStyle w:val="Hyperlink"/>
            <w:rFonts w:ascii="Arial" w:hAnsi="Arial" w:cs="Arial"/>
            <w:b/>
            <w:bCs/>
            <w:sz w:val="22"/>
            <w:szCs w:val="22"/>
          </w:rPr>
          <w:t>h</w:t>
        </w:r>
        <w:r w:rsidR="00EB266F" w:rsidRPr="00686676">
          <w:rPr>
            <w:rStyle w:val="Hyperlink"/>
            <w:rFonts w:ascii="Arial" w:hAnsi="Arial" w:cs="Arial"/>
            <w:b/>
            <w:bCs/>
            <w:sz w:val="22"/>
            <w:szCs w:val="22"/>
          </w:rPr>
          <w:t>ttps://www.nottinghamshire.gov.uk</w:t>
        </w:r>
        <w:r w:rsidR="00EB266F" w:rsidRPr="00686676">
          <w:rPr>
            <w:rStyle w:val="Hyperlink"/>
            <w:rFonts w:ascii="Arial" w:hAnsi="Arial" w:cs="Arial"/>
            <w:b/>
            <w:bCs/>
            <w:sz w:val="22"/>
            <w:szCs w:val="22"/>
          </w:rPr>
          <w:t>/</w:t>
        </w:r>
      </w:hyperlink>
      <w:r w:rsidR="00EB266F">
        <w:rPr>
          <w:rFonts w:ascii="Arial" w:hAnsi="Arial" w:cs="Arial"/>
          <w:b/>
          <w:bCs/>
          <w:sz w:val="22"/>
          <w:szCs w:val="22"/>
        </w:rPr>
        <w:t xml:space="preserve"> </w:t>
      </w:r>
      <w:r w:rsidRPr="00EB266F">
        <w:rPr>
          <w:rFonts w:ascii="Arial" w:hAnsi="Arial" w:cs="Arial"/>
          <w:b/>
          <w:bCs/>
          <w:sz w:val="22"/>
          <w:szCs w:val="22"/>
        </w:rPr>
        <w:t xml:space="preserve">(Accessed: </w:t>
      </w:r>
      <w:r w:rsidR="00EB266F">
        <w:rPr>
          <w:rFonts w:ascii="Arial" w:hAnsi="Arial" w:cs="Arial"/>
          <w:b/>
          <w:bCs/>
          <w:sz w:val="22"/>
          <w:szCs w:val="22"/>
        </w:rPr>
        <w:t xml:space="preserve">18 </w:t>
      </w:r>
      <w:r w:rsidRPr="00EB266F">
        <w:rPr>
          <w:rFonts w:ascii="Arial" w:hAnsi="Arial" w:cs="Arial"/>
          <w:b/>
          <w:bCs/>
          <w:sz w:val="22"/>
          <w:szCs w:val="22"/>
        </w:rPr>
        <w:t>July 2026).</w:t>
      </w:r>
    </w:p>
    <w:p w14:paraId="3144CE4B" w14:textId="1733B212" w:rsidR="004A514A" w:rsidRPr="00707A3C" w:rsidRDefault="004A514A" w:rsidP="00F676B4">
      <w:pPr>
        <w:spacing w:line="360" w:lineRule="auto"/>
        <w:rPr>
          <w:rFonts w:ascii="Arial" w:hAnsi="Arial" w:cs="Arial"/>
          <w:b/>
          <w:bCs/>
          <w:sz w:val="22"/>
          <w:szCs w:val="22"/>
        </w:rPr>
      </w:pPr>
    </w:p>
    <w:p w14:paraId="2FD78ADA" w14:textId="4DA65029" w:rsidR="00BB679F" w:rsidRPr="00BB679F" w:rsidRDefault="00BB679F" w:rsidP="00BB679F">
      <w:pPr>
        <w:spacing w:line="360" w:lineRule="auto"/>
        <w:rPr>
          <w:rFonts w:ascii="Arial" w:hAnsi="Arial" w:cs="Arial"/>
          <w:b/>
          <w:bCs/>
          <w:sz w:val="22"/>
          <w:szCs w:val="22"/>
        </w:rPr>
      </w:pPr>
    </w:p>
    <w:p w14:paraId="15A38C41" w14:textId="77777777" w:rsidR="00AE2A78" w:rsidRDefault="00AE2A78" w:rsidP="00AE2A78">
      <w:pPr>
        <w:spacing w:line="360" w:lineRule="auto"/>
        <w:rPr>
          <w:rFonts w:ascii="Arial" w:hAnsi="Arial" w:cs="Arial"/>
          <w:b/>
          <w:bCs/>
          <w:sz w:val="22"/>
          <w:szCs w:val="22"/>
        </w:rPr>
      </w:pPr>
    </w:p>
    <w:p w14:paraId="0A9E1E18" w14:textId="77777777" w:rsidR="000126DA" w:rsidRDefault="000126DA" w:rsidP="000126DA">
      <w:pPr>
        <w:spacing w:line="360" w:lineRule="auto"/>
        <w:jc w:val="center"/>
        <w:rPr>
          <w:rFonts w:ascii="Arial" w:hAnsi="Arial" w:cs="Arial"/>
          <w:b/>
          <w:bCs/>
          <w:sz w:val="22"/>
          <w:szCs w:val="22"/>
        </w:rPr>
      </w:pPr>
    </w:p>
    <w:p w14:paraId="4F121FA8" w14:textId="77777777" w:rsidR="000126DA" w:rsidRPr="000126DA" w:rsidRDefault="000126DA" w:rsidP="000126DA">
      <w:pPr>
        <w:spacing w:line="360" w:lineRule="auto"/>
        <w:jc w:val="center"/>
        <w:rPr>
          <w:rFonts w:ascii="Arial" w:hAnsi="Arial" w:cs="Arial"/>
          <w:b/>
          <w:bCs/>
          <w:sz w:val="22"/>
          <w:szCs w:val="22"/>
        </w:rPr>
      </w:pPr>
    </w:p>
    <w:p w14:paraId="215A9805" w14:textId="77777777" w:rsidR="000126DA" w:rsidRPr="00C71151" w:rsidRDefault="000126DA" w:rsidP="000126DA">
      <w:pPr>
        <w:spacing w:line="360" w:lineRule="auto"/>
        <w:jc w:val="center"/>
        <w:rPr>
          <w:rFonts w:ascii="Arial" w:hAnsi="Arial" w:cs="Arial"/>
          <w:sz w:val="22"/>
          <w:szCs w:val="22"/>
        </w:rPr>
      </w:pPr>
    </w:p>
    <w:p w14:paraId="30FF9246" w14:textId="77777777" w:rsidR="000126DA" w:rsidRDefault="000126DA"/>
    <w:sectPr w:rsidR="000126D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3B387" w14:textId="77777777" w:rsidR="00B64B95" w:rsidRDefault="00B64B95" w:rsidP="00EB266F">
      <w:pPr>
        <w:spacing w:after="0" w:line="240" w:lineRule="auto"/>
      </w:pPr>
      <w:r>
        <w:separator/>
      </w:r>
    </w:p>
  </w:endnote>
  <w:endnote w:type="continuationSeparator" w:id="0">
    <w:p w14:paraId="6DB8C654" w14:textId="77777777" w:rsidR="00B64B95" w:rsidRDefault="00B64B95" w:rsidP="00EB2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42722"/>
      <w:docPartObj>
        <w:docPartGallery w:val="Page Numbers (Bottom of Page)"/>
        <w:docPartUnique/>
      </w:docPartObj>
    </w:sdtPr>
    <w:sdtEndPr>
      <w:rPr>
        <w:noProof/>
      </w:rPr>
    </w:sdtEndPr>
    <w:sdtContent>
      <w:p w14:paraId="1FD1B57A" w14:textId="2C458833" w:rsidR="00EB266F" w:rsidRDefault="00EB266F">
        <w:pPr>
          <w:pStyle w:val="Footer"/>
        </w:pPr>
        <w:r>
          <w:fldChar w:fldCharType="begin"/>
        </w:r>
        <w:r>
          <w:instrText xml:space="preserve"> PAGE   \* MERGEFORMAT </w:instrText>
        </w:r>
        <w:r>
          <w:fldChar w:fldCharType="separate"/>
        </w:r>
        <w:r>
          <w:rPr>
            <w:noProof/>
          </w:rPr>
          <w:t>2</w:t>
        </w:r>
        <w:r>
          <w:rPr>
            <w:noProof/>
          </w:rPr>
          <w:fldChar w:fldCharType="end"/>
        </w:r>
      </w:p>
    </w:sdtContent>
  </w:sdt>
  <w:p w14:paraId="14097147" w14:textId="77777777" w:rsidR="00EB266F" w:rsidRDefault="00EB2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15D62" w14:textId="77777777" w:rsidR="00B64B95" w:rsidRDefault="00B64B95" w:rsidP="00EB266F">
      <w:pPr>
        <w:spacing w:after="0" w:line="240" w:lineRule="auto"/>
      </w:pPr>
      <w:r>
        <w:separator/>
      </w:r>
    </w:p>
  </w:footnote>
  <w:footnote w:type="continuationSeparator" w:id="0">
    <w:p w14:paraId="23BB613A" w14:textId="77777777" w:rsidR="00B64B95" w:rsidRDefault="00B64B95" w:rsidP="00EB2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2710C"/>
    <w:multiLevelType w:val="multilevel"/>
    <w:tmpl w:val="01CC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B5294B"/>
    <w:multiLevelType w:val="multilevel"/>
    <w:tmpl w:val="01CC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313412">
    <w:abstractNumId w:val="0"/>
  </w:num>
  <w:num w:numId="2" w16cid:durableId="152451351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6DA"/>
    <w:rsid w:val="000126DA"/>
    <w:rsid w:val="004A514A"/>
    <w:rsid w:val="005F1D85"/>
    <w:rsid w:val="00707A3C"/>
    <w:rsid w:val="00851CA4"/>
    <w:rsid w:val="00A1062A"/>
    <w:rsid w:val="00AE2A78"/>
    <w:rsid w:val="00B64B95"/>
    <w:rsid w:val="00BB679F"/>
    <w:rsid w:val="00C74590"/>
    <w:rsid w:val="00EB266F"/>
    <w:rsid w:val="00EE23AA"/>
    <w:rsid w:val="00F67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2C367"/>
  <w15:chartTrackingRefBased/>
  <w15:docId w15:val="{5A9428F7-F22B-4984-AF41-6ACB06BCB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DA"/>
  </w:style>
  <w:style w:type="paragraph" w:styleId="Heading1">
    <w:name w:val="heading 1"/>
    <w:basedOn w:val="Normal"/>
    <w:next w:val="Normal"/>
    <w:link w:val="Heading1Char"/>
    <w:uiPriority w:val="9"/>
    <w:qFormat/>
    <w:rsid w:val="000126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2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26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6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6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6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6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6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6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2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2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6DA"/>
    <w:rPr>
      <w:rFonts w:eastAsiaTheme="majorEastAsia" w:cstheme="majorBidi"/>
      <w:color w:val="272727" w:themeColor="text1" w:themeTint="D8"/>
    </w:rPr>
  </w:style>
  <w:style w:type="paragraph" w:styleId="Title">
    <w:name w:val="Title"/>
    <w:basedOn w:val="Normal"/>
    <w:next w:val="Normal"/>
    <w:link w:val="TitleChar"/>
    <w:uiPriority w:val="10"/>
    <w:qFormat/>
    <w:rsid w:val="00012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6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6DA"/>
    <w:pPr>
      <w:spacing w:before="160"/>
      <w:jc w:val="center"/>
    </w:pPr>
    <w:rPr>
      <w:i/>
      <w:iCs/>
      <w:color w:val="404040" w:themeColor="text1" w:themeTint="BF"/>
    </w:rPr>
  </w:style>
  <w:style w:type="character" w:customStyle="1" w:styleId="QuoteChar">
    <w:name w:val="Quote Char"/>
    <w:basedOn w:val="DefaultParagraphFont"/>
    <w:link w:val="Quote"/>
    <w:uiPriority w:val="29"/>
    <w:rsid w:val="000126DA"/>
    <w:rPr>
      <w:i/>
      <w:iCs/>
      <w:color w:val="404040" w:themeColor="text1" w:themeTint="BF"/>
    </w:rPr>
  </w:style>
  <w:style w:type="paragraph" w:styleId="ListParagraph">
    <w:name w:val="List Paragraph"/>
    <w:basedOn w:val="Normal"/>
    <w:uiPriority w:val="34"/>
    <w:qFormat/>
    <w:rsid w:val="000126DA"/>
    <w:pPr>
      <w:ind w:left="720"/>
      <w:contextualSpacing/>
    </w:pPr>
  </w:style>
  <w:style w:type="character" w:styleId="IntenseEmphasis">
    <w:name w:val="Intense Emphasis"/>
    <w:basedOn w:val="DefaultParagraphFont"/>
    <w:uiPriority w:val="21"/>
    <w:qFormat/>
    <w:rsid w:val="000126DA"/>
    <w:rPr>
      <w:i/>
      <w:iCs/>
      <w:color w:val="0F4761" w:themeColor="accent1" w:themeShade="BF"/>
    </w:rPr>
  </w:style>
  <w:style w:type="paragraph" w:styleId="IntenseQuote">
    <w:name w:val="Intense Quote"/>
    <w:basedOn w:val="Normal"/>
    <w:next w:val="Normal"/>
    <w:link w:val="IntenseQuoteChar"/>
    <w:uiPriority w:val="30"/>
    <w:qFormat/>
    <w:rsid w:val="00012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6DA"/>
    <w:rPr>
      <w:i/>
      <w:iCs/>
      <w:color w:val="0F4761" w:themeColor="accent1" w:themeShade="BF"/>
    </w:rPr>
  </w:style>
  <w:style w:type="character" w:styleId="IntenseReference">
    <w:name w:val="Intense Reference"/>
    <w:basedOn w:val="DefaultParagraphFont"/>
    <w:uiPriority w:val="32"/>
    <w:qFormat/>
    <w:rsid w:val="000126DA"/>
    <w:rPr>
      <w:b/>
      <w:bCs/>
      <w:smallCaps/>
      <w:color w:val="0F4761" w:themeColor="accent1" w:themeShade="BF"/>
      <w:spacing w:val="5"/>
    </w:rPr>
  </w:style>
  <w:style w:type="character" w:styleId="Hyperlink">
    <w:name w:val="Hyperlink"/>
    <w:basedOn w:val="DefaultParagraphFont"/>
    <w:uiPriority w:val="99"/>
    <w:unhideWhenUsed/>
    <w:rsid w:val="00AE2A78"/>
    <w:rPr>
      <w:color w:val="467886" w:themeColor="hyperlink"/>
      <w:u w:val="single"/>
    </w:rPr>
  </w:style>
  <w:style w:type="character" w:styleId="UnresolvedMention">
    <w:name w:val="Unresolved Mention"/>
    <w:basedOn w:val="DefaultParagraphFont"/>
    <w:uiPriority w:val="99"/>
    <w:semiHidden/>
    <w:unhideWhenUsed/>
    <w:rsid w:val="00AE2A78"/>
    <w:rPr>
      <w:color w:val="605E5C"/>
      <w:shd w:val="clear" w:color="auto" w:fill="E1DFDD"/>
    </w:rPr>
  </w:style>
  <w:style w:type="character" w:styleId="FollowedHyperlink">
    <w:name w:val="FollowedHyperlink"/>
    <w:basedOn w:val="DefaultParagraphFont"/>
    <w:uiPriority w:val="99"/>
    <w:semiHidden/>
    <w:unhideWhenUsed/>
    <w:rsid w:val="00EE23AA"/>
    <w:rPr>
      <w:color w:val="96607D" w:themeColor="followedHyperlink"/>
      <w:u w:val="single"/>
    </w:rPr>
  </w:style>
  <w:style w:type="paragraph" w:styleId="Header">
    <w:name w:val="header"/>
    <w:basedOn w:val="Normal"/>
    <w:link w:val="HeaderChar"/>
    <w:uiPriority w:val="99"/>
    <w:unhideWhenUsed/>
    <w:rsid w:val="00EB2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66F"/>
  </w:style>
  <w:style w:type="paragraph" w:styleId="Footer">
    <w:name w:val="footer"/>
    <w:basedOn w:val="Normal"/>
    <w:link w:val="FooterChar"/>
    <w:uiPriority w:val="99"/>
    <w:unhideWhenUsed/>
    <w:rsid w:val="00EB2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023-statutory-guidance/" TargetMode="External"/><Relationship Id="rId13" Type="http://schemas.openxmlformats.org/officeDocument/2006/relationships/hyperlink" Target="https://www.leeds.gov.uk/one-minute-guides/early-hel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service-manual/technology/designing-for-different-browsers-and-devices/" TargetMode="External"/><Relationship Id="rId12" Type="http://schemas.openxmlformats.org/officeDocument/2006/relationships/hyperlink" Target="https://www.gov.uk/government/publications/safeguarding-practitioners-information-sharing-advi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uidance.publishing.service.gov.uk/writing-to-gov-uk-standards/writing-guidelines/" TargetMode="External"/><Relationship Id="rId5" Type="http://schemas.openxmlformats.org/officeDocument/2006/relationships/footnotes" Target="footnotes.xml"/><Relationship Id="rId15" Type="http://schemas.openxmlformats.org/officeDocument/2006/relationships/hyperlink" Target="https://www.nottinghamshire.gov.uk/" TargetMode="External"/><Relationship Id="rId10" Type="http://schemas.openxmlformats.org/officeDocument/2006/relationships/hyperlink" Target="https://assets.publishing.service.gov.uk/media/628de13be90e071f5f7e1bd2/Early_Help_System_Guide.pdf/" TargetMode="External"/><Relationship Id="rId4" Type="http://schemas.openxmlformats.org/officeDocument/2006/relationships/webSettings" Target="webSettings.xml"/><Relationship Id="rId9" Type="http://schemas.openxmlformats.org/officeDocument/2006/relationships/hyperlink" Target="https://www.gov.uk/government/publications/keeping-children-safe-in-education--2/" TargetMode="External"/><Relationship Id="rId14" Type="http://schemas.openxmlformats.org/officeDocument/2006/relationships/hyperlink" Target="https://www.leicester.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TotalTime>
  <Pages>9</Pages>
  <Words>2412</Words>
  <Characters>13752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dc:creator>
  <cp:keywords/>
  <dc:description/>
  <cp:lastModifiedBy>heena khan</cp:lastModifiedBy>
  <cp:revision>1</cp:revision>
  <dcterms:created xsi:type="dcterms:W3CDTF">2026-07-19T22:07:00Z</dcterms:created>
  <dcterms:modified xsi:type="dcterms:W3CDTF">2026-07-19T23:55:00Z</dcterms:modified>
</cp:coreProperties>
</file>