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4452" w:rsidRDefault="00844452" w:rsidP="00844452">
      <w:pPr>
        <w:jc w:val="center"/>
      </w:pPr>
      <w:r>
        <w:rPr>
          <w:noProof/>
        </w:rPr>
        <w:drawing>
          <wp:inline distT="0" distB="0" distL="0" distR="0" wp14:anchorId="4450CF89" wp14:editId="6B36A0AB">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fldChar w:fldCharType="begin"/>
      </w:r>
      <w:r>
        <w:instrText xml:space="preserve"> INCLUDEPICTURE "C:\\Users\\AzZedin01\\Library\\Group Containers\\UBF8T346G9.ms\\WebArchiveCopyPasteTempFiles\\com.microsoft.Word\\8P2xdp3q1g646AAAAAElFTkSuQmCC" \* MERGEFORMAT </w:instrText>
      </w:r>
      <w:r>
        <w:fldChar w:fldCharType="end"/>
      </w:r>
    </w:p>
    <w:p w:rsidR="00844452" w:rsidRDefault="00844452" w:rsidP="00844452">
      <w:pPr>
        <w:jc w:val="center"/>
      </w:pPr>
    </w:p>
    <w:p w:rsidR="00844452" w:rsidRDefault="00844452" w:rsidP="00844452">
      <w:pPr>
        <w:jc w:val="center"/>
      </w:pPr>
    </w:p>
    <w:p w:rsidR="00844452" w:rsidRDefault="00844452" w:rsidP="00844452">
      <w:pPr>
        <w:jc w:val="center"/>
      </w:pPr>
    </w:p>
    <w:p w:rsidR="00844452" w:rsidRDefault="00844452" w:rsidP="00844452">
      <w:pPr>
        <w:jc w:val="center"/>
      </w:pPr>
    </w:p>
    <w:p w:rsidR="00844452" w:rsidRDefault="00844452" w:rsidP="00844452">
      <w:pPr>
        <w:jc w:val="center"/>
      </w:pPr>
    </w:p>
    <w:p w:rsidR="00844452" w:rsidRPr="00646406" w:rsidRDefault="00844452" w:rsidP="00844452">
      <w:pPr>
        <w:jc w:val="center"/>
        <w:rPr>
          <w:rFonts w:ascii="Arial" w:hAnsi="Arial" w:cs="Arial"/>
          <w:b/>
          <w:bCs/>
        </w:rPr>
      </w:pPr>
      <w:r>
        <w:rPr>
          <w:rFonts w:ascii="Arial" w:hAnsi="Arial" w:cs="Arial"/>
          <w:b/>
          <w:bCs/>
        </w:rPr>
        <w:t>Student Name</w:t>
      </w:r>
      <w:r w:rsidRPr="00646406">
        <w:rPr>
          <w:rFonts w:ascii="Arial" w:hAnsi="Arial" w:cs="Arial"/>
          <w:b/>
          <w:bCs/>
        </w:rPr>
        <w:t>:</w:t>
      </w:r>
      <w:r>
        <w:rPr>
          <w:rFonts w:ascii="Arial" w:hAnsi="Arial" w:cs="Arial"/>
          <w:b/>
          <w:bCs/>
        </w:rPr>
        <w:t xml:space="preserve"> </w:t>
      </w:r>
      <w:proofErr w:type="spellStart"/>
      <w:r>
        <w:rPr>
          <w:rFonts w:ascii="Arial" w:hAnsi="Arial" w:cs="Arial"/>
          <w:b/>
          <w:bCs/>
        </w:rPr>
        <w:t>Chirag</w:t>
      </w:r>
      <w:proofErr w:type="spellEnd"/>
      <w:r>
        <w:rPr>
          <w:rFonts w:ascii="Arial" w:hAnsi="Arial" w:cs="Arial"/>
          <w:b/>
          <w:bCs/>
        </w:rPr>
        <w:t xml:space="preserve"> </w:t>
      </w:r>
      <w:proofErr w:type="spellStart"/>
      <w:r>
        <w:rPr>
          <w:rFonts w:ascii="Arial" w:hAnsi="Arial" w:cs="Arial"/>
          <w:b/>
          <w:bCs/>
        </w:rPr>
        <w:t>Arvind</w:t>
      </w:r>
      <w:proofErr w:type="spellEnd"/>
      <w:r>
        <w:rPr>
          <w:rFonts w:ascii="Arial" w:hAnsi="Arial" w:cs="Arial"/>
          <w:b/>
          <w:bCs/>
        </w:rPr>
        <w:t xml:space="preserve"> </w:t>
      </w:r>
      <w:proofErr w:type="spellStart"/>
      <w:r>
        <w:rPr>
          <w:rFonts w:ascii="Arial" w:hAnsi="Arial" w:cs="Arial"/>
          <w:b/>
          <w:bCs/>
        </w:rPr>
        <w:t>Kapadia</w:t>
      </w:r>
      <w:proofErr w:type="spellEnd"/>
    </w:p>
    <w:p w:rsidR="00844452" w:rsidRPr="00646406" w:rsidRDefault="00844452" w:rsidP="00844452">
      <w:pPr>
        <w:jc w:val="center"/>
        <w:rPr>
          <w:rFonts w:ascii="Arial" w:hAnsi="Arial" w:cs="Arial"/>
          <w:b/>
          <w:bCs/>
        </w:rPr>
      </w:pPr>
    </w:p>
    <w:p w:rsidR="00844452" w:rsidRPr="00646406" w:rsidRDefault="00844452" w:rsidP="00844452">
      <w:pPr>
        <w:jc w:val="center"/>
        <w:rPr>
          <w:rFonts w:ascii="Arial" w:hAnsi="Arial" w:cs="Arial"/>
          <w:b/>
          <w:bCs/>
        </w:rPr>
      </w:pPr>
      <w:r>
        <w:rPr>
          <w:rFonts w:ascii="Arial" w:hAnsi="Arial" w:cs="Arial"/>
          <w:b/>
          <w:bCs/>
        </w:rPr>
        <w:t>Student ID</w:t>
      </w:r>
      <w:proofErr w:type="gramStart"/>
      <w:r w:rsidRPr="00646406">
        <w:rPr>
          <w:rFonts w:ascii="Arial" w:hAnsi="Arial" w:cs="Arial"/>
          <w:b/>
          <w:bCs/>
        </w:rPr>
        <w:t>:</w:t>
      </w:r>
      <w:r>
        <w:rPr>
          <w:rFonts w:ascii="Arial" w:hAnsi="Arial" w:cs="Arial"/>
          <w:b/>
          <w:bCs/>
        </w:rPr>
        <w:t>2521160</w:t>
      </w:r>
      <w:proofErr w:type="gramEnd"/>
    </w:p>
    <w:p w:rsidR="00844452" w:rsidRPr="00646406" w:rsidRDefault="00844452" w:rsidP="00844452">
      <w:pPr>
        <w:jc w:val="center"/>
        <w:rPr>
          <w:rFonts w:ascii="Arial" w:hAnsi="Arial" w:cs="Arial"/>
        </w:rPr>
      </w:pPr>
    </w:p>
    <w:p w:rsidR="00844452" w:rsidRPr="00646406" w:rsidRDefault="00844452" w:rsidP="00844452">
      <w:pPr>
        <w:jc w:val="center"/>
        <w:rPr>
          <w:rFonts w:ascii="Arial" w:hAnsi="Arial" w:cs="Arial"/>
        </w:rPr>
      </w:pPr>
    </w:p>
    <w:p w:rsidR="00844452" w:rsidRPr="00646406" w:rsidRDefault="00844452" w:rsidP="00844452">
      <w:pPr>
        <w:jc w:val="center"/>
        <w:rPr>
          <w:rFonts w:ascii="Arial" w:hAnsi="Arial" w:cs="Arial"/>
          <w:b/>
          <w:bCs/>
        </w:rPr>
      </w:pPr>
      <w:r>
        <w:rPr>
          <w:rFonts w:ascii="Arial" w:hAnsi="Arial" w:cs="Arial"/>
          <w:b/>
          <w:bCs/>
        </w:rPr>
        <w:t xml:space="preserve">Module </w:t>
      </w:r>
      <w:r>
        <w:rPr>
          <w:rFonts w:ascii="Arial" w:hAnsi="Arial" w:cs="Arial"/>
          <w:b/>
          <w:bCs/>
        </w:rPr>
        <w:t xml:space="preserve">Name: </w:t>
      </w:r>
      <w:r w:rsidRPr="00844452">
        <w:rPr>
          <w:rFonts w:ascii="Arial" w:hAnsi="Arial" w:cs="Arial"/>
          <w:b/>
          <w:bCs/>
        </w:rPr>
        <w:t>International Marketing</w:t>
      </w:r>
    </w:p>
    <w:p w:rsidR="00844452" w:rsidRPr="00646406" w:rsidRDefault="00844452" w:rsidP="00844452">
      <w:pPr>
        <w:jc w:val="center"/>
        <w:rPr>
          <w:rFonts w:ascii="Arial" w:hAnsi="Arial" w:cs="Arial"/>
          <w:b/>
          <w:bCs/>
        </w:rPr>
      </w:pPr>
    </w:p>
    <w:p w:rsidR="00844452" w:rsidRPr="00646406" w:rsidRDefault="00844452" w:rsidP="00844452">
      <w:pPr>
        <w:jc w:val="center"/>
        <w:rPr>
          <w:rFonts w:ascii="Arial" w:hAnsi="Arial" w:cs="Arial"/>
          <w:b/>
          <w:bCs/>
        </w:rPr>
      </w:pPr>
      <w:r>
        <w:rPr>
          <w:rFonts w:ascii="Arial" w:hAnsi="Arial" w:cs="Arial"/>
          <w:b/>
          <w:bCs/>
        </w:rPr>
        <w:t>Module Code</w:t>
      </w:r>
      <w:r w:rsidRPr="00646406">
        <w:rPr>
          <w:rFonts w:ascii="Arial" w:hAnsi="Arial" w:cs="Arial"/>
          <w:b/>
          <w:bCs/>
        </w:rPr>
        <w:t xml:space="preserve">: </w:t>
      </w:r>
      <w:r w:rsidRPr="00844452">
        <w:rPr>
          <w:b/>
          <w:sz w:val="28"/>
          <w:szCs w:val="28"/>
        </w:rPr>
        <w:t>LCMB7026</w:t>
      </w:r>
    </w:p>
    <w:p w:rsidR="00844452" w:rsidRPr="00646406" w:rsidRDefault="00844452" w:rsidP="00844452">
      <w:pPr>
        <w:jc w:val="center"/>
        <w:rPr>
          <w:rFonts w:ascii="Arial" w:hAnsi="Arial" w:cs="Arial"/>
          <w:b/>
          <w:bCs/>
        </w:rPr>
      </w:pPr>
    </w:p>
    <w:p w:rsidR="00844452" w:rsidRPr="00646406" w:rsidRDefault="00844452" w:rsidP="00844452">
      <w:pPr>
        <w:jc w:val="center"/>
        <w:rPr>
          <w:rFonts w:ascii="Arial" w:hAnsi="Arial" w:cs="Arial"/>
          <w:b/>
          <w:bCs/>
        </w:rPr>
      </w:pPr>
    </w:p>
    <w:p w:rsidR="00844452" w:rsidRPr="00646406" w:rsidRDefault="00844452" w:rsidP="00844452">
      <w:pPr>
        <w:jc w:val="center"/>
        <w:rPr>
          <w:rFonts w:ascii="Arial" w:hAnsi="Arial" w:cs="Arial"/>
          <w:b/>
          <w:bCs/>
        </w:rPr>
      </w:pPr>
    </w:p>
    <w:p w:rsidR="00844452" w:rsidRPr="00646406" w:rsidRDefault="00844452" w:rsidP="00844452">
      <w:pPr>
        <w:jc w:val="center"/>
        <w:rPr>
          <w:rFonts w:ascii="Arial" w:hAnsi="Arial" w:cs="Arial"/>
          <w:b/>
          <w:bCs/>
        </w:rPr>
      </w:pPr>
    </w:p>
    <w:p w:rsidR="00844452" w:rsidRPr="00646406" w:rsidRDefault="00844452" w:rsidP="00844452">
      <w:pPr>
        <w:jc w:val="center"/>
        <w:rPr>
          <w:rFonts w:ascii="Arial" w:hAnsi="Arial" w:cs="Arial"/>
          <w:b/>
          <w:bCs/>
        </w:rPr>
      </w:pPr>
      <w:r>
        <w:rPr>
          <w:rFonts w:ascii="Arial" w:hAnsi="Arial" w:cs="Arial"/>
          <w:b/>
          <w:bCs/>
        </w:rPr>
        <w:t>Lecturer’s Name</w:t>
      </w:r>
      <w:r w:rsidRPr="00646406">
        <w:rPr>
          <w:rFonts w:ascii="Arial" w:hAnsi="Arial" w:cs="Arial"/>
          <w:b/>
          <w:bCs/>
        </w:rPr>
        <w:t>:</w:t>
      </w:r>
      <w:r w:rsidRPr="009A17C3">
        <w:t xml:space="preserve"> </w:t>
      </w:r>
      <w:proofErr w:type="spellStart"/>
      <w:r w:rsidRPr="00844452">
        <w:rPr>
          <w:b/>
          <w:sz w:val="28"/>
          <w:szCs w:val="28"/>
        </w:rPr>
        <w:t>Tushara</w:t>
      </w:r>
      <w:proofErr w:type="spellEnd"/>
      <w:r w:rsidRPr="00844452">
        <w:rPr>
          <w:b/>
          <w:sz w:val="28"/>
          <w:szCs w:val="28"/>
        </w:rPr>
        <w:t xml:space="preserve"> </w:t>
      </w:r>
      <w:proofErr w:type="spellStart"/>
      <w:r w:rsidRPr="00844452">
        <w:rPr>
          <w:b/>
          <w:sz w:val="28"/>
          <w:szCs w:val="28"/>
        </w:rPr>
        <w:t>Balendran</w:t>
      </w:r>
      <w:proofErr w:type="spellEnd"/>
    </w:p>
    <w:p w:rsidR="00844452" w:rsidRPr="00646406" w:rsidRDefault="00844452" w:rsidP="00844452">
      <w:pPr>
        <w:jc w:val="center"/>
        <w:rPr>
          <w:rFonts w:ascii="Arial" w:hAnsi="Arial" w:cs="Arial"/>
          <w:b/>
          <w:bCs/>
        </w:rPr>
      </w:pPr>
    </w:p>
    <w:p w:rsidR="00844452" w:rsidRPr="00646406" w:rsidRDefault="00844452" w:rsidP="00844452">
      <w:pPr>
        <w:jc w:val="center"/>
        <w:rPr>
          <w:rFonts w:ascii="Arial" w:hAnsi="Arial" w:cs="Arial"/>
          <w:b/>
          <w:bCs/>
        </w:rPr>
      </w:pPr>
    </w:p>
    <w:p w:rsidR="00844452" w:rsidRPr="00646406" w:rsidRDefault="00844452" w:rsidP="00844452">
      <w:pPr>
        <w:jc w:val="center"/>
        <w:rPr>
          <w:rFonts w:ascii="Arial" w:hAnsi="Arial" w:cs="Arial"/>
          <w:b/>
          <w:bCs/>
        </w:rPr>
      </w:pPr>
    </w:p>
    <w:p w:rsidR="00844452" w:rsidRDefault="00844452" w:rsidP="00844452">
      <w:pPr>
        <w:jc w:val="center"/>
        <w:rPr>
          <w:rFonts w:ascii="Arial" w:hAnsi="Arial" w:cs="Arial"/>
          <w:b/>
          <w:bCs/>
        </w:rPr>
      </w:pPr>
    </w:p>
    <w:p w:rsidR="00844452" w:rsidRDefault="00844452" w:rsidP="00844452">
      <w:pPr>
        <w:jc w:val="center"/>
        <w:rPr>
          <w:rFonts w:ascii="Arial" w:hAnsi="Arial" w:cs="Arial"/>
          <w:b/>
          <w:bCs/>
        </w:rPr>
      </w:pPr>
    </w:p>
    <w:p w:rsidR="00844452" w:rsidRDefault="00844452" w:rsidP="00844452">
      <w:pPr>
        <w:jc w:val="center"/>
        <w:rPr>
          <w:rFonts w:ascii="Arial" w:hAnsi="Arial" w:cs="Arial"/>
          <w:b/>
          <w:bCs/>
        </w:rPr>
      </w:pPr>
    </w:p>
    <w:p w:rsidR="00844452" w:rsidRPr="00646406" w:rsidRDefault="00844452" w:rsidP="00844452">
      <w:pPr>
        <w:jc w:val="center"/>
        <w:rPr>
          <w:rFonts w:ascii="Arial" w:hAnsi="Arial" w:cs="Arial"/>
          <w:b/>
          <w:bCs/>
        </w:rPr>
      </w:pPr>
      <w:r>
        <w:rPr>
          <w:rFonts w:ascii="Arial" w:hAnsi="Arial" w:cs="Arial"/>
          <w:b/>
          <w:bCs/>
        </w:rPr>
        <w:t>Term 2</w:t>
      </w:r>
    </w:p>
    <w:p w:rsidR="00844452" w:rsidRDefault="00844452" w:rsidP="00844452">
      <w:pPr>
        <w:spacing w:before="1800"/>
        <w:jc w:val="center"/>
        <w:rPr>
          <w:b/>
          <w:bCs/>
          <w:color w:val="595959"/>
          <w:sz w:val="26"/>
          <w:szCs w:val="26"/>
        </w:rPr>
      </w:pPr>
    </w:p>
    <w:p w:rsidR="00844452" w:rsidRDefault="00844452" w:rsidP="00844452">
      <w:pPr>
        <w:spacing w:before="1800"/>
        <w:jc w:val="center"/>
        <w:rPr>
          <w:b/>
          <w:bCs/>
          <w:color w:val="595959"/>
          <w:sz w:val="26"/>
          <w:szCs w:val="26"/>
        </w:rPr>
      </w:pPr>
    </w:p>
    <w:p w:rsidR="00093093" w:rsidRDefault="00093093">
      <w:pPr>
        <w:spacing w:before="1600"/>
      </w:pPr>
    </w:p>
    <w:p w:rsidR="00093093" w:rsidRDefault="00805074">
      <w:pPr>
        <w:spacing w:after="120"/>
        <w:jc w:val="center"/>
      </w:pPr>
      <w:r>
        <w:rPr>
          <w:b/>
          <w:bCs/>
          <w:sz w:val="36"/>
          <w:szCs w:val="36"/>
        </w:rPr>
        <w:t>Market Entry Strategy Analysis:</w:t>
      </w:r>
    </w:p>
    <w:p w:rsidR="00093093" w:rsidRDefault="00805074">
      <w:pPr>
        <w:spacing w:after="600"/>
        <w:jc w:val="center"/>
      </w:pPr>
      <w:r>
        <w:rPr>
          <w:b/>
          <w:bCs/>
          <w:sz w:val="32"/>
          <w:szCs w:val="32"/>
        </w:rPr>
        <w:t>Emirates Airline's Potential Entry into Iceland</w:t>
      </w:r>
    </w:p>
    <w:p w:rsidR="00093093" w:rsidRDefault="00805074" w:rsidP="009530B0">
      <w:pPr>
        <w:spacing w:after="1200"/>
        <w:jc w:val="center"/>
        <w:rPr>
          <w:i/>
          <w:iCs/>
          <w:sz w:val="24"/>
          <w:szCs w:val="24"/>
        </w:rPr>
      </w:pPr>
      <w:r>
        <w:rPr>
          <w:i/>
          <w:iCs/>
          <w:sz w:val="24"/>
          <w:szCs w:val="24"/>
        </w:rPr>
        <w:t xml:space="preserve">A Critical Analysis of International Strategy, Macro-Environmental Attractiveness and Entry </w:t>
      </w:r>
    </w:p>
    <w:p w:rsidR="009530B0" w:rsidRDefault="009530B0" w:rsidP="009530B0">
      <w:pPr>
        <w:spacing w:after="1200"/>
        <w:jc w:val="center"/>
        <w:rPr>
          <w:i/>
          <w:iCs/>
          <w:sz w:val="24"/>
          <w:szCs w:val="24"/>
        </w:rPr>
      </w:pPr>
    </w:p>
    <w:p w:rsidR="009530B0" w:rsidRDefault="009530B0" w:rsidP="009530B0">
      <w:pPr>
        <w:spacing w:after="1200"/>
        <w:jc w:val="center"/>
        <w:rPr>
          <w:i/>
          <w:iCs/>
          <w:sz w:val="24"/>
          <w:szCs w:val="24"/>
        </w:rPr>
      </w:pPr>
    </w:p>
    <w:p w:rsidR="009530B0" w:rsidRDefault="009530B0" w:rsidP="009530B0">
      <w:pPr>
        <w:spacing w:after="1200"/>
        <w:jc w:val="center"/>
        <w:rPr>
          <w:i/>
          <w:iCs/>
          <w:sz w:val="24"/>
          <w:szCs w:val="24"/>
        </w:rPr>
      </w:pPr>
    </w:p>
    <w:p w:rsidR="009530B0" w:rsidRDefault="009530B0" w:rsidP="009530B0">
      <w:pPr>
        <w:spacing w:after="1200"/>
        <w:jc w:val="center"/>
        <w:rPr>
          <w:i/>
          <w:iCs/>
          <w:sz w:val="24"/>
          <w:szCs w:val="24"/>
        </w:rPr>
      </w:pPr>
    </w:p>
    <w:p w:rsidR="009530B0" w:rsidRDefault="009530B0" w:rsidP="009530B0">
      <w:pPr>
        <w:spacing w:after="1200"/>
        <w:jc w:val="center"/>
        <w:rPr>
          <w:i/>
          <w:iCs/>
          <w:sz w:val="24"/>
          <w:szCs w:val="24"/>
        </w:rPr>
      </w:pPr>
    </w:p>
    <w:p w:rsidR="009530B0" w:rsidRDefault="009530B0" w:rsidP="009530B0">
      <w:pPr>
        <w:spacing w:after="1200"/>
        <w:jc w:val="center"/>
      </w:pPr>
    </w:p>
    <w:p w:rsidR="000C097B" w:rsidRDefault="000C097B">
      <w:pPr>
        <w:pStyle w:val="Heading1"/>
      </w:pPr>
    </w:p>
    <w:p w:rsidR="000C097B" w:rsidRDefault="000C097B">
      <w:pPr>
        <w:pStyle w:val="Heading1"/>
      </w:pPr>
    </w:p>
    <w:p w:rsidR="000C097B" w:rsidRDefault="000C097B">
      <w:pPr>
        <w:pStyle w:val="Heading1"/>
      </w:pPr>
    </w:p>
    <w:p w:rsidR="00093093" w:rsidRDefault="00805074">
      <w:pPr>
        <w:pStyle w:val="Heading1"/>
      </w:pPr>
      <w:bookmarkStart w:id="0" w:name="_GoBack"/>
      <w:bookmarkEnd w:id="0"/>
      <w:r>
        <w:lastRenderedPageBreak/>
        <w:t>Introduction</w:t>
      </w:r>
    </w:p>
    <w:p w:rsidR="00093093" w:rsidRDefault="00805074">
      <w:pPr>
        <w:spacing w:after="200" w:line="360" w:lineRule="auto"/>
        <w:jc w:val="both"/>
      </w:pPr>
      <w:r>
        <w:t>This assignment examines the international market entry considerations of Emirates airline, the flag carrier of the United Arab Emirates (UAE) and the principal airline subsidiary of t</w:t>
      </w:r>
      <w:r>
        <w:t>he Emirates Group, wholly owned by the Investment Corporation of Dubai (ICD) (Emirates Group, 2025). Emirates operates a global network from its Dubai hub to 152 destinations across 76 countries (</w:t>
      </w:r>
      <w:proofErr w:type="spellStart"/>
      <w:r>
        <w:t>FlightConnections</w:t>
      </w:r>
      <w:proofErr w:type="spellEnd"/>
      <w:r>
        <w:t>, 2026), yet, based on publicly available s</w:t>
      </w:r>
      <w:r>
        <w:t xml:space="preserve">cheduling, route and destination data as of 1 June 2026, it has no wholly-owned direct scheduled service, subsidiary, ground-handling operation or formal commercial presence in Iceland. Third-party travel agents and </w:t>
      </w:r>
      <w:proofErr w:type="spellStart"/>
      <w:r>
        <w:t>metasearch</w:t>
      </w:r>
      <w:proofErr w:type="spellEnd"/>
      <w:r>
        <w:t xml:space="preserve"> sites list Emirates among car</w:t>
      </w:r>
      <w:r>
        <w:t>riers 'flying to' Reykjavík (</w:t>
      </w:r>
      <w:proofErr w:type="spellStart"/>
      <w:r>
        <w:t>Keflavík</w:t>
      </w:r>
      <w:proofErr w:type="spellEnd"/>
      <w:r>
        <w:t>); however, closer inspection shows these are interline or connecting itineraries routed through partner-operated legs rather than Emirates-operated flights, and Iceland does not appear among the countries Emirates serv</w:t>
      </w:r>
      <w:r>
        <w:t>es directly (</w:t>
      </w:r>
      <w:proofErr w:type="spellStart"/>
      <w:r>
        <w:t>FlightConnections</w:t>
      </w:r>
      <w:proofErr w:type="spellEnd"/>
      <w:r>
        <w:t>, 2026; Booking.com, 2026). This limited, indirect presence is noted and set aside for the purposes of this analysis, which treats Iceland as a genuine 'no significant operational presence' target market, consistent with the a</w:t>
      </w:r>
      <w:r>
        <w:t>ssignment brief.</w:t>
      </w:r>
    </w:p>
    <w:p w:rsidR="00093093" w:rsidRDefault="00805074">
      <w:pPr>
        <w:spacing w:after="200" w:line="360" w:lineRule="auto"/>
        <w:jc w:val="both"/>
      </w:pPr>
      <w:r>
        <w:t xml:space="preserve">The report is structured in three parts. Section 1 classifies Emirates' international strategy using Bartlett and </w:t>
      </w:r>
      <w:proofErr w:type="spellStart"/>
      <w:r>
        <w:t>Ghoshal's</w:t>
      </w:r>
      <w:proofErr w:type="spellEnd"/>
      <w:r>
        <w:t xml:space="preserve"> (1989) typology and appraises its global configuration. Section 2 critically evaluates Iceland's political, economi</w:t>
      </w:r>
      <w:r>
        <w:t xml:space="preserve">c, legal and cultural environment as it pertains specifically to long-haul aviation and inbound tourism, before synthesising these findings through Dunning's (1988; 2001) eclectic (OLI) paradigm. Section 3 examines Emirates' historical entry-mode pattern, </w:t>
      </w:r>
      <w:r>
        <w:t>assesses its strategic fit for Iceland, and concludes with an evidence-based recommendation. Two figures are included to ground the analysis in verifiable, current data: Emirates Group's financial trajectory (Figure 1) and Iceland's tourist-arrival trend (</w:t>
      </w:r>
      <w:r>
        <w:t>Figure 2).</w:t>
      </w:r>
    </w:p>
    <w:p w:rsidR="00093093" w:rsidRDefault="00805074">
      <w:pPr>
        <w:pStyle w:val="Heading1"/>
      </w:pPr>
      <w:r>
        <w:t>Section 1: Organisational Classification and Global Strategy</w:t>
      </w:r>
    </w:p>
    <w:p w:rsidR="00093093" w:rsidRDefault="00805074">
      <w:pPr>
        <w:pStyle w:val="Heading2"/>
      </w:pPr>
      <w:r>
        <w:t>1.1 Strategic Categorisation</w:t>
      </w:r>
    </w:p>
    <w:p w:rsidR="00093093" w:rsidRDefault="00805074">
      <w:pPr>
        <w:spacing w:after="200" w:line="360" w:lineRule="auto"/>
        <w:jc w:val="both"/>
      </w:pPr>
      <w:r>
        <w:t xml:space="preserve">Bartlett and </w:t>
      </w:r>
      <w:proofErr w:type="spellStart"/>
      <w:r>
        <w:t>Ghoshal's</w:t>
      </w:r>
      <w:proofErr w:type="spellEnd"/>
      <w:r>
        <w:t xml:space="preserve"> (1989) integration-responsiveness framework classifies multinational firms along two axes: pressure for global integration/efficienc</w:t>
      </w:r>
      <w:r>
        <w:t>y and pressure for local responsiveness, generating four archetypes — multinational, international, global and transnational. Positioned against this matrix, Emirates is best classified as pursuing a predominantly global strategy, tending toward high integ</w:t>
      </w:r>
      <w:r>
        <w:t>ration and comparatively low local responsiveness. Evidence for this classification includes: a single, centrally controlled hub-and-spoke network radiating from Dubai International Airport, through which almost all route planning, fleet allocation, schedu</w:t>
      </w:r>
      <w:r>
        <w:t xml:space="preserve">ling and pricing decisions are coordinated centrally rather than devolved to national subsidiaries (Emirates Group, 2025); a </w:t>
      </w:r>
      <w:r>
        <w:lastRenderedPageBreak/>
        <w:t>highly standardised product and service proposition — consistent cabin design, uniform crew training, a single global brand identit</w:t>
      </w:r>
      <w:r>
        <w:t xml:space="preserve">y and loyalty programme (Emirates Skywards) — applied with minimal local adaptation across all 76 countries served; and a vertically integrated group structure (encompassing </w:t>
      </w:r>
      <w:proofErr w:type="spellStart"/>
      <w:r>
        <w:t>dnata</w:t>
      </w:r>
      <w:proofErr w:type="spellEnd"/>
      <w:r>
        <w:t xml:space="preserve"> ground handling, Emirates Flight Catering, Emirates Holidays and Arabian Adv</w:t>
      </w:r>
      <w:r>
        <w:t>entures) that concentrates value-creating activities in Dubai rather than dispersing them to locally responsive units (Companies History, 2026).</w:t>
      </w:r>
    </w:p>
    <w:p w:rsidR="00093093" w:rsidRDefault="00805074">
      <w:pPr>
        <w:spacing w:after="200" w:line="360" w:lineRule="auto"/>
        <w:jc w:val="both"/>
      </w:pPr>
      <w:r>
        <w:t xml:space="preserve">This classification nonetheless requires critical qualification. Bartlett and </w:t>
      </w:r>
      <w:proofErr w:type="spellStart"/>
      <w:r>
        <w:t>Ghoshal's</w:t>
      </w:r>
      <w:proofErr w:type="spellEnd"/>
      <w:r>
        <w:t xml:space="preserve"> framework was developed</w:t>
      </w:r>
      <w:r>
        <w:t xml:space="preserve"> principally with reference to manufacturing and fast-moving consumer goods multinationals whose responsiveness pressures arise from differentiated consumer tastes and local regulatory product standards. Airlines are a service-network industry in which 'lo</w:t>
      </w:r>
      <w:r>
        <w:t>cal responsiveness' is constrained less by strategic choice than by the bilateral Air Service Agreement (ASA) system that governs traffic rights between sovereign states; the appearance of global standardisation is therefore partly an artefact of the regul</w:t>
      </w:r>
      <w:r>
        <w:t>atory environment rather than solely evidence of Emirates' deliberate strategic posture. Furthermore, Emirates' state ownership by the ICD removes the shareholder-driven pressure toward joint-venture or locally incorporated market entry that publicly liste</w:t>
      </w:r>
      <w:r>
        <w:t>d competitors (for example, alliance-based network carriers) often face, reducing responsiveness pressure structurally rather than strategically. Applied with this caveat, the global classification remains defensible but should be read as reflecting indust</w:t>
      </w:r>
      <w:r>
        <w:t>ry structure as much as corporate choice.</w:t>
      </w:r>
    </w:p>
    <w:p w:rsidR="00093093" w:rsidRDefault="00805074">
      <w:pPr>
        <w:pStyle w:val="Heading2"/>
      </w:pPr>
      <w:r>
        <w:t>1.2 Global Configuration and Competitive Advantage</w:t>
      </w:r>
    </w:p>
    <w:p w:rsidR="00093093" w:rsidRDefault="00805074">
      <w:pPr>
        <w:spacing w:after="200" w:line="360" w:lineRule="auto"/>
        <w:jc w:val="both"/>
      </w:pPr>
      <w:r>
        <w:t>Emirates' geographic footprint is built around Dubai's position as a 'super-connector' hub, situated within an eight-hour flight radius of roughly two-thirds of th</w:t>
      </w:r>
      <w:r>
        <w:t>e world's population. This configuration allows Emirates to aggregate sixth-freedom transfer traffic — passengers travelling between two other countries via Dubai — at a scale that regional, point-to-point carriers cannot replicate, and it underpins the ai</w:t>
      </w:r>
      <w:r>
        <w:t xml:space="preserve">rline's long-haul, premium-oriented </w:t>
      </w:r>
      <w:proofErr w:type="spellStart"/>
      <w:r>
        <w:t>widebody</w:t>
      </w:r>
      <w:proofErr w:type="spellEnd"/>
      <w:r>
        <w:t xml:space="preserve"> fleet strategy (principally the Airbus A380, Boeing 777 and, increasingly, the Airbus A350) (</w:t>
      </w:r>
      <w:proofErr w:type="spellStart"/>
      <w:r>
        <w:t>Routesonline</w:t>
      </w:r>
      <w:proofErr w:type="spellEnd"/>
      <w:r>
        <w:t>, 2026). The concentration of engineering, catering, crew basing and cargo operations in Dubai, largely se</w:t>
      </w:r>
      <w:r>
        <w:t xml:space="preserve">lf-supplied through Emirates Group subsidiaries such as </w:t>
      </w:r>
      <w:proofErr w:type="spellStart"/>
      <w:r>
        <w:t>dnata</w:t>
      </w:r>
      <w:proofErr w:type="spellEnd"/>
      <w:r>
        <w:t xml:space="preserve"> and Emirates Flight Catering, generates scale and scope economies that materially contribute to competitive advantage. As Figure 1 shows, the Emirates Group's revenue and profitability have grow</w:t>
      </w:r>
      <w:r>
        <w:t>n consistently since the pandemic-era loss recorded in FY2021-22, culminating in a record pre-tax profit of US$6.2 billion on revenue of US$39.6 billion in FY2024-25, when Emirates was independently recognised as the world's most profitable airline (Emirat</w:t>
      </w:r>
      <w:r>
        <w:t>es Group, 2025).</w:t>
      </w:r>
    </w:p>
    <w:p w:rsidR="00093093" w:rsidRDefault="00805074">
      <w:pPr>
        <w:spacing w:before="200" w:after="80"/>
        <w:jc w:val="center"/>
      </w:pPr>
      <w:r>
        <w:rPr>
          <w:noProof/>
        </w:rPr>
        <w:lastRenderedPageBreak/>
        <w:drawing>
          <wp:inline distT="0" distB="0" distL="0" distR="0">
            <wp:extent cx="5334000" cy="3028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334000" cy="3028950"/>
                    </a:xfrm>
                    <a:prstGeom prst="rect">
                      <a:avLst/>
                    </a:prstGeom>
                  </pic:spPr>
                </pic:pic>
              </a:graphicData>
            </a:graphic>
          </wp:inline>
        </w:drawing>
      </w:r>
    </w:p>
    <w:p w:rsidR="00093093" w:rsidRDefault="00093093">
      <w:pPr>
        <w:spacing w:after="240"/>
        <w:jc w:val="center"/>
      </w:pPr>
    </w:p>
    <w:p w:rsidR="00093093" w:rsidRDefault="00805074">
      <w:pPr>
        <w:spacing w:after="200" w:line="360" w:lineRule="auto"/>
        <w:jc w:val="both"/>
      </w:pPr>
      <w:r>
        <w:t>The trend in Figure 1 is analytically sign</w:t>
      </w:r>
      <w:r>
        <w:t>ificant for the market-entry decision explored later in this report: the sharp post-pandemic recovery and now-consistent double-digit profit growth demonstrate that Emirates possesses the balance-sheet strength and reinvestment capacity to fund expansion i</w:t>
      </w:r>
      <w:r>
        <w:t>nto new, unproven markets such as Iceland without relying on external equity partners or debt-financed risk-sharing — a materially different resource position from that of smaller network carriers. However, this highly centralised configuration also concen</w:t>
      </w:r>
      <w:r>
        <w:t>trates risk. Emirates' near-total dependence on a single hub exposes it disproportionately to localised disruption — whether airspace closures linked to regional conflict, Dubai airport capacity constraints, or UAE-specific diplomatic friction — in a way t</w:t>
      </w:r>
      <w:r>
        <w:t xml:space="preserve">hat alliance-based competitors with multiple hubs can better diversify. Relatedly, Emirates' longstanding refusal to join a global alliance (Star Alliance or </w:t>
      </w:r>
      <w:proofErr w:type="spellStart"/>
      <w:r>
        <w:t>oneworld</w:t>
      </w:r>
      <w:proofErr w:type="spellEnd"/>
      <w:r>
        <w:t>) is a deliberate configuration choice that preserves full network control and brand consi</w:t>
      </w:r>
      <w:r>
        <w:t xml:space="preserve">stency but forces reliance on a patchwork of bilateral codeshare and interline agreements (for example, with China Southern Airlines, </w:t>
      </w:r>
      <w:proofErr w:type="spellStart"/>
      <w:r>
        <w:t>flydubai</w:t>
      </w:r>
      <w:proofErr w:type="spellEnd"/>
      <w:r>
        <w:t xml:space="preserve"> and, historically, a minority equity stake in </w:t>
      </w:r>
      <w:proofErr w:type="spellStart"/>
      <w:r>
        <w:t>SriLankan</w:t>
      </w:r>
      <w:proofErr w:type="spellEnd"/>
      <w:r>
        <w:t xml:space="preserve"> Airlines) to extend reach into markets it does not serve </w:t>
      </w:r>
      <w:r>
        <w:t xml:space="preserve">directly (Companies History, 2026; Reference for Business, </w:t>
      </w:r>
      <w:proofErr w:type="spellStart"/>
      <w:r>
        <w:t>n.d.</w:t>
      </w:r>
      <w:proofErr w:type="spellEnd"/>
      <w:r>
        <w:t xml:space="preserve">). This is a configuration trade-off directly relevant to the Iceland decision: Emirates' global, centralised model is well suited to high-volume trunk routes but is structurally less flexible </w:t>
      </w:r>
      <w:r>
        <w:t>when testing thin, uncertain, peripheral markets such as Iceland, where a lower-commitment mode may better fit the firm's configuration logic.</w:t>
      </w:r>
    </w:p>
    <w:p w:rsidR="00093093" w:rsidRDefault="00805074">
      <w:pPr>
        <w:pStyle w:val="Heading1"/>
      </w:pPr>
      <w:r>
        <w:t>Section 2: Macro-Environmental Appraisal and Market Attractiveness</w:t>
      </w:r>
    </w:p>
    <w:p w:rsidR="00093093" w:rsidRDefault="00805074">
      <w:pPr>
        <w:spacing w:after="200" w:line="360" w:lineRule="auto"/>
        <w:jc w:val="both"/>
      </w:pPr>
      <w:r>
        <w:lastRenderedPageBreak/>
        <w:t>This section evaluates Iceland's political, ec</w:t>
      </w:r>
      <w:r>
        <w:t>onomic, legal and cultural environment, focusing specifically on the factors most material to long-haul network aviation and inbound tourism rather than providing an exhaustive descriptive PESTLE overview.</w:t>
      </w:r>
    </w:p>
    <w:p w:rsidR="00093093" w:rsidRDefault="00805074">
      <w:pPr>
        <w:pStyle w:val="Heading2"/>
      </w:pPr>
      <w:r>
        <w:t>2.1 Political Environment</w:t>
      </w:r>
    </w:p>
    <w:p w:rsidR="00093093" w:rsidRDefault="00805074">
      <w:pPr>
        <w:spacing w:after="200" w:line="360" w:lineRule="auto"/>
        <w:jc w:val="both"/>
      </w:pPr>
      <w:r>
        <w:t>Iceland is a stable parl</w:t>
      </w:r>
      <w:r>
        <w:t>iamentary democracy with consistently high rankings for institutional quality, rule of law and low corruption, which substantially reduces the sovereign and expropriation risk typically associated with new market entry. As a member of the European Economic</w:t>
      </w:r>
      <w:r>
        <w:t xml:space="preserve"> Area (EEA) and the Schengen Area, though notably not the European Union, Iceland aligns its external border and, to a significant degree, aviation safety regulation with EU frameworks while retaining independent trade and fisheries policy (Schengen </w:t>
      </w:r>
      <w:proofErr w:type="spellStart"/>
      <w:r>
        <w:t>Travel</w:t>
      </w:r>
      <w:r>
        <w:t>er</w:t>
      </w:r>
      <w:proofErr w:type="spellEnd"/>
      <w:r>
        <w:t xml:space="preserve">, 2026). Most significantly for Emirates, the Icelandic government has pursued an explicitly liberal, growth-oriented aviation and tourism policy: in June 2026 Iceland extended visa-free entry to more than ninety countries, including several Gulf </w:t>
      </w:r>
      <w:proofErr w:type="gramStart"/>
      <w:r>
        <w:t>states</w:t>
      </w:r>
      <w:proofErr w:type="gramEnd"/>
      <w:r>
        <w:t>,</w:t>
      </w:r>
      <w:r>
        <w:t xml:space="preserve"> explicitly framed by policymakers as a measure to diversify inbound tourism source markets and strengthen aviation connectivity (Travel and Tour World, 2026). While UAE passport holders already benefit from Schengen visa-exempt status for stays of up to n</w:t>
      </w:r>
      <w:r>
        <w:t>inety days (</w:t>
      </w:r>
      <w:proofErr w:type="spellStart"/>
      <w:r>
        <w:t>OraVisa</w:t>
      </w:r>
      <w:proofErr w:type="spellEnd"/>
      <w:r>
        <w:t xml:space="preserve">, 2026), this policy signals a government disposition favourable to welcoming new long-haul carriers and additional traffic rights at </w:t>
      </w:r>
      <w:proofErr w:type="spellStart"/>
      <w:r>
        <w:t>Keflavík</w:t>
      </w:r>
      <w:proofErr w:type="spellEnd"/>
      <w:r>
        <w:t>.</w:t>
      </w:r>
    </w:p>
    <w:p w:rsidR="00093093" w:rsidRDefault="00805074">
      <w:pPr>
        <w:spacing w:after="200" w:line="360" w:lineRule="auto"/>
        <w:jc w:val="both"/>
      </w:pPr>
      <w:r>
        <w:t xml:space="preserve">This liberal posture is corroborated by observable market behaviour: </w:t>
      </w:r>
      <w:proofErr w:type="spellStart"/>
      <w:r>
        <w:t>Keflavík</w:t>
      </w:r>
      <w:proofErr w:type="spellEnd"/>
      <w:r>
        <w:t xml:space="preserve"> has added multiple new long-haul carriers in quick succession, with Alaska Airlines becoming a fifth foreign long-haul operator from May 2026 alongside Air Canada, Delta, United </w:t>
      </w:r>
      <w:r>
        <w:t xml:space="preserve">and </w:t>
      </w:r>
      <w:proofErr w:type="spellStart"/>
      <w:r>
        <w:t>WestJet</w:t>
      </w:r>
      <w:proofErr w:type="spellEnd"/>
      <w:r>
        <w:t xml:space="preserve">, and foreign carriers collectively increasing summer 2026 seat capacity by around 20% year-on-year (Air Service One, 2026a; 2026b). This pattern of political and regulatory openness to new entrants is a genuine attraction factor. The principal </w:t>
      </w:r>
      <w:r>
        <w:t>political-legal uncertainty, addressed further below, is that no evidence was found of an existing bilateral Air Service Agreement specifically between the UAE and Iceland — a gap that, while probably resolvable given Iceland's demonstrated openness, nonet</w:t>
      </w:r>
      <w:r>
        <w:t>heless represents an unresolved precondition to entry rather than a settled advantage.</w:t>
      </w:r>
    </w:p>
    <w:p w:rsidR="00093093" w:rsidRDefault="00805074">
      <w:pPr>
        <w:pStyle w:val="Heading2"/>
      </w:pPr>
      <w:r>
        <w:t>2.2 Economic Environment</w:t>
      </w:r>
    </w:p>
    <w:p w:rsidR="00093093" w:rsidRDefault="00805074">
      <w:pPr>
        <w:spacing w:after="200" w:line="360" w:lineRule="auto"/>
        <w:jc w:val="both"/>
      </w:pPr>
      <w:r>
        <w:t>Iceland is a small, high-income, open economy with 2026 nominal GDP of approximately US$43.8 billion and GDP per capita among the highest in Eur</w:t>
      </w:r>
      <w:r>
        <w:t xml:space="preserve">ope, variously estimated between roughly US$78,000 and US$87,000 depending on source and year (Lloyds Bank Trade, 2026; </w:t>
      </w:r>
      <w:proofErr w:type="spellStart"/>
      <w:r>
        <w:t>FocusEconomics</w:t>
      </w:r>
      <w:proofErr w:type="spellEnd"/>
      <w:r>
        <w:t>, 2026). This affluence signals strong purchasing power among the resident population; however, Iceland's total population</w:t>
      </w:r>
      <w:r>
        <w:t xml:space="preserve"> of only around 380,000 means the absolute size of any potential outbound origin-destination (O&amp;D) travel market between Iceland and the UAE is </w:t>
      </w:r>
      <w:r>
        <w:lastRenderedPageBreak/>
        <w:t>intrinsically small — a structural constraint no policy change can offset. Growth has also been volatile: Statis</w:t>
      </w:r>
      <w:r>
        <w:t xml:space="preserve">tics Iceland recorded GDP growth swinging from 5% in 2023 to 0.5% in 2024, before the OECD (2026) projected a recovery from 1.3% in 2025 to 1.6% in 2026, while the IMF-referenced projection cited by Lloyds Bank Trade (2026) suggests a somewhat higher 2.2% </w:t>
      </w:r>
      <w:r>
        <w:t>for 2026 — the divergence itself illustrating forecasting uncertainty in a small, externally exposed economy.</w:t>
      </w:r>
    </w:p>
    <w:p w:rsidR="00093093" w:rsidRDefault="00805074">
      <w:pPr>
        <w:spacing w:after="200" w:line="360" w:lineRule="auto"/>
        <w:jc w:val="both"/>
      </w:pPr>
      <w:r>
        <w:t>The more economically decisive factor for an airline is not the domestic Icelandic market but inbound tourism, which accounts for approximately 40</w:t>
      </w:r>
      <w:r>
        <w:t xml:space="preserve">% of Iceland's export income and roughly 8% of GDP, making the economy structurally dependent on, and therefore sensitive to, international visitor flows (Lloyds Bank Trade, 2026). As Figure 2 illustrates, inbound arrivals via </w:t>
      </w:r>
      <w:proofErr w:type="spellStart"/>
      <w:r>
        <w:t>Keflavík</w:t>
      </w:r>
      <w:proofErr w:type="spellEnd"/>
      <w:r>
        <w:t xml:space="preserve"> collapsed during the</w:t>
      </w:r>
      <w:r>
        <w:t xml:space="preserve"> pandemic before recovering to, and now plateauing around, 2.2-2.3 million visitors annually — a pattern confirmed by the Icelandic Tourist Board, which records 2.26 million arrivals in 2024 and forecasts approximately 2.24 million for 2026, essentially fl</w:t>
      </w:r>
      <w:r>
        <w:t>at on the prior two years (</w:t>
      </w:r>
      <w:proofErr w:type="spellStart"/>
      <w:r>
        <w:t>Ferðamálastofa</w:t>
      </w:r>
      <w:proofErr w:type="spellEnd"/>
      <w:r>
        <w:t>, 2026; Travel and Tour World, 2026).</w:t>
      </w:r>
    </w:p>
    <w:p w:rsidR="00093093" w:rsidRDefault="00805074">
      <w:pPr>
        <w:spacing w:before="200" w:after="80"/>
        <w:jc w:val="center"/>
      </w:pPr>
      <w:r>
        <w:rPr>
          <w:noProof/>
        </w:rPr>
        <w:drawing>
          <wp:inline distT="0" distB="0" distL="0" distR="0">
            <wp:extent cx="5334000" cy="29241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334000" cy="2924175"/>
                    </a:xfrm>
                    <a:prstGeom prst="rect">
                      <a:avLst/>
                    </a:prstGeom>
                  </pic:spPr>
                </pic:pic>
              </a:graphicData>
            </a:graphic>
          </wp:inline>
        </w:drawing>
      </w:r>
    </w:p>
    <w:p w:rsidR="00BA27B6" w:rsidRDefault="00BA27B6">
      <w:pPr>
        <w:spacing w:after="200" w:line="360" w:lineRule="auto"/>
        <w:jc w:val="both"/>
        <w:rPr>
          <w:i/>
          <w:iCs/>
          <w:color w:val="555555"/>
          <w:sz w:val="19"/>
          <w:szCs w:val="19"/>
        </w:rPr>
      </w:pPr>
    </w:p>
    <w:p w:rsidR="00093093" w:rsidRDefault="00805074">
      <w:pPr>
        <w:spacing w:after="200" w:line="360" w:lineRule="auto"/>
        <w:jc w:val="both"/>
      </w:pPr>
      <w:r>
        <w:t>The plateau visible in Figure 2 is a critical finding for market attractiveness: it suggests Iceland's inbound tourism market, while large relative to its own population, has matured rather than being i</w:t>
      </w:r>
      <w:r>
        <w:t>n a phase of continued rapid growth, which tempers the demand case for a new long-haul entrant relative to a market still expanding at double-digit rates. Emirates' true addressable opportunity is therefore not local Icelandic outbound demand but a share o</w:t>
      </w:r>
      <w:r>
        <w:t xml:space="preserve">f this plateaued, but sizeable, global inbound flow — particularly Gulf, South Asian and onward-connecting leisure travellers seeking access to Iceland's natural attractions (geothermal spas, glaciers, the aurora borealis) via Dubai's </w:t>
      </w:r>
      <w:r>
        <w:lastRenderedPageBreak/>
        <w:t>hub. Critically, this</w:t>
      </w:r>
      <w:r>
        <w:t xml:space="preserve"> demand is currently served almost entirely by European, North American and low-cost long-haul carriers rather than any Middle Eastern network carrier, meaning Emirates would be creating new connecting traffic rather than capturing an existing but underser</w:t>
      </w:r>
      <w:r>
        <w:t>ved segment — a materially higher-risk demand proposition than entering an established trunk market.</w:t>
      </w:r>
    </w:p>
    <w:p w:rsidR="00093093" w:rsidRDefault="00805074">
      <w:pPr>
        <w:pStyle w:val="Heading2"/>
      </w:pPr>
      <w:r>
        <w:t>2.3 Legal Environment</w:t>
      </w:r>
    </w:p>
    <w:p w:rsidR="00093093" w:rsidRDefault="00805074">
      <w:pPr>
        <w:spacing w:after="200" w:line="360" w:lineRule="auto"/>
        <w:jc w:val="both"/>
      </w:pPr>
      <w:r>
        <w:t xml:space="preserve">Iceland's EEA and Schengen membership provides a familiar, harmonised regulatory environment for Emirates: aviation safety oversight </w:t>
      </w:r>
      <w:r>
        <w:t xml:space="preserve">follows European Union Aviation Safety Agency (EASA) standards, which Emirates already operates under extensively across its European network, minimising compliance and certification risk relative to entering an unfamiliar regulatory jurisdiction. Iceland </w:t>
      </w:r>
      <w:r>
        <w:t xml:space="preserve">also imposes no meaningful restriction on foreign carriers operating scheduled services into Icelandic airports, and no local incorporation or joint-venture requirement exists for a foreign airline to fly into </w:t>
      </w:r>
      <w:proofErr w:type="spellStart"/>
      <w:r>
        <w:t>Keflavík</w:t>
      </w:r>
      <w:proofErr w:type="spellEnd"/>
      <w:r>
        <w:t>, provided the requisite traffic right</w:t>
      </w:r>
      <w:r>
        <w:t>s are held — a materially more permissive legal environment than markets requiring mandatory local equity partners.</w:t>
      </w:r>
    </w:p>
    <w:p w:rsidR="00093093" w:rsidRDefault="00805074">
      <w:pPr>
        <w:spacing w:after="200" w:line="360" w:lineRule="auto"/>
        <w:jc w:val="both"/>
      </w:pPr>
      <w:r>
        <w:t xml:space="preserve">The critical, unresolved legal constraint is the absence of publicly identifiable evidence of a bilateral Air Service Agreement between the </w:t>
      </w:r>
      <w:r>
        <w:t>UAE and Iceland analogous to those Emirates relies upon elsewhere. Securing fifth- or sixth-freedom traffic rights, or at minimum third/fourth-freedom rights for direct Dubai–</w:t>
      </w:r>
      <w:proofErr w:type="spellStart"/>
      <w:r>
        <w:t>Keflavík</w:t>
      </w:r>
      <w:proofErr w:type="spellEnd"/>
      <w:r>
        <w:t xml:space="preserve"> services, would likely require new or expanded diplomatic negotiation. A</w:t>
      </w:r>
      <w:r>
        <w:t xml:space="preserve"> second, more operational legal-regulatory constraint concerns airport capacity: </w:t>
      </w:r>
      <w:proofErr w:type="spellStart"/>
      <w:r>
        <w:t>Keflavík</w:t>
      </w:r>
      <w:proofErr w:type="spellEnd"/>
      <w:r>
        <w:t xml:space="preserve"> is managed by state operator </w:t>
      </w:r>
      <w:proofErr w:type="spellStart"/>
      <w:r>
        <w:t>Isavia</w:t>
      </w:r>
      <w:proofErr w:type="spellEnd"/>
      <w:r>
        <w:t xml:space="preserve"> and is currently dominated by </w:t>
      </w:r>
      <w:proofErr w:type="spellStart"/>
      <w:r>
        <w:t>Icelandair</w:t>
      </w:r>
      <w:proofErr w:type="spellEnd"/>
      <w:r>
        <w:t>, which holds approximately 54–62% of available seat capacity depending on the reporting p</w:t>
      </w:r>
      <w:r>
        <w:t xml:space="preserve">eriod, with the airport itself flagged in industry commentary as approaching a genuine slot and capacity crunch even as a terminal expansion project proceeds (Air Service One, 2026a; Aviation Week, 2026b). Any new </w:t>
      </w:r>
      <w:proofErr w:type="spellStart"/>
      <w:r>
        <w:t>widebody</w:t>
      </w:r>
      <w:proofErr w:type="spellEnd"/>
      <w:r>
        <w:t xml:space="preserve"> long-haul entrant would need to n</w:t>
      </w:r>
      <w:r>
        <w:t>egotiate slot access within this increasingly congested environment, which — while not a legal prohibition — functions as a practical barrier closely tied to the regulatory allocation of scarce airport capacity.</w:t>
      </w:r>
    </w:p>
    <w:p w:rsidR="00093093" w:rsidRDefault="00805074">
      <w:pPr>
        <w:pStyle w:val="Heading2"/>
      </w:pPr>
      <w:r>
        <w:t>2.4 Cultural Environment</w:t>
      </w:r>
    </w:p>
    <w:p w:rsidR="00093093" w:rsidRDefault="00805074">
      <w:pPr>
        <w:spacing w:after="200" w:line="360" w:lineRule="auto"/>
        <w:jc w:val="both"/>
      </w:pPr>
      <w:r>
        <w:t>Iceland's Nordic cu</w:t>
      </w:r>
      <w:r>
        <w:t xml:space="preserve">lture is characterised, in </w:t>
      </w:r>
      <w:proofErr w:type="spellStart"/>
      <w:r>
        <w:t>Hofstede's</w:t>
      </w:r>
      <w:proofErr w:type="spellEnd"/>
      <w:r>
        <w:t xml:space="preserve"> (2001) terms, by low power distance, high individualism and a strong preference for egalitarianism, understatement and environmental consciousness — a marked contrast to the UAE's higher power-distance, more collectivi</w:t>
      </w:r>
      <w:r>
        <w:t xml:space="preserve">st and status-conscious home culture from which Emirates' premium brand positioning is derived. Icelandic and broader Nordic consumers have also demonstrated, in tourism-marketing commentary, a preference for simplicity, sustainability and value-for-money </w:t>
      </w:r>
      <w:r>
        <w:t xml:space="preserve">over conspicuous luxury, potentially creating a values mismatch with Emirates' flagship A380 first- and business-class product, which is </w:t>
      </w:r>
      <w:r>
        <w:lastRenderedPageBreak/>
        <w:t>more strongly attuned to South Asian, Gulf and Western long-haul premium travel segments. This risk is partially mitiga</w:t>
      </w:r>
      <w:r>
        <w:t>ted by Emirates' own multicultural service delivery model — the airline employs cabin crew of more than 160 nationalities and has extensive experience serving culturally diverse markets (</w:t>
      </w:r>
      <w:proofErr w:type="spellStart"/>
      <w:r>
        <w:t>Routesonline</w:t>
      </w:r>
      <w:proofErr w:type="spellEnd"/>
      <w:r>
        <w:t>, 2026) — but the mismatch nonetheless reinforces the ear</w:t>
      </w:r>
      <w:r>
        <w:t>lier economic finding that Emirates' realistic target segment in an Iceland service would be inbound global tourists and connecting passengers rather than the domestic Icelandic outbound market.</w:t>
      </w:r>
    </w:p>
    <w:p w:rsidR="00093093" w:rsidRDefault="00805074">
      <w:pPr>
        <w:spacing w:after="200" w:line="360" w:lineRule="auto"/>
        <w:jc w:val="both"/>
      </w:pPr>
      <w:r>
        <w:t xml:space="preserve">Applying </w:t>
      </w:r>
      <w:proofErr w:type="spellStart"/>
      <w:r>
        <w:t>Ghemawat's</w:t>
      </w:r>
      <w:proofErr w:type="spellEnd"/>
      <w:r>
        <w:t xml:space="preserve"> (2001) CAGE distance framework as a compl</w:t>
      </w:r>
      <w:r>
        <w:t>ementary lens reinforces this picture: cultural and administrative distance between the UAE and Iceland is moderate — different language, religion and social norms, though both are stable, high-institutional-quality states — while geographic distance is su</w:t>
      </w:r>
      <w:r>
        <w:t>bstantial (a nonstop Dubai–</w:t>
      </w:r>
      <w:proofErr w:type="spellStart"/>
      <w:r>
        <w:t>Keflavík</w:t>
      </w:r>
      <w:proofErr w:type="spellEnd"/>
      <w:r>
        <w:t xml:space="preserve"> sector would be among the longer routes in Emirates' network) and economic distance is low, given both are high-income economies. On balance, distance is manageable rather than prohibitive, but it is not negligible, and </w:t>
      </w:r>
      <w:r>
        <w:t>it further supports the case, developed in Section 3, for a staged rather than immediate full-commitment entry.</w:t>
      </w:r>
    </w:p>
    <w:p w:rsidR="00093093" w:rsidRDefault="00805074">
      <w:pPr>
        <w:pStyle w:val="Heading2"/>
      </w:pPr>
      <w:r>
        <w:t>2.5 Synthesis Using Dunning's Eclectic (OLI) Paradigm</w:t>
      </w:r>
    </w:p>
    <w:p w:rsidR="00093093" w:rsidRDefault="00805074">
      <w:pPr>
        <w:spacing w:after="200" w:line="360" w:lineRule="auto"/>
        <w:jc w:val="both"/>
      </w:pPr>
      <w:r>
        <w:t>Dunning's (1988; 2001) eclectic paradigm holds that a firm will engage in and benefit from</w:t>
      </w:r>
      <w:r>
        <w:t xml:space="preserve"> foreign market entry where it possesses Ownership-specific advantages, the target location offers Location-specific advantages, and the firm can capture greater value by Internalising the transaction than by using arm's-length market mechanisms. Applied t</w:t>
      </w:r>
      <w:r>
        <w:t>o Emirates and Iceland, the framework produces a mixed but instructive picture.</w:t>
      </w:r>
    </w:p>
    <w:p w:rsidR="00093093" w:rsidRDefault="00805074">
      <w:pPr>
        <w:spacing w:after="200" w:line="360" w:lineRule="auto"/>
        <w:jc w:val="both"/>
      </w:pPr>
      <w:r>
        <w:t xml:space="preserve">Ownership (O) advantages are substantial and highly transferable. </w:t>
      </w:r>
      <w:proofErr w:type="gramStart"/>
      <w:r>
        <w:t>Emirates possesses</w:t>
      </w:r>
      <w:proofErr w:type="gramEnd"/>
      <w:r>
        <w:t xml:space="preserve"> strong global brand equity, a differentiated premium product, and — critically, as evidence</w:t>
      </w:r>
      <w:r>
        <w:t>d in Figure 1 — state-backed access to low-cost capital that has enabled record financial performance without reliance on external equity partners (Emirates Group, 2025). Its vertically integrated group structure (</w:t>
      </w:r>
      <w:proofErr w:type="spellStart"/>
      <w:r>
        <w:t>dnata</w:t>
      </w:r>
      <w:proofErr w:type="spellEnd"/>
      <w:r>
        <w:t>, Emirates Flight Catering) also cons</w:t>
      </w:r>
      <w:r>
        <w:t>titutes an ownership advantage in that ground services, catering and engineering support could in principle be self-supplied even in a new market, reducing dependence on unfamiliar local suppliers.</w:t>
      </w:r>
    </w:p>
    <w:p w:rsidR="00093093" w:rsidRDefault="00805074">
      <w:pPr>
        <w:spacing w:after="200" w:line="360" w:lineRule="auto"/>
        <w:jc w:val="both"/>
      </w:pPr>
      <w:r>
        <w:t>Location (L) advantages of Iceland are real but modest rel</w:t>
      </w:r>
      <w:r>
        <w:t>ative to Emirates' typical target markets. Positive factors include a liberal, growth-friendly aviation policy environment, a high-value and currently underserved (by Middle Eastern carriers) inbound tourism market of approximately 2.2-2.3 million annual v</w:t>
      </w:r>
      <w:r>
        <w:t xml:space="preserve">isitors, and Iceland's geographic position as a North Atlantic waypoint. Negative location factors are, however, significant: an intrinsically small resident population limiting local </w:t>
      </w:r>
      <w:r>
        <w:lastRenderedPageBreak/>
        <w:t>O&amp;D demand, the demand plateau evident in Figure 2, currency risk associ</w:t>
      </w:r>
      <w:r>
        <w:t xml:space="preserve">ated with the Icelandic </w:t>
      </w:r>
      <w:proofErr w:type="spellStart"/>
      <w:proofErr w:type="gramStart"/>
      <w:r>
        <w:t>króna</w:t>
      </w:r>
      <w:proofErr w:type="spellEnd"/>
      <w:r>
        <w:t>, and —</w:t>
      </w:r>
      <w:proofErr w:type="gramEnd"/>
      <w:r>
        <w:t xml:space="preserve"> most concretely — approaching capacity and slot constraints at </w:t>
      </w:r>
      <w:proofErr w:type="spellStart"/>
      <w:r>
        <w:t>Keflavík</w:t>
      </w:r>
      <w:proofErr w:type="spellEnd"/>
      <w:r>
        <w:t xml:space="preserve"> driven by </w:t>
      </w:r>
      <w:proofErr w:type="spellStart"/>
      <w:r>
        <w:t>Icelandair's</w:t>
      </w:r>
      <w:proofErr w:type="spellEnd"/>
      <w:r>
        <w:t xml:space="preserve"> dominant position. Relative to the large gateway cities (London, New York, Mumbai, Sydney) that typically anchor Emirates' r</w:t>
      </w:r>
      <w:r>
        <w:t>oute economics, Iceland's location advantages are comparatively thin.</w:t>
      </w:r>
    </w:p>
    <w:p w:rsidR="00093093" w:rsidRDefault="00805074">
      <w:pPr>
        <w:spacing w:after="200" w:line="360" w:lineRule="auto"/>
        <w:jc w:val="both"/>
      </w:pPr>
      <w:r>
        <w:t>Internalisation (I) advantages are ambiguous and, on balance, weak for a full wholly-owned entry at this stage. Emirates'</w:t>
      </w:r>
      <w:r>
        <w:t xml:space="preserve"> historical preference is to internalise network operations directly (own aircraft, own crew, own AOC) rather than franchise route operation, which favours a fully owned service. However, the very small scale of a single new long-haul route into a thin, pl</w:t>
      </w:r>
      <w:r>
        <w:t xml:space="preserve">ateaued market does not obviously justify the fixed-cost commitment of establishing dedicated ground-handling, sales and station infrastructure that internalisation would typically involve, particularly when </w:t>
      </w:r>
      <w:proofErr w:type="spellStart"/>
      <w:r>
        <w:t>Icelandair</w:t>
      </w:r>
      <w:proofErr w:type="spellEnd"/>
      <w:r>
        <w:t xml:space="preserve"> — the dominant incumbent — already co</w:t>
      </w:r>
      <w:r>
        <w:t xml:space="preserve">ntrols scarce </w:t>
      </w:r>
      <w:proofErr w:type="spellStart"/>
      <w:r>
        <w:t>Keflavík</w:t>
      </w:r>
      <w:proofErr w:type="spellEnd"/>
      <w:r>
        <w:t xml:space="preserve"> slot capacity and possesses an extensive partner network (including JetBlue, Alaska Airlines, </w:t>
      </w:r>
      <w:proofErr w:type="spellStart"/>
      <w:r>
        <w:t>WestJet</w:t>
      </w:r>
      <w:proofErr w:type="spellEnd"/>
      <w:r>
        <w:t xml:space="preserve"> and </w:t>
      </w:r>
      <w:proofErr w:type="spellStart"/>
      <w:r>
        <w:t>Finnair</w:t>
      </w:r>
      <w:proofErr w:type="spellEnd"/>
      <w:r>
        <w:t>) that Emirates could access via a lower-commitment, non-equity arrangement (Aviation Week, 2026a). The OLI synthesis th</w:t>
      </w:r>
      <w:r>
        <w:t>erefore indicates that while Emirates has ample ownership advantages to succeed almost anywhere, Iceland's constrained location advantages and the weak commercial case for full internalisation of a single thin route point toward a lower-commitment entry mo</w:t>
      </w:r>
      <w:r>
        <w:t>de as the economically rational starting position — the question examined directly in Section 3.</w:t>
      </w:r>
    </w:p>
    <w:p w:rsidR="00093093" w:rsidRDefault="00805074">
      <w:pPr>
        <w:pStyle w:val="Heading1"/>
      </w:pPr>
      <w:r>
        <w:t>Section 3: Entry Mode Strategy and Strategic Synthesis</w:t>
      </w:r>
    </w:p>
    <w:p w:rsidR="00093093" w:rsidRDefault="00805074">
      <w:pPr>
        <w:pStyle w:val="Heading2"/>
      </w:pPr>
      <w:r>
        <w:t>3.1 Historical Pattern Recognition</w:t>
      </w:r>
    </w:p>
    <w:p w:rsidR="00093093" w:rsidRDefault="00805074">
      <w:pPr>
        <w:spacing w:after="200" w:line="360" w:lineRule="auto"/>
        <w:jc w:val="both"/>
      </w:pPr>
      <w:r>
        <w:t xml:space="preserve">Emirates' dominant historical entry mode for route (airline-service) </w:t>
      </w:r>
      <w:r>
        <w:t xml:space="preserve">expansion has been organic, wholly-owned </w:t>
      </w:r>
      <w:proofErr w:type="gramStart"/>
      <w:r>
        <w:t>greenfield</w:t>
      </w:r>
      <w:proofErr w:type="gramEnd"/>
      <w:r>
        <w:t xml:space="preserve"> growth: launching new scheduled services directly under its own Air Operator's Certificate from the Dubai hub, rather than acquiring or franchising foreign carriers. Notably, in its founding phase in 1985</w:t>
      </w:r>
      <w:r>
        <w:t>, Emirates itself entered the market with a risk-minimising, low-capital mode — wet-leasing a Boeing 737-300 and an Airbus A300B4 from Pakistan International Airlines for its inaugural Dubai–Karachi and Dubai–Mumbai services on 25 October 1985 — before tra</w:t>
      </w:r>
      <w:r>
        <w:t>nsitioning to its first wholly-owned aircraft, an Airbus A310-304, on 3 July 1987 once the network had proved commercially viable (Emirates, 2024). This staged, evidence-led escalation from a lighter-commitment mode toward full ownership is a recurring fea</w:t>
      </w:r>
      <w:r>
        <w:t>ture of the airline's growth philosophy, even though its steady-state, mature-market entry mode today is typically direct, wholly-owned route launch.</w:t>
      </w:r>
    </w:p>
    <w:p w:rsidR="00093093" w:rsidRDefault="00805074">
      <w:pPr>
        <w:spacing w:after="200" w:line="360" w:lineRule="auto"/>
        <w:jc w:val="both"/>
      </w:pPr>
      <w:r>
        <w:lastRenderedPageBreak/>
        <w:t>A second consistent pattern is Emirates' preference for bilateral codeshare and interline partnerships ove</w:t>
      </w:r>
      <w:r>
        <w:t xml:space="preserve">r global alliance membership as a mechanism for extending network reach without ceding control — arrangements historically held with carriers such as China Southern Airlines and </w:t>
      </w:r>
      <w:proofErr w:type="spellStart"/>
      <w:r>
        <w:t>flydubai</w:t>
      </w:r>
      <w:proofErr w:type="spellEnd"/>
      <w:r>
        <w:t xml:space="preserve">, alongside a rare minority equity stake in </w:t>
      </w:r>
      <w:proofErr w:type="spellStart"/>
      <w:r>
        <w:t>SriLankan</w:t>
      </w:r>
      <w:proofErr w:type="spellEnd"/>
      <w:r>
        <w:t xml:space="preserve"> Airlines (Compan</w:t>
      </w:r>
      <w:r>
        <w:t xml:space="preserve">ies History, 2026; Reference for Business, </w:t>
      </w:r>
      <w:proofErr w:type="spellStart"/>
      <w:r>
        <w:t>n.d.</w:t>
      </w:r>
      <w:proofErr w:type="spellEnd"/>
      <w:r>
        <w:t xml:space="preserve">). At the Emirates Group level, by contrast, the ground-services and travel-management subsidiary </w:t>
      </w:r>
      <w:proofErr w:type="spellStart"/>
      <w:r>
        <w:t>dnata</w:t>
      </w:r>
      <w:proofErr w:type="spellEnd"/>
      <w:r>
        <w:t xml:space="preserve"> has entered international markets more frequently through acquisition — for example, the 2015 acquisition</w:t>
      </w:r>
      <w:r>
        <w:t xml:space="preserve"> of RM Ground Services in Brazil, the 2016 acquisition of Ground Services International in the United States, and the 2023 majority-stake acquisition of UK-based cruise distributor Imagine Cruising (Companies History, 2026; Gulf News, 2023). This distincti</w:t>
      </w:r>
      <w:r>
        <w:t>on matters: Emirates' flying operations and its ancillary services businesses have historically used markedly different entry-mode logics, and this report concerns the former.</w:t>
      </w:r>
    </w:p>
    <w:p w:rsidR="00093093" w:rsidRDefault="00805074">
      <w:pPr>
        <w:pStyle w:val="Heading2"/>
      </w:pPr>
      <w:r>
        <w:t>3.2 Strategic Fit and Justification for Iceland</w:t>
      </w:r>
    </w:p>
    <w:p w:rsidR="00093093" w:rsidRDefault="00805074">
      <w:pPr>
        <w:spacing w:after="200" w:line="360" w:lineRule="auto"/>
        <w:jc w:val="both"/>
      </w:pPr>
      <w:r>
        <w:t>Applying Emirates' default entry</w:t>
      </w:r>
      <w:r>
        <w:t xml:space="preserve"> mode — a wholly-owned, direct </w:t>
      </w:r>
      <w:proofErr w:type="spellStart"/>
      <w:r>
        <w:t>widebody</w:t>
      </w:r>
      <w:proofErr w:type="spellEnd"/>
      <w:r>
        <w:t xml:space="preserve"> service — to Iceland is not well supported by the evidence developed in Section 2. Financial risk is elevated because the addressable local O&amp;D market is intrinsically small and demand has plateaued (Figure 2), meani</w:t>
      </w:r>
      <w:r>
        <w:t>ng route economics would depend almost entirely on connecting/transfer traffic through Dubai for a destination Emirates has never previously served, and cannot be forecast from existing route performance data. Operational risk is non-trivial given document</w:t>
      </w:r>
      <w:r>
        <w:t xml:space="preserve">ed slot and capacity constraints at </w:t>
      </w:r>
      <w:proofErr w:type="spellStart"/>
      <w:r>
        <w:t>Keflavík</w:t>
      </w:r>
      <w:proofErr w:type="spellEnd"/>
      <w:r>
        <w:t xml:space="preserve">, </w:t>
      </w:r>
      <w:proofErr w:type="spellStart"/>
      <w:r>
        <w:t>Icelandair's</w:t>
      </w:r>
      <w:proofErr w:type="spellEnd"/>
      <w:r>
        <w:t xml:space="preserve"> dominant incumbent position, and challenging North Atlantic operating conditions. Political-legal risk is moderate: while Iceland's policy environment is genuinely favourable, the apparent absence </w:t>
      </w:r>
      <w:r>
        <w:t>of an existing UAE–Iceland bilateral Air Service Agreement introduces a precondition and timeline risk outside Emirates' direct control.</w:t>
      </w:r>
    </w:p>
    <w:p w:rsidR="00093093" w:rsidRDefault="00805074">
      <w:pPr>
        <w:spacing w:after="200" w:line="360" w:lineRule="auto"/>
        <w:jc w:val="both"/>
      </w:pPr>
      <w:r>
        <w:t xml:space="preserve">Against this risk profile, a lower-commitment alternative — </w:t>
      </w:r>
      <w:proofErr w:type="gramStart"/>
      <w:r>
        <w:t>an interline</w:t>
      </w:r>
      <w:proofErr w:type="gramEnd"/>
      <w:r>
        <w:t xml:space="preserve"> or codeshare partnership with </w:t>
      </w:r>
      <w:proofErr w:type="spellStart"/>
      <w:r>
        <w:t>Icelandair</w:t>
      </w:r>
      <w:proofErr w:type="spellEnd"/>
      <w:r>
        <w:t>, rath</w:t>
      </w:r>
      <w:r>
        <w:t xml:space="preserve">er than an immediate wholly-owned service — better fits the strategic and financial realities of the market. </w:t>
      </w:r>
      <w:proofErr w:type="spellStart"/>
      <w:r>
        <w:t>Icelandair</w:t>
      </w:r>
      <w:proofErr w:type="spellEnd"/>
      <w:r>
        <w:t xml:space="preserve"> already commands a majority of </w:t>
      </w:r>
      <w:proofErr w:type="spellStart"/>
      <w:r>
        <w:t>Keflavík's</w:t>
      </w:r>
      <w:proofErr w:type="spellEnd"/>
      <w:r>
        <w:t xml:space="preserve"> seat capacity and, despite pursuing an independent (non-alliance) strategy of its own, maintai</w:t>
      </w:r>
      <w:r>
        <w:t xml:space="preserve">ns an extensive partner network including JetBlue, Alaska Airlines, </w:t>
      </w:r>
      <w:proofErr w:type="spellStart"/>
      <w:r>
        <w:t>WestJet</w:t>
      </w:r>
      <w:proofErr w:type="spellEnd"/>
      <w:r>
        <w:t xml:space="preserve"> and </w:t>
      </w:r>
      <w:proofErr w:type="spellStart"/>
      <w:r>
        <w:t>Finnair</w:t>
      </w:r>
      <w:proofErr w:type="spellEnd"/>
      <w:r>
        <w:t xml:space="preserve"> (Aviation Week, 2026a). A codeshare arrangement would allow Emirates to place its code on </w:t>
      </w:r>
      <w:proofErr w:type="spellStart"/>
      <w:r>
        <w:t>Icelandair</w:t>
      </w:r>
      <w:proofErr w:type="spellEnd"/>
      <w:r>
        <w:t xml:space="preserve">-operated connections between </w:t>
      </w:r>
      <w:proofErr w:type="spellStart"/>
      <w:r>
        <w:t>Keflavík</w:t>
      </w:r>
      <w:proofErr w:type="spellEnd"/>
      <w:r>
        <w:t xml:space="preserve"> and European or North America</w:t>
      </w:r>
      <w:r>
        <w:t xml:space="preserve">n gateways Emirates already serves, generating incremental connecting revenue and market intelligence on Iceland-linked demand at minimal capital exposure, while avoiding a premature and potentially uneconomic </w:t>
      </w:r>
      <w:proofErr w:type="spellStart"/>
      <w:r>
        <w:t>widebody</w:t>
      </w:r>
      <w:proofErr w:type="spellEnd"/>
      <w:r>
        <w:t xml:space="preserve"> deployment into a capacity-constraine</w:t>
      </w:r>
      <w:r>
        <w:t xml:space="preserve">d, thinly populated market. This mirrors the staged, risk-calibrated logic </w:t>
      </w:r>
      <w:r>
        <w:lastRenderedPageBreak/>
        <w:t>Emirates itself applied at its 1985 founding — starting with a lower-commitment arrangement and escalating only once demand is demonstrated.</w:t>
      </w:r>
    </w:p>
    <w:p w:rsidR="00093093" w:rsidRDefault="00805074">
      <w:pPr>
        <w:spacing w:after="200" w:line="360" w:lineRule="auto"/>
        <w:jc w:val="both"/>
      </w:pPr>
      <w:r>
        <w:t>Weighing resource commitment against con</w:t>
      </w:r>
      <w:r>
        <w:t xml:space="preserve">trol and flexibility: a wholly-owned direct service maximises brand control and revenue capture but commits substantial fixed costs (aircraft, crew basing considerations, </w:t>
      </w:r>
      <w:proofErr w:type="gramStart"/>
      <w:r>
        <w:t>slots</w:t>
      </w:r>
      <w:proofErr w:type="gramEnd"/>
      <w:r>
        <w:t>, marketing) against unproven, plateaued demand, and is difficult to reverse wit</w:t>
      </w:r>
      <w:r>
        <w:t>hout reputational cost. A codeshare/interline mode sacrifices some control and brand visibility but preserves flexibility and option value, allowing Emirates to observe actual passenger volumes, yield and connecting-traffic patterns before committing capit</w:t>
      </w:r>
      <w:r>
        <w:t xml:space="preserve">al — a materially more prudent risk-adjusted choice given the demand and infrastructure constraints identified in Figure 2 and Section 2.3. This also aligns with a long-term strategic-fit consideration: should </w:t>
      </w:r>
      <w:proofErr w:type="spellStart"/>
      <w:r>
        <w:t>Keflavík's</w:t>
      </w:r>
      <w:proofErr w:type="spellEnd"/>
      <w:r>
        <w:t xml:space="preserve"> </w:t>
      </w:r>
      <w:proofErr w:type="spellStart"/>
      <w:r>
        <w:t>ongoing</w:t>
      </w:r>
      <w:proofErr w:type="spellEnd"/>
      <w:r>
        <w:t xml:space="preserve"> terminal expansion alleviat</w:t>
      </w:r>
      <w:r>
        <w:t xml:space="preserve">e current capacity pressure, and should the newly liberalised visa regime measurably increase Gulf and Asian visitor volumes to Iceland, Emirates would then have an evidence base to justify escalating to a seasonal, and eventually year-round, wholly-owned </w:t>
      </w:r>
      <w:r>
        <w:t>direct service using a right-sized aircraft such as the Airbus A350, consistent with its broader recent pattern of adding niche, previously underserved long-haul destinations such as Bogotá and Madagascar (Emirates Group, 2025).</w:t>
      </w:r>
    </w:p>
    <w:p w:rsidR="00093093" w:rsidRDefault="00805074">
      <w:pPr>
        <w:pStyle w:val="Heading2"/>
      </w:pPr>
      <w:r>
        <w:t>3.3 Conclusion and Recommendations</w:t>
      </w:r>
    </w:p>
    <w:p w:rsidR="00093093" w:rsidRDefault="00805074">
      <w:pPr>
        <w:spacing w:after="200" w:line="360" w:lineRule="auto"/>
        <w:jc w:val="both"/>
      </w:pPr>
      <w:r>
        <w:t xml:space="preserve">This report classifies Emirates as pursuing a predominantly global international strategy under Bartlett and </w:t>
      </w:r>
      <w:proofErr w:type="spellStart"/>
      <w:r>
        <w:t>Ghoshal's</w:t>
      </w:r>
      <w:proofErr w:type="spellEnd"/>
      <w:r>
        <w:t xml:space="preserve"> (1989) framework, underpinned by a centralised, vertically integrated Dubai hub configuration that, as</w:t>
      </w:r>
      <w:r>
        <w:t xml:space="preserve"> Figure 1 demonstrates, generates substantial and growing competitive advantage but also concentrates operational risk. Iceland presents a politically stable, legally hospitable and increasingly tourism-liberalised market, but one that, as Figure 2 shows, </w:t>
      </w:r>
      <w:r>
        <w:t>is economically small, has plateaued in demand terms since 2023, and is increasingly capacity-constrained at its principal gateway airport. Dunning's OLI framework indicates that while Emirates possesses ample ownership advantages, Iceland's location advan</w:t>
      </w:r>
      <w:r>
        <w:t>tages are comparatively modest and the internalisation case for an immediate, fully-owned route is weak relative to the scale of opportunity.</w:t>
      </w:r>
    </w:p>
    <w:p w:rsidR="00093093" w:rsidRDefault="00805074">
      <w:pPr>
        <w:spacing w:after="200" w:line="360" w:lineRule="auto"/>
        <w:jc w:val="both"/>
      </w:pPr>
      <w:r>
        <w:t>The recommendation is therefore a phased, evidence-led entry strategy: first, establish a codeshare or interline p</w:t>
      </w:r>
      <w:r>
        <w:t xml:space="preserve">artnership with </w:t>
      </w:r>
      <w:proofErr w:type="spellStart"/>
      <w:r>
        <w:t>Icelandair</w:t>
      </w:r>
      <w:proofErr w:type="spellEnd"/>
      <w:r>
        <w:t xml:space="preserve"> to generate connecting traffic and market data at minimal capital risk; second, pursue in parallel the diplomatic negotiation of a UAE–Iceland bilateral Air Service Agreement to secure the traffic rights a future direct service w</w:t>
      </w:r>
      <w:r>
        <w:t>ould require; and third, escalate to a seasonal and, if justified by demonstrated demand, year-round wholly-owned Dubai–</w:t>
      </w:r>
      <w:proofErr w:type="spellStart"/>
      <w:r>
        <w:t>Keflavík</w:t>
      </w:r>
      <w:proofErr w:type="spellEnd"/>
      <w:r>
        <w:t xml:space="preserve"> service once </w:t>
      </w:r>
      <w:proofErr w:type="spellStart"/>
      <w:r>
        <w:t>Keflavík's</w:t>
      </w:r>
      <w:proofErr w:type="spellEnd"/>
      <w:r>
        <w:t xml:space="preserve"> capacity expansion is realised and connecting-traffic volumes </w:t>
      </w:r>
      <w:r>
        <w:lastRenderedPageBreak/>
        <w:t xml:space="preserve">substantiate the investment. This staged </w:t>
      </w:r>
      <w:r>
        <w:t xml:space="preserve">approach reconciles Emirates' historically preferred mode of full ownership and control with the genuine demand and infrastructure uncertainties specific to the Icelandic market, and mirrors the risk-calibrated logic Emirates itself used when entering its </w:t>
      </w:r>
      <w:r>
        <w:t>very first international routes.</w:t>
      </w:r>
    </w:p>
    <w:p w:rsidR="00093093" w:rsidRDefault="00805074">
      <w:r>
        <w:br w:type="page"/>
      </w:r>
    </w:p>
    <w:p w:rsidR="00093093" w:rsidRDefault="00805074">
      <w:pPr>
        <w:pStyle w:val="Heading1"/>
      </w:pPr>
      <w:r>
        <w:lastRenderedPageBreak/>
        <w:t>Section 2: Reflective Account</w:t>
      </w:r>
    </w:p>
    <w:p w:rsidR="00093093" w:rsidRDefault="00805074">
      <w:pPr>
        <w:spacing w:after="200" w:line="360" w:lineRule="auto"/>
        <w:jc w:val="both"/>
      </w:pPr>
      <w:r>
        <w:t>This reflection uses Gibbs' (1988) Reflective Cycle — Description, Feelings, Evaluation, Analysis, Conclusion and Action Plan — to critically examine the process of researching, analysing and</w:t>
      </w:r>
      <w:r>
        <w:t xml:space="preserve"> preparing Section 1 of this assessment.</w:t>
      </w:r>
    </w:p>
    <w:p w:rsidR="00093093" w:rsidRDefault="00805074">
      <w:pPr>
        <w:pStyle w:val="Heading2"/>
      </w:pPr>
      <w:r>
        <w:t>Description</w:t>
      </w:r>
    </w:p>
    <w:p w:rsidR="00093093" w:rsidRDefault="00805074">
      <w:pPr>
        <w:spacing w:after="200" w:line="360" w:lineRule="auto"/>
        <w:jc w:val="both"/>
      </w:pPr>
      <w:r>
        <w:t>The task required selecting a multinational corporation and a target country in which it had no significant operational presence, then applying established international business frameworks — Bartlett an</w:t>
      </w:r>
      <w:r>
        <w:t xml:space="preserve">d </w:t>
      </w:r>
      <w:proofErr w:type="spellStart"/>
      <w:r>
        <w:t>Ghoshal's</w:t>
      </w:r>
      <w:proofErr w:type="spellEnd"/>
      <w:r>
        <w:t xml:space="preserve"> (1989) integration-responsiveness model, a focused macro-environmental analysis, Dunning's (1988; 2001) eclectic paradigm, and an entry-mode evaluation — to build an evidence-based recommendation. I selected Emirates airline and Iceland. My pro</w:t>
      </w:r>
      <w:r>
        <w:t>cess began with verifying, through current route-network and destination data, that Emirates genuinely had no direct operational presence in Iceland, before systematically gathering financial, regulatory, tourism and competitive data on both the firm and t</w:t>
      </w:r>
      <w:r>
        <w:t>he host market, constructing supporting visualisations of the key financial and tourism trends, and finally synthesising these findings against the theoretical frameworks specified in the brief.</w:t>
      </w:r>
    </w:p>
    <w:p w:rsidR="00093093" w:rsidRDefault="00805074">
      <w:pPr>
        <w:pStyle w:val="Heading2"/>
      </w:pPr>
      <w:r>
        <w:t>Feelings</w:t>
      </w:r>
    </w:p>
    <w:p w:rsidR="00093093" w:rsidRDefault="00805074">
      <w:pPr>
        <w:spacing w:after="200" w:line="360" w:lineRule="auto"/>
        <w:jc w:val="both"/>
      </w:pPr>
      <w:r>
        <w:t>Initially I felt some uncertainty about whether an a</w:t>
      </w:r>
      <w:r>
        <w:t>irline was an appropriate case for frameworks that are more commonly applied to manufacturing or consumer-goods multinationals in course materials and textbook examples. This uncertainty was productive rather than paralysing: it prompted me to think critic</w:t>
      </w:r>
      <w:r>
        <w:t xml:space="preserve">ally about the limits of the models rather than applying them mechanically. Confidence grew once verified, current data — Emirates Group's multi-year financial results, Iceland's tourist-arrival series, and </w:t>
      </w:r>
      <w:proofErr w:type="spellStart"/>
      <w:r>
        <w:t>Keflavík</w:t>
      </w:r>
      <w:proofErr w:type="spellEnd"/>
      <w:r>
        <w:t xml:space="preserve"> capacity reporting — was assembled and v</w:t>
      </w:r>
      <w:r>
        <w:t>isualised, because the analysis could then be grounded in evidence rather than assumption. There was a recurring tension between wanting to present Iceland as an attractive opportunity (which would make for a tidier narrative) and the discipline of critica</w:t>
      </w:r>
      <w:r>
        <w:t>l analysis, which required acknowledging real constraints such as the demand plateau visible in Figure 2 and capacity limits even where they complicated a clean recommendation.</w:t>
      </w:r>
    </w:p>
    <w:p w:rsidR="00093093" w:rsidRDefault="00805074">
      <w:pPr>
        <w:pStyle w:val="Heading2"/>
      </w:pPr>
      <w:r>
        <w:t>Evaluation</w:t>
      </w:r>
    </w:p>
    <w:p w:rsidR="00093093" w:rsidRDefault="00805074">
      <w:pPr>
        <w:spacing w:after="200" w:line="360" w:lineRule="auto"/>
        <w:jc w:val="both"/>
      </w:pPr>
      <w:r>
        <w:t xml:space="preserve">What worked well was triangulating multiple independent sources for </w:t>
      </w:r>
      <w:r>
        <w:t>each factual claim — for example, cross-checking Emirates' route network across several airline-data providers before concluding that no direct service existed, and cross-checking Iceland's tourist-arrival figures against both the national tourist board an</w:t>
      </w:r>
      <w:r>
        <w:t xml:space="preserve">d independent statistics providers before charting them. </w:t>
      </w:r>
      <w:proofErr w:type="gramStart"/>
      <w:r>
        <w:lastRenderedPageBreak/>
        <w:t>Structuring research around the assignment's explicit sub-headings, and building the two figures directly from tabulated multi-year data rather than a single-year snapshot, helped maintain focus on t</w:t>
      </w:r>
      <w:r>
        <w:t>rends genuinely material to an airline's market-entry decision, rather than producing a purely descriptive country profile.</w:t>
      </w:r>
      <w:proofErr w:type="gramEnd"/>
      <w:r>
        <w:t xml:space="preserve"> What was less effective initially was a tendency to gather broad country-level data before narrowing to aviation- and tourism-specif</w:t>
      </w:r>
      <w:r>
        <w:t xml:space="preserve">ic sources; recognising this and consciously re-focusing research toward industry-specific outlets (aviation trade press, airport capacity reporting, </w:t>
      </w:r>
      <w:proofErr w:type="gramStart"/>
      <w:r>
        <w:t>the</w:t>
      </w:r>
      <w:proofErr w:type="gramEnd"/>
      <w:r>
        <w:t xml:space="preserve"> national tourist board) substantially improved the relevance and analytical depth of the final output.</w:t>
      </w:r>
    </w:p>
    <w:p w:rsidR="00093093" w:rsidRDefault="00805074">
      <w:pPr>
        <w:pStyle w:val="Heading2"/>
      </w:pPr>
      <w:r>
        <w:t>Analysis</w:t>
      </w:r>
    </w:p>
    <w:p w:rsidR="00093093" w:rsidRDefault="00805074">
      <w:pPr>
        <w:spacing w:after="200" w:line="360" w:lineRule="auto"/>
        <w:jc w:val="both"/>
      </w:pPr>
      <w:r>
        <w:t>The most significant challenge was the near-total absence of a documented Air Service Agreement between the UAE and Iceland, which meant a key legal precondition to entry could not be confirmed as either resolved or actively negotiated from publi</w:t>
      </w:r>
      <w:r>
        <w:t>c sources. Rather than treating this gap as a weakness to be concealed, course learning on critical analysis — particularly the principle that acknowledging genuine uncertainty strengthens rather than undermines an argument — supported the decision to flag</w:t>
      </w:r>
      <w:r>
        <w:t xml:space="preserve"> this explicitly as an unresolved risk factor requiring further negotiation, rather than assuming its existence or omitting the issue. A second analytical challenge was applying Bartlett and </w:t>
      </w:r>
      <w:proofErr w:type="spellStart"/>
      <w:r>
        <w:t>Ghoshal's</w:t>
      </w:r>
      <w:proofErr w:type="spellEnd"/>
      <w:r>
        <w:t xml:space="preserve"> (1989) typology, developed with manufacturing multinati</w:t>
      </w:r>
      <w:r>
        <w:t>onals in mind, to a service-network industry structurally shaped by bilateral aviation regulation rather than purely strategic choice; lecture material on the limitations of foundational strategy frameworks, and the expectation that frameworks be applied c</w:t>
      </w:r>
      <w:r>
        <w:t>ritically rather than descriptively, directly supported the decision to qualify the classification rather than present it as an uncomplicated fit. A third challenge was ensuring the two figures added genuine analytical value rather than decorative content:</w:t>
      </w:r>
      <w:r>
        <w:t xml:space="preserve"> I addressed this by explicitly interpreting each figure in the surrounding text (for example, linking the profit trend in Figure 1 to Emirates' capital capacity, and the plateau in Figure 2 to demand-side risk) rather than leaving the data to speak for it</w:t>
      </w:r>
      <w:r>
        <w:t>self.</w:t>
      </w:r>
    </w:p>
    <w:p w:rsidR="00093093" w:rsidRDefault="00805074">
      <w:pPr>
        <w:pStyle w:val="Heading2"/>
      </w:pPr>
      <w:r>
        <w:t>Conclusion</w:t>
      </w:r>
    </w:p>
    <w:p w:rsidR="00093093" w:rsidRDefault="00805074">
      <w:pPr>
        <w:spacing w:after="200" w:line="360" w:lineRule="auto"/>
        <w:jc w:val="both"/>
      </w:pPr>
      <w:r>
        <w:t>This assignment deepened my understanding that international business frameworks are analytical lenses to be applied critically and adapted to industry context, not templates to be completed mechanically. I learned to prioritise recent, ve</w:t>
      </w:r>
      <w:r>
        <w:t>rifiable, industry-specific data over generic country profiles, to treat unresolved uncertainties (such as the absent bilateral agreement) as legitimate, reportable findings rather than gaps to be smoothed over, and to use data visualisation purposefully —</w:t>
      </w:r>
      <w:r>
        <w:t xml:space="preserve"> as evidence integrated into the argument rather than as illustrative decoration. I also gained a clearer appreciation of how ownership, location and internalisation advantages interact dynamically </w:t>
      </w:r>
      <w:r>
        <w:lastRenderedPageBreak/>
        <w:t>— for instance, how strong ownership advantages (evidenced</w:t>
      </w:r>
      <w:r>
        <w:t xml:space="preserve"> quantitatively in Figure 1) can still yield a cautious entry-mode recommendation when location advantages are modest (evidenced in Figure 2) and internalisation is not commercially justified at the initial scale of entry.</w:t>
      </w:r>
    </w:p>
    <w:p w:rsidR="00093093" w:rsidRDefault="00805074">
      <w:pPr>
        <w:pStyle w:val="Heading2"/>
      </w:pPr>
      <w:r>
        <w:t>Action Plan</w:t>
      </w:r>
    </w:p>
    <w:p w:rsidR="00093093" w:rsidRDefault="00805074">
      <w:pPr>
        <w:spacing w:after="200" w:line="360" w:lineRule="auto"/>
        <w:jc w:val="both"/>
      </w:pPr>
      <w:r>
        <w:t>For future assignment</w:t>
      </w:r>
      <w:r>
        <w:t xml:space="preserve">s of this kind, I intend to begin industry-specific and regulatory research earlier in the process, before broad country-level data gathering, to keep analysis focused from the outset. I will also build a habit of explicitly cross-referencing at least two </w:t>
      </w:r>
      <w:r>
        <w:t>independent sources for any quantitative claim, and of constructing a simple visualisation early in the research process (rather than only at the writing stage), as this proved effective both for spotting trends such as the tourism plateau and for strength</w:t>
      </w:r>
      <w:r>
        <w:t>ening the evidential basis of the final argument. Finally, I plan to practise applying strategic frameworks to a wider range of industries beyond manufacturing examples covered in lectures, so that I become more comfortable identifying and articulating a f</w:t>
      </w:r>
      <w:r>
        <w:t xml:space="preserve">ramework's boundary conditions — as I did here with Bartlett and </w:t>
      </w:r>
      <w:proofErr w:type="spellStart"/>
      <w:r>
        <w:t>Ghoshal's</w:t>
      </w:r>
      <w:proofErr w:type="spellEnd"/>
      <w:r>
        <w:t xml:space="preserve"> model — rather than only its straightforward applications.</w:t>
      </w:r>
    </w:p>
    <w:p w:rsidR="00093093" w:rsidRDefault="00805074">
      <w:r>
        <w:br w:type="page"/>
      </w:r>
    </w:p>
    <w:p w:rsidR="00093093" w:rsidRDefault="00805074">
      <w:pPr>
        <w:pStyle w:val="Heading1"/>
      </w:pPr>
      <w:r>
        <w:lastRenderedPageBreak/>
        <w:t>References (Harvard Style)</w:t>
      </w:r>
    </w:p>
    <w:p w:rsidR="00093093" w:rsidRDefault="00805074">
      <w:pPr>
        <w:spacing w:after="160" w:line="300" w:lineRule="auto"/>
        <w:ind w:left="720" w:hanging="720"/>
      </w:pPr>
      <w:r>
        <w:t xml:space="preserve">Air Service </w:t>
      </w:r>
      <w:proofErr w:type="gramStart"/>
      <w:r>
        <w:t>One</w:t>
      </w:r>
      <w:proofErr w:type="gramEnd"/>
      <w:r>
        <w:t xml:space="preserve"> (2026a) Keflavik gained 4 airlines in 2024/2025, with a new long-haul carrier</w:t>
      </w:r>
      <w:r>
        <w:t xml:space="preserve"> coming in 2026. Available at: </w:t>
      </w:r>
      <w:hyperlink r:id="rId11" w:history="1">
        <w:r>
          <w:rPr>
            <w:rStyle w:val="Hyperlink"/>
          </w:rPr>
          <w:t>https://airserviceone.com/keflavik-gained-4-airlines-in-2024-2025-with-a-new-long-haul-carrier-com</w:t>
        </w:r>
        <w:r>
          <w:rPr>
            <w:rStyle w:val="Hyperlink"/>
          </w:rPr>
          <w:t>ing-in-2026/</w:t>
        </w:r>
      </w:hyperlink>
      <w:r>
        <w:t xml:space="preserve"> </w:t>
      </w:r>
    </w:p>
    <w:p w:rsidR="00093093" w:rsidRDefault="00805074">
      <w:pPr>
        <w:spacing w:after="160" w:line="300" w:lineRule="auto"/>
        <w:ind w:left="720" w:hanging="720"/>
      </w:pPr>
      <w:r>
        <w:t xml:space="preserve">Air Service </w:t>
      </w:r>
      <w:proofErr w:type="gramStart"/>
      <w:r>
        <w:t>One</w:t>
      </w:r>
      <w:proofErr w:type="gramEnd"/>
      <w:r>
        <w:t xml:space="preserve"> (2026b) Strong summer for Keflavik Airport as airlines expand network and capacity. Available at: </w:t>
      </w:r>
      <w:hyperlink r:id="rId12" w:history="1">
        <w:r>
          <w:rPr>
            <w:rStyle w:val="Hyperlink"/>
          </w:rPr>
          <w:t>https://airserviceone.com/strong-summer-for-keflavik-airport-as-airlines-expand-network-and-capacity/</w:t>
        </w:r>
      </w:hyperlink>
      <w:r w:rsidR="00BA27B6">
        <w:t xml:space="preserve"> </w:t>
      </w:r>
    </w:p>
    <w:p w:rsidR="00093093" w:rsidRDefault="00805074">
      <w:pPr>
        <w:spacing w:after="160" w:line="300" w:lineRule="auto"/>
        <w:ind w:left="720" w:hanging="720"/>
      </w:pPr>
      <w:r>
        <w:t xml:space="preserve">Aviation Week (2026a) How </w:t>
      </w:r>
      <w:proofErr w:type="spellStart"/>
      <w:r>
        <w:t>Icelandair</w:t>
      </w:r>
      <w:proofErr w:type="spellEnd"/>
      <w:r>
        <w:t xml:space="preserve"> aims to tackle Norwegian's transatlantic ambitions, </w:t>
      </w:r>
      <w:proofErr w:type="spellStart"/>
      <w:r>
        <w:t>Keflavík</w:t>
      </w:r>
      <w:proofErr w:type="spellEnd"/>
      <w:r>
        <w:t xml:space="preserve"> capacity crunch a</w:t>
      </w:r>
      <w:r>
        <w:t xml:space="preserve">nd fleet renewal. Available at: </w:t>
      </w:r>
      <w:hyperlink r:id="rId13" w:history="1">
        <w:r>
          <w:rPr>
            <w:rStyle w:val="Hyperlink"/>
          </w:rPr>
          <w:t>https://aviationweek.com/air-transport/airports-networks/how-icelandair-aims-tackle-norwe</w:t>
        </w:r>
        <w:r>
          <w:rPr>
            <w:rStyle w:val="Hyperlink"/>
          </w:rPr>
          <w:t>gians-transatlantic-ambitions</w:t>
        </w:r>
      </w:hyperlink>
      <w:r w:rsidR="00BA27B6">
        <w:t xml:space="preserve"> </w:t>
      </w:r>
    </w:p>
    <w:p w:rsidR="00093093" w:rsidRDefault="00805074">
      <w:pPr>
        <w:spacing w:after="160" w:line="300" w:lineRule="auto"/>
        <w:ind w:left="720" w:hanging="720"/>
      </w:pPr>
      <w:r>
        <w:t xml:space="preserve">Aviation Week (2026b) Routes &amp; Networks Latest: Rolling Daily Updates (W/C June 8, 2026). Available at: </w:t>
      </w:r>
      <w:hyperlink r:id="rId14" w:history="1">
        <w:r>
          <w:rPr>
            <w:rStyle w:val="Hyperlink"/>
          </w:rPr>
          <w:t>https://aviationweek.com/air-transport/airports-networks/routes-networks-latest-rolling-daily-updates-wc-june-8-2026</w:t>
        </w:r>
      </w:hyperlink>
      <w:r w:rsidR="00BA27B6">
        <w:t xml:space="preserve"> </w:t>
      </w:r>
    </w:p>
    <w:p w:rsidR="00093093" w:rsidRDefault="00805074">
      <w:pPr>
        <w:spacing w:after="160" w:line="300" w:lineRule="auto"/>
        <w:ind w:left="720" w:hanging="720"/>
      </w:pPr>
      <w:r>
        <w:t xml:space="preserve">Bartlett, C.A. and </w:t>
      </w:r>
      <w:proofErr w:type="spellStart"/>
      <w:r>
        <w:t>Ghoshal</w:t>
      </w:r>
      <w:proofErr w:type="spellEnd"/>
      <w:r>
        <w:t>, S. (1989) Managing Across Borders: The Transnation</w:t>
      </w:r>
      <w:r>
        <w:t>al Solution. Boston, MA: Harvard Business School Press.</w:t>
      </w:r>
    </w:p>
    <w:p w:rsidR="00093093" w:rsidRDefault="00805074">
      <w:pPr>
        <w:spacing w:after="160" w:line="300" w:lineRule="auto"/>
        <w:ind w:left="720" w:hanging="720"/>
      </w:pPr>
      <w:r>
        <w:t xml:space="preserve">Booking.com (2026) Book affordable flights to Iceland from the United Arab Emirates. Available at: </w:t>
      </w:r>
      <w:hyperlink r:id="rId15" w:history="1">
        <w:r>
          <w:rPr>
            <w:rStyle w:val="Hyperlink"/>
          </w:rPr>
          <w:t>https://www.booking.com/flights/route/to-country/ae/is.html</w:t>
        </w:r>
      </w:hyperlink>
      <w:r w:rsidR="00BA27B6">
        <w:t xml:space="preserve"> </w:t>
      </w:r>
    </w:p>
    <w:p w:rsidR="00093093" w:rsidRDefault="00805074">
      <w:pPr>
        <w:spacing w:after="160" w:line="300" w:lineRule="auto"/>
        <w:ind w:left="720" w:hanging="720"/>
      </w:pPr>
      <w:r>
        <w:t xml:space="preserve">Companies History (2026) Emirates Net Worth, </w:t>
      </w:r>
      <w:proofErr w:type="spellStart"/>
      <w:r>
        <w:t>Marketcap</w:t>
      </w:r>
      <w:proofErr w:type="spellEnd"/>
      <w:r>
        <w:t xml:space="preserve">, Revenue, Competitors 2026. Available at: </w:t>
      </w:r>
      <w:hyperlink r:id="rId16" w:history="1">
        <w:r>
          <w:rPr>
            <w:rStyle w:val="Hyperlink"/>
          </w:rPr>
          <w:t>https://www.companieshistory.com/emirates/</w:t>
        </w:r>
      </w:hyperlink>
      <w:r w:rsidR="00BA27B6">
        <w:t xml:space="preserve"> </w:t>
      </w:r>
    </w:p>
    <w:p w:rsidR="00093093" w:rsidRDefault="00805074">
      <w:pPr>
        <w:spacing w:after="160" w:line="300" w:lineRule="auto"/>
        <w:ind w:left="720" w:hanging="720"/>
      </w:pPr>
      <w:r>
        <w:t>Dunning, J.H. (1988) '</w:t>
      </w:r>
      <w:proofErr w:type="gramStart"/>
      <w:r>
        <w:t>The</w:t>
      </w:r>
      <w:proofErr w:type="gramEnd"/>
      <w:r>
        <w:t xml:space="preserve"> eclectic paradigm of international production: a restatement and some possible extensions', Journal of International Business Studies, 19(1), pp. 1-31.</w:t>
      </w:r>
    </w:p>
    <w:p w:rsidR="00093093" w:rsidRDefault="00805074">
      <w:pPr>
        <w:spacing w:after="160" w:line="300" w:lineRule="auto"/>
        <w:ind w:left="720" w:hanging="720"/>
      </w:pPr>
      <w:r>
        <w:t>Dunning, J</w:t>
      </w:r>
      <w:r>
        <w:t>.H. (2001) '</w:t>
      </w:r>
      <w:proofErr w:type="gramStart"/>
      <w:r>
        <w:t>The</w:t>
      </w:r>
      <w:proofErr w:type="gramEnd"/>
      <w:r>
        <w:t xml:space="preserve"> eclectic (OLI) paradigm of international production: past, present and future', International Journal of the Economics of Business, 8(2), pp. 173-190.</w:t>
      </w:r>
    </w:p>
    <w:p w:rsidR="00093093" w:rsidRDefault="00805074">
      <w:pPr>
        <w:spacing w:after="160" w:line="300" w:lineRule="auto"/>
        <w:ind w:left="720" w:hanging="720"/>
      </w:pPr>
      <w:r>
        <w:t xml:space="preserve">Emirates (2024) History Timeline | </w:t>
      </w:r>
      <w:proofErr w:type="gramStart"/>
      <w:r>
        <w:t>About</w:t>
      </w:r>
      <w:proofErr w:type="gramEnd"/>
      <w:r>
        <w:t xml:space="preserve"> us | Emirates. Available at: </w:t>
      </w:r>
      <w:hyperlink r:id="rId17" w:history="1">
        <w:r>
          <w:rPr>
            <w:rStyle w:val="Hyperlink"/>
          </w:rPr>
          <w:t>https://www.emirates.com/us/english/about-us/timeline/</w:t>
        </w:r>
      </w:hyperlink>
      <w:r w:rsidR="00BA27B6">
        <w:t xml:space="preserve"> </w:t>
      </w:r>
    </w:p>
    <w:p w:rsidR="00093093" w:rsidRDefault="00805074">
      <w:pPr>
        <w:spacing w:after="160" w:line="300" w:lineRule="auto"/>
        <w:ind w:left="720" w:hanging="720"/>
      </w:pPr>
      <w:r>
        <w:t xml:space="preserve">Emirates Group (2025) Emirates Group Achieves Record Profit of AED 22.7 </w:t>
      </w:r>
      <w:proofErr w:type="spellStart"/>
      <w:r>
        <w:t>bn</w:t>
      </w:r>
      <w:proofErr w:type="spellEnd"/>
      <w:r>
        <w:t xml:space="preserve"> (US$ 6.2 </w:t>
      </w:r>
      <w:proofErr w:type="spellStart"/>
      <w:r>
        <w:t>bn</w:t>
      </w:r>
      <w:proofErr w:type="spellEnd"/>
      <w:r>
        <w:t xml:space="preserve">) in 2024-25. Available at: </w:t>
      </w:r>
      <w:hyperlink r:id="rId18" w:history="1">
        <w:r>
          <w:rPr>
            <w:rStyle w:val="Hyperlink"/>
          </w:rPr>
          <w:t>https://www.emirates.com/media-centre/emirates-group-achieves-record-profit-of-aed-227-bn-us-62-bn-in-2024-25/</w:t>
        </w:r>
      </w:hyperlink>
      <w:r w:rsidR="00BA27B6">
        <w:t xml:space="preserve"> </w:t>
      </w:r>
    </w:p>
    <w:p w:rsidR="00093093" w:rsidRDefault="00805074">
      <w:pPr>
        <w:spacing w:after="160" w:line="300" w:lineRule="auto"/>
        <w:ind w:left="720" w:hanging="720"/>
      </w:pPr>
      <w:proofErr w:type="spellStart"/>
      <w:proofErr w:type="gramStart"/>
      <w:r>
        <w:t>Fer</w:t>
      </w:r>
      <w:r>
        <w:t>ðamálastofa</w:t>
      </w:r>
      <w:proofErr w:type="spellEnd"/>
      <w:r>
        <w:t xml:space="preserve"> (Icelandic Tourist Board) (2026) Numbers of Foreign Visitors.</w:t>
      </w:r>
      <w:proofErr w:type="gramEnd"/>
      <w:r>
        <w:t xml:space="preserve"> Available at: </w:t>
      </w:r>
      <w:hyperlink r:id="rId19" w:history="1">
        <w:r>
          <w:rPr>
            <w:rStyle w:val="Hyperlink"/>
          </w:rPr>
          <w:t>https://www.ferdamalastofa.is/en/recearch-and-statistics/numbers-of</w:t>
        </w:r>
        <w:r>
          <w:rPr>
            <w:rStyle w:val="Hyperlink"/>
          </w:rPr>
          <w:t>-foreign-visitors</w:t>
        </w:r>
      </w:hyperlink>
      <w:r w:rsidR="00BA27B6">
        <w:t xml:space="preserve"> </w:t>
      </w:r>
    </w:p>
    <w:p w:rsidR="00093093" w:rsidRDefault="00805074">
      <w:pPr>
        <w:spacing w:after="160" w:line="300" w:lineRule="auto"/>
        <w:ind w:left="720" w:hanging="720"/>
      </w:pPr>
      <w:proofErr w:type="spellStart"/>
      <w:proofErr w:type="gramStart"/>
      <w:r>
        <w:t>FlightConnections</w:t>
      </w:r>
      <w:proofErr w:type="spellEnd"/>
      <w:r>
        <w:t xml:space="preserve"> (2026) Emirates Flights and Destinations.</w:t>
      </w:r>
      <w:proofErr w:type="gramEnd"/>
      <w:r>
        <w:t xml:space="preserve"> Available at: </w:t>
      </w:r>
      <w:hyperlink r:id="rId20" w:history="1">
        <w:r>
          <w:rPr>
            <w:rStyle w:val="Hyperlink"/>
          </w:rPr>
          <w:t>https://www.flightconnections.com/route-map-emirates-ek</w:t>
        </w:r>
      </w:hyperlink>
      <w:r>
        <w:t xml:space="preserve"> (Accessed: </w:t>
      </w:r>
      <w:r>
        <w:t>1 June 2026).</w:t>
      </w:r>
    </w:p>
    <w:p w:rsidR="00093093" w:rsidRDefault="00805074">
      <w:pPr>
        <w:spacing w:after="160" w:line="300" w:lineRule="auto"/>
        <w:ind w:left="720" w:hanging="720"/>
      </w:pPr>
      <w:proofErr w:type="spellStart"/>
      <w:r>
        <w:t>FocusEconomics</w:t>
      </w:r>
      <w:proofErr w:type="spellEnd"/>
      <w:r>
        <w:t xml:space="preserve"> (2026) Iceland Economy: GDP, Inflation, CPI &amp; Interest Rates. Available at: </w:t>
      </w:r>
      <w:hyperlink r:id="rId21" w:history="1">
        <w:r>
          <w:rPr>
            <w:rStyle w:val="Hyperlink"/>
          </w:rPr>
          <w:t>https://www.focus-economics.com/countries/iceland/</w:t>
        </w:r>
      </w:hyperlink>
      <w:r w:rsidR="00BA27B6">
        <w:t xml:space="preserve"> </w:t>
      </w:r>
    </w:p>
    <w:p w:rsidR="00093093" w:rsidRDefault="00805074">
      <w:pPr>
        <w:spacing w:after="160" w:line="300" w:lineRule="auto"/>
        <w:ind w:left="720" w:hanging="720"/>
      </w:pPr>
      <w:proofErr w:type="spellStart"/>
      <w:r>
        <w:lastRenderedPageBreak/>
        <w:t>Ghemawat</w:t>
      </w:r>
      <w:proofErr w:type="spellEnd"/>
      <w:r>
        <w:t>, P. (2001) 'Distance still matters: the hard reality of global expansion', Harvard Business Review, 79(8), pp. 137-147.</w:t>
      </w:r>
    </w:p>
    <w:p w:rsidR="00093093" w:rsidRDefault="00805074">
      <w:pPr>
        <w:spacing w:after="160" w:line="300" w:lineRule="auto"/>
        <w:ind w:left="720" w:hanging="720"/>
      </w:pPr>
      <w:proofErr w:type="gramStart"/>
      <w:r>
        <w:t>Gibbs, G. (1988) Learning by Doing: A Guide to Teaching and Learning Methods.</w:t>
      </w:r>
      <w:proofErr w:type="gramEnd"/>
      <w:r>
        <w:t xml:space="preserve"> Oxford: Further Education Unit, Oxford Polytechnic.</w:t>
      </w:r>
    </w:p>
    <w:p w:rsidR="00093093" w:rsidRDefault="00805074">
      <w:pPr>
        <w:spacing w:after="160" w:line="300" w:lineRule="auto"/>
        <w:ind w:left="720" w:hanging="720"/>
      </w:pPr>
      <w:r>
        <w:t xml:space="preserve">Gulf </w:t>
      </w:r>
      <w:r>
        <w:t xml:space="preserve">Business (2023) Emirates Group reports record annual profit of Dhs10.9bn for FY2022-23. Available at: </w:t>
      </w:r>
      <w:hyperlink r:id="rId22" w:history="1">
        <w:r>
          <w:rPr>
            <w:rStyle w:val="Hyperlink"/>
          </w:rPr>
          <w:t>https://gulfbusiness.com/emirates-group-reports-annual-profit-</w:t>
        </w:r>
        <w:r>
          <w:rPr>
            <w:rStyle w:val="Hyperlink"/>
          </w:rPr>
          <w:t>of-dh10-9-bn/</w:t>
        </w:r>
      </w:hyperlink>
      <w:r w:rsidR="00BA27B6">
        <w:t xml:space="preserve"> </w:t>
      </w:r>
    </w:p>
    <w:p w:rsidR="00093093" w:rsidRDefault="00805074">
      <w:pPr>
        <w:spacing w:after="160" w:line="300" w:lineRule="auto"/>
        <w:ind w:left="720" w:hanging="720"/>
      </w:pPr>
      <w:r>
        <w:t xml:space="preserve">Gulf News (2023) </w:t>
      </w:r>
      <w:proofErr w:type="spellStart"/>
      <w:r>
        <w:t>Dnata</w:t>
      </w:r>
      <w:proofErr w:type="spellEnd"/>
      <w:r>
        <w:t xml:space="preserve"> acquires 51% stake in UK's Imagine Cruising. Available at: </w:t>
      </w:r>
      <w:hyperlink r:id="rId23" w:history="1">
        <w:r>
          <w:rPr>
            <w:rStyle w:val="Hyperlink"/>
          </w:rPr>
          <w:t>https://gulfnews.com/bu</w:t>
        </w:r>
        <w:r>
          <w:rPr>
            <w:rStyle w:val="Hyperlink"/>
          </w:rPr>
          <w:t>siness/tourism/dnata-acquires-51-stake-in-uks-imagine-cruising-1.1468993</w:t>
        </w:r>
      </w:hyperlink>
      <w:r w:rsidR="00BA27B6">
        <w:t xml:space="preserve"> </w:t>
      </w:r>
    </w:p>
    <w:p w:rsidR="00093093" w:rsidRDefault="00805074">
      <w:pPr>
        <w:spacing w:after="160" w:line="300" w:lineRule="auto"/>
        <w:ind w:left="720" w:hanging="720"/>
      </w:pPr>
      <w:proofErr w:type="spellStart"/>
      <w:r>
        <w:t>Hofstede</w:t>
      </w:r>
      <w:proofErr w:type="spellEnd"/>
      <w:r>
        <w:t xml:space="preserve">, G. (2001) Culture's Consequences: Comparing Values, </w:t>
      </w:r>
      <w:proofErr w:type="spellStart"/>
      <w:r>
        <w:t>Behaviors</w:t>
      </w:r>
      <w:proofErr w:type="spellEnd"/>
      <w:r>
        <w:t xml:space="preserve">, Institutions and Organizations </w:t>
      </w:r>
      <w:proofErr w:type="gramStart"/>
      <w:r>
        <w:t>Across</w:t>
      </w:r>
      <w:proofErr w:type="gramEnd"/>
      <w:r>
        <w:t xml:space="preserve"> Nations. </w:t>
      </w:r>
      <w:proofErr w:type="gramStart"/>
      <w:r>
        <w:t xml:space="preserve">2nd </w:t>
      </w:r>
      <w:proofErr w:type="spellStart"/>
      <w:r>
        <w:t>edn</w:t>
      </w:r>
      <w:proofErr w:type="spellEnd"/>
      <w:r>
        <w:t>.</w:t>
      </w:r>
      <w:proofErr w:type="gramEnd"/>
      <w:r>
        <w:t xml:space="preserve"> Thousand Oaks, CA: Sage.</w:t>
      </w:r>
    </w:p>
    <w:p w:rsidR="00093093" w:rsidRDefault="00805074">
      <w:pPr>
        <w:spacing w:after="160" w:line="300" w:lineRule="auto"/>
        <w:ind w:left="720" w:hanging="720"/>
      </w:pPr>
      <w:r>
        <w:t>Lloy</w:t>
      </w:r>
      <w:r>
        <w:t xml:space="preserve">ds Bank Trade (2026) </w:t>
      </w:r>
      <w:proofErr w:type="gramStart"/>
      <w:r>
        <w:t>The</w:t>
      </w:r>
      <w:proofErr w:type="gramEnd"/>
      <w:r>
        <w:t xml:space="preserve"> Economic Context of Iceland. Available at: </w:t>
      </w:r>
      <w:hyperlink r:id="rId24" w:history="1">
        <w:r>
          <w:rPr>
            <w:rStyle w:val="Hyperlink"/>
          </w:rPr>
          <w:t>https://www.lloydsbanktrade.com/en/market-potential/iceland/economical-context</w:t>
        </w:r>
      </w:hyperlink>
    </w:p>
    <w:p w:rsidR="00093093" w:rsidRDefault="00805074">
      <w:pPr>
        <w:spacing w:after="160" w:line="300" w:lineRule="auto"/>
        <w:ind w:left="720" w:hanging="720"/>
      </w:pPr>
      <w:proofErr w:type="gramStart"/>
      <w:r>
        <w:t>OECD (2026) Iceland Economic Snapshot.</w:t>
      </w:r>
      <w:proofErr w:type="gramEnd"/>
      <w:r>
        <w:t xml:space="preserve"> Paris: OECD. Available at: </w:t>
      </w:r>
      <w:hyperlink r:id="rId25" w:history="1">
        <w:r>
          <w:rPr>
            <w:rStyle w:val="Hyperlink"/>
          </w:rPr>
          <w:t>https://www.oecd.org/en/topics/sub-issues/economic-surveys/iceland-econom</w:t>
        </w:r>
        <w:r>
          <w:rPr>
            <w:rStyle w:val="Hyperlink"/>
          </w:rPr>
          <w:t>ic-snapshot.html</w:t>
        </w:r>
      </w:hyperlink>
      <w:r w:rsidR="00BA27B6">
        <w:t xml:space="preserve"> </w:t>
      </w:r>
    </w:p>
    <w:p w:rsidR="00093093" w:rsidRDefault="00805074">
      <w:pPr>
        <w:spacing w:after="160" w:line="300" w:lineRule="auto"/>
        <w:ind w:left="720" w:hanging="720"/>
      </w:pPr>
      <w:proofErr w:type="spellStart"/>
      <w:r>
        <w:t>OraVisa</w:t>
      </w:r>
      <w:proofErr w:type="spellEnd"/>
      <w:r>
        <w:t xml:space="preserve"> (2026) Iceland Visa from Dubai: Complete Guide 2026. Available at: </w:t>
      </w:r>
      <w:hyperlink r:id="rId26" w:history="1">
        <w:r>
          <w:rPr>
            <w:rStyle w:val="Hyperlink"/>
          </w:rPr>
          <w:t>https://oravisa.com/blog/iceland-visa-from-dubai-complete-</w:t>
        </w:r>
        <w:r>
          <w:rPr>
            <w:rStyle w:val="Hyperlink"/>
          </w:rPr>
          <w:t>guide/</w:t>
        </w:r>
      </w:hyperlink>
      <w:r w:rsidR="00BA27B6">
        <w:t xml:space="preserve"> </w:t>
      </w:r>
    </w:p>
    <w:p w:rsidR="00093093" w:rsidRDefault="00805074">
      <w:pPr>
        <w:spacing w:after="160" w:line="300" w:lineRule="auto"/>
        <w:ind w:left="720" w:hanging="720"/>
      </w:pPr>
      <w:r>
        <w:t>Reference for Business (</w:t>
      </w:r>
      <w:proofErr w:type="spellStart"/>
      <w:r>
        <w:t>n.d.</w:t>
      </w:r>
      <w:proofErr w:type="spellEnd"/>
      <w:r>
        <w:t xml:space="preserve">) </w:t>
      </w:r>
      <w:proofErr w:type="gramStart"/>
      <w:r>
        <w:t>The</w:t>
      </w:r>
      <w:proofErr w:type="gramEnd"/>
      <w:r>
        <w:t xml:space="preserve"> Emirates Group - Company Profile, Information, Business Description, History, Background Information. Available at: </w:t>
      </w:r>
      <w:hyperlink r:id="rId27" w:history="1">
        <w:r>
          <w:rPr>
            <w:rStyle w:val="Hyperlink"/>
          </w:rPr>
          <w:t>https://www.referenceforbusiness.com/history2/10/The-Emirates-Group.html</w:t>
        </w:r>
      </w:hyperlink>
      <w:r w:rsidR="00BA27B6">
        <w:t xml:space="preserve"> </w:t>
      </w:r>
    </w:p>
    <w:p w:rsidR="00093093" w:rsidRDefault="00805074">
      <w:pPr>
        <w:spacing w:after="160" w:line="300" w:lineRule="auto"/>
        <w:ind w:left="720" w:hanging="720"/>
      </w:pPr>
      <w:proofErr w:type="spellStart"/>
      <w:proofErr w:type="gramStart"/>
      <w:r>
        <w:t>Routesonline</w:t>
      </w:r>
      <w:proofErr w:type="spellEnd"/>
      <w:r>
        <w:t xml:space="preserve"> (2026) Overview | Emirates | Routes.</w:t>
      </w:r>
      <w:proofErr w:type="gramEnd"/>
      <w:r>
        <w:t xml:space="preserve"> Available at: </w:t>
      </w:r>
      <w:hyperlink r:id="rId28" w:history="1">
        <w:r>
          <w:rPr>
            <w:rStyle w:val="Hyperlink"/>
          </w:rPr>
          <w:t>https://www.routesonline.com/airlines/3475/emirates/</w:t>
        </w:r>
      </w:hyperlink>
      <w:r w:rsidR="00BA27B6">
        <w:t xml:space="preserve"> </w:t>
      </w:r>
    </w:p>
    <w:p w:rsidR="00093093" w:rsidRDefault="00805074">
      <w:pPr>
        <w:spacing w:after="160" w:line="300" w:lineRule="auto"/>
        <w:ind w:left="720" w:hanging="720"/>
      </w:pPr>
      <w:r>
        <w:t xml:space="preserve">Schengen </w:t>
      </w:r>
      <w:proofErr w:type="spellStart"/>
      <w:r>
        <w:t>Traveler</w:t>
      </w:r>
      <w:proofErr w:type="spellEnd"/>
      <w:r>
        <w:t xml:space="preserve"> (2026) Travel to Iceland: Entry Requirements &amp; Tips (2026). Available at: </w:t>
      </w:r>
      <w:hyperlink r:id="rId29" w:history="1">
        <w:r>
          <w:rPr>
            <w:rStyle w:val="Hyperlink"/>
          </w:rPr>
          <w:t>https://schengentraveler.</w:t>
        </w:r>
        <w:r>
          <w:rPr>
            <w:rStyle w:val="Hyperlink"/>
          </w:rPr>
          <w:t>com/travel-iceland/</w:t>
        </w:r>
      </w:hyperlink>
      <w:r w:rsidR="00BA27B6">
        <w:t xml:space="preserve"> </w:t>
      </w:r>
    </w:p>
    <w:p w:rsidR="00093093" w:rsidRDefault="00805074">
      <w:pPr>
        <w:spacing w:after="160" w:line="300" w:lineRule="auto"/>
        <w:ind w:left="720" w:hanging="720"/>
      </w:pPr>
      <w:r>
        <w:t xml:space="preserve">Trading Economics (2026) Iceland Full Year GDP Growth. Available at: </w:t>
      </w:r>
      <w:hyperlink r:id="rId30" w:history="1">
        <w:r>
          <w:rPr>
            <w:rStyle w:val="Hyperlink"/>
          </w:rPr>
          <w:t>https://tradingeconomics.com/iceland/full-year-gdp-growth</w:t>
        </w:r>
      </w:hyperlink>
      <w:r w:rsidR="00BA27B6">
        <w:t xml:space="preserve"> </w:t>
      </w:r>
    </w:p>
    <w:p w:rsidR="00093093" w:rsidRDefault="00805074">
      <w:pPr>
        <w:spacing w:after="160" w:line="300" w:lineRule="auto"/>
        <w:ind w:left="720" w:hanging="720"/>
      </w:pPr>
      <w:r>
        <w:t xml:space="preserve">Travel and Tour World (2026) Iceland is surging the tourism industry with new visa free entry policy for over ninety countries including Brazil, Japan, Australia, Schengen and Gulf nations. Available at: </w:t>
      </w:r>
      <w:hyperlink r:id="rId31" w:history="1">
        <w:r>
          <w:rPr>
            <w:rStyle w:val="Hyperlink"/>
          </w:rPr>
          <w:t>https://www.travelandtourworld.com/news/article/bovsbnlx0qcj/</w:t>
        </w:r>
      </w:hyperlink>
      <w:r w:rsidR="00BA27B6">
        <w:t xml:space="preserve"> </w:t>
      </w:r>
    </w:p>
    <w:sectPr w:rsidR="00093093">
      <w:headerReference w:type="default" r:id="rId32"/>
      <w:footerReference w:type="default" r:id="rId33"/>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5074" w:rsidRDefault="00805074">
      <w:r>
        <w:separator/>
      </w:r>
    </w:p>
  </w:endnote>
  <w:endnote w:type="continuationSeparator" w:id="0">
    <w:p w:rsidR="00805074" w:rsidRDefault="00805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093" w:rsidRDefault="00805074">
    <w:pPr>
      <w:jc w:val="center"/>
    </w:pPr>
    <w:r>
      <w:rPr>
        <w:sz w:val="18"/>
        <w:szCs w:val="18"/>
      </w:rPr>
      <w:fldChar w:fldCharType="begin"/>
    </w:r>
    <w:r>
      <w:rPr>
        <w:sz w:val="18"/>
        <w:szCs w:val="18"/>
      </w:rPr>
      <w:instrText>PAGE</w:instrText>
    </w:r>
    <w:r w:rsidR="00844452">
      <w:rPr>
        <w:sz w:val="18"/>
        <w:szCs w:val="18"/>
      </w:rPr>
      <w:fldChar w:fldCharType="separate"/>
    </w:r>
    <w:r w:rsidR="000C097B">
      <w:rPr>
        <w:noProof/>
        <w:sz w:val="18"/>
        <w:szCs w:val="18"/>
      </w:rPr>
      <w:t>1</w:t>
    </w:r>
    <w:r>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5074" w:rsidRDefault="00805074">
      <w:r>
        <w:separator/>
      </w:r>
    </w:p>
  </w:footnote>
  <w:footnote w:type="continuationSeparator" w:id="0">
    <w:p w:rsidR="00805074" w:rsidRDefault="008050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093" w:rsidRDefault="00093093">
    <w:pP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120B51"/>
    <w:multiLevelType w:val="hybridMultilevel"/>
    <w:tmpl w:val="964E9D50"/>
    <w:lvl w:ilvl="0" w:tplc="6C0451C8">
      <w:start w:val="1"/>
      <w:numFmt w:val="bullet"/>
      <w:lvlText w:val="●"/>
      <w:lvlJc w:val="left"/>
      <w:pPr>
        <w:ind w:left="720" w:hanging="360"/>
      </w:pPr>
    </w:lvl>
    <w:lvl w:ilvl="1" w:tplc="ED3474CE">
      <w:start w:val="1"/>
      <w:numFmt w:val="bullet"/>
      <w:lvlText w:val="○"/>
      <w:lvlJc w:val="left"/>
      <w:pPr>
        <w:ind w:left="1440" w:hanging="360"/>
      </w:pPr>
    </w:lvl>
    <w:lvl w:ilvl="2" w:tplc="6492A788">
      <w:start w:val="1"/>
      <w:numFmt w:val="bullet"/>
      <w:lvlText w:val="■"/>
      <w:lvlJc w:val="left"/>
      <w:pPr>
        <w:ind w:left="2160" w:hanging="360"/>
      </w:pPr>
    </w:lvl>
    <w:lvl w:ilvl="3" w:tplc="BAFAB870">
      <w:start w:val="1"/>
      <w:numFmt w:val="bullet"/>
      <w:lvlText w:val="●"/>
      <w:lvlJc w:val="left"/>
      <w:pPr>
        <w:ind w:left="2880" w:hanging="360"/>
      </w:pPr>
    </w:lvl>
    <w:lvl w:ilvl="4" w:tplc="12BE6018">
      <w:start w:val="1"/>
      <w:numFmt w:val="bullet"/>
      <w:lvlText w:val="○"/>
      <w:lvlJc w:val="left"/>
      <w:pPr>
        <w:ind w:left="3600" w:hanging="360"/>
      </w:pPr>
    </w:lvl>
    <w:lvl w:ilvl="5" w:tplc="F78C78E4">
      <w:start w:val="1"/>
      <w:numFmt w:val="bullet"/>
      <w:lvlText w:val="■"/>
      <w:lvlJc w:val="left"/>
      <w:pPr>
        <w:ind w:left="4320" w:hanging="360"/>
      </w:pPr>
    </w:lvl>
    <w:lvl w:ilvl="6" w:tplc="647EAC34">
      <w:start w:val="1"/>
      <w:numFmt w:val="bullet"/>
      <w:lvlText w:val="●"/>
      <w:lvlJc w:val="left"/>
      <w:pPr>
        <w:ind w:left="5040" w:hanging="360"/>
      </w:pPr>
    </w:lvl>
    <w:lvl w:ilvl="7" w:tplc="FC806584">
      <w:start w:val="1"/>
      <w:numFmt w:val="bullet"/>
      <w:lvlText w:val="●"/>
      <w:lvlJc w:val="left"/>
      <w:pPr>
        <w:ind w:left="5760" w:hanging="360"/>
      </w:pPr>
    </w:lvl>
    <w:lvl w:ilvl="8" w:tplc="E99A4756">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093093"/>
    <w:rsid w:val="00093093"/>
    <w:rsid w:val="000C097B"/>
    <w:rsid w:val="00805074"/>
    <w:rsid w:val="00844452"/>
    <w:rsid w:val="009530B0"/>
    <w:rsid w:val="00BA27B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IN" w:eastAsia="en-I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qFormat/>
    <w:pPr>
      <w:spacing w:before="300" w:after="150"/>
      <w:outlineLvl w:val="0"/>
    </w:pPr>
    <w:rPr>
      <w:b/>
      <w:bCs/>
      <w:color w:val="1F3864"/>
      <w:sz w:val="30"/>
      <w:szCs w:val="30"/>
    </w:rPr>
  </w:style>
  <w:style w:type="paragraph" w:styleId="Heading2">
    <w:name w:val="heading 2"/>
    <w:qFormat/>
    <w:pPr>
      <w:spacing w:before="240" w:after="120"/>
      <w:outlineLvl w:val="1"/>
    </w:pPr>
    <w:rPr>
      <w:b/>
      <w:bCs/>
      <w:color w:val="2E5395"/>
      <w:sz w:val="26"/>
      <w:szCs w:val="26"/>
    </w:rPr>
  </w:style>
  <w:style w:type="paragraph" w:styleId="Heading3">
    <w:name w:val="heading 3"/>
    <w:qFormat/>
    <w:pPr>
      <w:spacing w:before="200" w:after="100"/>
      <w:outlineLvl w:val="2"/>
    </w:pPr>
    <w:rPr>
      <w:b/>
      <w:bCs/>
      <w:color w:val="2E5395"/>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BalloonText">
    <w:name w:val="Balloon Text"/>
    <w:basedOn w:val="Normal"/>
    <w:link w:val="BalloonTextChar"/>
    <w:uiPriority w:val="99"/>
    <w:semiHidden/>
    <w:unhideWhenUsed/>
    <w:rsid w:val="00844452"/>
    <w:rPr>
      <w:rFonts w:ascii="Tahoma" w:hAnsi="Tahoma" w:cs="Tahoma"/>
      <w:sz w:val="16"/>
      <w:szCs w:val="16"/>
    </w:rPr>
  </w:style>
  <w:style w:type="character" w:customStyle="1" w:styleId="BalloonTextChar">
    <w:name w:val="Balloon Text Char"/>
    <w:basedOn w:val="DefaultParagraphFont"/>
    <w:link w:val="BalloonText"/>
    <w:uiPriority w:val="99"/>
    <w:semiHidden/>
    <w:rsid w:val="00844452"/>
    <w:rPr>
      <w:rFonts w:ascii="Tahoma" w:hAnsi="Tahoma" w:cs="Tahoma"/>
      <w:sz w:val="16"/>
      <w:szCs w:val="16"/>
    </w:rPr>
  </w:style>
  <w:style w:type="paragraph" w:styleId="Header">
    <w:name w:val="header"/>
    <w:basedOn w:val="Normal"/>
    <w:link w:val="HeaderChar"/>
    <w:uiPriority w:val="99"/>
    <w:unhideWhenUsed/>
    <w:rsid w:val="00844452"/>
    <w:pPr>
      <w:tabs>
        <w:tab w:val="center" w:pos="4513"/>
        <w:tab w:val="right" w:pos="9026"/>
      </w:tabs>
    </w:pPr>
  </w:style>
  <w:style w:type="character" w:customStyle="1" w:styleId="HeaderChar">
    <w:name w:val="Header Char"/>
    <w:basedOn w:val="DefaultParagraphFont"/>
    <w:link w:val="Header"/>
    <w:uiPriority w:val="99"/>
    <w:rsid w:val="00844452"/>
  </w:style>
  <w:style w:type="paragraph" w:styleId="Footer">
    <w:name w:val="footer"/>
    <w:basedOn w:val="Normal"/>
    <w:link w:val="FooterChar"/>
    <w:uiPriority w:val="99"/>
    <w:unhideWhenUsed/>
    <w:rsid w:val="00844452"/>
    <w:pPr>
      <w:tabs>
        <w:tab w:val="center" w:pos="4513"/>
        <w:tab w:val="right" w:pos="9026"/>
      </w:tabs>
    </w:pPr>
  </w:style>
  <w:style w:type="character" w:customStyle="1" w:styleId="FooterChar">
    <w:name w:val="Footer Char"/>
    <w:basedOn w:val="DefaultParagraphFont"/>
    <w:link w:val="Footer"/>
    <w:uiPriority w:val="99"/>
    <w:rsid w:val="008444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IN" w:eastAsia="en-I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qFormat/>
    <w:pPr>
      <w:spacing w:before="300" w:after="150"/>
      <w:outlineLvl w:val="0"/>
    </w:pPr>
    <w:rPr>
      <w:b/>
      <w:bCs/>
      <w:color w:val="1F3864"/>
      <w:sz w:val="30"/>
      <w:szCs w:val="30"/>
    </w:rPr>
  </w:style>
  <w:style w:type="paragraph" w:styleId="Heading2">
    <w:name w:val="heading 2"/>
    <w:qFormat/>
    <w:pPr>
      <w:spacing w:before="240" w:after="120"/>
      <w:outlineLvl w:val="1"/>
    </w:pPr>
    <w:rPr>
      <w:b/>
      <w:bCs/>
      <w:color w:val="2E5395"/>
      <w:sz w:val="26"/>
      <w:szCs w:val="26"/>
    </w:rPr>
  </w:style>
  <w:style w:type="paragraph" w:styleId="Heading3">
    <w:name w:val="heading 3"/>
    <w:qFormat/>
    <w:pPr>
      <w:spacing w:before="200" w:after="100"/>
      <w:outlineLvl w:val="2"/>
    </w:pPr>
    <w:rPr>
      <w:b/>
      <w:bCs/>
      <w:color w:val="2E5395"/>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BalloonText">
    <w:name w:val="Balloon Text"/>
    <w:basedOn w:val="Normal"/>
    <w:link w:val="BalloonTextChar"/>
    <w:uiPriority w:val="99"/>
    <w:semiHidden/>
    <w:unhideWhenUsed/>
    <w:rsid w:val="00844452"/>
    <w:rPr>
      <w:rFonts w:ascii="Tahoma" w:hAnsi="Tahoma" w:cs="Tahoma"/>
      <w:sz w:val="16"/>
      <w:szCs w:val="16"/>
    </w:rPr>
  </w:style>
  <w:style w:type="character" w:customStyle="1" w:styleId="BalloonTextChar">
    <w:name w:val="Balloon Text Char"/>
    <w:basedOn w:val="DefaultParagraphFont"/>
    <w:link w:val="BalloonText"/>
    <w:uiPriority w:val="99"/>
    <w:semiHidden/>
    <w:rsid w:val="00844452"/>
    <w:rPr>
      <w:rFonts w:ascii="Tahoma" w:hAnsi="Tahoma" w:cs="Tahoma"/>
      <w:sz w:val="16"/>
      <w:szCs w:val="16"/>
    </w:rPr>
  </w:style>
  <w:style w:type="paragraph" w:styleId="Header">
    <w:name w:val="header"/>
    <w:basedOn w:val="Normal"/>
    <w:link w:val="HeaderChar"/>
    <w:uiPriority w:val="99"/>
    <w:unhideWhenUsed/>
    <w:rsid w:val="00844452"/>
    <w:pPr>
      <w:tabs>
        <w:tab w:val="center" w:pos="4513"/>
        <w:tab w:val="right" w:pos="9026"/>
      </w:tabs>
    </w:pPr>
  </w:style>
  <w:style w:type="character" w:customStyle="1" w:styleId="HeaderChar">
    <w:name w:val="Header Char"/>
    <w:basedOn w:val="DefaultParagraphFont"/>
    <w:link w:val="Header"/>
    <w:uiPriority w:val="99"/>
    <w:rsid w:val="00844452"/>
  </w:style>
  <w:style w:type="paragraph" w:styleId="Footer">
    <w:name w:val="footer"/>
    <w:basedOn w:val="Normal"/>
    <w:link w:val="FooterChar"/>
    <w:uiPriority w:val="99"/>
    <w:unhideWhenUsed/>
    <w:rsid w:val="00844452"/>
    <w:pPr>
      <w:tabs>
        <w:tab w:val="center" w:pos="4513"/>
        <w:tab w:val="right" w:pos="9026"/>
      </w:tabs>
    </w:pPr>
  </w:style>
  <w:style w:type="character" w:customStyle="1" w:styleId="FooterChar">
    <w:name w:val="Footer Char"/>
    <w:basedOn w:val="DefaultParagraphFont"/>
    <w:link w:val="Footer"/>
    <w:uiPriority w:val="99"/>
    <w:rsid w:val="008444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viationweek.com/air-transport/airports-networks/how-icelandair-aims-tackle-norwegians-transatlantic-ambitions" TargetMode="External"/><Relationship Id="rId18" Type="http://schemas.openxmlformats.org/officeDocument/2006/relationships/hyperlink" Target="https://www.emirates.com/media-centre/emirates-group-achieves-record-profit-of-aed-227-bn-us-62-bn-in-2024-25/" TargetMode="External"/><Relationship Id="rId26" Type="http://schemas.openxmlformats.org/officeDocument/2006/relationships/hyperlink" Target="https://oravisa.com/blog/iceland-visa-from-dubai-complete-guide/" TargetMode="External"/><Relationship Id="rId3" Type="http://schemas.microsoft.com/office/2007/relationships/stylesWithEffects" Target="stylesWithEffects.xml"/><Relationship Id="rId21" Type="http://schemas.openxmlformats.org/officeDocument/2006/relationships/hyperlink" Target="https://www.focus-economics.com/countries/iceland/"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airserviceone.com/strong-summer-for-keflavik-airport-as-airlines-expand-network-and-capacity/" TargetMode="External"/><Relationship Id="rId17" Type="http://schemas.openxmlformats.org/officeDocument/2006/relationships/hyperlink" Target="https://www.emirates.com/us/english/about-us/timeline/" TargetMode="External"/><Relationship Id="rId25" Type="http://schemas.openxmlformats.org/officeDocument/2006/relationships/hyperlink" Target="https://www.oecd.org/en/topics/sub-issues/economic-surveys/iceland-economic-snapshot.html"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companieshistory.com/emirates/" TargetMode="External"/><Relationship Id="rId20" Type="http://schemas.openxmlformats.org/officeDocument/2006/relationships/hyperlink" Target="https://www.flightconnections.com/route-map-emirates-ek" TargetMode="External"/><Relationship Id="rId29" Type="http://schemas.openxmlformats.org/officeDocument/2006/relationships/hyperlink" Target="https://schengentraveler.com/travel-iceland/"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airserviceone.com/keflavik-gained-4-airlines-in-2024-2025-with-a-new-long-haul-carrier-coming-in-2026/" TargetMode="External"/><Relationship Id="rId24" Type="http://schemas.openxmlformats.org/officeDocument/2006/relationships/hyperlink" Target="https://www.lloydsbanktrade.com/en/market-potential/iceland/economical-context"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ooking.com/flights/route/to-country/ae/is.html" TargetMode="External"/><Relationship Id="rId23" Type="http://schemas.openxmlformats.org/officeDocument/2006/relationships/hyperlink" Target="https://gulfnews.com/business/tourism/dnata-acquires-51-stake-in-uks-imagine-cruising-1.1468993" TargetMode="External"/><Relationship Id="rId28" Type="http://schemas.openxmlformats.org/officeDocument/2006/relationships/hyperlink" Target="https://www.routesonline.com/airlines/3475/emirates/" TargetMode="External"/><Relationship Id="rId10" Type="http://schemas.openxmlformats.org/officeDocument/2006/relationships/image" Target="media/image3.png"/><Relationship Id="rId19" Type="http://schemas.openxmlformats.org/officeDocument/2006/relationships/hyperlink" Target="https://www.ferdamalastofa.is/en/recearch-and-statistics/numbers-of-foreign-visitors" TargetMode="External"/><Relationship Id="rId31" Type="http://schemas.openxmlformats.org/officeDocument/2006/relationships/hyperlink" Target="https://www.travelandtourworld.com/news/article/bovsbnlx0qcj/"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viationweek.com/air-transport/airports-networks/routes-networks-latest-rolling-daily-updates-wc-june-8-2026" TargetMode="External"/><Relationship Id="rId22" Type="http://schemas.openxmlformats.org/officeDocument/2006/relationships/hyperlink" Target="https://gulfbusiness.com/emirates-group-reports-annual-profit-of-dh10-9-bn/" TargetMode="External"/><Relationship Id="rId27" Type="http://schemas.openxmlformats.org/officeDocument/2006/relationships/hyperlink" Target="https://www.referenceforbusiness.com/history2/10/The-Emirates-Group.html" TargetMode="External"/><Relationship Id="rId30" Type="http://schemas.openxmlformats.org/officeDocument/2006/relationships/hyperlink" Target="https://tradingeconomics.com/iceland/full-year-gdp-growth"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18</Pages>
  <Words>6149</Words>
  <Characters>35051</Characters>
  <Application>Microsoft Office Word</Application>
  <DocSecurity>0</DocSecurity>
  <Lines>292</Lines>
  <Paragraphs>82</Paragraphs>
  <ScaleCrop>false</ScaleCrop>
  <Company/>
  <LinksUpToDate>false</LinksUpToDate>
  <CharactersWithSpaces>41118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rahul parmar</cp:lastModifiedBy>
  <cp:revision>11</cp:revision>
  <dcterms:created xsi:type="dcterms:W3CDTF">2026-08-13T01:34:00Z</dcterms:created>
  <dcterms:modified xsi:type="dcterms:W3CDTF">2026-08-13T01:46:00Z</dcterms:modified>
</cp:coreProperties>
</file>