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397BB1" w14:textId="6B1A82B3" w:rsidR="000E078B" w:rsidRDefault="6094E0F5" w:rsidP="76DAAEE2">
      <w:pPr>
        <w:spacing w:after="0" w:line="257" w:lineRule="auto"/>
        <w:rPr>
          <w:rFonts w:ascii="Calibri" w:eastAsia="Calibri" w:hAnsi="Calibri" w:cs="Calibri"/>
          <w:color w:val="000000" w:themeColor="text1"/>
          <w:sz w:val="22"/>
          <w:szCs w:val="22"/>
        </w:rPr>
      </w:pPr>
      <w:r w:rsidRPr="76DAAEE2">
        <w:rPr>
          <w:rFonts w:ascii="Calibri" w:eastAsia="Calibri" w:hAnsi="Calibri" w:cs="Calibri"/>
          <w:color w:val="000000" w:themeColor="text1"/>
          <w:sz w:val="22"/>
          <w:szCs w:val="22"/>
          <w:u w:val="single"/>
          <w:lang w:val="en-US"/>
        </w:rPr>
        <w:t>Code of Ethical and Professional Practice</w:t>
      </w:r>
    </w:p>
    <w:p w14:paraId="0EC44427" w14:textId="176E9EF2" w:rsidR="000E078B" w:rsidRDefault="6094E0F5" w:rsidP="76DAAEE2">
      <w:pPr>
        <w:spacing w:after="0" w:line="257" w:lineRule="auto"/>
        <w:rPr>
          <w:rFonts w:ascii="Calibri" w:eastAsia="Calibri" w:hAnsi="Calibri" w:cs="Calibri"/>
          <w:color w:val="000000" w:themeColor="text1"/>
          <w:sz w:val="22"/>
          <w:szCs w:val="22"/>
        </w:rPr>
      </w:pPr>
      <w:r w:rsidRPr="76DAAEE2">
        <w:rPr>
          <w:rFonts w:ascii="Calibri" w:eastAsia="Calibri" w:hAnsi="Calibri" w:cs="Calibri"/>
          <w:color w:val="000000" w:themeColor="text1"/>
          <w:sz w:val="22"/>
          <w:szCs w:val="22"/>
          <w:lang w:val="en-US"/>
        </w:rPr>
        <w:t xml:space="preserve"> </w:t>
      </w:r>
    </w:p>
    <w:p w14:paraId="07DD662F" w14:textId="5151FDC4" w:rsidR="000E078B" w:rsidRDefault="6094E0F5" w:rsidP="76DAAEE2">
      <w:pPr>
        <w:spacing w:line="264" w:lineRule="auto"/>
        <w:rPr>
          <w:rFonts w:ascii="Calibri" w:eastAsia="Calibri" w:hAnsi="Calibri" w:cs="Calibri"/>
          <w:color w:val="000000" w:themeColor="text1"/>
          <w:sz w:val="22"/>
          <w:szCs w:val="22"/>
        </w:rPr>
      </w:pPr>
      <w:r w:rsidRPr="76DAAEE2">
        <w:rPr>
          <w:rFonts w:ascii="Calibri" w:eastAsia="Calibri" w:hAnsi="Calibri" w:cs="Calibri"/>
          <w:color w:val="000000" w:themeColor="text1"/>
          <w:sz w:val="22"/>
          <w:szCs w:val="22"/>
          <w:lang w:val="en-US"/>
        </w:rPr>
        <w:t>Case Study</w:t>
      </w:r>
    </w:p>
    <w:p w14:paraId="3F69C919" w14:textId="140693D4" w:rsidR="000E078B" w:rsidRDefault="6094E0F5" w:rsidP="76DAAEE2">
      <w:pPr>
        <w:spacing w:line="264" w:lineRule="auto"/>
        <w:rPr>
          <w:rFonts w:ascii="Calibri" w:eastAsia="Calibri" w:hAnsi="Calibri" w:cs="Calibri"/>
          <w:color w:val="000000" w:themeColor="text1"/>
          <w:sz w:val="22"/>
          <w:szCs w:val="22"/>
        </w:rPr>
      </w:pPr>
      <w:r w:rsidRPr="76DAAEE2">
        <w:rPr>
          <w:rFonts w:ascii="Calibri" w:eastAsia="Calibri" w:hAnsi="Calibri" w:cs="Calibri"/>
          <w:color w:val="000000" w:themeColor="text1"/>
          <w:sz w:val="22"/>
          <w:szCs w:val="22"/>
          <w:lang w:val="en-US"/>
        </w:rPr>
        <w:t>Inter Luxe Hotel Group is a multinational hotel chain with 800 properties in 25 countries. The hotels are based in coastal resorts and cities. In coastal resorts, customers are mainly those on holiday. In cities, the customer base is more diverse and includes sightseers and business customers. Both groups of customers have high expectations. You work as a People Advisor in the People Function of a cluster of eight hotels. Inter Luxe Hotel Group employs graduate trainees who spend time in different functions to enable them to develop knowledge and understanding of the whole business. A graduate trainee will soon be starting their placement in your function, and you are responsible for their learning during this placement.</w:t>
      </w:r>
    </w:p>
    <w:p w14:paraId="03965B57" w14:textId="503EC013" w:rsidR="000E078B" w:rsidRDefault="6094E0F5" w:rsidP="76DAAEE2">
      <w:pPr>
        <w:spacing w:after="0" w:line="264" w:lineRule="auto"/>
        <w:rPr>
          <w:rFonts w:ascii="Calibri" w:eastAsia="Calibri" w:hAnsi="Calibri" w:cs="Calibri"/>
          <w:color w:val="000000" w:themeColor="text1"/>
          <w:sz w:val="22"/>
          <w:szCs w:val="22"/>
        </w:rPr>
      </w:pPr>
      <w:r w:rsidRPr="76DAAEE2">
        <w:rPr>
          <w:rFonts w:ascii="Calibri" w:eastAsia="Calibri" w:hAnsi="Calibri" w:cs="Calibri"/>
          <w:color w:val="000000" w:themeColor="text1"/>
          <w:sz w:val="22"/>
          <w:szCs w:val="22"/>
          <w:lang w:val="en-US"/>
        </w:rPr>
        <w:t>Task Three – Guidance document</w:t>
      </w:r>
    </w:p>
    <w:p w14:paraId="4B48635D" w14:textId="1824B00B" w:rsidR="000E078B" w:rsidRDefault="000E078B" w:rsidP="76DAAEE2">
      <w:pPr>
        <w:spacing w:after="0" w:line="264" w:lineRule="auto"/>
        <w:rPr>
          <w:rFonts w:ascii="Calibri" w:eastAsia="Calibri" w:hAnsi="Calibri" w:cs="Calibri"/>
          <w:color w:val="000000" w:themeColor="text1"/>
          <w:sz w:val="22"/>
          <w:szCs w:val="22"/>
          <w:lang w:val="en-US"/>
        </w:rPr>
      </w:pPr>
    </w:p>
    <w:p w14:paraId="17778D04" w14:textId="30ED6649" w:rsidR="000E078B" w:rsidRDefault="6E9FA83D" w:rsidP="76DAAEE2">
      <w:pPr>
        <w:spacing w:after="0" w:line="257" w:lineRule="auto"/>
        <w:rPr>
          <w:rFonts w:ascii="Calibri" w:eastAsia="Calibri" w:hAnsi="Calibri" w:cs="Calibri"/>
          <w:sz w:val="22"/>
          <w:szCs w:val="22"/>
          <w:lang w:val="en-US"/>
        </w:rPr>
      </w:pPr>
      <w:r w:rsidRPr="76DAAEE2">
        <w:rPr>
          <w:rFonts w:ascii="Calibri" w:eastAsia="Calibri" w:hAnsi="Calibri" w:cs="Calibri"/>
          <w:sz w:val="22"/>
          <w:szCs w:val="22"/>
          <w:lang w:val="en-US"/>
        </w:rPr>
        <w:t>After meeting the graduate trainee, you realise that their knowledge of employment legislation and employment relations is limited. As part of their development, you develop a guidance document.</w:t>
      </w:r>
    </w:p>
    <w:p w14:paraId="4B4A9192" w14:textId="33F6B848" w:rsidR="000E078B" w:rsidRDefault="6094E0F5" w:rsidP="76DAAEE2">
      <w:pPr>
        <w:spacing w:after="0" w:line="264" w:lineRule="auto"/>
        <w:rPr>
          <w:rFonts w:ascii="Calibri" w:eastAsia="Calibri" w:hAnsi="Calibri" w:cs="Calibri"/>
          <w:color w:val="000000" w:themeColor="text1"/>
          <w:sz w:val="22"/>
          <w:szCs w:val="22"/>
        </w:rPr>
      </w:pPr>
      <w:r w:rsidRPr="76DAAEE2">
        <w:rPr>
          <w:rFonts w:ascii="Calibri" w:eastAsia="Calibri" w:hAnsi="Calibri" w:cs="Calibri"/>
          <w:color w:val="000000" w:themeColor="text1"/>
          <w:sz w:val="22"/>
          <w:szCs w:val="22"/>
          <w:lang w:val="en-US"/>
        </w:rPr>
        <w:t xml:space="preserve"> </w:t>
      </w:r>
    </w:p>
    <w:p w14:paraId="788E71F0" w14:textId="23EDDAF9" w:rsidR="000E078B" w:rsidRDefault="6094E0F5" w:rsidP="76DAAEE2">
      <w:pPr>
        <w:spacing w:line="278" w:lineRule="auto"/>
        <w:rPr>
          <w:rFonts w:ascii="Calibri" w:eastAsia="Calibri" w:hAnsi="Calibri" w:cs="Calibri"/>
          <w:color w:val="000000" w:themeColor="text1"/>
          <w:sz w:val="22"/>
          <w:szCs w:val="22"/>
        </w:rPr>
      </w:pPr>
      <w:r w:rsidRPr="76DAAEE2">
        <w:rPr>
          <w:rFonts w:ascii="Calibri" w:eastAsia="Calibri" w:hAnsi="Calibri" w:cs="Calibri"/>
          <w:color w:val="000000" w:themeColor="text1"/>
          <w:sz w:val="22"/>
          <w:szCs w:val="22"/>
          <w:u w:val="single"/>
          <w:lang w:val="en-US"/>
        </w:rPr>
        <w:t>1)</w:t>
      </w:r>
      <w:r w:rsidR="2ED5540F" w:rsidRPr="76DAAEE2">
        <w:rPr>
          <w:rFonts w:ascii="Calibri" w:eastAsia="Calibri" w:hAnsi="Calibri" w:cs="Calibri"/>
          <w:color w:val="000000" w:themeColor="text1"/>
          <w:sz w:val="22"/>
          <w:szCs w:val="22"/>
          <w:u w:val="single"/>
          <w:lang w:val="en-US"/>
        </w:rPr>
        <w:t xml:space="preserve"> The </w:t>
      </w:r>
      <w:r w:rsidR="5F58E896" w:rsidRPr="76DAAEE2">
        <w:rPr>
          <w:rFonts w:ascii="Calibri" w:eastAsia="Calibri" w:hAnsi="Calibri" w:cs="Calibri"/>
          <w:color w:val="000000" w:themeColor="text1"/>
          <w:sz w:val="22"/>
          <w:szCs w:val="22"/>
          <w:u w:val="single"/>
          <w:lang w:val="en-US"/>
        </w:rPr>
        <w:t>guidance</w:t>
      </w:r>
      <w:r w:rsidR="2ED5540F" w:rsidRPr="76DAAEE2">
        <w:rPr>
          <w:rFonts w:ascii="Calibri" w:eastAsia="Calibri" w:hAnsi="Calibri" w:cs="Calibri"/>
          <w:color w:val="000000" w:themeColor="text1"/>
          <w:sz w:val="22"/>
          <w:szCs w:val="22"/>
          <w:u w:val="single"/>
          <w:lang w:val="en-US"/>
        </w:rPr>
        <w:t xml:space="preserve"> document must include; </w:t>
      </w:r>
    </w:p>
    <w:p w14:paraId="1845DFAA" w14:textId="289AF534" w:rsidR="000E078B" w:rsidRDefault="6094E0F5" w:rsidP="76DAAEE2">
      <w:pPr>
        <w:rPr>
          <w:rFonts w:ascii="Calibri" w:eastAsia="Calibri" w:hAnsi="Calibri" w:cs="Calibri"/>
          <w:sz w:val="22"/>
          <w:szCs w:val="22"/>
          <w:u w:val="single"/>
          <w:lang w:val="en-US"/>
        </w:rPr>
      </w:pPr>
      <w:r w:rsidRPr="27FD55B2">
        <w:rPr>
          <w:rFonts w:ascii="Calibri" w:eastAsia="Calibri" w:hAnsi="Calibri" w:cs="Calibri"/>
          <w:color w:val="000000" w:themeColor="text1"/>
          <w:sz w:val="22"/>
          <w:szCs w:val="22"/>
          <w:u w:val="single"/>
          <w:lang w:val="en-US"/>
        </w:rPr>
        <w:t xml:space="preserve">a) </w:t>
      </w:r>
      <w:r w:rsidR="5D65CF76" w:rsidRPr="27FD55B2">
        <w:rPr>
          <w:rFonts w:ascii="Calibri" w:eastAsia="Calibri" w:hAnsi="Calibri" w:cs="Calibri"/>
          <w:color w:val="000000" w:themeColor="text1"/>
          <w:sz w:val="22"/>
          <w:szCs w:val="22"/>
          <w:u w:val="single"/>
          <w:lang w:val="en-US"/>
        </w:rPr>
        <w:t xml:space="preserve">Give </w:t>
      </w:r>
      <w:r w:rsidR="76AD99E6" w:rsidRPr="27FD55B2">
        <w:rPr>
          <w:rFonts w:ascii="Calibri" w:eastAsia="Calibri" w:hAnsi="Calibri" w:cs="Calibri"/>
          <w:sz w:val="22"/>
          <w:szCs w:val="22"/>
          <w:u w:val="single"/>
          <w:lang w:val="en-US"/>
        </w:rPr>
        <w:t>an explanation of the importance of achieving work-life balance within the employment relationship</w:t>
      </w:r>
      <w:r w:rsidR="0E5DECA4" w:rsidRPr="27FD55B2">
        <w:rPr>
          <w:rFonts w:ascii="Calibri" w:eastAsia="Calibri" w:hAnsi="Calibri" w:cs="Calibri"/>
          <w:sz w:val="22"/>
          <w:szCs w:val="22"/>
          <w:u w:val="single"/>
          <w:lang w:val="en-US"/>
        </w:rPr>
        <w:t>.</w:t>
      </w:r>
    </w:p>
    <w:p w14:paraId="35389FAB" w14:textId="69F3CF9B" w:rsidR="501F17B2" w:rsidRDefault="501F17B2" w:rsidP="4313E428">
      <w:pPr>
        <w:spacing w:before="240" w:after="240"/>
      </w:pPr>
      <w:r w:rsidRPr="4313E428">
        <w:rPr>
          <w:rFonts w:ascii="Calibri" w:eastAsia="Calibri" w:hAnsi="Calibri" w:cs="Calibri"/>
          <w:sz w:val="22"/>
          <w:szCs w:val="22"/>
          <w:lang w:val="en-US"/>
        </w:rPr>
        <w:t>Work-life balance (WLB), as defined by Simon Sinek (2021), is less about strict boundaries between work and personal time and more about consciously allocating energy to both aspects in a fluid and intentional way. In the hospitality industry, which often demands long and irregular hours, achieving WLB can be challenging. However, where operationally feasible, employers can support flexible working arrangements to enhance employee wellbeing. Doing so helps reduce staff turnover, saving time and costs associated with recruitment and training.</w:t>
      </w:r>
    </w:p>
    <w:p w14:paraId="6DC9C5D0" w14:textId="303E7F22" w:rsidR="501F17B2" w:rsidRDefault="501F17B2" w:rsidP="4313E428">
      <w:pPr>
        <w:spacing w:before="240" w:after="240"/>
      </w:pPr>
      <w:r w:rsidRPr="4313E428">
        <w:rPr>
          <w:rFonts w:ascii="Calibri" w:eastAsia="Calibri" w:hAnsi="Calibri" w:cs="Calibri"/>
          <w:sz w:val="22"/>
          <w:szCs w:val="22"/>
          <w:lang w:val="en-US"/>
        </w:rPr>
        <w:t>A healthy work-life balance has a direct impact on employee engagement and productivity. When individuals feel supported in managing their work and personal responsibilities, they are less likely to experience burnout, stress, or disengagement. Conversely, poor WLB can contribute to mental health issues. According to the Health and Safety Executive (HSE, 2023), of the 1.8 million people suffering from work-related illnesses in 2022/23, nearly 875,000 were due to work-related stress, depression, or anxiety. These conditions are often rooted in excessive workloads and inadequate rest, making WLB a key factor in promoting mental health, reducing absenteeism, and improving overall organisational performance.</w:t>
      </w:r>
    </w:p>
    <w:p w14:paraId="6239BE0A" w14:textId="4D6CB7E9" w:rsidR="000E078B" w:rsidRDefault="000E078B" w:rsidP="76DAAEE2">
      <w:pPr>
        <w:rPr>
          <w:rFonts w:ascii="Calibri" w:eastAsia="Calibri" w:hAnsi="Calibri" w:cs="Calibri"/>
          <w:sz w:val="22"/>
          <w:szCs w:val="22"/>
          <w:u w:val="single"/>
          <w:lang w:val="en-US"/>
        </w:rPr>
      </w:pPr>
    </w:p>
    <w:p w14:paraId="6331FB8F" w14:textId="5933C826" w:rsidR="000E078B" w:rsidRDefault="2E36CBC5" w:rsidP="76DAAEE2">
      <w:pPr>
        <w:rPr>
          <w:rFonts w:ascii="Calibri" w:eastAsia="Calibri" w:hAnsi="Calibri" w:cs="Calibri"/>
          <w:sz w:val="22"/>
          <w:szCs w:val="22"/>
          <w:u w:val="single"/>
          <w:lang w:val="en-US"/>
        </w:rPr>
      </w:pPr>
      <w:r w:rsidRPr="27FD55B2">
        <w:rPr>
          <w:rFonts w:ascii="Calibri" w:eastAsia="Calibri" w:hAnsi="Calibri" w:cs="Calibri"/>
          <w:sz w:val="22"/>
          <w:szCs w:val="22"/>
          <w:u w:val="single"/>
          <w:lang w:val="en-US"/>
        </w:rPr>
        <w:t>b</w:t>
      </w:r>
      <w:r w:rsidR="721EDA54" w:rsidRPr="27FD55B2">
        <w:rPr>
          <w:rFonts w:ascii="Calibri" w:eastAsia="Calibri" w:hAnsi="Calibri" w:cs="Calibri"/>
          <w:sz w:val="22"/>
          <w:szCs w:val="22"/>
          <w:u w:val="single"/>
          <w:lang w:val="en-US"/>
        </w:rPr>
        <w:t xml:space="preserve">) </w:t>
      </w:r>
      <w:r w:rsidR="52CB25D4" w:rsidRPr="27FD55B2">
        <w:rPr>
          <w:rFonts w:ascii="Calibri" w:eastAsia="Calibri" w:hAnsi="Calibri" w:cs="Calibri"/>
          <w:sz w:val="22"/>
          <w:szCs w:val="22"/>
          <w:u w:val="single"/>
          <w:lang w:val="en-US"/>
        </w:rPr>
        <w:t>Give</w:t>
      </w:r>
      <w:r w:rsidR="76AD99E6" w:rsidRPr="27FD55B2">
        <w:rPr>
          <w:rFonts w:ascii="Calibri" w:eastAsia="Calibri" w:hAnsi="Calibri" w:cs="Calibri"/>
          <w:sz w:val="22"/>
          <w:szCs w:val="22"/>
          <w:u w:val="single"/>
          <w:lang w:val="en-US"/>
        </w:rPr>
        <w:t xml:space="preserve"> an overview of the legislation relevant to working time. (AC 3.1) </w:t>
      </w:r>
    </w:p>
    <w:p w14:paraId="1B7CD825" w14:textId="35189BF6" w:rsidR="000E078B" w:rsidRDefault="507F667A" w:rsidP="4313E428">
      <w:pPr>
        <w:spacing w:before="240" w:after="240"/>
        <w:rPr>
          <w:rFonts w:ascii="Calibri" w:eastAsia="Calibri" w:hAnsi="Calibri" w:cs="Calibri"/>
          <w:sz w:val="22"/>
          <w:szCs w:val="22"/>
          <w:lang w:val="en-US"/>
        </w:rPr>
      </w:pPr>
      <w:r w:rsidRPr="27FD55B2">
        <w:rPr>
          <w:rFonts w:ascii="Calibri" w:eastAsia="Calibri" w:hAnsi="Calibri" w:cs="Calibri"/>
          <w:sz w:val="22"/>
          <w:szCs w:val="22"/>
          <w:lang w:val="en-US"/>
        </w:rPr>
        <w:t>The Working Time Regulations 1998, as advised by ACAS (2025), protect employees by setting clear limits on working hours and ensuring adequate rest. These regulations apply to all workers, including those undertaking job-related training or travel.</w:t>
      </w:r>
    </w:p>
    <w:p w14:paraId="3ABC370F" w14:textId="56371DF9" w:rsidR="000E078B" w:rsidRDefault="507F667A" w:rsidP="4313E428">
      <w:pPr>
        <w:spacing w:before="240" w:after="240"/>
      </w:pPr>
      <w:r w:rsidRPr="4313E428">
        <w:rPr>
          <w:rFonts w:ascii="Calibri" w:eastAsia="Calibri" w:hAnsi="Calibri" w:cs="Calibri"/>
          <w:sz w:val="22"/>
          <w:szCs w:val="22"/>
          <w:lang w:val="en-US"/>
        </w:rPr>
        <w:lastRenderedPageBreak/>
        <w:t>Key provisions include a 48-hour weekly maximum working time unless an employee has voluntarily signed an opt-out agreement. Employees must also receive a minimum daily rest of 11 hours, a 20-minute break if working more than six hours, and at least one day off each week or two consecutive days off within a 14-day period.</w:t>
      </w:r>
    </w:p>
    <w:p w14:paraId="636420AD" w14:textId="62C5FBF6" w:rsidR="000E078B" w:rsidRDefault="507F667A" w:rsidP="4313E428">
      <w:pPr>
        <w:spacing w:before="240" w:after="240"/>
      </w:pPr>
      <w:r w:rsidRPr="4313E428">
        <w:rPr>
          <w:rFonts w:ascii="Calibri" w:eastAsia="Calibri" w:hAnsi="Calibri" w:cs="Calibri"/>
          <w:sz w:val="22"/>
          <w:szCs w:val="22"/>
          <w:lang w:val="en-US"/>
        </w:rPr>
        <w:t>Night workers, defined as those working between 11 p.m. and 6 a.m. are restricted to a maximum of 8 hours in any 24-hour period and cannot opt out of the 48-hour weekly limit.</w:t>
      </w:r>
    </w:p>
    <w:p w14:paraId="7E11F4B7" w14:textId="17380736" w:rsidR="000E078B" w:rsidRDefault="507F667A" w:rsidP="4313E428">
      <w:pPr>
        <w:spacing w:before="240" w:after="240"/>
        <w:rPr>
          <w:rFonts w:ascii="Calibri" w:eastAsia="Calibri" w:hAnsi="Calibri" w:cs="Calibri"/>
          <w:sz w:val="22"/>
          <w:szCs w:val="22"/>
          <w:lang w:val="en-US"/>
        </w:rPr>
      </w:pPr>
      <w:r w:rsidRPr="4313E428">
        <w:rPr>
          <w:rFonts w:ascii="Calibri" w:eastAsia="Calibri" w:hAnsi="Calibri" w:cs="Calibri"/>
          <w:sz w:val="22"/>
          <w:szCs w:val="22"/>
          <w:lang w:val="en-US"/>
        </w:rPr>
        <w:t xml:space="preserve">Special provisions exist for young workers (under 18), who cannot work more than 8 hours a day or 40 hours per week. They are entitled to 12 hours’ rest between shifts and two days </w:t>
      </w:r>
      <w:r w:rsidR="06F3350C" w:rsidRPr="4313E428">
        <w:rPr>
          <w:rFonts w:ascii="Calibri" w:eastAsia="Calibri" w:hAnsi="Calibri" w:cs="Calibri"/>
          <w:sz w:val="22"/>
          <w:szCs w:val="22"/>
          <w:lang w:val="en-US"/>
        </w:rPr>
        <w:t xml:space="preserve">together </w:t>
      </w:r>
      <w:r w:rsidRPr="4313E428">
        <w:rPr>
          <w:rFonts w:ascii="Calibri" w:eastAsia="Calibri" w:hAnsi="Calibri" w:cs="Calibri"/>
          <w:sz w:val="22"/>
          <w:szCs w:val="22"/>
          <w:lang w:val="en-US"/>
        </w:rPr>
        <w:t>off per week.</w:t>
      </w:r>
    </w:p>
    <w:p w14:paraId="624F322B" w14:textId="47F17EFC" w:rsidR="000E078B" w:rsidRDefault="507F667A" w:rsidP="4313E428">
      <w:pPr>
        <w:spacing w:before="240" w:after="240"/>
      </w:pPr>
      <w:r w:rsidRPr="4313E428">
        <w:rPr>
          <w:rFonts w:ascii="Calibri" w:eastAsia="Calibri" w:hAnsi="Calibri" w:cs="Calibri"/>
          <w:sz w:val="22"/>
          <w:szCs w:val="22"/>
          <w:lang w:val="en-US"/>
        </w:rPr>
        <w:t>Managers play a critical role in enforcing these rules by scheduling shifts responsibly and ensuring compliance, thereby promoting employee wellbeing and legal adherence.</w:t>
      </w:r>
    </w:p>
    <w:p w14:paraId="5106681C" w14:textId="6D752E9B" w:rsidR="000E078B" w:rsidRDefault="000E078B" w:rsidP="76DAAEE2">
      <w:pPr>
        <w:rPr>
          <w:rFonts w:ascii="Calibri" w:eastAsia="Calibri" w:hAnsi="Calibri" w:cs="Calibri"/>
          <w:sz w:val="22"/>
          <w:szCs w:val="22"/>
          <w:u w:val="single"/>
          <w:lang w:val="en-US"/>
        </w:rPr>
      </w:pPr>
    </w:p>
    <w:p w14:paraId="732323A4" w14:textId="769D8B32" w:rsidR="000E078B" w:rsidRDefault="1473DF20" w:rsidP="76DAAEE2">
      <w:pPr>
        <w:spacing w:after="0" w:line="264" w:lineRule="auto"/>
        <w:rPr>
          <w:rFonts w:ascii="Calibri" w:eastAsia="Calibri" w:hAnsi="Calibri" w:cs="Calibri"/>
          <w:sz w:val="22"/>
          <w:szCs w:val="22"/>
          <w:u w:val="single"/>
          <w:lang w:val="en-US"/>
        </w:rPr>
      </w:pPr>
      <w:r w:rsidRPr="27FD55B2">
        <w:rPr>
          <w:rFonts w:ascii="Calibri" w:eastAsia="Calibri" w:hAnsi="Calibri" w:cs="Calibri"/>
          <w:sz w:val="22"/>
          <w:szCs w:val="22"/>
          <w:u w:val="single"/>
          <w:lang w:val="en-US"/>
        </w:rPr>
        <w:t>2</w:t>
      </w:r>
      <w:r w:rsidR="46AD9D16" w:rsidRPr="27FD55B2">
        <w:rPr>
          <w:rFonts w:ascii="Calibri" w:eastAsia="Calibri" w:hAnsi="Calibri" w:cs="Calibri"/>
          <w:sz w:val="22"/>
          <w:szCs w:val="22"/>
          <w:u w:val="single"/>
          <w:lang w:val="en-US"/>
        </w:rPr>
        <w:t xml:space="preserve">) </w:t>
      </w:r>
      <w:r w:rsidR="76AD99E6" w:rsidRPr="27FD55B2">
        <w:rPr>
          <w:rFonts w:ascii="Calibri" w:eastAsia="Calibri" w:hAnsi="Calibri" w:cs="Calibri"/>
          <w:sz w:val="22"/>
          <w:szCs w:val="22"/>
          <w:u w:val="single"/>
          <w:lang w:val="en-US"/>
        </w:rPr>
        <w:t xml:space="preserve">an explanation of what is meant by, and the importance of, wellbeing in the workplace. (AC 3.2) </w:t>
      </w:r>
    </w:p>
    <w:p w14:paraId="654F4CA7" w14:textId="7D470F8B" w:rsidR="4313E428" w:rsidRDefault="4313E428" w:rsidP="27FD55B2">
      <w:pPr>
        <w:spacing w:after="0" w:line="264" w:lineRule="auto"/>
        <w:rPr>
          <w:rFonts w:ascii="Calibri" w:eastAsia="Calibri" w:hAnsi="Calibri" w:cs="Calibri"/>
          <w:sz w:val="22"/>
          <w:szCs w:val="22"/>
          <w:lang w:val="en-US"/>
        </w:rPr>
      </w:pPr>
    </w:p>
    <w:p w14:paraId="6BEFAEAE" w14:textId="6A49FFD5" w:rsidR="4313E428" w:rsidRDefault="04271AB7" w:rsidP="27FD55B2">
      <w:pPr>
        <w:spacing w:before="240" w:after="240" w:line="264" w:lineRule="auto"/>
      </w:pPr>
      <w:r w:rsidRPr="27FD55B2">
        <w:rPr>
          <w:rFonts w:ascii="Calibri" w:eastAsia="Calibri" w:hAnsi="Calibri" w:cs="Calibri"/>
          <w:sz w:val="22"/>
          <w:szCs w:val="22"/>
          <w:lang w:val="en-US"/>
        </w:rPr>
        <w:t xml:space="preserve">Workplace wellbeing refers to creating an environment where employees can thrive physically, mentally, and emotionally. According to CIPD (2025), it encompasses more than just health </w:t>
      </w:r>
      <w:r w:rsidR="7F7990DC" w:rsidRPr="27FD55B2">
        <w:rPr>
          <w:rFonts w:ascii="Calibri" w:eastAsia="Calibri" w:hAnsi="Calibri" w:cs="Calibri"/>
          <w:sz w:val="22"/>
          <w:szCs w:val="22"/>
          <w:lang w:val="en-US"/>
        </w:rPr>
        <w:t xml:space="preserve">benefits; </w:t>
      </w:r>
      <w:r w:rsidRPr="27FD55B2">
        <w:rPr>
          <w:rFonts w:ascii="Calibri" w:eastAsia="Calibri" w:hAnsi="Calibri" w:cs="Calibri"/>
          <w:sz w:val="22"/>
          <w:szCs w:val="22"/>
          <w:lang w:val="en-US"/>
        </w:rPr>
        <w:t>it includes a holistic approach covering physical health, mental resilience, financial security, social support, and workplace culture. Rooted in Maslow’s Hierarchy of Needs</w:t>
      </w:r>
      <w:r w:rsidR="0456879F" w:rsidRPr="27FD55B2">
        <w:rPr>
          <w:rFonts w:ascii="Calibri" w:eastAsia="Calibri" w:hAnsi="Calibri" w:cs="Calibri"/>
          <w:sz w:val="22"/>
          <w:szCs w:val="22"/>
          <w:lang w:val="en-US"/>
        </w:rPr>
        <w:t xml:space="preserve"> </w:t>
      </w:r>
      <w:r w:rsidR="63B1ED35" w:rsidRPr="27FD55B2">
        <w:rPr>
          <w:rFonts w:ascii="Calibri" w:eastAsia="Calibri" w:hAnsi="Calibri" w:cs="Calibri"/>
          <w:sz w:val="22"/>
          <w:szCs w:val="22"/>
          <w:lang w:val="en-US"/>
        </w:rPr>
        <w:t>explained by</w:t>
      </w:r>
      <w:r w:rsidR="0456879F" w:rsidRPr="27FD55B2">
        <w:rPr>
          <w:rFonts w:ascii="Calibri" w:eastAsia="Calibri" w:hAnsi="Calibri" w:cs="Calibri"/>
          <w:sz w:val="22"/>
          <w:szCs w:val="22"/>
          <w:lang w:val="en-US"/>
        </w:rPr>
        <w:t xml:space="preserve"> Graham and Bennett (</w:t>
      </w:r>
      <w:r w:rsidR="277B92ED" w:rsidRPr="27FD55B2">
        <w:rPr>
          <w:rFonts w:ascii="Calibri" w:eastAsia="Calibri" w:hAnsi="Calibri" w:cs="Calibri"/>
          <w:sz w:val="22"/>
          <w:szCs w:val="22"/>
          <w:lang w:val="en-US"/>
        </w:rPr>
        <w:t>1998, p. 62)</w:t>
      </w:r>
      <w:r w:rsidR="48858461" w:rsidRPr="27FD55B2">
        <w:rPr>
          <w:rFonts w:ascii="Calibri" w:eastAsia="Calibri" w:hAnsi="Calibri" w:cs="Calibri"/>
          <w:sz w:val="22"/>
          <w:szCs w:val="22"/>
          <w:lang w:val="en-US"/>
        </w:rPr>
        <w:t>, wellbeing</w:t>
      </w:r>
      <w:r w:rsidRPr="27FD55B2">
        <w:rPr>
          <w:rFonts w:ascii="Calibri" w:eastAsia="Calibri" w:hAnsi="Calibri" w:cs="Calibri"/>
          <w:sz w:val="22"/>
          <w:szCs w:val="22"/>
          <w:lang w:val="en-US"/>
        </w:rPr>
        <w:t xml:space="preserve"> begins with meeting basic needs (safety, rest, nourishment), allowing individuals to perform at their best.</w:t>
      </w:r>
    </w:p>
    <w:p w14:paraId="1808197B" w14:textId="46BA8C8E" w:rsidR="4313E428" w:rsidRDefault="04271AB7" w:rsidP="27FD55B2">
      <w:pPr>
        <w:spacing w:before="240" w:after="240" w:line="264" w:lineRule="auto"/>
      </w:pPr>
      <w:r w:rsidRPr="27FD55B2">
        <w:rPr>
          <w:rFonts w:ascii="Calibri" w:eastAsia="Calibri" w:hAnsi="Calibri" w:cs="Calibri"/>
          <w:sz w:val="22"/>
          <w:szCs w:val="22"/>
          <w:lang w:val="en-US"/>
        </w:rPr>
        <w:t xml:space="preserve">Organisations benefit significantly from prioritising wellbeing. Employees with strong wellbeing are more engaged, productive, and less likely to suffer from absenteeism or presenteeism. Poor </w:t>
      </w:r>
      <w:r w:rsidR="349EA9F9" w:rsidRPr="27FD55B2">
        <w:rPr>
          <w:rFonts w:ascii="Calibri" w:eastAsia="Calibri" w:hAnsi="Calibri" w:cs="Calibri"/>
          <w:sz w:val="22"/>
          <w:szCs w:val="22"/>
          <w:lang w:val="en-US"/>
        </w:rPr>
        <w:t>well-being</w:t>
      </w:r>
      <w:r w:rsidRPr="27FD55B2">
        <w:rPr>
          <w:rFonts w:ascii="Calibri" w:eastAsia="Calibri" w:hAnsi="Calibri" w:cs="Calibri"/>
          <w:sz w:val="22"/>
          <w:szCs w:val="22"/>
          <w:lang w:val="en-US"/>
        </w:rPr>
        <w:t>, particularly due to unmanaged stress, can lead to long-term illness, increased turnover, and reduced morale. Preventative approaches, such as promoting physical activity, supporting mental health (e.g., anxiety and stress awareness), and encouraging healthy boundaries between work and personal life, are vital. Simple strategies</w:t>
      </w:r>
      <w:r w:rsidR="4A71485F" w:rsidRPr="27FD55B2">
        <w:rPr>
          <w:rFonts w:ascii="Calibri" w:eastAsia="Calibri" w:hAnsi="Calibri" w:cs="Calibri"/>
          <w:sz w:val="22"/>
          <w:szCs w:val="22"/>
          <w:lang w:val="en-US"/>
        </w:rPr>
        <w:t xml:space="preserve">, </w:t>
      </w:r>
      <w:r w:rsidRPr="27FD55B2">
        <w:rPr>
          <w:rFonts w:ascii="Calibri" w:eastAsia="Calibri" w:hAnsi="Calibri" w:cs="Calibri"/>
          <w:sz w:val="22"/>
          <w:szCs w:val="22"/>
          <w:lang w:val="en-US"/>
        </w:rPr>
        <w:t xml:space="preserve">like walking after work to </w:t>
      </w:r>
      <w:r w:rsidR="4D3F7D0D" w:rsidRPr="27FD55B2">
        <w:rPr>
          <w:rFonts w:ascii="Calibri" w:eastAsia="Calibri" w:hAnsi="Calibri" w:cs="Calibri"/>
          <w:sz w:val="22"/>
          <w:szCs w:val="22"/>
          <w:lang w:val="en-US"/>
        </w:rPr>
        <w:t>mental</w:t>
      </w:r>
      <w:r w:rsidRPr="27FD55B2">
        <w:rPr>
          <w:rFonts w:ascii="Calibri" w:eastAsia="Calibri" w:hAnsi="Calibri" w:cs="Calibri"/>
          <w:sz w:val="22"/>
          <w:szCs w:val="22"/>
          <w:lang w:val="en-US"/>
        </w:rPr>
        <w:t xml:space="preserve"> transition, recognising stress triggers, or setting boundaries for uninterrupted focus</w:t>
      </w:r>
      <w:r w:rsidR="1C99D6D8" w:rsidRPr="27FD55B2">
        <w:rPr>
          <w:rFonts w:ascii="Calibri" w:eastAsia="Calibri" w:hAnsi="Calibri" w:cs="Calibri"/>
          <w:sz w:val="22"/>
          <w:szCs w:val="22"/>
          <w:lang w:val="en-US"/>
        </w:rPr>
        <w:t xml:space="preserve">, </w:t>
      </w:r>
      <w:r w:rsidRPr="27FD55B2">
        <w:rPr>
          <w:rFonts w:ascii="Calibri" w:eastAsia="Calibri" w:hAnsi="Calibri" w:cs="Calibri"/>
          <w:sz w:val="22"/>
          <w:szCs w:val="22"/>
          <w:lang w:val="en-US"/>
        </w:rPr>
        <w:t>can support individual resilience.</w:t>
      </w:r>
    </w:p>
    <w:p w14:paraId="7FBAC527" w14:textId="0CDAC23B" w:rsidR="4313E428" w:rsidRDefault="04271AB7" w:rsidP="27FD55B2">
      <w:pPr>
        <w:spacing w:before="240" w:after="240" w:line="264" w:lineRule="auto"/>
      </w:pPr>
      <w:r w:rsidRPr="27FD55B2">
        <w:rPr>
          <w:rFonts w:ascii="Calibri" w:eastAsia="Calibri" w:hAnsi="Calibri" w:cs="Calibri"/>
          <w:sz w:val="22"/>
          <w:szCs w:val="22"/>
          <w:lang w:val="en-US"/>
        </w:rPr>
        <w:t>Inclusive communication and active listening also play key roles. Spotting subtle changes in a colleague’s behaviour and offering support</w:t>
      </w:r>
      <w:r w:rsidR="0E242167" w:rsidRPr="27FD55B2">
        <w:rPr>
          <w:rFonts w:ascii="Calibri" w:eastAsia="Calibri" w:hAnsi="Calibri" w:cs="Calibri"/>
          <w:sz w:val="22"/>
          <w:szCs w:val="22"/>
          <w:lang w:val="en-US"/>
        </w:rPr>
        <w:t xml:space="preserve">, </w:t>
      </w:r>
      <w:r w:rsidRPr="27FD55B2">
        <w:rPr>
          <w:rFonts w:ascii="Calibri" w:eastAsia="Calibri" w:hAnsi="Calibri" w:cs="Calibri"/>
          <w:sz w:val="22"/>
          <w:szCs w:val="22"/>
          <w:lang w:val="en-US"/>
        </w:rPr>
        <w:t>“I’ve noticed you seem quieter lately. Are you okay?”</w:t>
      </w:r>
      <w:r w:rsidR="31076845" w:rsidRPr="27FD55B2">
        <w:rPr>
          <w:rFonts w:ascii="Calibri" w:eastAsia="Calibri" w:hAnsi="Calibri" w:cs="Calibri"/>
          <w:sz w:val="22"/>
          <w:szCs w:val="22"/>
          <w:lang w:val="en-US"/>
        </w:rPr>
        <w:t xml:space="preserve">, </w:t>
      </w:r>
      <w:r w:rsidRPr="27FD55B2">
        <w:rPr>
          <w:rFonts w:ascii="Calibri" w:eastAsia="Calibri" w:hAnsi="Calibri" w:cs="Calibri"/>
          <w:sz w:val="22"/>
          <w:szCs w:val="22"/>
          <w:lang w:val="en-US"/>
        </w:rPr>
        <w:t>can help early intervention. Managers should model empathy and curiosity, while employees should be empowered to manage their own wellbeing and respect others’ needs.</w:t>
      </w:r>
    </w:p>
    <w:p w14:paraId="53F1C291" w14:textId="2BD9269C" w:rsidR="4313E428" w:rsidRDefault="04271AB7" w:rsidP="27FD55B2">
      <w:pPr>
        <w:spacing w:before="240" w:after="240" w:line="264" w:lineRule="auto"/>
      </w:pPr>
      <w:r w:rsidRPr="27FD55B2">
        <w:rPr>
          <w:rFonts w:ascii="Calibri" w:eastAsia="Calibri" w:hAnsi="Calibri" w:cs="Calibri"/>
          <w:sz w:val="22"/>
          <w:szCs w:val="22"/>
          <w:lang w:val="en-US"/>
        </w:rPr>
        <w:t>Legally, the Health and Safety at Work Act 1974 requires employers to provide a safe, healthy environment. This includes conducting risk assessments, having First Aiders, accident reporting processes, and ensuring facilities like clean toilets, rest areas, and drinking water. Policies on stress, harassment, flexible working, menopause, and employee support programmes (EAP) are essential in shaping a positive culture.</w:t>
      </w:r>
    </w:p>
    <w:p w14:paraId="3152B1E5" w14:textId="2F5870AC" w:rsidR="4313E428" w:rsidRDefault="04271AB7" w:rsidP="27FD55B2">
      <w:pPr>
        <w:spacing w:before="240" w:after="240" w:line="264" w:lineRule="auto"/>
      </w:pPr>
      <w:r w:rsidRPr="32700F7E">
        <w:rPr>
          <w:rFonts w:ascii="Calibri" w:eastAsia="Calibri" w:hAnsi="Calibri" w:cs="Calibri"/>
          <w:sz w:val="22"/>
          <w:szCs w:val="22"/>
          <w:lang w:val="en-US"/>
        </w:rPr>
        <w:t>Ultimately, investing in wellbeing creates a thriving workforce</w:t>
      </w:r>
      <w:r w:rsidR="1C0390E0" w:rsidRPr="32700F7E">
        <w:rPr>
          <w:rFonts w:ascii="Calibri" w:eastAsia="Calibri" w:hAnsi="Calibri" w:cs="Calibri"/>
          <w:sz w:val="22"/>
          <w:szCs w:val="22"/>
          <w:lang w:val="en-US"/>
        </w:rPr>
        <w:t xml:space="preserve">, </w:t>
      </w:r>
      <w:r w:rsidRPr="32700F7E">
        <w:rPr>
          <w:rFonts w:ascii="Calibri" w:eastAsia="Calibri" w:hAnsi="Calibri" w:cs="Calibri"/>
          <w:sz w:val="22"/>
          <w:szCs w:val="22"/>
          <w:lang w:val="en-US"/>
        </w:rPr>
        <w:t>improving retention, boosting morale, and driving sustainable performance (CIPD, 2023).</w:t>
      </w:r>
    </w:p>
    <w:p w14:paraId="4F6CA0C9" w14:textId="4842902C" w:rsidR="5DA322B6" w:rsidRDefault="5DA322B6" w:rsidP="32700F7E">
      <w:pPr>
        <w:spacing w:before="240" w:after="240" w:line="264" w:lineRule="auto"/>
        <w:rPr>
          <w:rFonts w:ascii="Calibri" w:eastAsia="Calibri" w:hAnsi="Calibri" w:cs="Calibri"/>
          <w:sz w:val="22"/>
          <w:szCs w:val="22"/>
          <w:lang w:val="en-US"/>
        </w:rPr>
      </w:pPr>
      <w:r w:rsidRPr="32700F7E">
        <w:rPr>
          <w:rFonts w:ascii="Calibri" w:eastAsia="Calibri" w:hAnsi="Calibri" w:cs="Calibri"/>
          <w:b/>
          <w:bCs/>
          <w:sz w:val="22"/>
          <w:szCs w:val="22"/>
          <w:lang w:val="en-US"/>
        </w:rPr>
        <w:lastRenderedPageBreak/>
        <w:t>Figure 1</w:t>
      </w:r>
      <w:r w:rsidRPr="32700F7E">
        <w:rPr>
          <w:rFonts w:ascii="Calibri" w:eastAsia="Calibri" w:hAnsi="Calibri" w:cs="Calibri"/>
          <w:sz w:val="22"/>
          <w:szCs w:val="22"/>
          <w:lang w:val="en-US"/>
        </w:rPr>
        <w:t xml:space="preserve"> Maslow’s Hierarchy of Needs</w:t>
      </w:r>
    </w:p>
    <w:p w14:paraId="5071B0C9" w14:textId="16AB920D" w:rsidR="6F152E0E" w:rsidRDefault="6F152E0E" w:rsidP="32700F7E">
      <w:pPr>
        <w:spacing w:before="240" w:after="240" w:line="264" w:lineRule="auto"/>
      </w:pPr>
      <w:r>
        <w:rPr>
          <w:noProof/>
        </w:rPr>
        <w:drawing>
          <wp:inline distT="0" distB="0" distL="0" distR="0" wp14:anchorId="6683DF94" wp14:editId="399F4152">
            <wp:extent cx="4638674" cy="4743450"/>
            <wp:effectExtent l="0" t="0" r="0" b="0"/>
            <wp:docPr id="1035973000" name="Picture 1035973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638674" cy="4743450"/>
                    </a:xfrm>
                    <a:prstGeom prst="rect">
                      <a:avLst/>
                    </a:prstGeom>
                  </pic:spPr>
                </pic:pic>
              </a:graphicData>
            </a:graphic>
          </wp:inline>
        </w:drawing>
      </w:r>
    </w:p>
    <w:p w14:paraId="7741AB2F" w14:textId="3C1C8142" w:rsidR="4313E428" w:rsidRDefault="4313E428" w:rsidP="4313E428">
      <w:pPr>
        <w:spacing w:after="0" w:line="264" w:lineRule="auto"/>
        <w:rPr>
          <w:rFonts w:ascii="Calibri" w:eastAsia="Calibri" w:hAnsi="Calibri" w:cs="Calibri"/>
          <w:sz w:val="22"/>
          <w:szCs w:val="22"/>
          <w:u w:val="single"/>
          <w:lang w:val="en-US"/>
        </w:rPr>
      </w:pPr>
    </w:p>
    <w:p w14:paraId="1A573ACC" w14:textId="72EB0A21" w:rsidR="000E078B" w:rsidRDefault="5AA65096" w:rsidP="76DAAEE2">
      <w:pPr>
        <w:spacing w:after="0" w:line="264" w:lineRule="auto"/>
        <w:rPr>
          <w:rFonts w:ascii="Calibri" w:eastAsia="Calibri" w:hAnsi="Calibri" w:cs="Calibri"/>
          <w:sz w:val="22"/>
          <w:szCs w:val="22"/>
          <w:u w:val="single"/>
          <w:lang w:val="en-US"/>
        </w:rPr>
      </w:pPr>
      <w:r w:rsidRPr="32700F7E">
        <w:rPr>
          <w:rFonts w:ascii="Calibri" w:eastAsia="Calibri" w:hAnsi="Calibri" w:cs="Calibri"/>
          <w:sz w:val="22"/>
          <w:szCs w:val="22"/>
          <w:u w:val="single"/>
          <w:lang w:val="en-US"/>
        </w:rPr>
        <w:t>3</w:t>
      </w:r>
      <w:r w:rsidR="04148EA6" w:rsidRPr="32700F7E">
        <w:rPr>
          <w:rFonts w:ascii="Calibri" w:eastAsia="Calibri" w:hAnsi="Calibri" w:cs="Calibri"/>
          <w:sz w:val="22"/>
          <w:szCs w:val="22"/>
          <w:u w:val="single"/>
          <w:lang w:val="en-US"/>
        </w:rPr>
        <w:t xml:space="preserve">) </w:t>
      </w:r>
      <w:r w:rsidR="59CE21CE" w:rsidRPr="32700F7E">
        <w:rPr>
          <w:rFonts w:ascii="Calibri" w:eastAsia="Calibri" w:hAnsi="Calibri" w:cs="Calibri"/>
          <w:sz w:val="22"/>
          <w:szCs w:val="22"/>
          <w:u w:val="single"/>
          <w:lang w:val="en-US"/>
        </w:rPr>
        <w:t xml:space="preserve">Give </w:t>
      </w:r>
      <w:r w:rsidR="76AD99E6" w:rsidRPr="32700F7E">
        <w:rPr>
          <w:rFonts w:ascii="Calibri" w:eastAsia="Calibri" w:hAnsi="Calibri" w:cs="Calibri"/>
          <w:sz w:val="22"/>
          <w:szCs w:val="22"/>
          <w:u w:val="single"/>
          <w:lang w:val="en-US"/>
        </w:rPr>
        <w:t>a summary of the main points of discrimination legislation. (AC 3.3)</w:t>
      </w:r>
    </w:p>
    <w:p w14:paraId="76A9FA76" w14:textId="00AC2BAF" w:rsidR="27FD55B2" w:rsidRDefault="27FD55B2" w:rsidP="32700F7E">
      <w:pPr>
        <w:spacing w:after="0" w:line="264" w:lineRule="auto"/>
        <w:rPr>
          <w:rFonts w:ascii="Calibri" w:eastAsia="Calibri" w:hAnsi="Calibri" w:cs="Calibri"/>
          <w:sz w:val="22"/>
          <w:szCs w:val="22"/>
          <w:u w:val="single"/>
          <w:lang w:val="en-US"/>
        </w:rPr>
      </w:pPr>
    </w:p>
    <w:p w14:paraId="60E99257" w14:textId="4409307A" w:rsidR="27FD55B2" w:rsidRDefault="792BB8F7" w:rsidP="32700F7E">
      <w:pPr>
        <w:spacing w:before="240" w:after="240" w:line="264" w:lineRule="auto"/>
      </w:pPr>
      <w:r w:rsidRPr="32700F7E">
        <w:rPr>
          <w:rFonts w:ascii="Calibri" w:eastAsia="Calibri" w:hAnsi="Calibri" w:cs="Calibri"/>
          <w:sz w:val="22"/>
          <w:szCs w:val="22"/>
          <w:lang w:val="en-US"/>
        </w:rPr>
        <w:t>The Equality Act 2010, as outlined by CIPD (2021</w:t>
      </w:r>
      <w:r w:rsidR="735E0E89" w:rsidRPr="32700F7E">
        <w:rPr>
          <w:rFonts w:ascii="Calibri" w:eastAsia="Calibri" w:hAnsi="Calibri" w:cs="Calibri"/>
          <w:sz w:val="22"/>
          <w:szCs w:val="22"/>
          <w:lang w:val="en-US"/>
        </w:rPr>
        <w:t>a</w:t>
      </w:r>
      <w:r w:rsidRPr="32700F7E">
        <w:rPr>
          <w:rFonts w:ascii="Calibri" w:eastAsia="Calibri" w:hAnsi="Calibri" w:cs="Calibri"/>
          <w:sz w:val="22"/>
          <w:szCs w:val="22"/>
          <w:lang w:val="en-US"/>
        </w:rPr>
        <w:t xml:space="preserve">, p. 150), is key legislation that protects individuals from discrimination in the workplace and during recruitment. It applies to all employers and defines </w:t>
      </w:r>
      <w:r w:rsidRPr="32700F7E">
        <w:rPr>
          <w:rFonts w:ascii="Calibri" w:eastAsia="Calibri" w:hAnsi="Calibri" w:cs="Calibri"/>
          <w:i/>
          <w:iCs/>
          <w:sz w:val="22"/>
          <w:szCs w:val="22"/>
          <w:lang w:val="en-US"/>
        </w:rPr>
        <w:t>protected characteristics</w:t>
      </w:r>
      <w:r w:rsidRPr="32700F7E">
        <w:rPr>
          <w:rFonts w:ascii="Calibri" w:eastAsia="Calibri" w:hAnsi="Calibri" w:cs="Calibri"/>
          <w:sz w:val="22"/>
          <w:szCs w:val="22"/>
          <w:lang w:val="en-US"/>
        </w:rPr>
        <w:t xml:space="preserve"> on which discrimination is unlawful. These include age, disability, gender reassignment, marriage and civil partnership, pregnancy and maternity, race, religion or belief, sex, and sexual orientation.</w:t>
      </w:r>
    </w:p>
    <w:p w14:paraId="031302D7" w14:textId="5DCF35D2" w:rsidR="27FD55B2" w:rsidRDefault="792BB8F7" w:rsidP="32700F7E">
      <w:pPr>
        <w:spacing w:before="240" w:after="240" w:line="264" w:lineRule="auto"/>
      </w:pPr>
      <w:r w:rsidRPr="32700F7E">
        <w:rPr>
          <w:rFonts w:ascii="Calibri" w:eastAsia="Calibri" w:hAnsi="Calibri" w:cs="Calibri"/>
          <w:sz w:val="22"/>
          <w:szCs w:val="22"/>
          <w:lang w:val="en-US"/>
        </w:rPr>
        <w:t>The Act covers job applicants and employees, protecting them from direct discrimination (e.g. less favourable treatment due to race or disability) and indirect discrimination (e.g. requiring five years' experience for an entry-level role, which may disadvantage younger candidates). It also includes protection from harassment and victimisation (CIPD, 2025b).</w:t>
      </w:r>
    </w:p>
    <w:p w14:paraId="6365AD66" w14:textId="35A6B4A0" w:rsidR="27FD55B2" w:rsidRDefault="792BB8F7" w:rsidP="32700F7E">
      <w:pPr>
        <w:spacing w:before="240" w:after="240" w:line="264" w:lineRule="auto"/>
      </w:pPr>
      <w:r w:rsidRPr="32700F7E">
        <w:rPr>
          <w:rFonts w:ascii="Calibri" w:eastAsia="Calibri" w:hAnsi="Calibri" w:cs="Calibri"/>
          <w:sz w:val="22"/>
          <w:szCs w:val="22"/>
          <w:lang w:val="en-US"/>
        </w:rPr>
        <w:t>Employers must be cautious of both intentional and unintentional discrimination. Case law, such as examples from HR-Inform (2024), illustrates how indirect or unconscious bias can lead to legal claims. Chris Hogg (2025) notes that even if discrimination is unintentional, it is still unlawful if the employer cannot prove the action was a proportionate means of achieving a legitimate aim.</w:t>
      </w:r>
    </w:p>
    <w:p w14:paraId="46282207" w14:textId="5B8C7972" w:rsidR="27FD55B2" w:rsidRDefault="792BB8F7" w:rsidP="32700F7E">
      <w:pPr>
        <w:spacing w:before="240" w:after="240" w:line="264" w:lineRule="auto"/>
      </w:pPr>
      <w:r w:rsidRPr="32700F7E">
        <w:rPr>
          <w:rFonts w:ascii="Calibri" w:eastAsia="Calibri" w:hAnsi="Calibri" w:cs="Calibri"/>
          <w:sz w:val="22"/>
          <w:szCs w:val="22"/>
          <w:lang w:val="en-US"/>
        </w:rPr>
        <w:lastRenderedPageBreak/>
        <w:t>To comply with the law, employers must implement fair, transparent processes and ensure recruitment, promotion, and workplace practices uphold equality and prevent discriminatory outcomes.</w:t>
      </w:r>
    </w:p>
    <w:p w14:paraId="31CD13F6" w14:textId="40F9B138" w:rsidR="27FD55B2" w:rsidRDefault="371201A9" w:rsidP="32700F7E">
      <w:pPr>
        <w:spacing w:after="0" w:line="264" w:lineRule="auto"/>
        <w:rPr>
          <w:rFonts w:ascii="Calibri" w:eastAsia="Calibri" w:hAnsi="Calibri" w:cs="Calibri"/>
          <w:sz w:val="22"/>
          <w:szCs w:val="22"/>
          <w:lang w:val="en-US"/>
        </w:rPr>
      </w:pPr>
      <w:r w:rsidRPr="32700F7E">
        <w:rPr>
          <w:rFonts w:ascii="Calibri" w:eastAsia="Calibri" w:hAnsi="Calibri" w:cs="Calibri"/>
          <w:sz w:val="22"/>
          <w:szCs w:val="22"/>
          <w:lang w:val="en-US"/>
        </w:rPr>
        <w:t xml:space="preserve"> </w:t>
      </w:r>
    </w:p>
    <w:p w14:paraId="3B2914BF" w14:textId="1C1143A9" w:rsidR="000E078B" w:rsidRDefault="408048BC" w:rsidP="76DAAEE2">
      <w:pPr>
        <w:spacing w:after="0" w:line="264" w:lineRule="auto"/>
        <w:rPr>
          <w:rFonts w:ascii="Calibri" w:eastAsia="Calibri" w:hAnsi="Calibri" w:cs="Calibri"/>
          <w:sz w:val="22"/>
          <w:szCs w:val="22"/>
          <w:u w:val="single"/>
          <w:lang w:val="en-US"/>
        </w:rPr>
      </w:pPr>
      <w:r w:rsidRPr="32700F7E">
        <w:rPr>
          <w:rFonts w:ascii="Calibri" w:eastAsia="Calibri" w:hAnsi="Calibri" w:cs="Calibri"/>
          <w:sz w:val="22"/>
          <w:szCs w:val="22"/>
          <w:u w:val="single"/>
          <w:lang w:val="en-US"/>
        </w:rPr>
        <w:t xml:space="preserve">d) </w:t>
      </w:r>
      <w:r w:rsidR="76AD99E6" w:rsidRPr="32700F7E">
        <w:rPr>
          <w:rFonts w:ascii="Calibri" w:eastAsia="Calibri" w:hAnsi="Calibri" w:cs="Calibri"/>
          <w:sz w:val="22"/>
          <w:szCs w:val="22"/>
          <w:u w:val="single"/>
          <w:lang w:val="en-US"/>
        </w:rPr>
        <w:t>an explanation of what diversity and inclusion mean and why they are important. (AC 3.4)</w:t>
      </w:r>
    </w:p>
    <w:p w14:paraId="5216EBEC" w14:textId="1204778D" w:rsidR="32700F7E" w:rsidRDefault="32700F7E" w:rsidP="32700F7E">
      <w:pPr>
        <w:spacing w:after="0" w:line="264" w:lineRule="auto"/>
        <w:rPr>
          <w:rFonts w:ascii="Calibri" w:eastAsia="Calibri" w:hAnsi="Calibri" w:cs="Calibri"/>
          <w:sz w:val="22"/>
          <w:szCs w:val="22"/>
          <w:u w:val="single"/>
          <w:lang w:val="en-US"/>
        </w:rPr>
      </w:pPr>
    </w:p>
    <w:p w14:paraId="242A9527" w14:textId="199B6D73" w:rsidR="115F8FB6" w:rsidRDefault="115F8FB6" w:rsidP="32700F7E">
      <w:pPr>
        <w:spacing w:before="240" w:after="240"/>
      </w:pPr>
      <w:r w:rsidRPr="32700F7E">
        <w:rPr>
          <w:rFonts w:ascii="Calibri" w:eastAsia="Calibri" w:hAnsi="Calibri" w:cs="Calibri"/>
          <w:sz w:val="22"/>
          <w:szCs w:val="22"/>
          <w:lang w:val="en-US"/>
        </w:rPr>
        <w:t xml:space="preserve">Diversity and inclusion are essential concepts in creating a fair and thriving workplace. According to CIPD (2024), </w:t>
      </w:r>
      <w:r w:rsidRPr="32700F7E">
        <w:rPr>
          <w:rFonts w:ascii="Calibri" w:eastAsia="Calibri" w:hAnsi="Calibri" w:cs="Calibri"/>
          <w:i/>
          <w:iCs/>
          <w:sz w:val="22"/>
          <w:szCs w:val="22"/>
          <w:lang w:val="en-US"/>
        </w:rPr>
        <w:t>diversity</w:t>
      </w:r>
      <w:r w:rsidRPr="32700F7E">
        <w:rPr>
          <w:rFonts w:ascii="Calibri" w:eastAsia="Calibri" w:hAnsi="Calibri" w:cs="Calibri"/>
          <w:sz w:val="22"/>
          <w:szCs w:val="22"/>
          <w:lang w:val="en-US"/>
        </w:rPr>
        <w:t xml:space="preserve"> recognises and respects the differences between people, whether visible or non-visible</w:t>
      </w:r>
      <w:r w:rsidR="3185204E" w:rsidRPr="32700F7E">
        <w:rPr>
          <w:rFonts w:ascii="Calibri" w:eastAsia="Calibri" w:hAnsi="Calibri" w:cs="Calibri"/>
          <w:sz w:val="22"/>
          <w:szCs w:val="22"/>
          <w:lang w:val="en-US"/>
        </w:rPr>
        <w:t xml:space="preserve">, </w:t>
      </w:r>
      <w:r w:rsidRPr="32700F7E">
        <w:rPr>
          <w:rFonts w:ascii="Calibri" w:eastAsia="Calibri" w:hAnsi="Calibri" w:cs="Calibri"/>
          <w:sz w:val="22"/>
          <w:szCs w:val="22"/>
          <w:lang w:val="en-US"/>
        </w:rPr>
        <w:t xml:space="preserve">such as race, gender, age, beliefs, interests, or background. It celebrates these differences and ensures that individuals feel valued and supported. </w:t>
      </w:r>
      <w:r w:rsidRPr="32700F7E">
        <w:rPr>
          <w:rFonts w:ascii="Calibri" w:eastAsia="Calibri" w:hAnsi="Calibri" w:cs="Calibri"/>
          <w:i/>
          <w:iCs/>
          <w:sz w:val="22"/>
          <w:szCs w:val="22"/>
          <w:lang w:val="en-US"/>
        </w:rPr>
        <w:t>Inclusion</w:t>
      </w:r>
      <w:r w:rsidRPr="32700F7E">
        <w:rPr>
          <w:rFonts w:ascii="Calibri" w:eastAsia="Calibri" w:hAnsi="Calibri" w:cs="Calibri"/>
          <w:sz w:val="22"/>
          <w:szCs w:val="22"/>
          <w:lang w:val="en-US"/>
        </w:rPr>
        <w:t xml:space="preserve"> goes further by creating an environment where everyone is treated fairly, feels respected, and can fully participate, regardless of their differences.</w:t>
      </w:r>
    </w:p>
    <w:p w14:paraId="072F69DB" w14:textId="2655225C" w:rsidR="115F8FB6" w:rsidRDefault="115F8FB6" w:rsidP="32700F7E">
      <w:pPr>
        <w:spacing w:before="240" w:after="240"/>
      </w:pPr>
      <w:r w:rsidRPr="32700F7E">
        <w:rPr>
          <w:rFonts w:ascii="Calibri" w:eastAsia="Calibri" w:hAnsi="Calibri" w:cs="Calibri"/>
          <w:sz w:val="22"/>
          <w:szCs w:val="22"/>
          <w:lang w:val="en-US"/>
        </w:rPr>
        <w:t>An inclusive workplace allows individuals to be their authentic selves, leading to greater job satisfaction, personal growth, and higher performance. This, in turn, drives business success through innovation, collaboration, and employee engagement. Conversely, a lack of diversity and inclusion can lead to toxic cultures, poor retention, reputational damage, and a disconnect with customers who may feel unrepresented. Zoe Baker, People Director at BBC Nations, supports this view, stating that a business should reflect the diversity of its audience (Hayes, n.d., para. 8).</w:t>
      </w:r>
    </w:p>
    <w:p w14:paraId="0513EB39" w14:textId="74A6773A" w:rsidR="115F8FB6" w:rsidRDefault="115F8FB6" w:rsidP="32700F7E">
      <w:pPr>
        <w:spacing w:before="240" w:after="240"/>
      </w:pPr>
      <w:r w:rsidRPr="32700F7E">
        <w:rPr>
          <w:rFonts w:ascii="Calibri" w:eastAsia="Calibri" w:hAnsi="Calibri" w:cs="Calibri"/>
          <w:sz w:val="22"/>
          <w:szCs w:val="22"/>
          <w:lang w:val="en-US"/>
        </w:rPr>
        <w:t>Culture Amp, as cited in CIPD (2025), highlights that inclusion must be supported by both diversity and equity. This combination fosters psychological safety, reduces the risk of grievances and tribunals, improves retention, and builds a culture of trust, care, and long-term success.</w:t>
      </w:r>
    </w:p>
    <w:p w14:paraId="62F11386" w14:textId="6CE8B93A" w:rsidR="32700F7E" w:rsidRDefault="32700F7E" w:rsidP="32700F7E">
      <w:pPr>
        <w:spacing w:after="0" w:line="264" w:lineRule="auto"/>
        <w:rPr>
          <w:rFonts w:ascii="Calibri" w:eastAsia="Calibri" w:hAnsi="Calibri" w:cs="Calibri"/>
          <w:sz w:val="22"/>
          <w:szCs w:val="22"/>
          <w:lang w:val="en-US"/>
        </w:rPr>
      </w:pPr>
    </w:p>
    <w:p w14:paraId="27AE8946" w14:textId="32365E22" w:rsidR="000E078B" w:rsidRDefault="76863DC6" w:rsidP="76DAAEE2">
      <w:pPr>
        <w:spacing w:after="0" w:line="264" w:lineRule="auto"/>
        <w:rPr>
          <w:rFonts w:ascii="Calibri" w:eastAsia="Calibri" w:hAnsi="Calibri" w:cs="Calibri"/>
          <w:sz w:val="22"/>
          <w:szCs w:val="22"/>
          <w:u w:val="single"/>
          <w:lang w:val="en-US"/>
        </w:rPr>
      </w:pPr>
      <w:r w:rsidRPr="32700F7E">
        <w:rPr>
          <w:rFonts w:ascii="Calibri" w:eastAsia="Calibri" w:hAnsi="Calibri" w:cs="Calibri"/>
          <w:sz w:val="22"/>
          <w:szCs w:val="22"/>
          <w:u w:val="single"/>
          <w:lang w:val="en-US"/>
        </w:rPr>
        <w:t xml:space="preserve">e) </w:t>
      </w:r>
      <w:r w:rsidR="76AD99E6" w:rsidRPr="32700F7E">
        <w:rPr>
          <w:rFonts w:ascii="Calibri" w:eastAsia="Calibri" w:hAnsi="Calibri" w:cs="Calibri"/>
          <w:sz w:val="22"/>
          <w:szCs w:val="22"/>
          <w:u w:val="single"/>
          <w:lang w:val="en-US"/>
        </w:rPr>
        <w:t>an explanation of the difference between fair and unfair dismissal. (AC 3.5)</w:t>
      </w:r>
    </w:p>
    <w:p w14:paraId="1DE6E467" w14:textId="1401F782" w:rsidR="32700F7E" w:rsidRDefault="32700F7E" w:rsidP="32700F7E">
      <w:pPr>
        <w:rPr>
          <w:rFonts w:ascii="Calibri" w:eastAsia="Calibri" w:hAnsi="Calibri" w:cs="Calibri"/>
          <w:color w:val="000000" w:themeColor="text1"/>
          <w:sz w:val="22"/>
          <w:szCs w:val="22"/>
          <w:lang w:val="en-US"/>
        </w:rPr>
      </w:pPr>
    </w:p>
    <w:p w14:paraId="669028FA" w14:textId="19D6DE81" w:rsidR="6FD25C7D" w:rsidRDefault="6FD25C7D" w:rsidP="32700F7E">
      <w:pPr>
        <w:spacing w:before="240" w:after="240"/>
      </w:pPr>
      <w:r w:rsidRPr="32700F7E">
        <w:rPr>
          <w:rFonts w:ascii="Calibri" w:eastAsia="Calibri" w:hAnsi="Calibri" w:cs="Calibri"/>
          <w:sz w:val="22"/>
          <w:szCs w:val="22"/>
          <w:lang w:val="en-US"/>
        </w:rPr>
        <w:t xml:space="preserve">Fair and unfair dismissal are defined under the Employment Rights Act 1996 and relate to whether an employer has followed a lawful and reasonable process when ending an employee’s contract. A </w:t>
      </w:r>
      <w:r w:rsidRPr="32700F7E">
        <w:rPr>
          <w:rFonts w:ascii="Calibri" w:eastAsia="Calibri" w:hAnsi="Calibri" w:cs="Calibri"/>
          <w:i/>
          <w:iCs/>
          <w:sz w:val="22"/>
          <w:szCs w:val="22"/>
          <w:lang w:val="en-US"/>
        </w:rPr>
        <w:t>fair dismissal</w:t>
      </w:r>
      <w:r w:rsidRPr="32700F7E">
        <w:rPr>
          <w:rFonts w:ascii="Calibri" w:eastAsia="Calibri" w:hAnsi="Calibri" w:cs="Calibri"/>
          <w:sz w:val="22"/>
          <w:szCs w:val="22"/>
          <w:lang w:val="en-US"/>
        </w:rPr>
        <w:t xml:space="preserve"> occurs when there is a valid reason, such as misconduct, lack of capability or qualifications, redundancy, a legal restriction (e.g. loss of </w:t>
      </w:r>
      <w:r w:rsidR="7796ADFD" w:rsidRPr="32700F7E">
        <w:rPr>
          <w:rFonts w:ascii="Calibri" w:eastAsia="Calibri" w:hAnsi="Calibri" w:cs="Calibri"/>
          <w:sz w:val="22"/>
          <w:szCs w:val="22"/>
          <w:lang w:val="en-US"/>
        </w:rPr>
        <w:t>the right</w:t>
      </w:r>
      <w:r w:rsidRPr="32700F7E">
        <w:rPr>
          <w:rFonts w:ascii="Calibri" w:eastAsia="Calibri" w:hAnsi="Calibri" w:cs="Calibri"/>
          <w:sz w:val="22"/>
          <w:szCs w:val="22"/>
          <w:lang w:val="en-US"/>
        </w:rPr>
        <w:t xml:space="preserve"> to work in the UK), or another substantial reason. Employers must also follow a fair process, including the ACAS Code of Practice (ACAS, 2015), particularly during disciplinary or grievance procedures.</w:t>
      </w:r>
    </w:p>
    <w:p w14:paraId="0AF26582" w14:textId="4DA119E4" w:rsidR="6FD25C7D" w:rsidRDefault="6FD25C7D" w:rsidP="32700F7E">
      <w:pPr>
        <w:spacing w:before="240" w:after="240"/>
      </w:pPr>
      <w:r w:rsidRPr="32700F7E">
        <w:rPr>
          <w:rFonts w:ascii="Calibri" w:eastAsia="Calibri" w:hAnsi="Calibri" w:cs="Calibri"/>
          <w:sz w:val="22"/>
          <w:szCs w:val="22"/>
          <w:lang w:val="en-US"/>
        </w:rPr>
        <w:t>For example, dismissing an employee for theft would be considered fair if the evidence is clear and procedures are properly followed.</w:t>
      </w:r>
    </w:p>
    <w:p w14:paraId="0E54BB90" w14:textId="766C592C" w:rsidR="6FD25C7D" w:rsidRDefault="6FD25C7D" w:rsidP="32700F7E">
      <w:pPr>
        <w:spacing w:before="240" w:after="240"/>
      </w:pPr>
      <w:r w:rsidRPr="32700F7E">
        <w:rPr>
          <w:rFonts w:ascii="Calibri" w:eastAsia="Calibri" w:hAnsi="Calibri" w:cs="Calibri"/>
          <w:sz w:val="22"/>
          <w:szCs w:val="22"/>
          <w:lang w:val="en-US"/>
        </w:rPr>
        <w:t xml:space="preserve">In contrast, </w:t>
      </w:r>
      <w:r w:rsidRPr="32700F7E">
        <w:rPr>
          <w:rFonts w:ascii="Calibri" w:eastAsia="Calibri" w:hAnsi="Calibri" w:cs="Calibri"/>
          <w:i/>
          <w:iCs/>
          <w:sz w:val="22"/>
          <w:szCs w:val="22"/>
          <w:lang w:val="en-US"/>
        </w:rPr>
        <w:t>unfair dismissal</w:t>
      </w:r>
      <w:r w:rsidRPr="32700F7E">
        <w:rPr>
          <w:rFonts w:ascii="Calibri" w:eastAsia="Calibri" w:hAnsi="Calibri" w:cs="Calibri"/>
          <w:sz w:val="22"/>
          <w:szCs w:val="22"/>
          <w:lang w:val="en-US"/>
        </w:rPr>
        <w:t xml:space="preserve"> occurs when an employee is terminated for an unlawful reason or without a fair process. Examples include dismissal due to pregnancy, maternity leave, parental leave, trade union membership, whistleblowing, or raising health and safety concerns (Waite et al., 2021b, pp. 155–158).</w:t>
      </w:r>
    </w:p>
    <w:p w14:paraId="70C9FFA6" w14:textId="25DAB20A" w:rsidR="6FD25C7D" w:rsidRDefault="6FD25C7D" w:rsidP="32700F7E">
      <w:pPr>
        <w:spacing w:before="240" w:after="240"/>
      </w:pPr>
      <w:r w:rsidRPr="32700F7E">
        <w:rPr>
          <w:rFonts w:ascii="Calibri" w:eastAsia="Calibri" w:hAnsi="Calibri" w:cs="Calibri"/>
          <w:sz w:val="22"/>
          <w:szCs w:val="22"/>
          <w:lang w:val="en-US"/>
        </w:rPr>
        <w:t xml:space="preserve">A case from HR-Inform (2025) involved an employee dismissed </w:t>
      </w:r>
      <w:r w:rsidR="70D6C545" w:rsidRPr="32700F7E">
        <w:rPr>
          <w:rFonts w:ascii="Calibri" w:eastAsia="Calibri" w:hAnsi="Calibri" w:cs="Calibri"/>
          <w:sz w:val="22"/>
          <w:szCs w:val="22"/>
          <w:lang w:val="en-US"/>
        </w:rPr>
        <w:t>whilst on</w:t>
      </w:r>
      <w:r w:rsidRPr="32700F7E">
        <w:rPr>
          <w:rFonts w:ascii="Calibri" w:eastAsia="Calibri" w:hAnsi="Calibri" w:cs="Calibri"/>
          <w:sz w:val="22"/>
          <w:szCs w:val="22"/>
          <w:lang w:val="en-US"/>
        </w:rPr>
        <w:t xml:space="preserve"> maternity leave. This was found to be discriminatory under both the Employment Rights Act and the Equality Act 2010. She </w:t>
      </w:r>
      <w:r w:rsidRPr="32700F7E">
        <w:rPr>
          <w:rFonts w:ascii="Calibri" w:eastAsia="Calibri" w:hAnsi="Calibri" w:cs="Calibri"/>
          <w:sz w:val="22"/>
          <w:szCs w:val="22"/>
          <w:lang w:val="en-US"/>
        </w:rPr>
        <w:lastRenderedPageBreak/>
        <w:t>was awarded compensation for injury to feelings, highlighting the legal and reputational risks of unfair dismissal.</w:t>
      </w:r>
    </w:p>
    <w:p w14:paraId="410F8CD0" w14:textId="0CFDF3EF" w:rsidR="76DAAEE2" w:rsidRDefault="76DAAEE2" w:rsidP="76DAAEE2">
      <w:pPr>
        <w:rPr>
          <w:rFonts w:ascii="Calibri" w:eastAsia="Calibri" w:hAnsi="Calibri" w:cs="Calibri"/>
          <w:color w:val="000000" w:themeColor="text1"/>
          <w:sz w:val="22"/>
          <w:szCs w:val="22"/>
          <w:u w:val="single"/>
          <w:lang w:val="en-US"/>
        </w:rPr>
      </w:pPr>
    </w:p>
    <w:p w14:paraId="6F664F0F" w14:textId="13D180BC" w:rsidR="19C76139" w:rsidRDefault="19C76139" w:rsidP="32700F7E">
      <w:pPr>
        <w:rPr>
          <w:rFonts w:ascii="Calibri" w:eastAsia="Calibri" w:hAnsi="Calibri" w:cs="Calibri"/>
          <w:color w:val="000000" w:themeColor="text1"/>
          <w:sz w:val="22"/>
          <w:szCs w:val="22"/>
          <w:u w:val="single"/>
          <w:lang w:val="en-US"/>
        </w:rPr>
      </w:pPr>
      <w:r w:rsidRPr="32700F7E">
        <w:rPr>
          <w:rFonts w:ascii="Calibri" w:eastAsia="Calibri" w:hAnsi="Calibri" w:cs="Calibri"/>
          <w:color w:val="000000" w:themeColor="text1"/>
          <w:sz w:val="22"/>
          <w:szCs w:val="22"/>
          <w:u w:val="single"/>
          <w:lang w:val="en-US"/>
        </w:rPr>
        <w:t>Bibliography</w:t>
      </w:r>
    </w:p>
    <w:p w14:paraId="6716A607" w14:textId="159414FA" w:rsidR="68F14D0E" w:rsidRDefault="68F14D0E" w:rsidP="32700F7E">
      <w:pPr>
        <w:rPr>
          <w:rFonts w:ascii="Calibri" w:eastAsia="Calibri" w:hAnsi="Calibri" w:cs="Calibri"/>
          <w:sz w:val="22"/>
          <w:szCs w:val="22"/>
          <w:lang w:val="en-US"/>
        </w:rPr>
      </w:pPr>
      <w:r w:rsidRPr="32700F7E">
        <w:rPr>
          <w:rFonts w:ascii="Calibri" w:eastAsia="Calibri" w:hAnsi="Calibri" w:cs="Calibri"/>
          <w:sz w:val="22"/>
          <w:szCs w:val="22"/>
          <w:lang w:val="en-US"/>
        </w:rPr>
        <w:t xml:space="preserve">ACAS (2015) </w:t>
      </w:r>
      <w:r w:rsidRPr="32700F7E">
        <w:rPr>
          <w:rFonts w:ascii="Calibri" w:eastAsia="Calibri" w:hAnsi="Calibri" w:cs="Calibri"/>
          <w:i/>
          <w:iCs/>
          <w:sz w:val="22"/>
          <w:szCs w:val="22"/>
          <w:lang w:val="en-US"/>
        </w:rPr>
        <w:t>Acas Code of Practice on disciplinary and grievance procedures.</w:t>
      </w:r>
      <w:r w:rsidRPr="32700F7E">
        <w:rPr>
          <w:rFonts w:ascii="Calibri" w:eastAsia="Calibri" w:hAnsi="Calibri" w:cs="Calibri"/>
          <w:sz w:val="22"/>
          <w:szCs w:val="22"/>
          <w:lang w:val="en-US"/>
        </w:rPr>
        <w:t xml:space="preserve"> Available at: https:// </w:t>
      </w:r>
      <w:hyperlink r:id="rId6">
        <w:r w:rsidRPr="32700F7E">
          <w:rPr>
            <w:rStyle w:val="Hyperlink"/>
            <w:rFonts w:ascii="Calibri" w:eastAsia="Calibri" w:hAnsi="Calibri" w:cs="Calibri"/>
            <w:sz w:val="22"/>
            <w:szCs w:val="22"/>
            <w:lang w:val="en-US"/>
          </w:rPr>
          <w:t>www.acas.org.uk/acas-code-of-practice-on-disciplinary-and-grievance-procedures</w:t>
        </w:r>
      </w:hyperlink>
      <w:r w:rsidRPr="32700F7E">
        <w:rPr>
          <w:rFonts w:ascii="Calibri" w:eastAsia="Calibri" w:hAnsi="Calibri" w:cs="Calibri"/>
          <w:sz w:val="22"/>
          <w:szCs w:val="22"/>
          <w:lang w:val="en-US"/>
        </w:rPr>
        <w:t xml:space="preserve"> (Accessed at: 21 May 2025).</w:t>
      </w:r>
    </w:p>
    <w:p w14:paraId="3396B3DD" w14:textId="1BE6D817" w:rsidR="32700F7E" w:rsidRDefault="32700F7E" w:rsidP="32700F7E">
      <w:pPr>
        <w:rPr>
          <w:rFonts w:ascii="Calibri" w:eastAsia="Calibri" w:hAnsi="Calibri" w:cs="Calibri"/>
          <w:sz w:val="22"/>
          <w:szCs w:val="22"/>
          <w:lang w:val="en-US"/>
        </w:rPr>
      </w:pPr>
    </w:p>
    <w:p w14:paraId="29007CBD" w14:textId="59CA4266" w:rsidR="68F14D0E" w:rsidRDefault="68F14D0E" w:rsidP="32700F7E">
      <w:pPr>
        <w:rPr>
          <w:rFonts w:ascii="Calibri" w:eastAsia="Calibri" w:hAnsi="Calibri" w:cs="Calibri"/>
          <w:sz w:val="22"/>
          <w:szCs w:val="22"/>
          <w:lang w:val="en-US"/>
        </w:rPr>
      </w:pPr>
      <w:r w:rsidRPr="32700F7E">
        <w:rPr>
          <w:rFonts w:ascii="Calibri" w:eastAsia="Calibri" w:hAnsi="Calibri" w:cs="Calibri"/>
          <w:sz w:val="22"/>
          <w:szCs w:val="22"/>
          <w:lang w:val="en-US"/>
        </w:rPr>
        <w:t xml:space="preserve">ACAS (2025) Understanding the Working Time Regulations. Available at: https:// </w:t>
      </w:r>
      <w:hyperlink r:id="rId7">
        <w:r w:rsidRPr="32700F7E">
          <w:rPr>
            <w:rStyle w:val="Hyperlink"/>
            <w:rFonts w:ascii="Calibri" w:eastAsia="Calibri" w:hAnsi="Calibri" w:cs="Calibri"/>
            <w:sz w:val="22"/>
            <w:szCs w:val="22"/>
            <w:lang w:val="en-US"/>
          </w:rPr>
          <w:t>www.acas.org.uk/working-time-rules</w:t>
        </w:r>
      </w:hyperlink>
      <w:r w:rsidRPr="32700F7E">
        <w:rPr>
          <w:rFonts w:ascii="Calibri" w:eastAsia="Calibri" w:hAnsi="Calibri" w:cs="Calibri"/>
          <w:sz w:val="22"/>
          <w:szCs w:val="22"/>
          <w:lang w:val="en-US"/>
        </w:rPr>
        <w:t xml:space="preserve"> (Accessed: 1 May 2025).</w:t>
      </w:r>
    </w:p>
    <w:p w14:paraId="03DAD840" w14:textId="109407C7" w:rsidR="32700F7E" w:rsidRDefault="32700F7E" w:rsidP="32700F7E">
      <w:pPr>
        <w:rPr>
          <w:rFonts w:ascii="Calibri" w:eastAsia="Calibri" w:hAnsi="Calibri" w:cs="Calibri"/>
          <w:color w:val="000000" w:themeColor="text1"/>
          <w:sz w:val="22"/>
          <w:szCs w:val="22"/>
          <w:u w:val="single"/>
          <w:lang w:val="en-US"/>
        </w:rPr>
      </w:pPr>
    </w:p>
    <w:p w14:paraId="59C12A36" w14:textId="0C6B8FFE" w:rsidR="287F22B3" w:rsidRDefault="287F22B3" w:rsidP="32700F7E">
      <w:pPr>
        <w:rPr>
          <w:rFonts w:ascii="Calibri" w:eastAsia="Calibri" w:hAnsi="Calibri" w:cs="Calibri"/>
          <w:sz w:val="22"/>
          <w:szCs w:val="22"/>
          <w:lang w:val="en-US"/>
        </w:rPr>
      </w:pPr>
      <w:r w:rsidRPr="32700F7E">
        <w:rPr>
          <w:rFonts w:ascii="Calibri" w:eastAsia="Calibri" w:hAnsi="Calibri" w:cs="Calibri"/>
          <w:sz w:val="22"/>
          <w:szCs w:val="22"/>
          <w:lang w:val="en-US"/>
        </w:rPr>
        <w:t xml:space="preserve">CIPD (2023) Health and Wellbeing at Work. Available at: https:// </w:t>
      </w:r>
      <w:hyperlink r:id="rId8">
        <w:r w:rsidRPr="32700F7E">
          <w:rPr>
            <w:rStyle w:val="Hyperlink"/>
            <w:rFonts w:ascii="Calibri" w:eastAsia="Calibri" w:hAnsi="Calibri" w:cs="Calibri"/>
            <w:sz w:val="22"/>
            <w:szCs w:val="22"/>
            <w:lang w:val="en-US"/>
          </w:rPr>
          <w:t>www.cipd.org/globalassets/media/knowledge/knowledge-hub/reports/2023-pdfs/8436-health-and-wellbeing-report-2023.pdf</w:t>
        </w:r>
      </w:hyperlink>
      <w:r w:rsidRPr="32700F7E">
        <w:rPr>
          <w:rFonts w:ascii="Calibri" w:eastAsia="Calibri" w:hAnsi="Calibri" w:cs="Calibri"/>
          <w:sz w:val="22"/>
          <w:szCs w:val="22"/>
          <w:lang w:val="en-US"/>
        </w:rPr>
        <w:t xml:space="preserve"> (Accessed: 4 May 2025).</w:t>
      </w:r>
    </w:p>
    <w:p w14:paraId="1D3F8496" w14:textId="286B5BD4" w:rsidR="32700F7E" w:rsidRDefault="32700F7E" w:rsidP="32700F7E">
      <w:pPr>
        <w:rPr>
          <w:rFonts w:ascii="Calibri" w:eastAsia="Calibri" w:hAnsi="Calibri" w:cs="Calibri"/>
          <w:color w:val="000000" w:themeColor="text1"/>
          <w:sz w:val="22"/>
          <w:szCs w:val="22"/>
          <w:u w:val="single"/>
          <w:lang w:val="en-US"/>
        </w:rPr>
      </w:pPr>
    </w:p>
    <w:p w14:paraId="5CCFF298" w14:textId="6B11359A" w:rsidR="287F22B3" w:rsidRDefault="287F22B3" w:rsidP="32700F7E">
      <w:pPr>
        <w:rPr>
          <w:rFonts w:ascii="Calibri" w:eastAsia="Calibri" w:hAnsi="Calibri" w:cs="Calibri"/>
          <w:sz w:val="22"/>
          <w:szCs w:val="22"/>
          <w:lang w:val="en-US"/>
        </w:rPr>
      </w:pPr>
      <w:r w:rsidRPr="32700F7E">
        <w:rPr>
          <w:rFonts w:ascii="Calibri" w:eastAsia="Calibri" w:hAnsi="Calibri" w:cs="Calibri"/>
          <w:sz w:val="22"/>
          <w:szCs w:val="22"/>
          <w:lang w:val="en-US"/>
        </w:rPr>
        <w:t>CIPD (2024)</w:t>
      </w:r>
      <w:r w:rsidRPr="32700F7E">
        <w:rPr>
          <w:rFonts w:ascii="Calibri" w:eastAsia="Calibri" w:hAnsi="Calibri" w:cs="Calibri"/>
          <w:i/>
          <w:iCs/>
          <w:sz w:val="22"/>
          <w:szCs w:val="22"/>
          <w:lang w:val="en-US"/>
        </w:rPr>
        <w:t xml:space="preserve"> Equality, diversity and inclusion (EDI) in the workplace.</w:t>
      </w:r>
      <w:r w:rsidRPr="32700F7E">
        <w:rPr>
          <w:rFonts w:ascii="Calibri" w:eastAsia="Calibri" w:hAnsi="Calibri" w:cs="Calibri"/>
          <w:sz w:val="22"/>
          <w:szCs w:val="22"/>
          <w:lang w:val="en-US"/>
        </w:rPr>
        <w:t xml:space="preserve"> Available at: https:// </w:t>
      </w:r>
      <w:hyperlink r:id="rId9" w:anchor="Whatis">
        <w:r w:rsidRPr="32700F7E">
          <w:rPr>
            <w:rStyle w:val="Hyperlink"/>
            <w:rFonts w:ascii="Calibri" w:eastAsia="Calibri" w:hAnsi="Calibri" w:cs="Calibri"/>
            <w:sz w:val="22"/>
            <w:szCs w:val="22"/>
            <w:lang w:val="en-US"/>
          </w:rPr>
          <w:t>www.cipd.org/uk/knowledge/factsheets/diversity-factsheet/#Whatis</w:t>
        </w:r>
      </w:hyperlink>
      <w:r w:rsidRPr="32700F7E">
        <w:rPr>
          <w:rFonts w:ascii="Calibri" w:eastAsia="Calibri" w:hAnsi="Calibri" w:cs="Calibri"/>
          <w:sz w:val="22"/>
          <w:szCs w:val="22"/>
          <w:lang w:val="en-US"/>
        </w:rPr>
        <w:t xml:space="preserve"> (Accessed: 11 May 2025).</w:t>
      </w:r>
    </w:p>
    <w:p w14:paraId="41E0063D" w14:textId="250AF8E3" w:rsidR="32700F7E" w:rsidRDefault="32700F7E" w:rsidP="32700F7E">
      <w:pPr>
        <w:rPr>
          <w:rFonts w:ascii="Calibri" w:eastAsia="Calibri" w:hAnsi="Calibri" w:cs="Calibri"/>
          <w:color w:val="000000" w:themeColor="text1"/>
          <w:sz w:val="22"/>
          <w:szCs w:val="22"/>
          <w:u w:val="single"/>
          <w:lang w:val="en-US"/>
        </w:rPr>
      </w:pPr>
    </w:p>
    <w:p w14:paraId="73DF5A6F" w14:textId="1945BE04" w:rsidR="72268F49" w:rsidRDefault="72268F49" w:rsidP="4313E428">
      <w:pPr>
        <w:rPr>
          <w:rFonts w:ascii="Calibri" w:eastAsia="Calibri" w:hAnsi="Calibri" w:cs="Calibri"/>
          <w:sz w:val="22"/>
          <w:szCs w:val="22"/>
          <w:lang w:val="en-US"/>
        </w:rPr>
      </w:pPr>
      <w:r w:rsidRPr="27FD55B2">
        <w:rPr>
          <w:rFonts w:ascii="Calibri" w:eastAsia="Calibri" w:hAnsi="Calibri" w:cs="Calibri"/>
          <w:sz w:val="22"/>
          <w:szCs w:val="22"/>
          <w:lang w:val="en-US"/>
        </w:rPr>
        <w:t>CIPD (2025</w:t>
      </w:r>
      <w:r w:rsidR="2E96B9D0" w:rsidRPr="27FD55B2">
        <w:rPr>
          <w:rFonts w:ascii="Calibri" w:eastAsia="Calibri" w:hAnsi="Calibri" w:cs="Calibri"/>
          <w:sz w:val="22"/>
          <w:szCs w:val="22"/>
          <w:lang w:val="en-US"/>
        </w:rPr>
        <w:t>a</w:t>
      </w:r>
      <w:r w:rsidRPr="27FD55B2">
        <w:rPr>
          <w:rFonts w:ascii="Calibri" w:eastAsia="Calibri" w:hAnsi="Calibri" w:cs="Calibri"/>
          <w:sz w:val="22"/>
          <w:szCs w:val="22"/>
          <w:lang w:val="en-US"/>
        </w:rPr>
        <w:t xml:space="preserve">) </w:t>
      </w:r>
      <w:r w:rsidRPr="27FD55B2">
        <w:rPr>
          <w:rFonts w:ascii="Calibri" w:eastAsia="Calibri" w:hAnsi="Calibri" w:cs="Calibri"/>
          <w:i/>
          <w:iCs/>
          <w:sz w:val="22"/>
          <w:szCs w:val="22"/>
          <w:lang w:val="en-US"/>
        </w:rPr>
        <w:t>Workplace Wellbeing: Why It Matters More Than Ever</w:t>
      </w:r>
      <w:r w:rsidRPr="27FD55B2">
        <w:rPr>
          <w:rFonts w:ascii="Calibri" w:eastAsia="Calibri" w:hAnsi="Calibri" w:cs="Calibri"/>
          <w:sz w:val="22"/>
          <w:szCs w:val="22"/>
          <w:lang w:val="en-US"/>
        </w:rPr>
        <w:t>. Available at: https:// cipd.spectrum.life/wellbeing-studio/9715?back=home (Accessed: 3 May 2025)</w:t>
      </w:r>
      <w:r w:rsidR="1118005A" w:rsidRPr="27FD55B2">
        <w:rPr>
          <w:rFonts w:ascii="Calibri" w:eastAsia="Calibri" w:hAnsi="Calibri" w:cs="Calibri"/>
          <w:sz w:val="22"/>
          <w:szCs w:val="22"/>
          <w:lang w:val="en-US"/>
        </w:rPr>
        <w:t>.</w:t>
      </w:r>
    </w:p>
    <w:p w14:paraId="432E6F1C" w14:textId="4E05407A" w:rsidR="27FD55B2" w:rsidRDefault="27FD55B2" w:rsidP="27FD55B2">
      <w:pPr>
        <w:rPr>
          <w:rFonts w:ascii="Calibri" w:eastAsia="Calibri" w:hAnsi="Calibri" w:cs="Calibri"/>
          <w:sz w:val="22"/>
          <w:szCs w:val="22"/>
          <w:lang w:val="en-US"/>
        </w:rPr>
      </w:pPr>
    </w:p>
    <w:p w14:paraId="1CC2CC6D" w14:textId="7307CB6F" w:rsidR="35496618" w:rsidRDefault="35496618" w:rsidP="32700F7E">
      <w:pPr>
        <w:rPr>
          <w:rFonts w:ascii="Calibri" w:eastAsia="Calibri" w:hAnsi="Calibri" w:cs="Calibri"/>
          <w:sz w:val="22"/>
          <w:szCs w:val="22"/>
          <w:lang w:val="en-US"/>
        </w:rPr>
      </w:pPr>
      <w:r w:rsidRPr="32700F7E">
        <w:rPr>
          <w:rFonts w:ascii="Calibri" w:eastAsia="Calibri" w:hAnsi="Calibri" w:cs="Calibri"/>
          <w:sz w:val="22"/>
          <w:szCs w:val="22"/>
          <w:lang w:val="en-US"/>
        </w:rPr>
        <w:t xml:space="preserve">CIPD (2025b) </w:t>
      </w:r>
      <w:r w:rsidRPr="32700F7E">
        <w:rPr>
          <w:rFonts w:ascii="Calibri" w:eastAsia="Calibri" w:hAnsi="Calibri" w:cs="Calibri"/>
          <w:i/>
          <w:iCs/>
          <w:sz w:val="22"/>
          <w:szCs w:val="22"/>
          <w:lang w:val="en-US"/>
        </w:rPr>
        <w:t>Equality – General Principles</w:t>
      </w:r>
      <w:r w:rsidRPr="32700F7E">
        <w:rPr>
          <w:rFonts w:ascii="Calibri" w:eastAsia="Calibri" w:hAnsi="Calibri" w:cs="Calibri"/>
          <w:sz w:val="22"/>
          <w:szCs w:val="22"/>
          <w:lang w:val="en-US"/>
        </w:rPr>
        <w:t>. Available at: https:// app.croneri.co.uk/topics/equality-general-principles/summary?product=283&amp;quicktab=indepth&amp;q_token=1029aef38ad0b08e829e5dbb9326ec29#HRI-D2B31E51-DBB0-40A4-8509-D1427278D778-INDEPTH (Accessed: 10 May 2025).</w:t>
      </w:r>
    </w:p>
    <w:p w14:paraId="245D4E3F" w14:textId="3652FC8C" w:rsidR="32700F7E" w:rsidRDefault="32700F7E" w:rsidP="32700F7E">
      <w:pPr>
        <w:rPr>
          <w:rFonts w:ascii="Calibri" w:eastAsia="Calibri" w:hAnsi="Calibri" w:cs="Calibri"/>
          <w:sz w:val="22"/>
          <w:szCs w:val="22"/>
          <w:lang w:val="en-US"/>
        </w:rPr>
      </w:pPr>
    </w:p>
    <w:p w14:paraId="7529ADC6" w14:textId="6471BA26" w:rsidR="1D956632" w:rsidRDefault="1D956632" w:rsidP="32700F7E">
      <w:pPr>
        <w:rPr>
          <w:rFonts w:ascii="Calibri" w:eastAsia="Calibri" w:hAnsi="Calibri" w:cs="Calibri"/>
          <w:sz w:val="22"/>
          <w:szCs w:val="22"/>
          <w:lang w:val="en-US"/>
        </w:rPr>
      </w:pPr>
      <w:r w:rsidRPr="32700F7E">
        <w:rPr>
          <w:rFonts w:ascii="Calibri" w:eastAsia="Calibri" w:hAnsi="Calibri" w:cs="Calibri"/>
          <w:sz w:val="22"/>
          <w:szCs w:val="22"/>
          <w:lang w:val="en-US"/>
        </w:rPr>
        <w:t>CIPD People Management (2025) ‘</w:t>
      </w:r>
      <w:r w:rsidRPr="32700F7E">
        <w:rPr>
          <w:rFonts w:ascii="Calibri" w:eastAsia="Calibri" w:hAnsi="Calibri" w:cs="Calibri"/>
          <w:i/>
          <w:iCs/>
          <w:sz w:val="22"/>
          <w:szCs w:val="22"/>
          <w:lang w:val="en-US"/>
        </w:rPr>
        <w:t>Build fair talent processes and the rest will come’</w:t>
      </w:r>
      <w:r w:rsidRPr="32700F7E">
        <w:rPr>
          <w:rFonts w:ascii="Calibri" w:eastAsia="Calibri" w:hAnsi="Calibri" w:cs="Calibri"/>
          <w:sz w:val="22"/>
          <w:szCs w:val="22"/>
          <w:lang w:val="en-US"/>
        </w:rPr>
        <w:t>. May – July 2025.</w:t>
      </w:r>
    </w:p>
    <w:p w14:paraId="54DF8EA4" w14:textId="5BE9BDC7" w:rsidR="32700F7E" w:rsidRDefault="32700F7E" w:rsidP="32700F7E">
      <w:pPr>
        <w:rPr>
          <w:rFonts w:ascii="Calibri" w:eastAsia="Calibri" w:hAnsi="Calibri" w:cs="Calibri"/>
          <w:sz w:val="22"/>
          <w:szCs w:val="22"/>
          <w:lang w:val="en-US"/>
        </w:rPr>
      </w:pPr>
    </w:p>
    <w:p w14:paraId="35FDD122" w14:textId="4ECB4408" w:rsidR="660DB45D" w:rsidRDefault="660DB45D" w:rsidP="27FD55B2">
      <w:pPr>
        <w:rPr>
          <w:rFonts w:ascii="Calibri" w:eastAsia="Calibri" w:hAnsi="Calibri" w:cs="Calibri"/>
          <w:sz w:val="22"/>
          <w:szCs w:val="22"/>
          <w:lang w:val="en-US"/>
        </w:rPr>
      </w:pPr>
      <w:r w:rsidRPr="27FD55B2">
        <w:rPr>
          <w:rFonts w:ascii="Calibri" w:eastAsia="Calibri" w:hAnsi="Calibri" w:cs="Calibri"/>
          <w:sz w:val="22"/>
          <w:szCs w:val="22"/>
          <w:lang w:val="en-US"/>
        </w:rPr>
        <w:t xml:space="preserve">Graham, H. T. and Bennett, R. (1998) </w:t>
      </w:r>
      <w:r w:rsidRPr="27FD55B2">
        <w:rPr>
          <w:rFonts w:ascii="Calibri" w:eastAsia="Calibri" w:hAnsi="Calibri" w:cs="Calibri"/>
          <w:i/>
          <w:iCs/>
          <w:sz w:val="22"/>
          <w:szCs w:val="22"/>
          <w:lang w:val="en-US"/>
        </w:rPr>
        <w:t>Human Resources Management</w:t>
      </w:r>
      <w:r w:rsidRPr="27FD55B2">
        <w:rPr>
          <w:rFonts w:ascii="Calibri" w:eastAsia="Calibri" w:hAnsi="Calibri" w:cs="Calibri"/>
          <w:sz w:val="22"/>
          <w:szCs w:val="22"/>
          <w:lang w:val="en-US"/>
        </w:rPr>
        <w:t>. 9</w:t>
      </w:r>
      <w:r w:rsidRPr="27FD55B2">
        <w:rPr>
          <w:rFonts w:ascii="Calibri" w:eastAsia="Calibri" w:hAnsi="Calibri" w:cs="Calibri"/>
          <w:sz w:val="22"/>
          <w:szCs w:val="22"/>
          <w:vertAlign w:val="superscript"/>
          <w:lang w:val="en-US"/>
        </w:rPr>
        <w:t>th</w:t>
      </w:r>
      <w:r w:rsidRPr="27FD55B2">
        <w:rPr>
          <w:rFonts w:ascii="Calibri" w:eastAsia="Calibri" w:hAnsi="Calibri" w:cs="Calibri"/>
          <w:sz w:val="22"/>
          <w:szCs w:val="22"/>
          <w:lang w:val="en-US"/>
        </w:rPr>
        <w:t xml:space="preserve"> ed</w:t>
      </w:r>
      <w:r w:rsidR="6FA05346" w:rsidRPr="27FD55B2">
        <w:rPr>
          <w:rFonts w:ascii="Calibri" w:eastAsia="Calibri" w:hAnsi="Calibri" w:cs="Calibri"/>
          <w:sz w:val="22"/>
          <w:szCs w:val="22"/>
          <w:lang w:val="en-US"/>
        </w:rPr>
        <w:t>n. London: Pearson</w:t>
      </w:r>
      <w:r w:rsidR="2918BE0A" w:rsidRPr="27FD55B2">
        <w:rPr>
          <w:rFonts w:ascii="Calibri" w:eastAsia="Calibri" w:hAnsi="Calibri" w:cs="Calibri"/>
          <w:sz w:val="22"/>
          <w:szCs w:val="22"/>
          <w:lang w:val="en-US"/>
        </w:rPr>
        <w:t xml:space="preserve"> Professional Limited.</w:t>
      </w:r>
    </w:p>
    <w:p w14:paraId="02A9B43F" w14:textId="2BADE266" w:rsidR="27FD55B2" w:rsidRDefault="27FD55B2" w:rsidP="27FD55B2">
      <w:pPr>
        <w:rPr>
          <w:rFonts w:ascii="Calibri" w:eastAsia="Calibri" w:hAnsi="Calibri" w:cs="Calibri"/>
          <w:sz w:val="22"/>
          <w:szCs w:val="22"/>
          <w:lang w:val="en-US"/>
        </w:rPr>
      </w:pPr>
    </w:p>
    <w:p w14:paraId="087D84B9" w14:textId="2B68AFCA" w:rsidR="4810BE03" w:rsidRDefault="0E34EBA2" w:rsidP="32700F7E">
      <w:pPr>
        <w:rPr>
          <w:rFonts w:ascii="Calibri" w:eastAsia="Calibri" w:hAnsi="Calibri" w:cs="Calibri"/>
          <w:sz w:val="22"/>
          <w:szCs w:val="22"/>
          <w:lang w:val="en-US"/>
        </w:rPr>
      </w:pPr>
      <w:r w:rsidRPr="32700F7E">
        <w:rPr>
          <w:rFonts w:ascii="Calibri" w:eastAsia="Calibri" w:hAnsi="Calibri" w:cs="Calibri"/>
          <w:sz w:val="22"/>
          <w:szCs w:val="22"/>
          <w:lang w:val="en-US"/>
        </w:rPr>
        <w:t xml:space="preserve">Hayes (no date) ‘We’ve moved away from hiring being linked to time served’. Available at: https:// </w:t>
      </w:r>
      <w:hyperlink r:id="rId10">
        <w:r w:rsidRPr="32700F7E">
          <w:rPr>
            <w:rStyle w:val="Hyperlink"/>
            <w:rFonts w:ascii="Calibri" w:eastAsia="Calibri" w:hAnsi="Calibri" w:cs="Calibri"/>
            <w:sz w:val="22"/>
            <w:szCs w:val="22"/>
            <w:lang w:val="en-US"/>
          </w:rPr>
          <w:t>www.hrgrapevine.com/content/article/2025-04-29-zo-baker-people-director-bbc-nations-weve-moved-away-from-hiring-being-linked-to-time-served</w:t>
        </w:r>
      </w:hyperlink>
      <w:r w:rsidRPr="32700F7E">
        <w:rPr>
          <w:rFonts w:ascii="Calibri" w:eastAsia="Calibri" w:hAnsi="Calibri" w:cs="Calibri"/>
          <w:sz w:val="22"/>
          <w:szCs w:val="22"/>
          <w:lang w:val="en-US"/>
        </w:rPr>
        <w:t xml:space="preserve"> (Accessed: 21 May 2025).</w:t>
      </w:r>
    </w:p>
    <w:p w14:paraId="2816D4A3" w14:textId="3DC541A8" w:rsidR="4810BE03" w:rsidRDefault="4810BE03" w:rsidP="32700F7E">
      <w:pPr>
        <w:rPr>
          <w:rFonts w:ascii="Calibri" w:eastAsia="Calibri" w:hAnsi="Calibri" w:cs="Calibri"/>
          <w:sz w:val="22"/>
          <w:szCs w:val="22"/>
          <w:lang w:val="en-US"/>
        </w:rPr>
      </w:pPr>
    </w:p>
    <w:p w14:paraId="067E53E7" w14:textId="185AC527" w:rsidR="4810BE03" w:rsidRDefault="0E34EBA2" w:rsidP="32700F7E">
      <w:pPr>
        <w:rPr>
          <w:rFonts w:ascii="Calibri" w:eastAsia="Calibri" w:hAnsi="Calibri" w:cs="Calibri"/>
          <w:sz w:val="22"/>
          <w:szCs w:val="22"/>
          <w:lang w:val="en-US"/>
        </w:rPr>
      </w:pPr>
      <w:r w:rsidRPr="32700F7E">
        <w:rPr>
          <w:rFonts w:ascii="Calibri" w:eastAsia="Calibri" w:hAnsi="Calibri" w:cs="Calibri"/>
          <w:sz w:val="22"/>
          <w:szCs w:val="22"/>
          <w:lang w:val="en-US"/>
        </w:rPr>
        <w:t xml:space="preserve">Health and Safety Executive (HSE) (2023) </w:t>
      </w:r>
      <w:r w:rsidRPr="32700F7E">
        <w:rPr>
          <w:rFonts w:ascii="Calibri" w:eastAsia="Calibri" w:hAnsi="Calibri" w:cs="Calibri"/>
          <w:i/>
          <w:iCs/>
          <w:sz w:val="22"/>
          <w:szCs w:val="22"/>
          <w:lang w:val="en-US"/>
        </w:rPr>
        <w:t>Work Right Campaign</w:t>
      </w:r>
      <w:r w:rsidRPr="32700F7E">
        <w:rPr>
          <w:rFonts w:ascii="Calibri" w:eastAsia="Calibri" w:hAnsi="Calibri" w:cs="Calibri"/>
          <w:sz w:val="22"/>
          <w:szCs w:val="22"/>
          <w:lang w:val="en-US"/>
        </w:rPr>
        <w:t>. Available at: https:// workright.campaign.gov.uk/hse-working-minds-campaign-launches-new-free-online-learning-for-employers/ (Accessed: 1 May 2025).</w:t>
      </w:r>
    </w:p>
    <w:p w14:paraId="24B60065" w14:textId="3CAF4113" w:rsidR="4810BE03" w:rsidRDefault="4810BE03" w:rsidP="27FD55B2">
      <w:pPr>
        <w:rPr>
          <w:rFonts w:ascii="Calibri" w:eastAsia="Calibri" w:hAnsi="Calibri" w:cs="Calibri"/>
          <w:sz w:val="22"/>
          <w:szCs w:val="22"/>
          <w:lang w:val="en-US"/>
        </w:rPr>
      </w:pPr>
    </w:p>
    <w:p w14:paraId="6039F1DA" w14:textId="6A8C3B24" w:rsidR="4410B5DE" w:rsidRDefault="0E34EBA2" w:rsidP="32700F7E">
      <w:pPr>
        <w:rPr>
          <w:rFonts w:ascii="Calibri" w:eastAsia="Calibri" w:hAnsi="Calibri" w:cs="Calibri"/>
          <w:sz w:val="22"/>
          <w:szCs w:val="22"/>
          <w:lang w:val="en-US"/>
        </w:rPr>
      </w:pPr>
      <w:r w:rsidRPr="32700F7E">
        <w:rPr>
          <w:rFonts w:ascii="Calibri" w:eastAsia="Calibri" w:hAnsi="Calibri" w:cs="Calibri"/>
          <w:sz w:val="22"/>
          <w:szCs w:val="22"/>
          <w:lang w:val="en-US"/>
        </w:rPr>
        <w:t>Hogg, C. (2025)</w:t>
      </w:r>
      <w:r w:rsidRPr="32700F7E">
        <w:rPr>
          <w:rFonts w:ascii="Calibri" w:eastAsia="Calibri" w:hAnsi="Calibri" w:cs="Calibri"/>
          <w:i/>
          <w:iCs/>
          <w:sz w:val="22"/>
          <w:szCs w:val="22"/>
          <w:lang w:val="en-US"/>
        </w:rPr>
        <w:t xml:space="preserve"> Dealing with disciplinary issues relating to mental health</w:t>
      </w:r>
      <w:r w:rsidRPr="32700F7E">
        <w:rPr>
          <w:rFonts w:ascii="Calibri" w:eastAsia="Calibri" w:hAnsi="Calibri" w:cs="Calibri"/>
          <w:sz w:val="22"/>
          <w:szCs w:val="22"/>
          <w:lang w:val="en-US"/>
        </w:rPr>
        <w:t xml:space="preserve">. Available at: https:// </w:t>
      </w:r>
      <w:hyperlink r:id="rId11">
        <w:r w:rsidRPr="32700F7E">
          <w:rPr>
            <w:rStyle w:val="Hyperlink"/>
            <w:rFonts w:ascii="Calibri" w:eastAsia="Calibri" w:hAnsi="Calibri" w:cs="Calibri"/>
            <w:sz w:val="22"/>
            <w:szCs w:val="22"/>
            <w:lang w:val="en-US"/>
          </w:rPr>
          <w:t>www.peoplemanagement.co.uk/article/1918838/dealing-disciplinary-issues-relating-mental-health</w:t>
        </w:r>
      </w:hyperlink>
      <w:r w:rsidRPr="32700F7E">
        <w:rPr>
          <w:rFonts w:ascii="Calibri" w:eastAsia="Calibri" w:hAnsi="Calibri" w:cs="Calibri"/>
          <w:sz w:val="22"/>
          <w:szCs w:val="22"/>
          <w:lang w:val="en-US"/>
        </w:rPr>
        <w:t xml:space="preserve"> (Accessed: 21 May 2025).</w:t>
      </w:r>
    </w:p>
    <w:p w14:paraId="439AC296" w14:textId="08CC53D1" w:rsidR="4410B5DE" w:rsidRDefault="4410B5DE" w:rsidP="27FD55B2">
      <w:pPr>
        <w:rPr>
          <w:rFonts w:ascii="Calibri" w:eastAsia="Calibri" w:hAnsi="Calibri" w:cs="Calibri"/>
          <w:sz w:val="22"/>
          <w:szCs w:val="22"/>
          <w:lang w:val="en-US"/>
        </w:rPr>
      </w:pPr>
    </w:p>
    <w:p w14:paraId="480C3307" w14:textId="3B8D6083" w:rsidR="2BD2FF94" w:rsidRDefault="2BD2FF94" w:rsidP="32700F7E">
      <w:pPr>
        <w:rPr>
          <w:rFonts w:ascii="Calibri" w:eastAsia="Calibri" w:hAnsi="Calibri" w:cs="Calibri"/>
          <w:sz w:val="22"/>
          <w:szCs w:val="22"/>
          <w:lang w:val="en-US"/>
        </w:rPr>
      </w:pPr>
      <w:r w:rsidRPr="32700F7E">
        <w:rPr>
          <w:rFonts w:ascii="Calibri" w:eastAsia="Calibri" w:hAnsi="Calibri" w:cs="Calibri"/>
          <w:sz w:val="22"/>
          <w:szCs w:val="22"/>
          <w:lang w:val="en-US"/>
        </w:rPr>
        <w:t xml:space="preserve">HR-Inform (2024) </w:t>
      </w:r>
      <w:r w:rsidRPr="32700F7E">
        <w:rPr>
          <w:rFonts w:ascii="Calibri" w:eastAsia="Calibri" w:hAnsi="Calibri" w:cs="Calibri"/>
          <w:i/>
          <w:iCs/>
          <w:sz w:val="22"/>
          <w:szCs w:val="22"/>
          <w:lang w:val="en-US"/>
        </w:rPr>
        <w:t>Lee v R &amp; F Properties QS (UK) Co Ltd – Sex Discrimination</w:t>
      </w:r>
      <w:r w:rsidRPr="32700F7E">
        <w:rPr>
          <w:rFonts w:ascii="Calibri" w:eastAsia="Calibri" w:hAnsi="Calibri" w:cs="Calibri"/>
          <w:sz w:val="22"/>
          <w:szCs w:val="22"/>
          <w:lang w:val="en-US"/>
        </w:rPr>
        <w:t>. Available at: https://</w:t>
      </w:r>
      <w:r w:rsidR="17AD78D1" w:rsidRPr="32700F7E">
        <w:rPr>
          <w:rFonts w:ascii="Calibri" w:eastAsia="Calibri" w:hAnsi="Calibri" w:cs="Calibri"/>
          <w:sz w:val="22"/>
          <w:szCs w:val="22"/>
          <w:lang w:val="en-US"/>
        </w:rPr>
        <w:t xml:space="preserve"> </w:t>
      </w:r>
      <w:hyperlink r:id="rId12">
        <w:r w:rsidR="17AD78D1" w:rsidRPr="32700F7E">
          <w:rPr>
            <w:rStyle w:val="Hyperlink"/>
            <w:rFonts w:ascii="Calibri" w:eastAsia="Calibri" w:hAnsi="Calibri" w:cs="Calibri"/>
            <w:sz w:val="22"/>
            <w:szCs w:val="22"/>
            <w:lang w:val="en-US"/>
          </w:rPr>
          <w:t>www.hr-inform.co.uk/case-law/2024-05/lee-v-r-f-properties-qs-uk-co-ltd-sex-discrimination</w:t>
        </w:r>
      </w:hyperlink>
      <w:r w:rsidR="17AD78D1" w:rsidRPr="32700F7E">
        <w:rPr>
          <w:rFonts w:ascii="Calibri" w:eastAsia="Calibri" w:hAnsi="Calibri" w:cs="Calibri"/>
          <w:sz w:val="22"/>
          <w:szCs w:val="22"/>
          <w:lang w:val="en-US"/>
        </w:rPr>
        <w:t xml:space="preserve"> (Accessed: 10 May 2025).</w:t>
      </w:r>
    </w:p>
    <w:p w14:paraId="10B478E7" w14:textId="14F16884" w:rsidR="32700F7E" w:rsidRDefault="32700F7E" w:rsidP="32700F7E">
      <w:pPr>
        <w:rPr>
          <w:rFonts w:ascii="Calibri" w:eastAsia="Calibri" w:hAnsi="Calibri" w:cs="Calibri"/>
          <w:sz w:val="22"/>
          <w:szCs w:val="22"/>
          <w:lang w:val="en-US"/>
        </w:rPr>
      </w:pPr>
    </w:p>
    <w:p w14:paraId="3544ECDA" w14:textId="5EA5CDCC" w:rsidR="07D42890" w:rsidRDefault="07D42890" w:rsidP="32700F7E">
      <w:pPr>
        <w:rPr>
          <w:rFonts w:ascii="Calibri" w:eastAsia="Calibri" w:hAnsi="Calibri" w:cs="Calibri"/>
          <w:sz w:val="22"/>
          <w:szCs w:val="22"/>
          <w:lang w:val="en-US"/>
        </w:rPr>
      </w:pPr>
      <w:r w:rsidRPr="32700F7E">
        <w:rPr>
          <w:rFonts w:ascii="Calibri" w:eastAsia="Calibri" w:hAnsi="Calibri" w:cs="Calibri"/>
          <w:sz w:val="22"/>
          <w:szCs w:val="22"/>
          <w:lang w:val="en-US"/>
        </w:rPr>
        <w:t xml:space="preserve">HR-Inform (2025) </w:t>
      </w:r>
      <w:r w:rsidRPr="32700F7E">
        <w:rPr>
          <w:rFonts w:ascii="Calibri" w:eastAsia="Calibri" w:hAnsi="Calibri" w:cs="Calibri"/>
          <w:i/>
          <w:iCs/>
          <w:sz w:val="22"/>
          <w:szCs w:val="22"/>
          <w:lang w:val="en-US"/>
        </w:rPr>
        <w:t>Eddie Stobart Ltd v Graham</w:t>
      </w:r>
      <w:r w:rsidRPr="32700F7E">
        <w:rPr>
          <w:rFonts w:ascii="Calibri" w:eastAsia="Calibri" w:hAnsi="Calibri" w:cs="Calibri"/>
          <w:sz w:val="22"/>
          <w:szCs w:val="22"/>
          <w:lang w:val="en-US"/>
        </w:rPr>
        <w:t xml:space="preserve">. Available at: https:// </w:t>
      </w:r>
      <w:hyperlink r:id="rId13">
        <w:r w:rsidRPr="32700F7E">
          <w:rPr>
            <w:rStyle w:val="Hyperlink"/>
            <w:rFonts w:ascii="Calibri" w:eastAsia="Calibri" w:hAnsi="Calibri" w:cs="Calibri"/>
            <w:sz w:val="22"/>
            <w:szCs w:val="22"/>
            <w:lang w:val="en-US"/>
          </w:rPr>
          <w:t>www.hr-inform.co.uk/case-law/2025-01/eddie-stobart-ltd-v-graham</w:t>
        </w:r>
      </w:hyperlink>
      <w:r w:rsidRPr="32700F7E">
        <w:rPr>
          <w:rFonts w:ascii="Calibri" w:eastAsia="Calibri" w:hAnsi="Calibri" w:cs="Calibri"/>
          <w:sz w:val="22"/>
          <w:szCs w:val="22"/>
          <w:lang w:val="en-US"/>
        </w:rPr>
        <w:t xml:space="preserve"> (Accessed at: 21 May 2025).</w:t>
      </w:r>
    </w:p>
    <w:p w14:paraId="057515C4" w14:textId="270DB243" w:rsidR="32700F7E" w:rsidRDefault="32700F7E" w:rsidP="32700F7E">
      <w:pPr>
        <w:rPr>
          <w:rFonts w:ascii="Calibri" w:eastAsia="Calibri" w:hAnsi="Calibri" w:cs="Calibri"/>
          <w:sz w:val="22"/>
          <w:szCs w:val="22"/>
          <w:lang w:val="en-US"/>
        </w:rPr>
      </w:pPr>
    </w:p>
    <w:p w14:paraId="20555414" w14:textId="7F58D681" w:rsidR="6EEB83C2" w:rsidRDefault="6EEB83C2" w:rsidP="32700F7E">
      <w:pPr>
        <w:rPr>
          <w:rFonts w:ascii="Calibri" w:eastAsia="Calibri" w:hAnsi="Calibri" w:cs="Calibri"/>
          <w:sz w:val="22"/>
          <w:szCs w:val="22"/>
          <w:lang w:val="en-US"/>
        </w:rPr>
      </w:pPr>
      <w:r w:rsidRPr="32700F7E">
        <w:rPr>
          <w:rFonts w:ascii="Calibri" w:eastAsia="Calibri" w:hAnsi="Calibri" w:cs="Calibri"/>
          <w:sz w:val="22"/>
          <w:szCs w:val="22"/>
          <w:lang w:val="en-US"/>
        </w:rPr>
        <w:t>Waite, K. et al. (</w:t>
      </w:r>
      <w:r w:rsidR="3A31C31F" w:rsidRPr="32700F7E">
        <w:rPr>
          <w:rFonts w:ascii="Calibri" w:eastAsia="Calibri" w:hAnsi="Calibri" w:cs="Calibri"/>
          <w:sz w:val="22"/>
          <w:szCs w:val="22"/>
          <w:lang w:val="en-US"/>
        </w:rPr>
        <w:t>2021</w:t>
      </w:r>
      <w:r w:rsidR="1C7467D3" w:rsidRPr="32700F7E">
        <w:rPr>
          <w:rFonts w:ascii="Calibri" w:eastAsia="Calibri" w:hAnsi="Calibri" w:cs="Calibri"/>
          <w:sz w:val="22"/>
          <w:szCs w:val="22"/>
          <w:lang w:val="en-US"/>
        </w:rPr>
        <w:t>a</w:t>
      </w:r>
      <w:r w:rsidR="3A31C31F" w:rsidRPr="32700F7E">
        <w:rPr>
          <w:rFonts w:ascii="Calibri" w:eastAsia="Calibri" w:hAnsi="Calibri" w:cs="Calibri"/>
          <w:sz w:val="22"/>
          <w:szCs w:val="22"/>
          <w:lang w:val="en-US"/>
        </w:rPr>
        <w:t>) People Practice a Complete Guide. 1</w:t>
      </w:r>
      <w:r w:rsidR="3A31C31F" w:rsidRPr="32700F7E">
        <w:rPr>
          <w:rFonts w:ascii="Calibri" w:eastAsia="Calibri" w:hAnsi="Calibri" w:cs="Calibri"/>
          <w:sz w:val="22"/>
          <w:szCs w:val="22"/>
          <w:vertAlign w:val="superscript"/>
          <w:lang w:val="en-US"/>
        </w:rPr>
        <w:t>st</w:t>
      </w:r>
      <w:r w:rsidR="3A31C31F" w:rsidRPr="32700F7E">
        <w:rPr>
          <w:rFonts w:ascii="Calibri" w:eastAsia="Calibri" w:hAnsi="Calibri" w:cs="Calibri"/>
          <w:sz w:val="22"/>
          <w:szCs w:val="22"/>
          <w:lang w:val="en-US"/>
        </w:rPr>
        <w:t xml:space="preserve"> edn. London: Kogan Page.</w:t>
      </w:r>
    </w:p>
    <w:p w14:paraId="180C882A" w14:textId="65CACA10" w:rsidR="32700F7E" w:rsidRDefault="32700F7E" w:rsidP="32700F7E">
      <w:pPr>
        <w:rPr>
          <w:rFonts w:ascii="Calibri" w:eastAsia="Calibri" w:hAnsi="Calibri" w:cs="Calibri"/>
          <w:sz w:val="22"/>
          <w:szCs w:val="22"/>
          <w:lang w:val="en-US"/>
        </w:rPr>
      </w:pPr>
    </w:p>
    <w:p w14:paraId="2C73BDC0" w14:textId="46CED775" w:rsidR="520AC721" w:rsidRDefault="520AC721" w:rsidP="32700F7E">
      <w:pPr>
        <w:rPr>
          <w:rFonts w:ascii="Calibri" w:eastAsia="Calibri" w:hAnsi="Calibri" w:cs="Calibri"/>
          <w:color w:val="000000" w:themeColor="text1"/>
          <w:sz w:val="22"/>
          <w:szCs w:val="22"/>
          <w:lang w:val="en-US"/>
        </w:rPr>
      </w:pPr>
      <w:r w:rsidRPr="32700F7E">
        <w:rPr>
          <w:rFonts w:ascii="Calibri" w:eastAsia="Calibri" w:hAnsi="Calibri" w:cs="Calibri"/>
          <w:color w:val="000000" w:themeColor="text1"/>
          <w:sz w:val="22"/>
          <w:szCs w:val="22"/>
          <w:lang w:val="en-US"/>
        </w:rPr>
        <w:t xml:space="preserve">Sinek, S. (2021) </w:t>
      </w:r>
      <w:r w:rsidRPr="32700F7E">
        <w:rPr>
          <w:rFonts w:ascii="Calibri" w:eastAsia="Calibri" w:hAnsi="Calibri" w:cs="Calibri"/>
          <w:i/>
          <w:iCs/>
          <w:color w:val="000000" w:themeColor="text1"/>
          <w:sz w:val="22"/>
          <w:szCs w:val="22"/>
          <w:lang w:val="en-US"/>
        </w:rPr>
        <w:t>The Right Way to Do Work-Life Balance.</w:t>
      </w:r>
      <w:r w:rsidRPr="32700F7E">
        <w:rPr>
          <w:rFonts w:ascii="Calibri" w:eastAsia="Calibri" w:hAnsi="Calibri" w:cs="Calibri"/>
          <w:color w:val="000000" w:themeColor="text1"/>
          <w:sz w:val="22"/>
          <w:szCs w:val="22"/>
          <w:lang w:val="en-US"/>
        </w:rPr>
        <w:t xml:space="preserve"> Available at: https:// </w:t>
      </w:r>
      <w:hyperlink r:id="rId14">
        <w:r w:rsidRPr="32700F7E">
          <w:rPr>
            <w:rStyle w:val="Hyperlink"/>
            <w:rFonts w:ascii="Calibri" w:eastAsia="Calibri" w:hAnsi="Calibri" w:cs="Calibri"/>
            <w:sz w:val="22"/>
            <w:szCs w:val="22"/>
            <w:lang w:val="en-US"/>
          </w:rPr>
          <w:t>www.youtube.com/watch?v=O0yxJH2i0DE</w:t>
        </w:r>
      </w:hyperlink>
      <w:r w:rsidRPr="32700F7E">
        <w:rPr>
          <w:rFonts w:ascii="Calibri" w:eastAsia="Calibri" w:hAnsi="Calibri" w:cs="Calibri"/>
          <w:sz w:val="22"/>
          <w:szCs w:val="22"/>
          <w:lang w:val="en-US"/>
        </w:rPr>
        <w:t xml:space="preserve"> (Accessed: 1 May 2025).</w:t>
      </w:r>
    </w:p>
    <w:p w14:paraId="0A66F0F4" w14:textId="571F3C94" w:rsidR="32700F7E" w:rsidRDefault="32700F7E" w:rsidP="32700F7E">
      <w:pPr>
        <w:rPr>
          <w:rFonts w:ascii="Calibri" w:eastAsia="Calibri" w:hAnsi="Calibri" w:cs="Calibri"/>
          <w:sz w:val="22"/>
          <w:szCs w:val="22"/>
          <w:lang w:val="en-US"/>
        </w:rPr>
      </w:pPr>
    </w:p>
    <w:p w14:paraId="6F4D2373" w14:textId="282A7865" w:rsidR="3D1F3019" w:rsidRDefault="3D1F3019" w:rsidP="32700F7E">
      <w:pPr>
        <w:rPr>
          <w:rFonts w:ascii="Calibri" w:eastAsia="Calibri" w:hAnsi="Calibri" w:cs="Calibri"/>
          <w:sz w:val="22"/>
          <w:szCs w:val="22"/>
          <w:lang w:val="en-US"/>
        </w:rPr>
      </w:pPr>
      <w:r w:rsidRPr="32700F7E">
        <w:rPr>
          <w:rFonts w:ascii="Calibri" w:eastAsia="Calibri" w:hAnsi="Calibri" w:cs="Calibri"/>
          <w:sz w:val="22"/>
          <w:szCs w:val="22"/>
          <w:lang w:val="en-US"/>
        </w:rPr>
        <w:t>Waite, K. et al. (2021b) People Practice a Complete Guide. 1</w:t>
      </w:r>
      <w:r w:rsidRPr="32700F7E">
        <w:rPr>
          <w:rFonts w:ascii="Calibri" w:eastAsia="Calibri" w:hAnsi="Calibri" w:cs="Calibri"/>
          <w:sz w:val="22"/>
          <w:szCs w:val="22"/>
          <w:vertAlign w:val="superscript"/>
          <w:lang w:val="en-US"/>
        </w:rPr>
        <w:t>st</w:t>
      </w:r>
      <w:r w:rsidRPr="32700F7E">
        <w:rPr>
          <w:rFonts w:ascii="Calibri" w:eastAsia="Calibri" w:hAnsi="Calibri" w:cs="Calibri"/>
          <w:sz w:val="22"/>
          <w:szCs w:val="22"/>
          <w:lang w:val="en-US"/>
        </w:rPr>
        <w:t xml:space="preserve"> edn. London: Kogan Page.</w:t>
      </w:r>
    </w:p>
    <w:p w14:paraId="5FA158D5" w14:textId="433D4419" w:rsidR="32700F7E" w:rsidRDefault="32700F7E" w:rsidP="32700F7E">
      <w:pPr>
        <w:rPr>
          <w:rFonts w:ascii="Calibri" w:eastAsia="Calibri" w:hAnsi="Calibri" w:cs="Calibri"/>
          <w:sz w:val="22"/>
          <w:szCs w:val="22"/>
          <w:lang w:val="en-US"/>
        </w:rPr>
      </w:pPr>
    </w:p>
    <w:p w14:paraId="5ADF210D" w14:textId="5A73A62B" w:rsidR="28D7C999" w:rsidRDefault="28D7C999" w:rsidP="32700F7E">
      <w:pPr>
        <w:spacing w:before="240" w:after="240" w:line="264" w:lineRule="auto"/>
        <w:rPr>
          <w:rFonts w:ascii="Calibri" w:eastAsia="Calibri" w:hAnsi="Calibri" w:cs="Calibri"/>
          <w:sz w:val="22"/>
          <w:szCs w:val="22"/>
          <w:lang w:val="en-US"/>
        </w:rPr>
      </w:pPr>
      <w:r w:rsidRPr="32700F7E">
        <w:rPr>
          <w:rFonts w:ascii="Calibri" w:eastAsia="Calibri" w:hAnsi="Calibri" w:cs="Calibri"/>
          <w:b/>
          <w:bCs/>
          <w:sz w:val="22"/>
          <w:szCs w:val="22"/>
          <w:lang w:val="en-US"/>
        </w:rPr>
        <w:t>Figure 1</w:t>
      </w:r>
      <w:r w:rsidRPr="32700F7E">
        <w:rPr>
          <w:rFonts w:ascii="Calibri" w:eastAsia="Calibri" w:hAnsi="Calibri" w:cs="Calibri"/>
          <w:sz w:val="22"/>
          <w:szCs w:val="22"/>
          <w:lang w:val="en-US"/>
        </w:rPr>
        <w:t xml:space="preserve"> is Maslow’s Hierarchy of Needs motivation model.</w:t>
      </w:r>
    </w:p>
    <w:p w14:paraId="407ACD25" w14:textId="0E277FEE" w:rsidR="32700F7E" w:rsidRDefault="32700F7E" w:rsidP="32700F7E">
      <w:pPr>
        <w:rPr>
          <w:rFonts w:ascii="Calibri" w:eastAsia="Calibri" w:hAnsi="Calibri" w:cs="Calibri"/>
          <w:sz w:val="22"/>
          <w:szCs w:val="22"/>
          <w:lang w:val="en-US"/>
        </w:rPr>
      </w:pPr>
    </w:p>
    <w:p w14:paraId="25661B02" w14:textId="76126A3D" w:rsidR="27FD55B2" w:rsidRDefault="27FD55B2" w:rsidP="27FD55B2">
      <w:pPr>
        <w:rPr>
          <w:rFonts w:ascii="Calibri" w:eastAsia="Calibri" w:hAnsi="Calibri" w:cs="Calibri"/>
          <w:sz w:val="22"/>
          <w:szCs w:val="22"/>
          <w:lang w:val="en-US"/>
        </w:rPr>
      </w:pPr>
    </w:p>
    <w:p w14:paraId="102A048F" w14:textId="0EE96D45" w:rsidR="27FD55B2" w:rsidRDefault="27FD55B2" w:rsidP="27FD55B2">
      <w:pPr>
        <w:rPr>
          <w:rFonts w:ascii="Calibri" w:eastAsia="Calibri" w:hAnsi="Calibri" w:cs="Calibri"/>
          <w:sz w:val="22"/>
          <w:szCs w:val="22"/>
          <w:lang w:val="en-US"/>
        </w:rPr>
      </w:pPr>
    </w:p>
    <w:p w14:paraId="02B2B527" w14:textId="294A5507" w:rsidR="27FD55B2" w:rsidRDefault="27FD55B2" w:rsidP="27FD55B2">
      <w:pPr>
        <w:rPr>
          <w:rFonts w:ascii="Calibri" w:eastAsia="Calibri" w:hAnsi="Calibri" w:cs="Calibri"/>
          <w:sz w:val="22"/>
          <w:szCs w:val="22"/>
          <w:lang w:val="en-US"/>
        </w:rPr>
      </w:pPr>
    </w:p>
    <w:sectPr w:rsidR="27FD55B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2982B9"/>
    <w:multiLevelType w:val="hybridMultilevel"/>
    <w:tmpl w:val="90C2089A"/>
    <w:lvl w:ilvl="0" w:tplc="70E8D2CE">
      <w:start w:val="1"/>
      <w:numFmt w:val="bullet"/>
      <w:lvlText w:val="·"/>
      <w:lvlJc w:val="left"/>
      <w:pPr>
        <w:ind w:left="720" w:hanging="360"/>
      </w:pPr>
      <w:rPr>
        <w:rFonts w:ascii="Symbol" w:hAnsi="Symbol" w:hint="default"/>
      </w:rPr>
    </w:lvl>
    <w:lvl w:ilvl="1" w:tplc="9FC6F02C">
      <w:start w:val="1"/>
      <w:numFmt w:val="bullet"/>
      <w:lvlText w:val="o"/>
      <w:lvlJc w:val="left"/>
      <w:pPr>
        <w:ind w:left="1440" w:hanging="360"/>
      </w:pPr>
      <w:rPr>
        <w:rFonts w:ascii="Courier New" w:hAnsi="Courier New" w:hint="default"/>
      </w:rPr>
    </w:lvl>
    <w:lvl w:ilvl="2" w:tplc="55563F8C">
      <w:start w:val="1"/>
      <w:numFmt w:val="bullet"/>
      <w:lvlText w:val=""/>
      <w:lvlJc w:val="left"/>
      <w:pPr>
        <w:ind w:left="2160" w:hanging="360"/>
      </w:pPr>
      <w:rPr>
        <w:rFonts w:ascii="Wingdings" w:hAnsi="Wingdings" w:hint="default"/>
      </w:rPr>
    </w:lvl>
    <w:lvl w:ilvl="3" w:tplc="6B762602">
      <w:start w:val="1"/>
      <w:numFmt w:val="bullet"/>
      <w:lvlText w:val=""/>
      <w:lvlJc w:val="left"/>
      <w:pPr>
        <w:ind w:left="2880" w:hanging="360"/>
      </w:pPr>
      <w:rPr>
        <w:rFonts w:ascii="Symbol" w:hAnsi="Symbol" w:hint="default"/>
      </w:rPr>
    </w:lvl>
    <w:lvl w:ilvl="4" w:tplc="6E5ADD38">
      <w:start w:val="1"/>
      <w:numFmt w:val="bullet"/>
      <w:lvlText w:val="o"/>
      <w:lvlJc w:val="left"/>
      <w:pPr>
        <w:ind w:left="3600" w:hanging="360"/>
      </w:pPr>
      <w:rPr>
        <w:rFonts w:ascii="Courier New" w:hAnsi="Courier New" w:hint="default"/>
      </w:rPr>
    </w:lvl>
    <w:lvl w:ilvl="5" w:tplc="6B66B486">
      <w:start w:val="1"/>
      <w:numFmt w:val="bullet"/>
      <w:lvlText w:val=""/>
      <w:lvlJc w:val="left"/>
      <w:pPr>
        <w:ind w:left="4320" w:hanging="360"/>
      </w:pPr>
      <w:rPr>
        <w:rFonts w:ascii="Wingdings" w:hAnsi="Wingdings" w:hint="default"/>
      </w:rPr>
    </w:lvl>
    <w:lvl w:ilvl="6" w:tplc="23C6C746">
      <w:start w:val="1"/>
      <w:numFmt w:val="bullet"/>
      <w:lvlText w:val=""/>
      <w:lvlJc w:val="left"/>
      <w:pPr>
        <w:ind w:left="5040" w:hanging="360"/>
      </w:pPr>
      <w:rPr>
        <w:rFonts w:ascii="Symbol" w:hAnsi="Symbol" w:hint="default"/>
      </w:rPr>
    </w:lvl>
    <w:lvl w:ilvl="7" w:tplc="44EEE9EE">
      <w:start w:val="1"/>
      <w:numFmt w:val="bullet"/>
      <w:lvlText w:val="o"/>
      <w:lvlJc w:val="left"/>
      <w:pPr>
        <w:ind w:left="5760" w:hanging="360"/>
      </w:pPr>
      <w:rPr>
        <w:rFonts w:ascii="Courier New" w:hAnsi="Courier New" w:hint="default"/>
      </w:rPr>
    </w:lvl>
    <w:lvl w:ilvl="8" w:tplc="021EB0FA">
      <w:start w:val="1"/>
      <w:numFmt w:val="bullet"/>
      <w:lvlText w:val=""/>
      <w:lvlJc w:val="left"/>
      <w:pPr>
        <w:ind w:left="6480" w:hanging="360"/>
      </w:pPr>
      <w:rPr>
        <w:rFonts w:ascii="Wingdings" w:hAnsi="Wingdings" w:hint="default"/>
      </w:rPr>
    </w:lvl>
  </w:abstractNum>
  <w:num w:numId="1" w16cid:durableId="704333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D4CD38"/>
    <w:rsid w:val="000E078B"/>
    <w:rsid w:val="0020ACFE"/>
    <w:rsid w:val="005B4F7A"/>
    <w:rsid w:val="007ECBC7"/>
    <w:rsid w:val="008B11E6"/>
    <w:rsid w:val="018A9FAC"/>
    <w:rsid w:val="02229D95"/>
    <w:rsid w:val="023F0FC0"/>
    <w:rsid w:val="025DA75B"/>
    <w:rsid w:val="02903AEE"/>
    <w:rsid w:val="02EDA45F"/>
    <w:rsid w:val="02FE2915"/>
    <w:rsid w:val="030FD021"/>
    <w:rsid w:val="03295383"/>
    <w:rsid w:val="04148EA6"/>
    <w:rsid w:val="04271AB7"/>
    <w:rsid w:val="044AE7A2"/>
    <w:rsid w:val="0456879F"/>
    <w:rsid w:val="04997FCF"/>
    <w:rsid w:val="04E1F7F3"/>
    <w:rsid w:val="0562255C"/>
    <w:rsid w:val="05ACAF55"/>
    <w:rsid w:val="05F0A74A"/>
    <w:rsid w:val="05FE91A5"/>
    <w:rsid w:val="06618893"/>
    <w:rsid w:val="06A9F847"/>
    <w:rsid w:val="06F3350C"/>
    <w:rsid w:val="071DB847"/>
    <w:rsid w:val="0732389A"/>
    <w:rsid w:val="07717E77"/>
    <w:rsid w:val="0793DEDA"/>
    <w:rsid w:val="07B4D73F"/>
    <w:rsid w:val="07B5A5F2"/>
    <w:rsid w:val="07D42890"/>
    <w:rsid w:val="07F25109"/>
    <w:rsid w:val="09C1A997"/>
    <w:rsid w:val="09E01D36"/>
    <w:rsid w:val="09F355FC"/>
    <w:rsid w:val="0A49908C"/>
    <w:rsid w:val="0A619913"/>
    <w:rsid w:val="0B00A9E3"/>
    <w:rsid w:val="0B131CB9"/>
    <w:rsid w:val="0B246D10"/>
    <w:rsid w:val="0B6AFCE9"/>
    <w:rsid w:val="0B732305"/>
    <w:rsid w:val="0BDE81E5"/>
    <w:rsid w:val="0BFA83E1"/>
    <w:rsid w:val="0C7E8FF4"/>
    <w:rsid w:val="0CAFC11E"/>
    <w:rsid w:val="0CBA1F3C"/>
    <w:rsid w:val="0D4BE4BC"/>
    <w:rsid w:val="0DA310C8"/>
    <w:rsid w:val="0DFE11F1"/>
    <w:rsid w:val="0E242167"/>
    <w:rsid w:val="0E34EBA2"/>
    <w:rsid w:val="0E5DECA4"/>
    <w:rsid w:val="0F2D50A7"/>
    <w:rsid w:val="0F687714"/>
    <w:rsid w:val="102B798B"/>
    <w:rsid w:val="10F306BB"/>
    <w:rsid w:val="1118005A"/>
    <w:rsid w:val="1137B3F7"/>
    <w:rsid w:val="115F8FB6"/>
    <w:rsid w:val="11BBA12A"/>
    <w:rsid w:val="12079279"/>
    <w:rsid w:val="129228B9"/>
    <w:rsid w:val="12C9E24F"/>
    <w:rsid w:val="12DC2884"/>
    <w:rsid w:val="13197D01"/>
    <w:rsid w:val="135DC243"/>
    <w:rsid w:val="1373EFEA"/>
    <w:rsid w:val="13CC20CE"/>
    <w:rsid w:val="13DE8600"/>
    <w:rsid w:val="140A51A1"/>
    <w:rsid w:val="14191776"/>
    <w:rsid w:val="14225B70"/>
    <w:rsid w:val="1473DF20"/>
    <w:rsid w:val="147EFBF9"/>
    <w:rsid w:val="158D9570"/>
    <w:rsid w:val="15970E08"/>
    <w:rsid w:val="15CC1E31"/>
    <w:rsid w:val="161E1829"/>
    <w:rsid w:val="16995FFF"/>
    <w:rsid w:val="16ACA644"/>
    <w:rsid w:val="174041CE"/>
    <w:rsid w:val="17AD78D1"/>
    <w:rsid w:val="17F4AD88"/>
    <w:rsid w:val="181CE789"/>
    <w:rsid w:val="1845B96D"/>
    <w:rsid w:val="18C79356"/>
    <w:rsid w:val="18D15079"/>
    <w:rsid w:val="190E4F34"/>
    <w:rsid w:val="191E07E5"/>
    <w:rsid w:val="1921B5C7"/>
    <w:rsid w:val="19518C8A"/>
    <w:rsid w:val="195AACE6"/>
    <w:rsid w:val="19C76139"/>
    <w:rsid w:val="1A421863"/>
    <w:rsid w:val="1A4C4E98"/>
    <w:rsid w:val="1ADFA9FB"/>
    <w:rsid w:val="1AED0C47"/>
    <w:rsid w:val="1B047EC3"/>
    <w:rsid w:val="1B2EE168"/>
    <w:rsid w:val="1B85A662"/>
    <w:rsid w:val="1C0390E0"/>
    <w:rsid w:val="1C55536F"/>
    <w:rsid w:val="1C7467D3"/>
    <w:rsid w:val="1C99D6D8"/>
    <w:rsid w:val="1CCE8718"/>
    <w:rsid w:val="1CEA2F5A"/>
    <w:rsid w:val="1D956632"/>
    <w:rsid w:val="1E6791DB"/>
    <w:rsid w:val="1E6B7CCF"/>
    <w:rsid w:val="1E949922"/>
    <w:rsid w:val="1ED790A2"/>
    <w:rsid w:val="1F39777E"/>
    <w:rsid w:val="1F4C46F4"/>
    <w:rsid w:val="1FB1593A"/>
    <w:rsid w:val="21678461"/>
    <w:rsid w:val="21D088C3"/>
    <w:rsid w:val="21FBF1B8"/>
    <w:rsid w:val="22BB11F5"/>
    <w:rsid w:val="239C687B"/>
    <w:rsid w:val="2419D320"/>
    <w:rsid w:val="24A77C8D"/>
    <w:rsid w:val="24C78465"/>
    <w:rsid w:val="24F2E8DC"/>
    <w:rsid w:val="24FC3B27"/>
    <w:rsid w:val="25EEAB7A"/>
    <w:rsid w:val="26346207"/>
    <w:rsid w:val="2651E1B7"/>
    <w:rsid w:val="2758FA46"/>
    <w:rsid w:val="277B92ED"/>
    <w:rsid w:val="27DAD454"/>
    <w:rsid w:val="27FD55B2"/>
    <w:rsid w:val="287F22B3"/>
    <w:rsid w:val="28A50308"/>
    <w:rsid w:val="28D7C999"/>
    <w:rsid w:val="2918BE0A"/>
    <w:rsid w:val="29206A2B"/>
    <w:rsid w:val="296C20A4"/>
    <w:rsid w:val="2A961B8B"/>
    <w:rsid w:val="2A9A65DD"/>
    <w:rsid w:val="2AEA2D7D"/>
    <w:rsid w:val="2B237860"/>
    <w:rsid w:val="2BA27FD5"/>
    <w:rsid w:val="2BC0606D"/>
    <w:rsid w:val="2BD2FF94"/>
    <w:rsid w:val="2BE64E69"/>
    <w:rsid w:val="2C3CF8CD"/>
    <w:rsid w:val="2CD3CB94"/>
    <w:rsid w:val="2D6CBC8F"/>
    <w:rsid w:val="2E36CBC5"/>
    <w:rsid w:val="2E36FC28"/>
    <w:rsid w:val="2E6B020C"/>
    <w:rsid w:val="2E76E398"/>
    <w:rsid w:val="2E7E6018"/>
    <w:rsid w:val="2E96B9D0"/>
    <w:rsid w:val="2EA17839"/>
    <w:rsid w:val="2ED5540F"/>
    <w:rsid w:val="2EDF2B3D"/>
    <w:rsid w:val="2F43EEB0"/>
    <w:rsid w:val="2F7CF9B7"/>
    <w:rsid w:val="2FAF5078"/>
    <w:rsid w:val="2FBC0AC0"/>
    <w:rsid w:val="301BAD8A"/>
    <w:rsid w:val="30D963CE"/>
    <w:rsid w:val="31076845"/>
    <w:rsid w:val="316AEBE0"/>
    <w:rsid w:val="3177E832"/>
    <w:rsid w:val="3185204E"/>
    <w:rsid w:val="31983D35"/>
    <w:rsid w:val="31B91EED"/>
    <w:rsid w:val="31F9FB22"/>
    <w:rsid w:val="32700F7E"/>
    <w:rsid w:val="3302E089"/>
    <w:rsid w:val="336D5937"/>
    <w:rsid w:val="33FB4E06"/>
    <w:rsid w:val="340EC807"/>
    <w:rsid w:val="3444973A"/>
    <w:rsid w:val="345BE8C0"/>
    <w:rsid w:val="34779781"/>
    <w:rsid w:val="34970D18"/>
    <w:rsid w:val="3499B94E"/>
    <w:rsid w:val="349EA9F9"/>
    <w:rsid w:val="34D83386"/>
    <w:rsid w:val="34E47365"/>
    <w:rsid w:val="35496618"/>
    <w:rsid w:val="354A223B"/>
    <w:rsid w:val="354C0E89"/>
    <w:rsid w:val="3558E2DA"/>
    <w:rsid w:val="35FE0BDA"/>
    <w:rsid w:val="362EDE02"/>
    <w:rsid w:val="36D131EE"/>
    <w:rsid w:val="36EB6376"/>
    <w:rsid w:val="371201A9"/>
    <w:rsid w:val="373DC66C"/>
    <w:rsid w:val="378733D6"/>
    <w:rsid w:val="37DCAA6E"/>
    <w:rsid w:val="39260591"/>
    <w:rsid w:val="39433F9D"/>
    <w:rsid w:val="395DCEF6"/>
    <w:rsid w:val="39994056"/>
    <w:rsid w:val="39EA2D18"/>
    <w:rsid w:val="3A31C31F"/>
    <w:rsid w:val="3A5A6940"/>
    <w:rsid w:val="3AA8DC9C"/>
    <w:rsid w:val="3AF1D1CA"/>
    <w:rsid w:val="3B29CA7E"/>
    <w:rsid w:val="3B3BFFF9"/>
    <w:rsid w:val="3B9665C7"/>
    <w:rsid w:val="3BBC4D5F"/>
    <w:rsid w:val="3C7F9FBF"/>
    <w:rsid w:val="3CC5FBE4"/>
    <w:rsid w:val="3CCB6594"/>
    <w:rsid w:val="3CDF78F3"/>
    <w:rsid w:val="3D19B180"/>
    <w:rsid w:val="3D1F3019"/>
    <w:rsid w:val="3D3953F6"/>
    <w:rsid w:val="3D3E6DA9"/>
    <w:rsid w:val="3DFD3D36"/>
    <w:rsid w:val="3E0D8E57"/>
    <w:rsid w:val="3E296611"/>
    <w:rsid w:val="3E47E16A"/>
    <w:rsid w:val="3EB68E2D"/>
    <w:rsid w:val="3F459734"/>
    <w:rsid w:val="40472181"/>
    <w:rsid w:val="408048BC"/>
    <w:rsid w:val="4096857D"/>
    <w:rsid w:val="409DA24A"/>
    <w:rsid w:val="40C58CCF"/>
    <w:rsid w:val="40CE93C3"/>
    <w:rsid w:val="40FA8C66"/>
    <w:rsid w:val="4158E222"/>
    <w:rsid w:val="4253A575"/>
    <w:rsid w:val="4313E428"/>
    <w:rsid w:val="437C7F1C"/>
    <w:rsid w:val="4396B008"/>
    <w:rsid w:val="4410B5DE"/>
    <w:rsid w:val="441E3006"/>
    <w:rsid w:val="454DD4A2"/>
    <w:rsid w:val="456291E7"/>
    <w:rsid w:val="45E6C1CC"/>
    <w:rsid w:val="46AD9D16"/>
    <w:rsid w:val="47841E5C"/>
    <w:rsid w:val="47B05703"/>
    <w:rsid w:val="4810BE03"/>
    <w:rsid w:val="482BFE53"/>
    <w:rsid w:val="48858461"/>
    <w:rsid w:val="48BA761C"/>
    <w:rsid w:val="491F6472"/>
    <w:rsid w:val="49348E66"/>
    <w:rsid w:val="4958CE11"/>
    <w:rsid w:val="49A3CE82"/>
    <w:rsid w:val="4A1B5640"/>
    <w:rsid w:val="4A541BE3"/>
    <w:rsid w:val="4A71485F"/>
    <w:rsid w:val="4A871C5F"/>
    <w:rsid w:val="4ABA5CB4"/>
    <w:rsid w:val="4B17371B"/>
    <w:rsid w:val="4B34AA19"/>
    <w:rsid w:val="4B691646"/>
    <w:rsid w:val="4BF4D5D7"/>
    <w:rsid w:val="4C13EB82"/>
    <w:rsid w:val="4D3F7D0D"/>
    <w:rsid w:val="4DBCD0CE"/>
    <w:rsid w:val="4E8E680B"/>
    <w:rsid w:val="4EB17E12"/>
    <w:rsid w:val="4EC01331"/>
    <w:rsid w:val="4ED4CD38"/>
    <w:rsid w:val="4EF15177"/>
    <w:rsid w:val="4F4EB9DF"/>
    <w:rsid w:val="50143C04"/>
    <w:rsid w:val="501F17B2"/>
    <w:rsid w:val="507F667A"/>
    <w:rsid w:val="50B84196"/>
    <w:rsid w:val="50E94AFF"/>
    <w:rsid w:val="510A2E71"/>
    <w:rsid w:val="51B3A161"/>
    <w:rsid w:val="51D331B7"/>
    <w:rsid w:val="51E45D20"/>
    <w:rsid w:val="520AC721"/>
    <w:rsid w:val="52377A93"/>
    <w:rsid w:val="52ADD161"/>
    <w:rsid w:val="52CB25D4"/>
    <w:rsid w:val="52F4AB5B"/>
    <w:rsid w:val="533ACEEA"/>
    <w:rsid w:val="54390E16"/>
    <w:rsid w:val="554AD990"/>
    <w:rsid w:val="5583C848"/>
    <w:rsid w:val="561AE82E"/>
    <w:rsid w:val="56429535"/>
    <w:rsid w:val="5661D560"/>
    <w:rsid w:val="56860D42"/>
    <w:rsid w:val="573719D7"/>
    <w:rsid w:val="574EA6DB"/>
    <w:rsid w:val="57956CFE"/>
    <w:rsid w:val="580B9A90"/>
    <w:rsid w:val="58643BC2"/>
    <w:rsid w:val="59790E78"/>
    <w:rsid w:val="59CE21CE"/>
    <w:rsid w:val="5AA65096"/>
    <w:rsid w:val="5ADA7E0A"/>
    <w:rsid w:val="5B289215"/>
    <w:rsid w:val="5BC61EBD"/>
    <w:rsid w:val="5BDD91B2"/>
    <w:rsid w:val="5C93130A"/>
    <w:rsid w:val="5CD6351C"/>
    <w:rsid w:val="5D18ABAE"/>
    <w:rsid w:val="5D65CF76"/>
    <w:rsid w:val="5D95CEB3"/>
    <w:rsid w:val="5D9D6C31"/>
    <w:rsid w:val="5DA322B6"/>
    <w:rsid w:val="5EC3FA7C"/>
    <w:rsid w:val="5F23D5E9"/>
    <w:rsid w:val="5F2A8F2C"/>
    <w:rsid w:val="5F54AD37"/>
    <w:rsid w:val="5F58E896"/>
    <w:rsid w:val="5F770585"/>
    <w:rsid w:val="6008E18B"/>
    <w:rsid w:val="60398F62"/>
    <w:rsid w:val="6094E0F5"/>
    <w:rsid w:val="62C55F2A"/>
    <w:rsid w:val="6313CEA6"/>
    <w:rsid w:val="639964A1"/>
    <w:rsid w:val="63B1ED35"/>
    <w:rsid w:val="63BA7CB5"/>
    <w:rsid w:val="63D6D0ED"/>
    <w:rsid w:val="63F895B1"/>
    <w:rsid w:val="660DB45D"/>
    <w:rsid w:val="663D7395"/>
    <w:rsid w:val="66887092"/>
    <w:rsid w:val="66D8DABE"/>
    <w:rsid w:val="679EEF96"/>
    <w:rsid w:val="67E7E1ED"/>
    <w:rsid w:val="6815C5B4"/>
    <w:rsid w:val="681F9C10"/>
    <w:rsid w:val="68D16822"/>
    <w:rsid w:val="68F14D0E"/>
    <w:rsid w:val="69BB5A84"/>
    <w:rsid w:val="69DCA352"/>
    <w:rsid w:val="6A683A57"/>
    <w:rsid w:val="6B5F2E89"/>
    <w:rsid w:val="6B7C2F1C"/>
    <w:rsid w:val="6B89B018"/>
    <w:rsid w:val="6BADF907"/>
    <w:rsid w:val="6C630D0B"/>
    <w:rsid w:val="6C876794"/>
    <w:rsid w:val="6CC72A98"/>
    <w:rsid w:val="6D085184"/>
    <w:rsid w:val="6D2F2051"/>
    <w:rsid w:val="6D78D43D"/>
    <w:rsid w:val="6DEDEF9F"/>
    <w:rsid w:val="6E9FA83D"/>
    <w:rsid w:val="6EEB83C2"/>
    <w:rsid w:val="6EEEECBC"/>
    <w:rsid w:val="6F152E0E"/>
    <w:rsid w:val="6F6620DD"/>
    <w:rsid w:val="6F758709"/>
    <w:rsid w:val="6FA05346"/>
    <w:rsid w:val="6FD25C7D"/>
    <w:rsid w:val="706A8368"/>
    <w:rsid w:val="708CBE49"/>
    <w:rsid w:val="70D6C545"/>
    <w:rsid w:val="70D8842D"/>
    <w:rsid w:val="70FCC2B8"/>
    <w:rsid w:val="710CFABA"/>
    <w:rsid w:val="716080A5"/>
    <w:rsid w:val="7200E2E9"/>
    <w:rsid w:val="721EDA54"/>
    <w:rsid w:val="72268F49"/>
    <w:rsid w:val="728BCF35"/>
    <w:rsid w:val="72995A48"/>
    <w:rsid w:val="7325B8D2"/>
    <w:rsid w:val="735E0E89"/>
    <w:rsid w:val="73DDC7BF"/>
    <w:rsid w:val="7523B454"/>
    <w:rsid w:val="753F369E"/>
    <w:rsid w:val="76863DC6"/>
    <w:rsid w:val="76AD99E6"/>
    <w:rsid w:val="76C07371"/>
    <w:rsid w:val="76DAAEE2"/>
    <w:rsid w:val="772164DA"/>
    <w:rsid w:val="7774B0AA"/>
    <w:rsid w:val="7796ADFD"/>
    <w:rsid w:val="77D215C8"/>
    <w:rsid w:val="782FD884"/>
    <w:rsid w:val="787465E2"/>
    <w:rsid w:val="78766268"/>
    <w:rsid w:val="792BB8F7"/>
    <w:rsid w:val="79A1AD45"/>
    <w:rsid w:val="79B1A925"/>
    <w:rsid w:val="7A2F1FA1"/>
    <w:rsid w:val="7BC390D2"/>
    <w:rsid w:val="7D825AF5"/>
    <w:rsid w:val="7D90940C"/>
    <w:rsid w:val="7D9C2F75"/>
    <w:rsid w:val="7DFBCF9F"/>
    <w:rsid w:val="7F0C462C"/>
    <w:rsid w:val="7F0D98E0"/>
    <w:rsid w:val="7F4E254C"/>
    <w:rsid w:val="7F6111F3"/>
    <w:rsid w:val="7F7990DC"/>
    <w:rsid w:val="7FBA6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4CD38"/>
  <w15:chartTrackingRefBased/>
  <w15:docId w15:val="{30E1E818-AF2D-4362-9E58-27C4AA020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76DAAEE2"/>
    <w:pPr>
      <w:ind w:left="720"/>
      <w:contextualSpacing/>
    </w:pPr>
  </w:style>
  <w:style w:type="character" w:styleId="Hyperlink">
    <w:name w:val="Hyperlink"/>
    <w:basedOn w:val="DefaultParagraphFont"/>
    <w:uiPriority w:val="99"/>
    <w:unhideWhenUsed/>
    <w:rsid w:val="76DAAEE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reports/2023-pdfs/8436-health-and-wellbeing-report-2023.pdf" TargetMode="External"/><Relationship Id="rId13" Type="http://schemas.openxmlformats.org/officeDocument/2006/relationships/hyperlink" Target="https://www.hr-inform.co.uk/case-law/2025-01/eddie-stobart-ltd-v-graham" TargetMode="External"/><Relationship Id="rId3" Type="http://schemas.openxmlformats.org/officeDocument/2006/relationships/settings" Target="settings.xml"/><Relationship Id="rId7" Type="http://schemas.openxmlformats.org/officeDocument/2006/relationships/hyperlink" Target="https://www.acas.org.uk/working-time-rules" TargetMode="External"/><Relationship Id="rId12" Type="http://schemas.openxmlformats.org/officeDocument/2006/relationships/hyperlink" Target="https://www.hr-inform.co.uk/case-law/2024-05/lee-v-r-f-properties-qs-uk-co-ltd-sex-discriminat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cas.org.uk/acas-code-of-practice-on-disciplinary-and-grievance-procedures" TargetMode="External"/><Relationship Id="rId11" Type="http://schemas.openxmlformats.org/officeDocument/2006/relationships/hyperlink" Target="https://www.peoplemanagement.co.uk/article/1918838/dealing-disciplinary-issues-relating-mental-health"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hrgrapevine.com/content/article/2025-04-29-zo-baker-people-director-bbc-nations-weve-moved-away-from-hiring-being-linked-to-time-served" TargetMode="External"/><Relationship Id="rId4" Type="http://schemas.openxmlformats.org/officeDocument/2006/relationships/webSettings" Target="webSettings.xml"/><Relationship Id="rId9" Type="http://schemas.openxmlformats.org/officeDocument/2006/relationships/hyperlink" Target="https://www.cipd.org/uk/knowledge/factsheets/diversity-factsheet/" TargetMode="External"/><Relationship Id="rId14" Type="http://schemas.openxmlformats.org/officeDocument/2006/relationships/hyperlink" Target="https://www.youtube.com/watch?v=O0yxJH2i0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2098</Words>
  <Characters>11965</Characters>
  <Application>Microsoft Office Word</Application>
  <DocSecurity>0</DocSecurity>
  <Lines>99</Lines>
  <Paragraphs>28</Paragraphs>
  <ScaleCrop>false</ScaleCrop>
  <Company/>
  <LinksUpToDate>false</LinksUpToDate>
  <CharactersWithSpaces>14035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Witty (2411724)</dc:creator>
  <cp:keywords/>
  <dc:description/>
  <cp:lastModifiedBy>Kerry Witty</cp:lastModifiedBy>
  <cp:revision>2</cp:revision>
  <dcterms:created xsi:type="dcterms:W3CDTF">2025-06-02T17:43:00Z</dcterms:created>
  <dcterms:modified xsi:type="dcterms:W3CDTF">2025-06-02T17:43:00Z</dcterms:modified>
</cp:coreProperties>
</file>